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sz w:val="28"/>
          <w:szCs w:val="28"/>
        </w:rPr>
      </w:pPr>
      <w:r>
        <w:rPr>
          <w:rFonts w:ascii="Times New Roman" w:cs="Times New Roman" w:hAnsi="Times New Roman"/>
          <w:b/>
          <w:noProof/>
          <w:sz w:val="28"/>
          <w:szCs w:val="28"/>
        </w:rPr>
        <w:drawing>
          <wp:inline distT="0" distB="0" distR="0" distL="0">
            <wp:extent cx="955674" cy="900430"/>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55674" cy="900430"/>
                    </a:xfrm>
                    <a:prstGeom prst="rect"/>
                    <a:ln>
                      <a:noFill/>
                    </a:ln>
                  </pic:spPr>
                </pic:pic>
              </a:graphicData>
            </a:graphic>
          </wp:inline>
        </w:drawing>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PROJRCT</w:t>
      </w:r>
      <w:r>
        <w:rPr>
          <w:rFonts w:ascii="Times New Roman" w:cs="Times New Roman" w:hAnsi="Times New Roman"/>
          <w:b/>
          <w:bCs/>
          <w:sz w:val="24"/>
          <w:szCs w:val="24"/>
        </w:rPr>
        <w:t xml:space="preserve"> REPORT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jc w:val="center"/>
        <w:rPr>
          <w:rFonts w:ascii="宋体" w:cs="宋体" w:hAnsi="宋体"/>
          <w:b/>
          <w:bCs/>
          <w:sz w:val="24"/>
          <w:szCs w:val="24"/>
        </w:rPr>
      </w:pPr>
      <w:r>
        <w:rPr>
          <w:rFonts w:ascii="宋体" w:cs="宋体" w:hAnsi="宋体"/>
          <w:b/>
          <w:bCs/>
          <w:sz w:val="24"/>
          <w:szCs w:val="24"/>
        </w:rPr>
        <w:t>ANTIBACTERIAL ACTIVITY OF AQUEOUS CLOVE EXTRACT AGAINST METHICILLIN-RESISTANT STAPHYLOCOCCUS AUREUS AND ESCHERICHIA COLI</w:t>
      </w:r>
    </w:p>
    <w:p>
      <w:pPr>
        <w:pStyle w:val="style0"/>
        <w:jc w:val="center"/>
        <w:rPr>
          <w:rFonts w:ascii="宋体" w:cs="宋体" w:hAnsi="宋体"/>
          <w:b/>
          <w:bCs/>
          <w:sz w:val="24"/>
          <w:szCs w:val="24"/>
        </w:rPr>
      </w:pP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BY</w:t>
      </w:r>
    </w:p>
    <w:p>
      <w:pPr>
        <w:pStyle w:val="style0"/>
        <w:tabs>
          <w:tab w:val="left" w:leader="none" w:pos="720"/>
        </w:tabs>
        <w:spacing w:lineRule="auto" w:line="276"/>
        <w:rPr>
          <w:rFonts w:ascii="宋体" w:cs="宋体" w:hAnsi="宋体"/>
          <w:b/>
          <w:color w:val="000000"/>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ABUBAKARE LAMORATU OLAYEMI</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ND/23/SLT/PT/0612</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SUBMITTED TO:</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 xml:space="preserve">THE </w:t>
      </w:r>
      <w:r>
        <w:rPr>
          <w:rFonts w:ascii="宋体" w:cs="宋体" w:hAnsi="宋体"/>
          <w:b/>
          <w:color w:val="000000"/>
          <w:sz w:val="24"/>
          <w:szCs w:val="24"/>
        </w:rPr>
        <w:t xml:space="preserve">DEPARTMENT OF SCIENCE LABORATORY TECHNOLOGY, </w:t>
      </w:r>
      <w:r>
        <w:rPr>
          <w:rFonts w:ascii="宋体" w:cs="宋体" w:hAnsi="宋体"/>
          <w:b/>
          <w:color w:val="000000"/>
          <w:sz w:val="24"/>
          <w:szCs w:val="24"/>
        </w:rPr>
        <w:t xml:space="preserve">INSTITUTE </w:t>
      </w:r>
      <w:r>
        <w:rPr>
          <w:rFonts w:ascii="宋体" w:cs="宋体" w:hAnsi="宋体"/>
          <w:b/>
          <w:color w:val="000000"/>
          <w:sz w:val="24"/>
          <w:szCs w:val="24"/>
        </w:rPr>
        <w:t xml:space="preserve">OF </w:t>
      </w:r>
      <w:r>
        <w:rPr>
          <w:rFonts w:ascii="宋体" w:cs="宋体" w:hAnsi="宋体"/>
          <w:b/>
          <w:color w:val="000000"/>
          <w:sz w:val="24"/>
          <w:szCs w:val="24"/>
        </w:rPr>
        <w:t xml:space="preserve">APPLIED </w:t>
      </w:r>
      <w:r>
        <w:rPr>
          <w:rFonts w:ascii="宋体" w:cs="宋体" w:hAnsi="宋体"/>
          <w:b/>
          <w:color w:val="000000"/>
          <w:sz w:val="24"/>
          <w:szCs w:val="24"/>
        </w:rPr>
        <w:t>SCIENCES</w:t>
      </w:r>
      <w:r>
        <w:rPr>
          <w:rFonts w:ascii="宋体" w:cs="宋体" w:hAnsi="宋体"/>
          <w:b/>
          <w:color w:val="000000"/>
          <w:sz w:val="24"/>
          <w:szCs w:val="24"/>
        </w:rPr>
        <w:t xml:space="preserve"> (IAS)</w:t>
      </w:r>
      <w:r>
        <w:rPr>
          <w:rFonts w:ascii="宋体" w:cs="宋体" w:hAnsi="宋体"/>
          <w:b/>
          <w:color w:val="000000"/>
          <w:sz w:val="24"/>
          <w:szCs w:val="24"/>
        </w:rPr>
        <w:t>,</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KWARA STATE POLYTECHNIC, ILORIN,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IN PARTIAL FULFILLMENT OF THE REQUIREMENTS FOR THE AWARD OF NATIONAL DIPLOMA (ND) IN SCIENCE LABORATORY TECHNOLOGY</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SUPERVISED BY:</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MR.</w:t>
      </w:r>
      <w:r>
        <w:rPr>
          <w:rFonts w:ascii="Times New Roman" w:cs="Times New Roman" w:hAnsi="Times New Roman"/>
          <w:b/>
          <w:bCs/>
          <w:sz w:val="24"/>
          <w:szCs w:val="24"/>
        </w:rPr>
        <w:t xml:space="preserve"> </w:t>
      </w:r>
      <w:r>
        <w:rPr>
          <w:rFonts w:ascii="Times New Roman" w:cs="Times New Roman" w:hAnsi="Times New Roman"/>
          <w:b/>
          <w:bCs/>
          <w:sz w:val="24"/>
          <w:szCs w:val="24"/>
        </w:rPr>
        <w:t xml:space="preserve">ABDULLAH M.N </w:t>
      </w:r>
    </w:p>
    <w:p>
      <w:pPr>
        <w:pStyle w:val="style0"/>
        <w:tabs>
          <w:tab w:val="center" w:leader="none" w:pos="446"/>
          <w:tab w:val="center" w:leader="none" w:pos="4796"/>
          <w:tab w:val="center" w:leader="none" w:pos="5747"/>
        </w:tabs>
        <w:spacing w:after="51"/>
        <w:jc w:val="right"/>
        <w:rPr>
          <w:rFonts w:ascii="Times New Roman" w:cs="Times New Roman" w:eastAsia="Times New Roman" w:hAnsi="Times New Roman"/>
          <w:sz w:val="24"/>
          <w:szCs w:val="24"/>
        </w:rPr>
      </w:pPr>
      <w:r>
        <w:rPr>
          <w:rFonts w:ascii="Times New Roman" w:cs="Times New Roman" w:hAnsi="Times New Roman"/>
          <w:b/>
          <w:bCs/>
          <w:sz w:val="24"/>
          <w:szCs w:val="24"/>
        </w:rPr>
        <w:t>2024/2025 SESSION</w:t>
      </w:r>
      <w:bookmarkStart w:id="0" w:name="_Toc172144250"/>
      <w:bookmarkEnd w:id="0"/>
    </w:p>
    <w:p>
      <w:pPr>
        <w:pStyle w:val="style0"/>
        <w:tabs>
          <w:tab w:val="left" w:leader="none" w:pos="720"/>
        </w:tabs>
        <w:spacing w:lineRule="auto" w:line="276"/>
        <w:jc w:val="left"/>
        <w:rPr>
          <w:rFonts w:ascii="宋体" w:cs="宋体" w:hAnsi="宋体"/>
          <w:b/>
          <w:color w:val="000000"/>
          <w:sz w:val="28"/>
          <w:szCs w:val="28"/>
        </w:rPr>
      </w:pPr>
    </w:p>
    <w:p>
      <w:pPr>
        <w:pStyle w:val="style0"/>
        <w:tabs>
          <w:tab w:val="left" w:leader="none" w:pos="720"/>
        </w:tabs>
        <w:spacing w:lineRule="auto" w:line="276"/>
        <w:jc w:val="center"/>
        <w:rPr>
          <w:rFonts w:ascii="宋体" w:cs="宋体" w:hAnsi="宋体"/>
          <w:b/>
          <w:color w:val="000000"/>
          <w:sz w:val="28"/>
          <w:szCs w:val="28"/>
        </w:rPr>
      </w:pPr>
    </w:p>
    <w:p>
      <w:pPr>
        <w:pStyle w:val="style0"/>
        <w:tabs>
          <w:tab w:val="left" w:leader="none" w:pos="720"/>
        </w:tabs>
        <w:spacing w:lineRule="auto" w:line="276"/>
        <w:jc w:val="center"/>
        <w:rPr>
          <w:rFonts w:ascii="宋体" w:cs="宋体" w:hAnsi="宋体"/>
          <w:b/>
          <w:color w:val="000000"/>
          <w:sz w:val="28"/>
          <w:szCs w:val="28"/>
        </w:rPr>
      </w:pPr>
    </w:p>
    <w:p>
      <w:pPr>
        <w:pStyle w:val="style0"/>
        <w:tabs>
          <w:tab w:val="left" w:leader="none" w:pos="720"/>
        </w:tabs>
        <w:spacing w:lineRule="auto" w:line="276"/>
        <w:jc w:val="center"/>
        <w:rPr>
          <w:rFonts w:ascii="宋体" w:cs="宋体" w:hAnsi="宋体"/>
          <w:b/>
          <w:color w:val="000000"/>
          <w:sz w:val="28"/>
          <w:szCs w:val="28"/>
        </w:rPr>
      </w:pPr>
      <w:r>
        <w:rPr>
          <w:rFonts w:ascii="宋体" w:cs="宋体" w:hAnsi="宋体"/>
          <w:b/>
          <w:color w:val="000000"/>
          <w:sz w:val="28"/>
          <w:szCs w:val="28"/>
          <w:lang w:val="en-US"/>
        </w:rPr>
        <w:t xml:space="preserve">             DEDICATION</w:t>
      </w:r>
    </w:p>
    <w:p>
      <w:pPr>
        <w:pStyle w:val="style0"/>
        <w:tabs>
          <w:tab w:val="left" w:leader="none" w:pos="720"/>
        </w:tabs>
        <w:spacing w:lineRule="auto" w:line="276"/>
        <w:jc w:val="left"/>
        <w:rPr>
          <w:rFonts w:ascii="宋体" w:cs="宋体" w:hAnsi="宋体"/>
          <w:b/>
          <w:color w:val="000000"/>
          <w:sz w:val="28"/>
          <w:szCs w:val="28"/>
        </w:rPr>
      </w:pPr>
      <w:r>
        <w:rPr>
          <w:rFonts w:ascii="宋体" w:cs="宋体" w:hAnsi="宋体"/>
          <w:b/>
          <w:color w:val="000000"/>
          <w:sz w:val="28"/>
          <w:szCs w:val="28"/>
          <w:lang w:val="en-US"/>
        </w:rPr>
        <w:t>I dedicate my project work to Almighty ALLAH for his immeasurably love and his faithfulness upon my life.This work is also dedicated to my entire family, especially my parents MR and MRS ABUBAKARE for their care, love, provisions and encouragement.</w:t>
      </w:r>
    </w:p>
    <w:p>
      <w:pPr>
        <w:pStyle w:val="style0"/>
        <w:tabs>
          <w:tab w:val="left" w:leader="none" w:pos="720"/>
        </w:tabs>
        <w:spacing w:lineRule="auto" w:line="276"/>
        <w:jc w:val="center"/>
        <w:rPr>
          <w:rFonts w:ascii="宋体" w:cs="宋体" w:hAnsi="宋体"/>
          <w:b/>
          <w:color w:val="000000"/>
          <w:sz w:val="28"/>
          <w:szCs w:val="28"/>
        </w:rPr>
      </w:pPr>
      <w:r>
        <w:rPr>
          <w:rFonts w:ascii="宋体" w:cs="宋体" w:hAnsi="宋体"/>
          <w:b/>
          <w:color w:val="000000"/>
          <w:sz w:val="28"/>
          <w:szCs w:val="28"/>
          <w:lang w:val="en-US"/>
        </w:rPr>
        <w:t xml:space="preserve"> </w:t>
      </w:r>
    </w:p>
    <w:p>
      <w:pPr>
        <w:pStyle w:val="style0"/>
        <w:tabs>
          <w:tab w:val="left" w:leader="none" w:pos="720"/>
        </w:tabs>
        <w:spacing w:lineRule="auto" w:line="276"/>
        <w:jc w:val="center"/>
        <w:rPr>
          <w:rFonts w:ascii="宋体" w:cs="宋体" w:hAnsi="宋体"/>
          <w:b/>
          <w:color w:val="000000"/>
          <w:sz w:val="28"/>
          <w:szCs w:val="28"/>
          <w:lang w:val="en-US"/>
        </w:rPr>
      </w:pPr>
      <w:r>
        <w:rPr>
          <w:rFonts w:ascii="宋体" w:cs="宋体" w:hAnsi="宋体"/>
          <w:b/>
          <w:color w:val="000000"/>
          <w:sz w:val="28"/>
          <w:szCs w:val="28"/>
          <w:lang w:val="en-US"/>
        </w:rPr>
        <w:t xml:space="preserve">       </w:t>
      </w: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lang w:val="en-US"/>
        </w:rPr>
      </w:pPr>
    </w:p>
    <w:p>
      <w:pPr>
        <w:pStyle w:val="style0"/>
        <w:tabs>
          <w:tab w:val="left" w:leader="none" w:pos="720"/>
        </w:tabs>
        <w:spacing w:lineRule="auto" w:line="276"/>
        <w:jc w:val="center"/>
        <w:rPr>
          <w:rFonts w:ascii="宋体" w:cs="宋体" w:hAnsi="宋体"/>
          <w:b/>
          <w:color w:val="000000"/>
          <w:sz w:val="28"/>
          <w:szCs w:val="28"/>
        </w:rPr>
      </w:pPr>
      <w:r>
        <w:rPr>
          <w:rFonts w:ascii="宋体" w:cs="宋体" w:hAnsi="宋体"/>
          <w:b/>
          <w:color w:val="000000"/>
          <w:sz w:val="28"/>
          <w:szCs w:val="28"/>
          <w:lang w:val="en-US"/>
        </w:rPr>
        <w:t xml:space="preserve">     ACKNOWLEDGEMENT </w:t>
      </w:r>
    </w:p>
    <w:p>
      <w:pPr>
        <w:pStyle w:val="style0"/>
        <w:tabs>
          <w:tab w:val="left" w:leader="none" w:pos="720"/>
        </w:tabs>
        <w:spacing w:lineRule="auto" w:line="276"/>
        <w:jc w:val="left"/>
        <w:rPr>
          <w:rFonts w:ascii="宋体" w:cs="宋体" w:hAnsi="宋体"/>
          <w:b/>
          <w:color w:val="000000"/>
          <w:sz w:val="28"/>
          <w:szCs w:val="28"/>
        </w:rPr>
      </w:pPr>
      <w:r>
        <w:rPr>
          <w:rFonts w:ascii="宋体" w:cs="宋体" w:hAnsi="宋体"/>
          <w:b/>
          <w:color w:val="000000"/>
          <w:sz w:val="28"/>
          <w:szCs w:val="28"/>
          <w:lang w:val="en-US"/>
        </w:rPr>
        <w:t>Firstly,I return my all glory, honor,and praise to Almighty God,for his mercy,grace,and strength granted to me throughout the duration of this project.</w:t>
      </w:r>
    </w:p>
    <w:p>
      <w:pPr>
        <w:pStyle w:val="style0"/>
        <w:tabs>
          <w:tab w:val="left" w:leader="none" w:pos="720"/>
        </w:tabs>
        <w:spacing w:lineRule="auto" w:line="276"/>
        <w:jc w:val="center"/>
        <w:rPr>
          <w:rFonts w:ascii="宋体" w:cs="宋体" w:hAnsi="宋体"/>
          <w:b/>
          <w:color w:val="000000"/>
          <w:sz w:val="28"/>
          <w:szCs w:val="28"/>
        </w:rPr>
      </w:pPr>
    </w:p>
    <w:p>
      <w:pPr>
        <w:pStyle w:val="style0"/>
        <w:tabs>
          <w:tab w:val="left" w:leader="none" w:pos="720"/>
        </w:tabs>
        <w:spacing w:lineRule="auto" w:line="276"/>
        <w:jc w:val="left"/>
        <w:rPr>
          <w:rFonts w:ascii="宋体" w:cs="宋体" w:hAnsi="宋体"/>
          <w:b/>
          <w:color w:val="000000"/>
          <w:sz w:val="28"/>
          <w:szCs w:val="28"/>
        </w:rPr>
      </w:pPr>
      <w:r>
        <w:rPr>
          <w:rFonts w:ascii="宋体" w:cs="宋体" w:hAnsi="宋体"/>
          <w:b/>
          <w:color w:val="000000"/>
          <w:sz w:val="28"/>
          <w:szCs w:val="28"/>
          <w:lang w:val="en-US"/>
        </w:rPr>
        <w:t>I sincerely appreciate the support and supervision of my project supervisor,Mr ABDULLAH M.N,whose patience, valuable advice,and encouragement were instrumental to the successful completion of this work.His guidance greatly shaped the quality of this research.</w:t>
      </w:r>
    </w:p>
    <w:p>
      <w:pPr>
        <w:pStyle w:val="style0"/>
        <w:tabs>
          <w:tab w:val="left" w:leader="none" w:pos="720"/>
        </w:tabs>
        <w:spacing w:lineRule="auto" w:line="276"/>
        <w:jc w:val="center"/>
        <w:rPr>
          <w:rFonts w:ascii="宋体" w:cs="宋体" w:hAnsi="宋体"/>
          <w:b/>
          <w:color w:val="000000"/>
          <w:sz w:val="28"/>
          <w:szCs w:val="28"/>
        </w:rPr>
      </w:pPr>
    </w:p>
    <w:p>
      <w:pPr>
        <w:pStyle w:val="style0"/>
        <w:tabs>
          <w:tab w:val="left" w:leader="none" w:pos="720"/>
        </w:tabs>
        <w:spacing w:lineRule="auto" w:line="276"/>
        <w:jc w:val="left"/>
        <w:rPr>
          <w:rFonts w:ascii="宋体" w:cs="宋体" w:hAnsi="宋体"/>
          <w:b/>
          <w:color w:val="000000"/>
          <w:sz w:val="28"/>
          <w:szCs w:val="28"/>
        </w:rPr>
      </w:pPr>
      <w:r>
        <w:rPr>
          <w:rFonts w:ascii="宋体" w:cs="宋体" w:hAnsi="宋体"/>
          <w:b/>
          <w:color w:val="000000"/>
          <w:sz w:val="28"/>
          <w:szCs w:val="28"/>
          <w:lang w:val="en-US"/>
        </w:rPr>
        <w:t>My profound gratitude goes to the Head of department (H.O.D) for his commitment to academic excellence and for providing the enabling environment to make this project possible.</w:t>
      </w:r>
    </w:p>
    <w:p>
      <w:pPr>
        <w:pStyle w:val="style0"/>
        <w:tabs>
          <w:tab w:val="left" w:leader="none" w:pos="720"/>
        </w:tabs>
        <w:spacing w:lineRule="auto" w:line="276"/>
        <w:jc w:val="center"/>
        <w:rPr>
          <w:rFonts w:ascii="宋体" w:cs="宋体" w:hAnsi="宋体"/>
          <w:b/>
          <w:color w:val="000000"/>
          <w:sz w:val="28"/>
          <w:szCs w:val="28"/>
        </w:rPr>
      </w:pPr>
    </w:p>
    <w:p>
      <w:pPr>
        <w:pStyle w:val="style0"/>
        <w:tabs>
          <w:tab w:val="left" w:leader="none" w:pos="720"/>
        </w:tabs>
        <w:spacing w:lineRule="auto" w:line="276"/>
        <w:jc w:val="left"/>
        <w:rPr>
          <w:rFonts w:ascii="宋体" w:cs="宋体" w:hAnsi="宋体"/>
          <w:b/>
          <w:color w:val="000000"/>
          <w:sz w:val="28"/>
          <w:szCs w:val="28"/>
        </w:rPr>
      </w:pPr>
      <w:r>
        <w:rPr>
          <w:rFonts w:ascii="宋体" w:cs="宋体" w:hAnsi="宋体"/>
          <w:b/>
          <w:color w:val="000000"/>
          <w:sz w:val="28"/>
          <w:szCs w:val="28"/>
          <w:lang w:val="en-US"/>
        </w:rPr>
        <w:t>I am deeply thankful to my entire family ,especially my parents for their sacrifices, endless love ,prayers, encouragements and moral support through out my academic journey, your belief in me means everything.</w:t>
      </w:r>
    </w:p>
    <w:p>
      <w:pPr>
        <w:pStyle w:val="style0"/>
        <w:tabs>
          <w:tab w:val="left" w:leader="none" w:pos="720"/>
        </w:tabs>
        <w:spacing w:lineRule="auto" w:line="276"/>
        <w:jc w:val="center"/>
        <w:rPr>
          <w:rFonts w:ascii="宋体" w:cs="宋体" w:hAnsi="宋体"/>
          <w:b/>
          <w:color w:val="000000"/>
          <w:sz w:val="28"/>
          <w:szCs w:val="28"/>
        </w:rPr>
      </w:pPr>
      <w:r>
        <w:rPr>
          <w:rFonts w:ascii="宋体" w:cs="宋体" w:hAnsi="宋体"/>
          <w:b/>
          <w:color w:val="000000"/>
          <w:sz w:val="28"/>
          <w:szCs w:val="28"/>
          <w:lang w:val="en-US"/>
        </w:rPr>
        <w:t>Special appreciation goes to my colleagues for their collaboration , insightful feedback and continuous support during the course of this research work.</w:t>
      </w:r>
    </w:p>
    <w:p>
      <w:pPr>
        <w:pStyle w:val="style0"/>
        <w:tabs>
          <w:tab w:val="left" w:leader="none" w:pos="720"/>
        </w:tabs>
        <w:spacing w:lineRule="auto" w:line="276"/>
        <w:jc w:val="center"/>
        <w:rPr>
          <w:rFonts w:ascii="宋体" w:cs="宋体" w:hAnsi="宋体"/>
          <w:b/>
          <w:color w:val="000000"/>
          <w:sz w:val="28"/>
          <w:szCs w:val="28"/>
        </w:rPr>
      </w:pPr>
      <w:r>
        <w:rPr>
          <w:rFonts w:ascii="宋体" w:cs="宋体" w:hAnsi="宋体"/>
          <w:b/>
          <w:color w:val="000000"/>
          <w:sz w:val="28"/>
          <w:szCs w:val="28"/>
          <w:lang w:val="en-US"/>
        </w:rPr>
        <w:t xml:space="preserve"> </w:t>
      </w:r>
    </w:p>
    <w:p>
      <w:pPr>
        <w:pStyle w:val="style0"/>
        <w:tabs>
          <w:tab w:val="left" w:leader="none" w:pos="720"/>
        </w:tabs>
        <w:spacing w:lineRule="auto" w:line="276"/>
        <w:jc w:val="left"/>
        <w:rPr>
          <w:rFonts w:ascii="宋体" w:cs="宋体" w:hAnsi="宋体"/>
          <w:b/>
          <w:color w:val="000000"/>
          <w:sz w:val="28"/>
          <w:szCs w:val="28"/>
        </w:rPr>
      </w:pPr>
      <w:r>
        <w:rPr>
          <w:rFonts w:ascii="宋体" w:cs="宋体" w:hAnsi="宋体"/>
          <w:b/>
          <w:color w:val="000000"/>
          <w:sz w:val="28"/>
          <w:szCs w:val="28"/>
          <w:lang w:val="en-US"/>
        </w:rPr>
        <w:t>Finally,I would like to thank my friends whose encouragement, motivation,and companionship has helped me stay focused and determined throughout this academic pursuit.</w:t>
      </w:r>
    </w:p>
    <w:p>
      <w:pPr>
        <w:pStyle w:val="style0"/>
        <w:tabs>
          <w:tab w:val="left" w:leader="none" w:pos="720"/>
        </w:tabs>
        <w:spacing w:lineRule="auto" w:line="276"/>
        <w:rPr>
          <w:rFonts w:ascii="宋体" w:cs="宋体" w:hAnsi="宋体"/>
          <w:b/>
          <w:color w:val="000000"/>
          <w:sz w:val="28"/>
          <w:szCs w:val="28"/>
        </w:rPr>
      </w:pPr>
    </w:p>
    <w:p>
      <w:pPr>
        <w:pStyle w:val="style0"/>
        <w:tabs>
          <w:tab w:val="left" w:leader="none" w:pos="720"/>
        </w:tabs>
        <w:spacing w:lineRule="auto" w:line="276"/>
        <w:rPr>
          <w:rFonts w:ascii="宋体" w:cs="宋体" w:hAnsi="宋体"/>
          <w:b/>
          <w:color w:val="000000"/>
          <w:sz w:val="28"/>
          <w:szCs w:val="28"/>
        </w:rPr>
      </w:pPr>
    </w:p>
    <w:p>
      <w:pPr>
        <w:pStyle w:val="style0"/>
        <w:tabs>
          <w:tab w:val="left" w:leader="none" w:pos="720"/>
        </w:tabs>
        <w:spacing w:lineRule="auto" w:line="276"/>
        <w:rPr>
          <w:rFonts w:ascii="宋体" w:cs="宋体" w:hAnsi="宋体"/>
          <w:b/>
          <w:color w:val="000000"/>
          <w:sz w:val="28"/>
          <w:szCs w:val="28"/>
        </w:rPr>
      </w:pPr>
    </w:p>
    <w:bookmarkStart w:id="1" w:name="_Toc198482800"/>
    <w:bookmarkStart w:id="2" w:name="_Toc202853685"/>
    <w:p>
      <w:pPr>
        <w:pStyle w:val="style1"/>
        <w:jc w:val="center"/>
        <w:rPr>
          <w:rFonts w:ascii="宋体" w:hAnsi="宋体"/>
          <w:b/>
          <w:bCs/>
          <w:color w:val="auto"/>
          <w:sz w:val="28"/>
          <w:szCs w:val="28"/>
        </w:rPr>
      </w:pPr>
      <w:r>
        <w:rPr>
          <w:rFonts w:ascii="宋体" w:hAnsi="宋体"/>
          <w:b/>
          <w:bCs/>
          <w:color w:val="auto"/>
          <w:sz w:val="28"/>
          <w:szCs w:val="28"/>
        </w:rPr>
        <w:t>CERTIFICATION</w:t>
      </w:r>
      <w:bookmarkEnd w:id="1"/>
      <w:bookmarkEnd w:id="2"/>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is to certify that this</w:t>
      </w:r>
      <w:r>
        <w:rPr>
          <w:rFonts w:ascii="Times New Roman" w:cs="Times New Roman" w:eastAsia="Times New Roman" w:hAnsi="Times New Roman"/>
          <w:sz w:val="24"/>
          <w:szCs w:val="24"/>
        </w:rPr>
        <w:t xml:space="preserve"> project </w:t>
      </w:r>
      <w:r>
        <w:rPr>
          <w:rFonts w:ascii="Times New Roman" w:cs="Times New Roman" w:eastAsia="Times New Roman" w:hAnsi="Times New Roman"/>
          <w:sz w:val="24"/>
          <w:szCs w:val="24"/>
        </w:rPr>
        <w:t xml:space="preserve">work </w:t>
      </w:r>
      <w:r>
        <w:rPr>
          <w:rFonts w:ascii="Times New Roman" w:cs="Times New Roman" w:eastAsia="Times New Roman" w:hAnsi="Times New Roman"/>
          <w:sz w:val="24"/>
          <w:szCs w:val="24"/>
        </w:rPr>
        <w:t xml:space="preserve">was carried out by </w:t>
      </w:r>
      <w:r>
        <w:rPr>
          <w:rFonts w:ascii="Times New Roman" w:cs="Times New Roman" w:eastAsia="Times New Roman" w:hAnsi="Times New Roman"/>
          <w:sz w:val="24"/>
          <w:szCs w:val="24"/>
          <w:lang w:val="en-US"/>
        </w:rPr>
        <w:t>ABUBAKARE LAMORATU OLAYEMI</w:t>
      </w:r>
      <w:r>
        <w:rPr>
          <w:rFonts w:ascii="Times New Roman" w:cs="Times New Roman" w:eastAsia="Times New Roman" w:hAnsi="Times New Roman"/>
          <w:sz w:val="24"/>
          <w:szCs w:val="24"/>
        </w:rPr>
        <w:t xml:space="preserve"> with Matriculation Number ‘</w:t>
      </w:r>
      <w:r>
        <w:rPr>
          <w:rFonts w:ascii="Times New Roman" w:cs="Times New Roman" w:eastAsia="Times New Roman" w:hAnsi="Times New Roman"/>
          <w:sz w:val="24"/>
          <w:szCs w:val="24"/>
          <w:lang w:val="en-US"/>
        </w:rPr>
        <w:t>ND/23/SLT/PT/0612</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as</w:t>
      </w:r>
      <w:r>
        <w:rPr>
          <w:rFonts w:ascii="Times New Roman" w:cs="Times New Roman" w:eastAsia="Times New Roman" w:hAnsi="Times New Roman"/>
          <w:sz w:val="24"/>
          <w:szCs w:val="24"/>
        </w:rPr>
        <w:t xml:space="preserve"> part of the requirements for the Award</w:t>
      </w:r>
      <w:r>
        <w:rPr>
          <w:rFonts w:ascii="Times New Roman" w:cs="Times New Roman" w:eastAsia="Times New Roman" w:hAnsi="Times New Roman"/>
          <w:sz w:val="24"/>
          <w:szCs w:val="24"/>
        </w:rPr>
        <w:t xml:space="preserve"> o</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National Diploma (</w:t>
      </w:r>
      <w:r>
        <w:rPr>
          <w:rFonts w:ascii="Times New Roman" w:cs="Times New Roman" w:eastAsia="Times New Roman" w:hAnsi="Times New Roman"/>
          <w:sz w:val="24"/>
          <w:szCs w:val="24"/>
        </w:rPr>
        <w:t>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Science Laboratory Technology</w:t>
      </w:r>
      <w:r>
        <w:rPr>
          <w:rFonts w:ascii="Times New Roman" w:cs="Times New Roman" w:eastAsia="Times New Roman" w:hAnsi="Times New Roman"/>
          <w:sz w:val="24"/>
          <w:szCs w:val="24"/>
        </w:rPr>
        <w:t xml:space="preserve"> (SLT).</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lineRule="auto" w:line="240"/>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 </w:t>
      </w:r>
      <w:r>
        <w:rPr>
          <w:rFonts w:ascii="Times New Roman" w:hAnsi="Times New Roman"/>
          <w:sz w:val="24"/>
          <w:szCs w:val="24"/>
        </w:rPr>
        <w:t>ABDULLAH M.</w:t>
      </w:r>
      <w:r>
        <w:rPr>
          <w:rFonts w:ascii="Times New Roman" w:hAnsi="Times New Roman"/>
          <w:sz w:val="24"/>
          <w:szCs w:val="24"/>
        </w:rPr>
        <w:t xml:space="preserve"> </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______________________</w:t>
      </w:r>
    </w:p>
    <w:p>
      <w:pPr>
        <w:pStyle w:val="style0"/>
        <w:spacing w:after="0" w:lineRule="auto" w:line="240"/>
        <w:jc w:val="both"/>
        <w:rPr>
          <w:rFonts w:ascii="Times New Roman" w:hAnsi="Times New Roman"/>
          <w:sz w:val="24"/>
          <w:szCs w:val="24"/>
        </w:rPr>
      </w:pPr>
      <w:r>
        <w:rPr>
          <w:rFonts w:ascii="Times New Roman" w:hAnsi="Times New Roman"/>
          <w:sz w:val="24"/>
          <w:szCs w:val="24"/>
          <w:lang w:val="en-US"/>
        </w:rPr>
        <w:t>MR. LUKMON I.A.</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SLT PT CORDINATOR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                                                                                        </w:t>
      </w:r>
    </w:p>
    <w:p>
      <w:pPr>
        <w:pStyle w:val="style0"/>
        <w:tabs>
          <w:tab w:val="left" w:leader="none" w:pos="7380"/>
        </w:tabs>
        <w:spacing w:after="0" w:lineRule="auto" w:line="240"/>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pPr>
        <w:pStyle w:val="style0"/>
        <w:tabs>
          <w:tab w:val="left" w:leader="none" w:pos="7380"/>
        </w:tabs>
        <w:spacing w:after="0" w:lineRule="auto" w:line="240"/>
        <w:jc w:val="both"/>
        <w:rPr>
          <w:rFonts w:ascii="宋体" w:hAnsi="宋体"/>
          <w:b/>
          <w:bCs/>
          <w:color w:val="auto"/>
          <w:sz w:val="28"/>
          <w:szCs w:val="28"/>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pStyle w:val="style0"/>
        <w:keepNext/>
        <w:keepLines/>
        <w:spacing w:before="240" w:after="0"/>
        <w:jc w:val="center"/>
        <w:outlineLvl w:val="0"/>
        <w:rPr>
          <w:rFonts w:ascii="Times New Roman" w:cs="Times New Roman" w:eastAsia="SimSun" w:hAnsi="Times New Roman"/>
          <w:b/>
          <w:sz w:val="28"/>
          <w:szCs w:val="28"/>
          <w:lang w:eastAsia="zh-CN"/>
        </w:rPr>
      </w:pPr>
    </w:p>
    <w:p>
      <w:pPr>
        <w:pStyle w:val="style0"/>
        <w:spacing w:lineRule="auto" w:line="480"/>
        <w:ind w:firstLine="720"/>
        <w:jc w:val="both"/>
        <w:rPr>
          <w:rFonts w:ascii="Times New Roman" w:cs="SimSun" w:eastAsia="Calibri" w:hAnsi="Times New Roman"/>
          <w:sz w:val="24"/>
          <w:szCs w:val="24"/>
        </w:rPr>
      </w:pPr>
    </w:p>
    <w:p>
      <w:pPr>
        <w:spacing w:after="160" w:lineRule="auto" w:line="240"/>
        <w:jc w:val="both"/>
        <w:rPr>
          <w:rFonts w:ascii="Times New Roman" w:cs="SimSun" w:eastAsia="Calibri" w:hAnsi="Times New Roman"/>
          <w:sz w:val="24"/>
          <w:szCs w:val="24"/>
        </w:rPr>
      </w:pP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_____________________</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____________________</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p>
    <w:p>
      <w:pPr>
        <w:tabs>
          <w:tab w:val="left" w:leader="none" w:pos="7380"/>
        </w:tabs>
        <w:spacing w:lineRule="auto" w:line="240"/>
        <w:jc w:val="both"/>
        <w:rPr>
          <w:rFonts w:ascii="Times New Roman" w:cs="SimSun" w:eastAsia="Calibri" w:hAnsi="Times New Roman"/>
          <w:sz w:val="24"/>
          <w:szCs w:val="24"/>
        </w:rPr>
      </w:pPr>
      <w:r>
        <w:rPr>
          <w:lang w:val="en-US"/>
        </w:rPr>
        <w:t>DR. ABDULKAREEM</w:t>
      </w:r>
      <w:r>
        <w:tab/>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DATE</w:t>
      </w:r>
    </w:p>
    <w:p>
      <w:pPr>
        <w:tabs>
          <w:tab w:val="left" w:leader="none" w:pos="7380"/>
        </w:tabs>
        <w:spacing w:lineRule="auto" w:line="240"/>
        <w:jc w:val="both"/>
        <w:rPr>
          <w:rFonts w:ascii="Times New Roman" w:cs="SimSun" w:eastAsia="Calibri" w:hAnsi="Times New Roman"/>
          <w:sz w:val="24"/>
          <w:szCs w:val="24"/>
        </w:rPr>
      </w:pP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HEAD</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宋体" w:eastAsia="Calibri" w:hAnsi="Times New Roman" w:hint="default"/>
          <w:b w:val="false"/>
          <w:bCs w:val="false"/>
          <w:i w:val="false"/>
          <w:iCs w:val="false"/>
          <w:color w:val="auto"/>
          <w:sz w:val="24"/>
          <w:szCs w:val="24"/>
          <w:highlight w:val="none"/>
          <w:vertAlign w:val="baseline"/>
          <w:em w:val="none"/>
          <w:lang w:val="en-US" w:eastAsia="en-US"/>
        </w:rPr>
        <w:t xml:space="preserve"> DEPARTMENT)</w:t>
      </w:r>
    </w:p>
    <w:p>
      <w:pPr>
        <w:keepNext/>
        <w:keepLines/>
        <w:spacing w:before="240" w:lineRule="auto" w:line="259"/>
        <w:jc w:val="center"/>
        <w:outlineLvl w:val="0"/>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jc w:val="both"/>
        <w:rPr>
          <w:rFonts w:ascii="Times New Roman" w:cs="SimSun" w:eastAsia="Calibri" w:hAnsi="Times New Roman"/>
          <w:sz w:val="24"/>
          <w:szCs w:val="24"/>
        </w:rPr>
      </w:pPr>
    </w:p>
    <w:bookmarkStart w:id="3" w:name="_Toc201509687"/>
    <w:bookmarkStart w:id="4" w:name="_Toc202853688"/>
    <w:p>
      <w:pPr>
        <w:pStyle w:val="style1"/>
        <w:jc w:val="center"/>
        <w:rPr>
          <w:rFonts w:ascii="宋体" w:eastAsia="Calibri" w:hAnsi="宋体"/>
          <w:b/>
          <w:bCs/>
          <w:color w:val="auto"/>
          <w:sz w:val="28"/>
          <w:szCs w:val="28"/>
        </w:rPr>
      </w:pPr>
      <w:r>
        <w:rPr>
          <w:rFonts w:ascii="宋体" w:eastAsia="Calibri" w:hAnsi="宋体"/>
          <w:b/>
          <w:bCs/>
          <w:color w:val="auto"/>
          <w:sz w:val="28"/>
          <w:szCs w:val="28"/>
        </w:rPr>
        <w:t>TABLE OF CONTENTS</w:t>
      </w:r>
      <w:bookmarkEnd w:id="3"/>
      <w:bookmarkEnd w:id="4"/>
    </w:p>
    <w:bookmarkStart w:id="5" w:name="_GoBack"/>
    <w:bookmarkEnd w:id="5"/>
    <w:p>
      <w:pPr>
        <w:pStyle w:val="style266"/>
        <w:rPr/>
      </w:pPr>
    </w:p>
    <w:p>
      <w:pPr>
        <w:pStyle w:val="style266"/>
        <w:rPr/>
      </w:pPr>
    </w:p>
    <w:p>
      <w:pPr>
        <w:pStyle w:val="style19"/>
        <w:tabs>
          <w:tab w:val="right" w:leader="dot" w:pos="9350"/>
        </w:tabs>
        <w:rPr>
          <w:rFonts w:eastAsia="宋体"/>
          <w:noProof/>
        </w:rPr>
      </w:pPr>
      <w:r>
        <w:rPr/>
        <w:fldChar w:fldCharType="begin"/>
      </w:r>
      <w:r>
        <w:instrText xml:space="preserve"> TOC \o "1-3" \h \z \u </w:instrText>
      </w:r>
      <w:r>
        <w:rPr/>
        <w:fldChar w:fldCharType="separate"/>
      </w:r>
      <w:r>
        <w:rPr/>
        <w:fldChar w:fldCharType="begin"/>
      </w:r>
      <w:r>
        <w:instrText xml:space="preserve"> HYPERLINK \l "_Toc202853685" </w:instrText>
      </w:r>
      <w:r>
        <w:rPr/>
        <w:fldChar w:fldCharType="separate"/>
      </w:r>
      <w:r>
        <w:rPr>
          <w:rStyle w:val="style85"/>
          <w:rFonts w:ascii="宋体" w:hAnsi="宋体"/>
          <w:b/>
          <w:bCs/>
          <w:noProof/>
        </w:rPr>
        <w:t>CERTIFICATION</w:t>
      </w:r>
      <w:r>
        <w:rPr>
          <w:noProof/>
          <w:webHidden/>
        </w:rPr>
        <w:tab/>
      </w:r>
      <w:r>
        <w:rPr>
          <w:noProof/>
          <w:webHidden/>
        </w:rPr>
        <w:fldChar w:fldCharType="begin"/>
      </w:r>
      <w:r>
        <w:rPr>
          <w:noProof/>
          <w:webHidden/>
        </w:rPr>
        <w:instrText xml:space="preserve"> PAGEREF _Toc202853685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"_Toc202853686" </w:instrText>
      </w:r>
      <w:r>
        <w:rPr/>
        <w:fldChar w:fldCharType="separate"/>
      </w:r>
      <w:r>
        <w:rPr>
          <w:rStyle w:val="style85"/>
          <w:rFonts w:ascii="宋体" w:hAnsi="宋体"/>
          <w:b/>
          <w:bCs/>
          <w:noProof/>
        </w:rPr>
        <w:t>DEDICATION</w:t>
      </w:r>
      <w:r>
        <w:rPr>
          <w:noProof/>
          <w:webHidden/>
        </w:rPr>
        <w:tab/>
      </w:r>
      <w:r>
        <w:rPr>
          <w:noProof/>
          <w:webHidden/>
        </w:rPr>
        <w:fldChar w:fldCharType="begin"/>
      </w:r>
      <w:r>
        <w:rPr>
          <w:noProof/>
          <w:webHidden/>
        </w:rPr>
        <w:instrText xml:space="preserve"> PAGEREF _Toc202853686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"_Toc202853687" </w:instrText>
      </w:r>
      <w:r>
        <w:rPr/>
        <w:fldChar w:fldCharType="separate"/>
      </w:r>
      <w:r>
        <w:rPr>
          <w:rStyle w:val="style85"/>
          <w:rFonts w:ascii="宋体" w:hAnsi="宋体"/>
          <w:b/>
          <w:bCs/>
          <w:noProof/>
        </w:rPr>
        <w:t>ACKNOWLEDGEMENTS</w:t>
      </w:r>
      <w:r>
        <w:rPr>
          <w:noProof/>
          <w:webHidden/>
        </w:rPr>
        <w:tab/>
      </w:r>
      <w:r>
        <w:rPr>
          <w:noProof/>
          <w:webHidden/>
        </w:rPr>
        <w:fldChar w:fldCharType="begin"/>
      </w:r>
      <w:r>
        <w:rPr>
          <w:noProof/>
          <w:webHidden/>
        </w:rPr>
        <w:instrText xml:space="preserve"> PAGEREF _Toc202853687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"_Toc202853688" </w:instrText>
      </w:r>
      <w:r>
        <w:rPr/>
        <w:fldChar w:fldCharType="separate"/>
      </w:r>
      <w:r>
        <w:rPr>
          <w:rStyle w:val="style85"/>
          <w:rFonts w:ascii="宋体" w:eastAsia="Calibri" w:hAnsi="宋体"/>
          <w:b/>
          <w:bCs/>
          <w:noProof/>
        </w:rPr>
        <w:t>TABLE OF CONTENTS</w:t>
      </w:r>
      <w:r>
        <w:rPr>
          <w:noProof/>
          <w:webHidden/>
        </w:rPr>
        <w:tab/>
      </w:r>
      <w:r>
        <w:rPr>
          <w:noProof/>
          <w:webHidden/>
        </w:rPr>
        <w:fldChar w:fldCharType="begin"/>
      </w:r>
      <w:r>
        <w:rPr>
          <w:noProof/>
          <w:webHidden/>
        </w:rPr>
        <w:instrText xml:space="preserve"> PAGEREF _Toc202853688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"_Toc202853689" </w:instrText>
      </w:r>
      <w:r>
        <w:rPr/>
        <w:fldChar w:fldCharType="separate"/>
      </w:r>
      <w:r>
        <w:rPr>
          <w:rStyle w:val="style85"/>
          <w:rFonts w:ascii="宋体" w:eastAsia="Calibri" w:hAnsi="宋体"/>
          <w:b/>
          <w:bCs/>
          <w:noProof/>
        </w:rPr>
        <w:t>ABSTRACT</w:t>
      </w:r>
      <w:r>
        <w:rPr>
          <w:noProof/>
          <w:webHidden/>
        </w:rPr>
        <w:tab/>
      </w:r>
      <w:r>
        <w:rPr>
          <w:noProof/>
          <w:webHidden/>
        </w:rPr>
        <w:fldChar w:fldCharType="begin"/>
      </w:r>
      <w:r>
        <w:rPr>
          <w:noProof/>
          <w:webHidden/>
        </w:rPr>
        <w:instrText xml:space="preserve"> PAGEREF _Toc202853689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"_Toc202853690" </w:instrText>
      </w:r>
      <w:r>
        <w:rPr/>
        <w:fldChar w:fldCharType="separate"/>
      </w:r>
      <w:r>
        <w:rPr>
          <w:rStyle w:val="style85"/>
          <w:rFonts w:ascii="宋体" w:eastAsia="Calibri" w:hAnsi="宋体"/>
          <w:b/>
          <w:bCs/>
          <w:noProof/>
        </w:rPr>
        <w:t>CHAPTER ONE</w:t>
      </w:r>
      <w:r>
        <w:rPr>
          <w:noProof/>
          <w:webHidden/>
        </w:rPr>
        <w:tab/>
      </w:r>
      <w:r>
        <w:rPr>
          <w:noProof/>
          <w:webHidden/>
        </w:rPr>
        <w:fldChar w:fldCharType="begin"/>
      </w:r>
      <w:r>
        <w:rPr>
          <w:noProof/>
          <w:webHidden/>
        </w:rPr>
        <w:instrText xml:space="preserve"> PAGEREF _Toc202853690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"_Toc202853691" </w:instrText>
      </w:r>
      <w:r>
        <w:rPr/>
        <w:fldChar w:fldCharType="separate"/>
      </w:r>
      <w:r>
        <w:rPr>
          <w:rStyle w:val="style85"/>
          <w:rFonts w:ascii="宋体" w:hAnsi="宋体"/>
          <w:noProof/>
        </w:rPr>
        <w:t>1.0 Introduction</w:t>
      </w:r>
      <w:r>
        <w:rPr>
          <w:noProof/>
          <w:webHidden/>
        </w:rPr>
        <w:tab/>
      </w:r>
      <w:r>
        <w:rPr>
          <w:noProof/>
          <w:webHidden/>
        </w:rPr>
        <w:fldChar w:fldCharType="begin"/>
      </w:r>
      <w:r>
        <w:rPr>
          <w:noProof/>
          <w:webHidden/>
        </w:rPr>
        <w:instrText xml:space="preserve"> PAGEREF _Toc202853691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"_Toc202853692" </w:instrText>
      </w:r>
      <w:r>
        <w:rPr/>
        <w:fldChar w:fldCharType="separate"/>
      </w:r>
      <w:r>
        <w:rPr>
          <w:rStyle w:val="style85"/>
          <w:rFonts w:ascii="宋体" w:hAnsi="宋体"/>
          <w:noProof/>
        </w:rPr>
        <w:t>1.1 Statement of the Problem</w:t>
      </w:r>
      <w:r>
        <w:rPr>
          <w:noProof/>
          <w:webHidden/>
        </w:rPr>
        <w:tab/>
      </w:r>
      <w:r>
        <w:rPr>
          <w:noProof/>
          <w:webHidden/>
        </w:rPr>
        <w:fldChar w:fldCharType="begin"/>
      </w:r>
      <w:r>
        <w:rPr>
          <w:noProof/>
          <w:webHidden/>
        </w:rPr>
        <w:instrText xml:space="preserve"> PAGEREF _Toc202853692 \h </w:instrText>
      </w:r>
      <w:r>
        <w:rPr>
          <w:noProof/>
          <w:webHidden/>
        </w:rPr>
        <w:fldChar w:fldCharType="separate"/>
      </w:r>
      <w:r>
        <w:rPr>
          <w:noProof/>
          <w:webHidden/>
        </w:rPr>
        <w:t>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"_Toc202853693" </w:instrText>
      </w:r>
      <w:r>
        <w:rPr/>
        <w:fldChar w:fldCharType="separate"/>
      </w:r>
      <w:r>
        <w:rPr>
          <w:rStyle w:val="style85"/>
          <w:rFonts w:ascii="宋体" w:hAnsi="宋体"/>
          <w:noProof/>
        </w:rPr>
        <w:t>1.2 Justification of the Study</w:t>
      </w:r>
      <w:r>
        <w:rPr>
          <w:noProof/>
          <w:webHidden/>
        </w:rPr>
        <w:tab/>
      </w:r>
      <w:r>
        <w:rPr>
          <w:noProof/>
          <w:webHidden/>
        </w:rPr>
        <w:fldChar w:fldCharType="begin"/>
      </w:r>
      <w:r>
        <w:rPr>
          <w:noProof/>
          <w:webHidden/>
        </w:rPr>
        <w:instrText xml:space="preserve"> PAGEREF _Toc202853693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"_Toc202853694" </w:instrText>
      </w:r>
      <w:r>
        <w:rPr/>
        <w:fldChar w:fldCharType="separate"/>
      </w:r>
      <w:r>
        <w:rPr>
          <w:rStyle w:val="style85"/>
          <w:rFonts w:ascii="宋体" w:hAnsi="宋体"/>
          <w:noProof/>
        </w:rPr>
        <w:t>1.3 Aim of Study</w:t>
      </w:r>
      <w:r>
        <w:rPr>
          <w:noProof/>
          <w:webHidden/>
        </w:rPr>
        <w:tab/>
      </w:r>
      <w:r>
        <w:rPr>
          <w:noProof/>
          <w:webHidden/>
        </w:rPr>
        <w:fldChar w:fldCharType="begin"/>
      </w:r>
      <w:r>
        <w:rPr>
          <w:noProof/>
          <w:webHidden/>
        </w:rPr>
        <w:instrText xml:space="preserve"> PAGEREF _Toc202853694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"_Toc202853695" </w:instrText>
      </w:r>
      <w:r>
        <w:rPr/>
        <w:fldChar w:fldCharType="separate"/>
      </w:r>
      <w:r>
        <w:rPr>
          <w:rStyle w:val="style85"/>
          <w:rFonts w:ascii="宋体" w:hAnsi="宋体"/>
          <w:noProof/>
        </w:rPr>
        <w:t>1.4 Objectives of Study</w:t>
      </w:r>
      <w:r>
        <w:rPr>
          <w:noProof/>
          <w:webHidden/>
        </w:rPr>
        <w:tab/>
      </w:r>
      <w:r>
        <w:rPr>
          <w:noProof/>
          <w:webHidden/>
        </w:rPr>
        <w:fldChar w:fldCharType="begin"/>
      </w:r>
      <w:r>
        <w:rPr>
          <w:noProof/>
          <w:webHidden/>
        </w:rPr>
        <w:instrText xml:space="preserve"> PAGEREF _Toc202853695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"_Toc202853696" </w:instrText>
      </w:r>
      <w:r>
        <w:rPr/>
        <w:fldChar w:fldCharType="separate"/>
      </w:r>
      <w:r>
        <w:rPr>
          <w:rStyle w:val="style85"/>
          <w:rFonts w:ascii="宋体" w:eastAsia="Calibri" w:hAnsi="宋体"/>
          <w:b/>
          <w:bCs/>
          <w:noProof/>
        </w:rPr>
        <w:t>CHAPTER TWO</w:t>
      </w:r>
      <w:r>
        <w:rPr>
          <w:noProof/>
          <w:webHidden/>
        </w:rPr>
        <w:tab/>
      </w:r>
      <w:r>
        <w:rPr>
          <w:noProof/>
          <w:webHidden/>
        </w:rPr>
        <w:fldChar w:fldCharType="begin"/>
      </w:r>
      <w:r>
        <w:rPr>
          <w:noProof/>
          <w:webHidden/>
        </w:rPr>
        <w:instrText xml:space="preserve"> PAGEREF _Toc202853696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"_Toc202853697" </w:instrText>
      </w:r>
      <w:r>
        <w:rPr/>
        <w:fldChar w:fldCharType="separate"/>
      </w:r>
      <w:r>
        <w:rPr>
          <w:rStyle w:val="style85"/>
          <w:rFonts w:ascii="宋体" w:hAnsi="宋体"/>
          <w:noProof/>
        </w:rPr>
        <w:t>2.0 LITERATURE REVIEW</w:t>
      </w:r>
      <w:r>
        <w:rPr>
          <w:noProof/>
          <w:webHidden/>
        </w:rPr>
        <w:tab/>
      </w:r>
      <w:r>
        <w:rPr>
          <w:noProof/>
          <w:webHidden/>
        </w:rPr>
        <w:fldChar w:fldCharType="begin"/>
      </w:r>
      <w:r>
        <w:rPr>
          <w:noProof/>
          <w:webHidden/>
        </w:rPr>
        <w:instrText xml:space="preserve"> PAGEREF _Toc202853697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"_Toc202853698" </w:instrText>
      </w:r>
      <w:r>
        <w:rPr/>
        <w:fldChar w:fldCharType="separate"/>
      </w:r>
      <w:r>
        <w:rPr>
          <w:rStyle w:val="style85"/>
          <w:rFonts w:ascii="宋体" w:hAnsi="宋体"/>
          <w:noProof/>
        </w:rPr>
        <w:t>2.1 Overview of Antimicrobial Resistance</w:t>
      </w:r>
      <w:r>
        <w:rPr>
          <w:noProof/>
          <w:webHidden/>
        </w:rPr>
        <w:tab/>
      </w:r>
      <w:r>
        <w:rPr>
          <w:noProof/>
          <w:webHidden/>
        </w:rPr>
        <w:fldChar w:fldCharType="begin"/>
      </w:r>
      <w:r>
        <w:rPr>
          <w:noProof/>
          <w:webHidden/>
        </w:rPr>
        <w:instrText xml:space="preserve"> PAGEREF _Toc202853698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"_Toc202853699" </w:instrText>
      </w:r>
      <w:r>
        <w:rPr/>
        <w:fldChar w:fldCharType="separate"/>
      </w:r>
      <w:r>
        <w:rPr>
          <w:rStyle w:val="style85"/>
          <w:noProof/>
        </w:rPr>
        <w:t>2.1.1 Global Burden of Antibiotic Resistance</w:t>
      </w:r>
      <w:r>
        <w:rPr>
          <w:noProof/>
          <w:webHidden/>
        </w:rPr>
        <w:tab/>
      </w:r>
      <w:r>
        <w:rPr>
          <w:noProof/>
          <w:webHidden/>
        </w:rPr>
        <w:fldChar w:fldCharType="begin"/>
      </w:r>
      <w:r>
        <w:rPr>
          <w:noProof/>
          <w:webHidden/>
        </w:rPr>
        <w:instrText xml:space="preserve"> PAGEREF _Toc202853699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"_Toc202853700" </w:instrText>
      </w:r>
      <w:r>
        <w:rPr/>
        <w:fldChar w:fldCharType="separate"/>
      </w:r>
      <w:r>
        <w:rPr>
          <w:rStyle w:val="style85"/>
          <w:noProof/>
        </w:rPr>
        <w:t>2.1.2 Emergence of Multidrug-Resistant Bacteria</w:t>
      </w:r>
      <w:r>
        <w:rPr>
          <w:noProof/>
          <w:webHidden/>
        </w:rPr>
        <w:tab/>
      </w:r>
      <w:r>
        <w:rPr>
          <w:noProof/>
          <w:webHidden/>
        </w:rPr>
        <w:fldChar w:fldCharType="begin"/>
      </w:r>
      <w:r>
        <w:rPr>
          <w:noProof/>
          <w:webHidden/>
        </w:rPr>
        <w:instrText xml:space="preserve"> PAGEREF _Toc202853700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"_Toc202853701" </w:instrText>
      </w:r>
      <w:r>
        <w:rPr/>
        <w:fldChar w:fldCharType="separate"/>
      </w:r>
      <w:r>
        <w:rPr>
          <w:rStyle w:val="style85"/>
          <w:noProof/>
        </w:rPr>
        <w:t>2.1.3 Need for Alternative Therapies</w:t>
      </w:r>
      <w:r>
        <w:rPr>
          <w:noProof/>
          <w:webHidden/>
        </w:rPr>
        <w:tab/>
      </w:r>
      <w:r>
        <w:rPr>
          <w:noProof/>
          <w:webHidden/>
        </w:rPr>
        <w:fldChar w:fldCharType="begin"/>
      </w:r>
      <w:r>
        <w:rPr>
          <w:noProof/>
          <w:webHidden/>
        </w:rPr>
        <w:instrText xml:space="preserve"> PAGEREF _Toc202853701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"_Toc202853702" </w:instrText>
      </w:r>
      <w:r>
        <w:rPr/>
        <w:fldChar w:fldCharType="separate"/>
      </w:r>
      <w:r>
        <w:rPr>
          <w:rStyle w:val="style85"/>
          <w:rFonts w:ascii="宋体" w:hAnsi="宋体"/>
          <w:noProof/>
        </w:rPr>
        <w:t>2.2 Clinical Relevance of the Test Organisms</w:t>
      </w:r>
      <w:r>
        <w:rPr>
          <w:noProof/>
          <w:webHidden/>
        </w:rPr>
        <w:tab/>
      </w:r>
      <w:r>
        <w:rPr>
          <w:noProof/>
          <w:webHidden/>
        </w:rPr>
        <w:fldChar w:fldCharType="begin"/>
      </w:r>
      <w:r>
        <w:rPr>
          <w:noProof/>
          <w:webHidden/>
        </w:rPr>
        <w:instrText xml:space="preserve"> PAGEREF _Toc202853702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"_Toc202853703" </w:instrText>
      </w:r>
      <w:r>
        <w:rPr/>
        <w:fldChar w:fldCharType="separate"/>
      </w:r>
      <w:r>
        <w:rPr>
          <w:rStyle w:val="style85"/>
          <w:noProof/>
        </w:rPr>
        <w:t>2.2.1 Staphylococcus aureus (MRSA and MSSA)</w:t>
      </w:r>
      <w:r>
        <w:rPr>
          <w:noProof/>
          <w:webHidden/>
        </w:rPr>
        <w:tab/>
      </w:r>
      <w:r>
        <w:rPr>
          <w:noProof/>
          <w:webHidden/>
        </w:rPr>
        <w:fldChar w:fldCharType="begin"/>
      </w:r>
      <w:r>
        <w:rPr>
          <w:noProof/>
          <w:webHidden/>
        </w:rPr>
        <w:instrText xml:space="preserve"> PAGEREF _Toc202853703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"_Toc202853704" </w:instrText>
      </w:r>
      <w:r>
        <w:rPr/>
        <w:fldChar w:fldCharType="separate"/>
      </w:r>
      <w:r>
        <w:rPr>
          <w:rStyle w:val="style85"/>
          <w:noProof/>
        </w:rPr>
        <w:t>2.2.2 Escherichia coli</w:t>
      </w:r>
      <w:r>
        <w:rPr>
          <w:noProof/>
          <w:webHidden/>
        </w:rPr>
        <w:tab/>
      </w:r>
      <w:r>
        <w:rPr>
          <w:noProof/>
          <w:webHidden/>
        </w:rPr>
        <w:fldChar w:fldCharType="begin"/>
      </w:r>
      <w:r>
        <w:rPr>
          <w:noProof/>
          <w:webHidden/>
        </w:rPr>
        <w:instrText xml:space="preserve"> PAGEREF _Toc202853704 \h </w:instrText>
      </w:r>
      <w:r>
        <w:rPr>
          <w:noProof/>
          <w:webHidden/>
        </w:rPr>
        <w:fldChar w:fldCharType="separate"/>
      </w:r>
      <w:r>
        <w:rPr>
          <w:noProof/>
          <w:webHidden/>
        </w:rPr>
        <w:t>5</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"_Toc202853705" </w:instrText>
      </w:r>
      <w:r>
        <w:rPr/>
        <w:fldChar w:fldCharType="separate"/>
      </w:r>
      <w:r>
        <w:rPr>
          <w:rStyle w:val="style85"/>
          <w:noProof/>
        </w:rPr>
        <w:t>2.2.3 Pseudomonas aeruginosa</w:t>
      </w:r>
      <w:r>
        <w:rPr>
          <w:noProof/>
          <w:webHidden/>
        </w:rPr>
        <w:tab/>
      </w:r>
      <w:r>
        <w:rPr>
          <w:noProof/>
          <w:webHidden/>
        </w:rPr>
        <w:fldChar w:fldCharType="begin"/>
      </w:r>
      <w:r>
        <w:rPr>
          <w:noProof/>
          <w:webHidden/>
        </w:rPr>
        <w:instrText xml:space="preserve"> PAGEREF _Toc202853705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"_Toc202853706" </w:instrText>
      </w:r>
      <w:r>
        <w:rPr/>
        <w:fldChar w:fldCharType="separate"/>
      </w:r>
      <w:r>
        <w:rPr>
          <w:rStyle w:val="style85"/>
          <w:noProof/>
        </w:rPr>
        <w:t>2.2.4 Klebsiella pneumoniae</w:t>
      </w:r>
      <w:r>
        <w:rPr>
          <w:noProof/>
          <w:webHidden/>
        </w:rPr>
        <w:tab/>
      </w:r>
      <w:r>
        <w:rPr>
          <w:noProof/>
          <w:webHidden/>
        </w:rPr>
        <w:fldChar w:fldCharType="begin"/>
      </w:r>
      <w:r>
        <w:rPr>
          <w:noProof/>
          <w:webHidden/>
        </w:rPr>
        <w:instrText xml:space="preserve"> PAGEREF _Toc202853706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"_Toc202853707" </w:instrText>
      </w:r>
      <w:r>
        <w:rPr/>
        <w:fldChar w:fldCharType="separate"/>
      </w:r>
      <w:r>
        <w:rPr>
          <w:rStyle w:val="style85"/>
          <w:noProof/>
        </w:rPr>
        <w:t>2.2.5 Salmonella typhi</w:t>
      </w:r>
      <w:r>
        <w:rPr>
          <w:noProof/>
          <w:webHidden/>
        </w:rPr>
        <w:tab/>
      </w:r>
      <w:r>
        <w:rPr>
          <w:noProof/>
          <w:webHidden/>
        </w:rPr>
        <w:fldChar w:fldCharType="begin"/>
      </w:r>
      <w:r>
        <w:rPr>
          <w:noProof/>
          <w:webHidden/>
        </w:rPr>
        <w:instrText xml:space="preserve"> PAGEREF _Toc202853707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"_Toc202853708" </w:instrText>
      </w:r>
      <w:r>
        <w:rPr/>
        <w:fldChar w:fldCharType="separate"/>
      </w:r>
      <w:r>
        <w:rPr>
          <w:rStyle w:val="style85"/>
          <w:rFonts w:ascii="宋体" w:hAnsi="宋体"/>
          <w:noProof/>
        </w:rPr>
        <w:t>2.3 Overview of Clove</w:t>
      </w:r>
      <w:r>
        <w:rPr>
          <w:noProof/>
          <w:webHidden/>
        </w:rPr>
        <w:tab/>
      </w:r>
      <w:r>
        <w:rPr>
          <w:noProof/>
          <w:webHidden/>
        </w:rPr>
        <w:fldChar w:fldCharType="begin"/>
      </w:r>
      <w:r>
        <w:rPr>
          <w:noProof/>
          <w:webHidden/>
        </w:rPr>
        <w:instrText xml:space="preserve"> PAGEREF _Toc202853708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"_Toc202853709" </w:instrText>
      </w:r>
      <w:r>
        <w:rPr/>
        <w:fldChar w:fldCharType="separate"/>
      </w:r>
      <w:r>
        <w:rPr>
          <w:rStyle w:val="style85"/>
          <w:rFonts w:ascii="宋体" w:hAnsi="宋体"/>
          <w:noProof/>
        </w:rPr>
        <w:t>2.4 Bioactive Compounds of Clove Extract</w:t>
      </w:r>
      <w:r>
        <w:rPr>
          <w:noProof/>
          <w:webHidden/>
        </w:rPr>
        <w:tab/>
      </w:r>
      <w:r>
        <w:rPr>
          <w:noProof/>
          <w:webHidden/>
        </w:rPr>
        <w:fldChar w:fldCharType="begin"/>
      </w:r>
      <w:r>
        <w:rPr>
          <w:noProof/>
          <w:webHidden/>
        </w:rPr>
        <w:instrText xml:space="preserve"> PAGEREF _Toc202853709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"_Toc202853710" </w:instrText>
      </w:r>
      <w:r>
        <w:rPr/>
        <w:fldChar w:fldCharType="separate"/>
      </w:r>
      <w:r>
        <w:rPr>
          <w:rStyle w:val="style85"/>
          <w:noProof/>
        </w:rPr>
        <w:t>2.4.1 Eugenol</w:t>
      </w:r>
      <w:r>
        <w:rPr>
          <w:noProof/>
          <w:webHidden/>
        </w:rPr>
        <w:tab/>
      </w:r>
      <w:r>
        <w:rPr>
          <w:noProof/>
          <w:webHidden/>
        </w:rPr>
        <w:fldChar w:fldCharType="begin"/>
      </w:r>
      <w:r>
        <w:rPr>
          <w:noProof/>
          <w:webHidden/>
        </w:rPr>
        <w:instrText xml:space="preserve"> PAGEREF _Toc202853710 \h </w:instrText>
      </w:r>
      <w:r>
        <w:rPr>
          <w:noProof/>
          <w:webHidden/>
        </w:rPr>
        <w:fldChar w:fldCharType="separate"/>
      </w:r>
      <w:r>
        <w:rPr>
          <w:noProof/>
          <w:webHidden/>
        </w:rPr>
        <w:t>9</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"_Toc202853711" </w:instrText>
      </w:r>
      <w:r>
        <w:rPr/>
        <w:fldChar w:fldCharType="separate"/>
      </w:r>
      <w:r>
        <w:rPr>
          <w:rStyle w:val="style85"/>
          <w:noProof/>
        </w:rPr>
        <w:t>2.4.2 Acetyl Eugenol</w:t>
      </w:r>
      <w:r>
        <w:rPr>
          <w:noProof/>
          <w:webHidden/>
        </w:rPr>
        <w:tab/>
      </w:r>
      <w:r>
        <w:rPr>
          <w:noProof/>
          <w:webHidden/>
        </w:rPr>
        <w:fldChar w:fldCharType="begin"/>
      </w:r>
      <w:r>
        <w:rPr>
          <w:noProof/>
          <w:webHidden/>
        </w:rPr>
        <w:instrText xml:space="preserve"> PAGEREF _Toc202853711 \h </w:instrText>
      </w:r>
      <w:r>
        <w:rPr>
          <w:noProof/>
          <w:webHidden/>
        </w:rPr>
        <w:fldChar w:fldCharType="separate"/>
      </w:r>
      <w:r>
        <w:rPr>
          <w:noProof/>
          <w:webHidden/>
        </w:rPr>
        <w:t>10</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"_Toc202853712" </w:instrText>
      </w:r>
      <w:r>
        <w:rPr/>
        <w:fldChar w:fldCharType="separate"/>
      </w:r>
      <w:r>
        <w:rPr>
          <w:rStyle w:val="style85"/>
          <w:noProof/>
        </w:rPr>
        <w:t>2.4.3 β-Caryophyllene</w:t>
      </w:r>
      <w:r>
        <w:rPr>
          <w:noProof/>
          <w:webHidden/>
        </w:rPr>
        <w:tab/>
      </w:r>
      <w:r>
        <w:rPr>
          <w:noProof/>
          <w:webHidden/>
        </w:rPr>
        <w:fldChar w:fldCharType="begin"/>
      </w:r>
      <w:r>
        <w:rPr>
          <w:noProof/>
          <w:webHidden/>
        </w:rPr>
        <w:instrText xml:space="preserve"> PAGEREF _Toc202853712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"_Toc202853713" </w:instrText>
      </w:r>
      <w:r>
        <w:rPr/>
        <w:fldChar w:fldCharType="separate"/>
      </w:r>
      <w:r>
        <w:rPr>
          <w:rStyle w:val="style85"/>
          <w:noProof/>
        </w:rPr>
        <w:t>2.4.4 α-Humulene</w:t>
      </w:r>
      <w:r>
        <w:rPr>
          <w:noProof/>
          <w:webHidden/>
        </w:rPr>
        <w:tab/>
      </w:r>
      <w:r>
        <w:rPr>
          <w:noProof/>
          <w:webHidden/>
        </w:rPr>
        <w:fldChar w:fldCharType="begin"/>
      </w:r>
      <w:r>
        <w:rPr>
          <w:noProof/>
          <w:webHidden/>
        </w:rPr>
        <w:instrText xml:space="preserve"> PAGEREF _Toc202853713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"_Toc202853714" </w:instrText>
      </w:r>
      <w:r>
        <w:rPr/>
        <w:fldChar w:fldCharType="separate"/>
      </w:r>
      <w:r>
        <w:rPr>
          <w:rStyle w:val="style85"/>
          <w:noProof/>
        </w:rPr>
        <w:t>2.4.5 α-Caryophyllene Oxide</w:t>
      </w:r>
      <w:r>
        <w:rPr>
          <w:noProof/>
          <w:webHidden/>
        </w:rPr>
        <w:tab/>
      </w:r>
      <w:r>
        <w:rPr>
          <w:noProof/>
          <w:webHidden/>
        </w:rPr>
        <w:fldChar w:fldCharType="begin"/>
      </w:r>
      <w:r>
        <w:rPr>
          <w:noProof/>
          <w:webHidden/>
        </w:rPr>
        <w:instrText xml:space="preserve"> PAGEREF _Toc202853714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"_Toc202853715" </w:instrText>
      </w:r>
      <w:r>
        <w:rPr/>
        <w:fldChar w:fldCharType="separate"/>
      </w:r>
      <w:r>
        <w:rPr>
          <w:rStyle w:val="style85"/>
          <w:noProof/>
        </w:rPr>
        <w:t>2.4.6 α-Murolene and γ-Murolene</w:t>
      </w:r>
      <w:r>
        <w:rPr>
          <w:noProof/>
          <w:webHidden/>
        </w:rPr>
        <w:tab/>
      </w:r>
      <w:r>
        <w:rPr>
          <w:noProof/>
          <w:webHidden/>
        </w:rPr>
        <w:fldChar w:fldCharType="begin"/>
      </w:r>
      <w:r>
        <w:rPr>
          <w:noProof/>
          <w:webHidden/>
        </w:rPr>
        <w:instrText xml:space="preserve"> PAGEREF _Toc202853715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"_Toc202853716" </w:instrText>
      </w:r>
      <w:r>
        <w:rPr/>
        <w:fldChar w:fldCharType="separate"/>
      </w:r>
      <w:r>
        <w:rPr>
          <w:rStyle w:val="style85"/>
          <w:noProof/>
        </w:rPr>
        <w:t>2.4.7 α-Selinene and β-Selinene</w:t>
      </w:r>
      <w:r>
        <w:rPr>
          <w:noProof/>
          <w:webHidden/>
        </w:rPr>
        <w:tab/>
      </w:r>
      <w:r>
        <w:rPr>
          <w:noProof/>
          <w:webHidden/>
        </w:rPr>
        <w:fldChar w:fldCharType="begin"/>
      </w:r>
      <w:r>
        <w:rPr>
          <w:noProof/>
          <w:webHidden/>
        </w:rPr>
        <w:instrText xml:space="preserve"> PAGEREF _Toc202853716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"_Toc202853717" </w:instrText>
      </w:r>
      <w:r>
        <w:rPr/>
        <w:fldChar w:fldCharType="separate"/>
      </w:r>
      <w:r>
        <w:rPr>
          <w:rStyle w:val="style85"/>
          <w:noProof/>
        </w:rPr>
        <w:t>2.4.8 δ-cadinene</w:t>
      </w:r>
      <w:r>
        <w:rPr>
          <w:noProof/>
          <w:webHidden/>
        </w:rPr>
        <w:tab/>
      </w:r>
      <w:r>
        <w:rPr>
          <w:noProof/>
          <w:webHidden/>
        </w:rPr>
        <w:fldChar w:fldCharType="begin"/>
      </w:r>
      <w:r>
        <w:rPr>
          <w:noProof/>
          <w:webHidden/>
        </w:rPr>
        <w:instrText xml:space="preserve"> PAGEREF _Toc202853717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"_Toc202853718" </w:instrText>
      </w:r>
      <w:r>
        <w:rPr/>
        <w:fldChar w:fldCharType="separate"/>
      </w:r>
      <w:r>
        <w:rPr>
          <w:rStyle w:val="style85"/>
          <w:rFonts w:ascii="宋体" w:hAnsi="宋体"/>
          <w:noProof/>
        </w:rPr>
        <w:t>2.5 Biological Activities of Clove</w:t>
      </w:r>
      <w:r>
        <w:rPr>
          <w:noProof/>
          <w:webHidden/>
        </w:rPr>
        <w:tab/>
      </w:r>
      <w:r>
        <w:rPr>
          <w:noProof/>
          <w:webHidden/>
        </w:rPr>
        <w:fldChar w:fldCharType="begin"/>
      </w:r>
      <w:r>
        <w:rPr>
          <w:noProof/>
          <w:webHidden/>
        </w:rPr>
        <w:instrText xml:space="preserve"> PAGEREF _Toc202853718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"_Toc202853719" </w:instrText>
      </w:r>
      <w:r>
        <w:rPr/>
        <w:fldChar w:fldCharType="separate"/>
      </w:r>
      <w:r>
        <w:rPr>
          <w:rStyle w:val="style85"/>
          <w:noProof/>
        </w:rPr>
        <w:t>2.5.1 Anti-Diabetic Activity</w:t>
      </w:r>
      <w:r>
        <w:rPr>
          <w:noProof/>
          <w:webHidden/>
        </w:rPr>
        <w:tab/>
      </w:r>
      <w:r>
        <w:rPr>
          <w:noProof/>
          <w:webHidden/>
        </w:rPr>
        <w:fldChar w:fldCharType="begin"/>
      </w:r>
      <w:r>
        <w:rPr>
          <w:noProof/>
          <w:webHidden/>
        </w:rPr>
        <w:instrText xml:space="preserve"> PAGEREF _Toc202853719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"_Toc202853720" </w:instrText>
      </w:r>
      <w:r>
        <w:rPr/>
        <w:fldChar w:fldCharType="separate"/>
      </w:r>
      <w:r>
        <w:rPr>
          <w:rStyle w:val="style85"/>
          <w:noProof/>
        </w:rPr>
        <w:t>2.5.2 Antioxidant Activity</w:t>
      </w:r>
      <w:r>
        <w:rPr>
          <w:noProof/>
          <w:webHidden/>
        </w:rPr>
        <w:tab/>
      </w:r>
      <w:r>
        <w:rPr>
          <w:noProof/>
          <w:webHidden/>
        </w:rPr>
        <w:fldChar w:fldCharType="begin"/>
      </w:r>
      <w:r>
        <w:rPr>
          <w:noProof/>
          <w:webHidden/>
        </w:rPr>
        <w:instrText xml:space="preserve"> PAGEREF _Toc202853720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"_Toc202853721" </w:instrText>
      </w:r>
      <w:r>
        <w:rPr/>
        <w:fldChar w:fldCharType="separate"/>
      </w:r>
      <w:r>
        <w:rPr>
          <w:rStyle w:val="style85"/>
          <w:noProof/>
        </w:rPr>
        <w:t>2.5.3 Antimicrobial Activity</w:t>
      </w:r>
      <w:r>
        <w:rPr>
          <w:noProof/>
          <w:webHidden/>
        </w:rPr>
        <w:tab/>
      </w:r>
      <w:r>
        <w:rPr>
          <w:noProof/>
          <w:webHidden/>
        </w:rPr>
        <w:fldChar w:fldCharType="begin"/>
      </w:r>
      <w:r>
        <w:rPr>
          <w:noProof/>
          <w:webHidden/>
        </w:rPr>
        <w:instrText xml:space="preserve"> PAGEREF _Toc202853721 \h </w:instrText>
      </w:r>
      <w:r>
        <w:rPr>
          <w:noProof/>
          <w:webHidden/>
        </w:rPr>
        <w:fldChar w:fldCharType="separate"/>
      </w:r>
      <w:r>
        <w:rPr>
          <w:noProof/>
          <w:webHidden/>
        </w:rPr>
        <w:t>16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"_Toc202853722" </w:instrText>
      </w:r>
      <w:r>
        <w:rPr/>
        <w:fldChar w:fldCharType="separate"/>
      </w:r>
      <w:r>
        <w:rPr>
          <w:rStyle w:val="style85"/>
          <w:noProof/>
        </w:rPr>
        <w:t>2.5.4 Antinociceptive</w:t>
      </w:r>
      <w:r>
        <w:rPr>
          <w:noProof/>
          <w:webHidden/>
        </w:rPr>
        <w:tab/>
      </w:r>
      <w:r>
        <w:rPr>
          <w:noProof/>
          <w:webHidden/>
        </w:rPr>
        <w:fldChar w:fldCharType="begin"/>
      </w:r>
      <w:r>
        <w:rPr>
          <w:noProof/>
          <w:webHidden/>
        </w:rPr>
        <w:instrText xml:space="preserve"> PAGEREF _Toc202853722 \h </w:instrText>
      </w:r>
      <w:r>
        <w:rPr>
          <w:noProof/>
          <w:webHidden/>
        </w:rPr>
        <w:fldChar w:fldCharType="separate"/>
      </w:r>
      <w:r>
        <w:rPr>
          <w:noProof/>
          <w:webHidden/>
        </w:rPr>
        <w:t>18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"_Toc202853723" </w:instrText>
      </w:r>
      <w:r>
        <w:rPr/>
        <w:fldChar w:fldCharType="separate"/>
      </w:r>
      <w:r>
        <w:rPr>
          <w:rStyle w:val="style85"/>
          <w:noProof/>
        </w:rPr>
        <w:t>2.5.5 Antiviral Activity</w:t>
      </w:r>
      <w:r>
        <w:rPr>
          <w:noProof/>
          <w:webHidden/>
        </w:rPr>
        <w:tab/>
      </w:r>
      <w:r>
        <w:rPr>
          <w:noProof/>
          <w:webHidden/>
        </w:rPr>
        <w:fldChar w:fldCharType="begin"/>
      </w:r>
      <w:r>
        <w:rPr>
          <w:noProof/>
          <w:webHidden/>
        </w:rPr>
        <w:instrText xml:space="preserve"> PAGEREF _Toc202853723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"_Toc202853724" </w:instrText>
      </w:r>
      <w:r>
        <w:rPr/>
        <w:fldChar w:fldCharType="separate"/>
      </w:r>
      <w:r>
        <w:rPr>
          <w:rStyle w:val="style85"/>
          <w:rFonts w:ascii="宋体" w:eastAsia="Calibri" w:hAnsi="宋体"/>
          <w:b/>
          <w:bCs/>
          <w:noProof/>
        </w:rPr>
        <w:t>CHAPTER THREE</w:t>
      </w:r>
      <w:r>
        <w:rPr>
          <w:noProof/>
          <w:webHidden/>
        </w:rPr>
        <w:tab/>
      </w:r>
      <w:r>
        <w:rPr>
          <w:noProof/>
          <w:webHidden/>
        </w:rPr>
        <w:fldChar w:fldCharType="begin"/>
      </w:r>
      <w:r>
        <w:rPr>
          <w:noProof/>
          <w:webHidden/>
        </w:rPr>
        <w:instrText xml:space="preserve"> PAGEREF _Toc202853724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"_Toc202853725" </w:instrText>
      </w:r>
      <w:r>
        <w:rPr/>
        <w:fldChar w:fldCharType="separate"/>
      </w:r>
      <w:r>
        <w:rPr>
          <w:rStyle w:val="style85"/>
          <w:rFonts w:ascii="宋体" w:hAnsi="宋体"/>
          <w:noProof/>
        </w:rPr>
        <w:t>3.0 MATERIALS AND METHODS</w:t>
      </w:r>
      <w:r>
        <w:rPr>
          <w:noProof/>
          <w:webHidden/>
        </w:rPr>
        <w:tab/>
      </w:r>
      <w:r>
        <w:rPr>
          <w:noProof/>
          <w:webHidden/>
        </w:rPr>
        <w:fldChar w:fldCharType="begin"/>
      </w:r>
      <w:r>
        <w:rPr>
          <w:noProof/>
          <w:webHidden/>
        </w:rPr>
        <w:instrText xml:space="preserve"> PAGEREF _Toc202853725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"_Toc202853726" </w:instrText>
      </w:r>
      <w:r>
        <w:rPr/>
        <w:fldChar w:fldCharType="separate"/>
      </w:r>
      <w:r>
        <w:rPr>
          <w:rStyle w:val="style85"/>
          <w:rFonts w:ascii="宋体" w:hAnsi="宋体"/>
          <w:noProof/>
        </w:rPr>
        <w:t>3.1 Collection and Preparation of Clove Flower Buds</w:t>
      </w:r>
      <w:r>
        <w:rPr>
          <w:noProof/>
          <w:webHidden/>
        </w:rPr>
        <w:tab/>
      </w:r>
      <w:r>
        <w:rPr>
          <w:noProof/>
          <w:webHidden/>
        </w:rPr>
        <w:fldChar w:fldCharType="begin"/>
      </w:r>
      <w:r>
        <w:rPr>
          <w:noProof/>
          <w:webHidden/>
        </w:rPr>
        <w:instrText xml:space="preserve"> PAGEREF _Toc202853726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"_Toc202853727" </w:instrText>
      </w:r>
      <w:r>
        <w:rPr/>
        <w:fldChar w:fldCharType="separate"/>
      </w:r>
      <w:r>
        <w:rPr>
          <w:rStyle w:val="style85"/>
          <w:rFonts w:ascii="宋体" w:hAnsi="宋体"/>
          <w:noProof/>
        </w:rPr>
        <w:t>3.2 Preparation of Clove Extract</w:t>
      </w:r>
      <w:r>
        <w:rPr>
          <w:noProof/>
          <w:webHidden/>
        </w:rPr>
        <w:tab/>
      </w:r>
      <w:r>
        <w:rPr>
          <w:noProof/>
          <w:webHidden/>
        </w:rPr>
        <w:fldChar w:fldCharType="begin"/>
      </w:r>
      <w:r>
        <w:rPr>
          <w:noProof/>
          <w:webHidden/>
        </w:rPr>
        <w:instrText xml:space="preserve"> PAGEREF _Toc202853727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"_Toc202853728" </w:instrText>
      </w:r>
      <w:r>
        <w:rPr/>
        <w:fldChar w:fldCharType="separate"/>
      </w:r>
      <w:r>
        <w:rPr>
          <w:rStyle w:val="style85"/>
          <w:rFonts w:ascii="宋体" w:hAnsi="宋体"/>
          <w:noProof/>
        </w:rPr>
        <w:t>3.3 Collection of Test Organisms</w:t>
      </w:r>
      <w:r>
        <w:rPr>
          <w:noProof/>
          <w:webHidden/>
        </w:rPr>
        <w:tab/>
      </w:r>
      <w:r>
        <w:rPr>
          <w:noProof/>
          <w:webHidden/>
        </w:rPr>
        <w:fldChar w:fldCharType="begin"/>
      </w:r>
      <w:r>
        <w:rPr>
          <w:noProof/>
          <w:webHidden/>
        </w:rPr>
        <w:instrText xml:space="preserve"> PAGEREF _Toc202853728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"_Toc202853729" </w:instrText>
      </w:r>
      <w:r>
        <w:rPr/>
        <w:fldChar w:fldCharType="separate"/>
      </w:r>
      <w:r>
        <w:rPr>
          <w:rStyle w:val="style85"/>
          <w:rFonts w:ascii="宋体" w:hAnsi="宋体"/>
          <w:noProof/>
        </w:rPr>
        <w:t>3.4 Standardization of Test Organisms</w:t>
      </w:r>
      <w:r>
        <w:rPr>
          <w:noProof/>
          <w:webHidden/>
        </w:rPr>
        <w:tab/>
      </w:r>
      <w:r>
        <w:rPr>
          <w:noProof/>
          <w:webHidden/>
        </w:rPr>
        <w:fldChar w:fldCharType="begin"/>
      </w:r>
      <w:r>
        <w:rPr>
          <w:noProof/>
          <w:webHidden/>
        </w:rPr>
        <w:instrText xml:space="preserve"> PAGEREF _Toc202853729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"_Toc202853730" </w:instrText>
      </w:r>
      <w:r>
        <w:rPr/>
        <w:fldChar w:fldCharType="separate"/>
      </w:r>
      <w:r>
        <w:rPr>
          <w:rStyle w:val="style85"/>
          <w:rFonts w:ascii="宋体" w:hAnsi="宋体"/>
          <w:noProof/>
        </w:rPr>
        <w:t>3.5 Antibacterial Activity Assay</w:t>
      </w:r>
      <w:r>
        <w:rPr>
          <w:noProof/>
          <w:webHidden/>
        </w:rPr>
        <w:tab/>
      </w:r>
      <w:r>
        <w:rPr>
          <w:noProof/>
          <w:webHidden/>
        </w:rPr>
        <w:fldChar w:fldCharType="begin"/>
      </w:r>
      <w:r>
        <w:rPr>
          <w:noProof/>
          <w:webHidden/>
        </w:rPr>
        <w:instrText xml:space="preserve"> PAGEREF _Toc202853730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"_Toc202853731" </w:instrText>
      </w:r>
      <w:r>
        <w:rPr/>
        <w:fldChar w:fldCharType="separate"/>
      </w:r>
      <w:r>
        <w:rPr>
          <w:rStyle w:val="style85"/>
          <w:rFonts w:ascii="宋体" w:hAnsi="宋体"/>
          <w:noProof/>
        </w:rPr>
        <w:t>3.6 Determination of Minimum Inhibitory Concentration (MIC)</w:t>
      </w:r>
      <w:r>
        <w:rPr>
          <w:noProof/>
          <w:webHidden/>
        </w:rPr>
        <w:tab/>
      </w:r>
      <w:r>
        <w:rPr>
          <w:noProof/>
          <w:webHidden/>
        </w:rPr>
        <w:fldChar w:fldCharType="begin"/>
      </w:r>
      <w:r>
        <w:rPr>
          <w:noProof/>
          <w:webHidden/>
        </w:rPr>
        <w:instrText xml:space="preserve"> PAGEREF _Toc202853731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"_Toc202853732" </w:instrText>
      </w:r>
      <w:r>
        <w:rPr/>
        <w:fldChar w:fldCharType="separate"/>
      </w:r>
      <w:r>
        <w:rPr>
          <w:rStyle w:val="style85"/>
          <w:rFonts w:ascii="宋体" w:hAnsi="宋体"/>
          <w:noProof/>
        </w:rPr>
        <w:t>3.7 Determination of Minimum Bactericidal Concentration (MBC)</w:t>
      </w:r>
      <w:r>
        <w:rPr>
          <w:noProof/>
          <w:webHidden/>
        </w:rPr>
        <w:tab/>
      </w:r>
      <w:r>
        <w:rPr>
          <w:noProof/>
          <w:webHidden/>
        </w:rPr>
        <w:fldChar w:fldCharType="begin"/>
      </w:r>
      <w:r>
        <w:rPr>
          <w:noProof/>
          <w:webHidden/>
        </w:rPr>
        <w:instrText xml:space="preserve"> PAGEREF _Toc202853732 \h </w:instrText>
      </w:r>
      <w:r>
        <w:rPr>
          <w:noProof/>
          <w:webHidden/>
        </w:rPr>
        <w:fldChar w:fldCharType="separate"/>
      </w:r>
      <w:r>
        <w:rPr>
          <w:noProof/>
          <w:webHidden/>
        </w:rPr>
        <w:t>20</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"_Toc202853733" </w:instrText>
      </w:r>
      <w:r>
        <w:rPr/>
        <w:fldChar w:fldCharType="separate"/>
      </w:r>
      <w:r>
        <w:rPr>
          <w:rStyle w:val="style85"/>
          <w:rFonts w:ascii="宋体" w:eastAsia="Calibri" w:hAnsi="宋体"/>
          <w:b/>
          <w:bCs/>
          <w:noProof/>
        </w:rPr>
        <w:t>CHAPTER FOUR</w:t>
      </w:r>
      <w:r>
        <w:rPr>
          <w:noProof/>
          <w:webHidden/>
        </w:rPr>
        <w:tab/>
      </w:r>
      <w:r>
        <w:rPr>
          <w:noProof/>
          <w:webHidden/>
        </w:rPr>
        <w:fldChar w:fldCharType="begin"/>
      </w:r>
      <w:r>
        <w:rPr>
          <w:noProof/>
          <w:webHidden/>
        </w:rPr>
        <w:instrText xml:space="preserve"> PAGEREF _Toc202853733 \h </w:instrText>
      </w:r>
      <w:r>
        <w:rPr>
          <w:noProof/>
          <w:webHidden/>
        </w:rPr>
        <w:fldChar w:fldCharType="separate"/>
      </w:r>
      <w:r>
        <w:rPr>
          <w:noProof/>
          <w:webHidden/>
        </w:rPr>
        <w:t>22</w:t>
      </w:r>
      <w:r>
        <w:rPr>
          <w:noProof/>
          <w:webHidden/>
        </w:rPr>
        <w:fldChar w:fldCharType="end"/>
      </w:r>
      <w:r>
        <w:rPr/>
        <w:fldChar w:fldCharType="end"/>
      </w:r>
    </w:p>
    <w:p>
      <w:pPr>
        <w:pStyle w:val="style20"/>
        <w:tabs>
          <w:tab w:val="left" w:leader="none" w:pos="880"/>
          <w:tab w:val="right" w:leader="dot" w:pos="9350"/>
        </w:tabs>
        <w:rPr>
          <w:rFonts w:eastAsia="宋体"/>
          <w:noProof/>
        </w:rPr>
      </w:pPr>
      <w:r>
        <w:rPr/>
        <w:fldChar w:fldCharType="begin"/>
      </w:r>
      <w:r>
        <w:instrText xml:space="preserve"> HYPERLINK \l "_Toc202853734" </w:instrText>
      </w:r>
      <w:r>
        <w:rPr/>
        <w:fldChar w:fldCharType="separate"/>
      </w:r>
      <w:r>
        <w:rPr>
          <w:rStyle w:val="style85"/>
          <w:rFonts w:ascii="宋体" w:hAnsi="宋体"/>
          <w:noProof/>
        </w:rPr>
        <w:t>4.0</w:t>
      </w:r>
      <w:r>
        <w:rPr>
          <w:rFonts w:eastAsia="宋体"/>
          <w:noProof/>
        </w:rPr>
        <w:tab/>
      </w:r>
      <w:r>
        <w:rPr>
          <w:rStyle w:val="style85"/>
          <w:rFonts w:ascii="宋体" w:hAnsi="宋体"/>
          <w:noProof/>
        </w:rPr>
        <w:t>RESULTS</w:t>
      </w:r>
      <w:r>
        <w:rPr>
          <w:noProof/>
          <w:webHidden/>
        </w:rPr>
        <w:tab/>
      </w:r>
      <w:r>
        <w:rPr>
          <w:noProof/>
          <w:webHidden/>
        </w:rPr>
        <w:fldChar w:fldCharType="begin"/>
      </w:r>
      <w:r>
        <w:rPr>
          <w:noProof/>
          <w:webHidden/>
        </w:rPr>
        <w:instrText xml:space="preserve"> PAGEREF _Toc202853734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"_Toc202853735" </w:instrText>
      </w:r>
      <w:r>
        <w:rPr/>
        <w:fldChar w:fldCharType="separate"/>
      </w:r>
      <w:r>
        <w:rPr>
          <w:rStyle w:val="style85"/>
          <w:rFonts w:ascii="宋体" w:hAnsi="宋体"/>
          <w:noProof/>
        </w:rPr>
        <w:t>4.1 Antibacterial Activity of Aqueous Clove Extract</w:t>
      </w:r>
      <w:r>
        <w:rPr>
          <w:noProof/>
          <w:webHidden/>
        </w:rPr>
        <w:tab/>
      </w:r>
      <w:r>
        <w:rPr>
          <w:noProof/>
          <w:webHidden/>
        </w:rPr>
        <w:fldChar w:fldCharType="begin"/>
      </w:r>
      <w:r>
        <w:rPr>
          <w:noProof/>
          <w:webHidden/>
        </w:rPr>
        <w:instrText xml:space="preserve"> PAGEREF _Toc202853735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"_Toc202853736" </w:instrText>
      </w:r>
      <w:r>
        <w:rPr/>
        <w:fldChar w:fldCharType="separate"/>
      </w:r>
      <w:r>
        <w:rPr>
          <w:rStyle w:val="style85"/>
          <w:rFonts w:ascii="宋体" w:hAnsi="宋体"/>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_Toc202853736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"_Toc202853737" </w:instrText>
      </w:r>
      <w:r>
        <w:rPr/>
        <w:fldChar w:fldCharType="separate"/>
      </w:r>
      <w:r>
        <w:rPr>
          <w:rStyle w:val="style85"/>
          <w:rFonts w:ascii="宋体" w:eastAsia="Calibri" w:hAnsi="宋体"/>
          <w:b/>
          <w:bCs/>
          <w:noProof/>
        </w:rPr>
        <w:t>CHAPTER FIVE</w:t>
      </w:r>
      <w:r>
        <w:rPr>
          <w:noProof/>
          <w:webHidden/>
        </w:rPr>
        <w:tab/>
      </w:r>
      <w:r>
        <w:rPr>
          <w:noProof/>
          <w:webHidden/>
        </w:rPr>
        <w:fldChar w:fldCharType="begin"/>
      </w:r>
      <w:r>
        <w:rPr>
          <w:noProof/>
          <w:webHidden/>
        </w:rPr>
        <w:instrText xml:space="preserve"> PAGEREF _Toc202853737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"_Toc202853738" </w:instrText>
      </w:r>
      <w:r>
        <w:rPr/>
        <w:fldChar w:fldCharType="separate"/>
      </w:r>
      <w:r>
        <w:rPr>
          <w:rStyle w:val="style85"/>
          <w:rFonts w:ascii="宋体" w:hAnsi="宋体"/>
          <w:noProof/>
        </w:rPr>
        <w:t>5.0 Discussion</w:t>
      </w:r>
      <w:r>
        <w:rPr>
          <w:noProof/>
          <w:webHidden/>
        </w:rPr>
        <w:tab/>
      </w:r>
      <w:r>
        <w:rPr>
          <w:noProof/>
          <w:webHidden/>
        </w:rPr>
        <w:fldChar w:fldCharType="begin"/>
      </w:r>
      <w:r>
        <w:rPr>
          <w:noProof/>
          <w:webHidden/>
        </w:rPr>
        <w:instrText xml:space="preserve"> PAGEREF _Toc202853738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"_Toc202853739" </w:instrText>
      </w:r>
      <w:r>
        <w:rPr/>
        <w:fldChar w:fldCharType="separate"/>
      </w:r>
      <w:r>
        <w:rPr>
          <w:rStyle w:val="style85"/>
          <w:rFonts w:ascii="宋体" w:hAnsi="宋体"/>
          <w:noProof/>
        </w:rPr>
        <w:t>5.1 Conclusion</w:t>
      </w:r>
      <w:r>
        <w:rPr>
          <w:noProof/>
          <w:webHidden/>
        </w:rPr>
        <w:tab/>
      </w:r>
      <w:r>
        <w:rPr>
          <w:noProof/>
          <w:webHidden/>
        </w:rPr>
        <w:fldChar w:fldCharType="begin"/>
      </w:r>
      <w:r>
        <w:rPr>
          <w:noProof/>
          <w:webHidden/>
        </w:rPr>
        <w:instrText xml:space="preserve"> PAGEREF _Toc202853739 \h </w:instrText>
      </w:r>
      <w:r>
        <w:rPr>
          <w:noProof/>
          <w:webHidden/>
        </w:rPr>
        <w:fldChar w:fldCharType="separate"/>
      </w:r>
      <w:r>
        <w:rPr>
          <w:noProof/>
          <w:webHidden/>
        </w:rPr>
        <w:t>28</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"_Toc202853740" </w:instrText>
      </w:r>
      <w:r>
        <w:rPr/>
        <w:fldChar w:fldCharType="separate"/>
      </w:r>
      <w:r>
        <w:rPr>
          <w:rStyle w:val="style85"/>
          <w:rFonts w:ascii="宋体" w:hAnsi="宋体"/>
          <w:noProof/>
        </w:rPr>
        <w:t>5.2 Recommendations</w:t>
      </w:r>
      <w:r>
        <w:rPr>
          <w:noProof/>
          <w:webHidden/>
        </w:rPr>
        <w:tab/>
      </w:r>
      <w:r>
        <w:rPr>
          <w:noProof/>
          <w:webHidden/>
        </w:rPr>
        <w:fldChar w:fldCharType="begin"/>
      </w:r>
      <w:r>
        <w:rPr>
          <w:noProof/>
          <w:webHidden/>
        </w:rPr>
        <w:instrText xml:space="preserve"> PAGEREF _Toc202853740 \h </w:instrText>
      </w:r>
      <w:r>
        <w:rPr>
          <w:noProof/>
          <w:webHidden/>
        </w:rPr>
        <w:fldChar w:fldCharType="separate"/>
      </w:r>
      <w:r>
        <w:rPr>
          <w:noProof/>
          <w:webHidden/>
        </w:rPr>
        <w:t>29</w:t>
      </w:r>
      <w:r>
        <w:rPr>
          <w:noProof/>
          <w:webHidden/>
        </w:rPr>
        <w:fldChar w:fldCharType="end"/>
      </w:r>
      <w:r>
        <w:rPr/>
        <w:fldChar w:fldCharType="end"/>
      </w:r>
    </w:p>
    <w:p>
      <w:pPr>
        <w:pStyle w:val="style0"/>
        <w:rPr/>
      </w:pPr>
      <w:r>
        <w:rPr>
          <w:b/>
          <w:bCs/>
          <w:noProof/>
        </w:rPr>
        <w:fldChar w:fldCharType="end"/>
      </w:r>
    </w:p>
    <w:p>
      <w:pPr>
        <w:pStyle w:val="style0"/>
        <w:rPr/>
      </w:pPr>
    </w:p>
    <w:p>
      <w:pPr>
        <w:pStyle w:val="style0"/>
        <w:rPr/>
      </w:pPr>
    </w:p>
    <w:p>
      <w:pPr>
        <w:pStyle w:val="style0"/>
        <w:rPr/>
      </w:pPr>
    </w:p>
    <w:p>
      <w:pPr>
        <w:pStyle w:val="style0"/>
        <w:spacing w:before="100" w:beforeAutospacing="true" w:after="100" w:afterAutospacing="true" w:lineRule="auto" w:line="480"/>
        <w:jc w:val="both"/>
        <w:rPr>
          <w:rFonts w:ascii="宋体" w:cs="宋体" w:eastAsia="Times New Roman" w:hAnsi="宋体"/>
          <w:sz w:val="24"/>
          <w:szCs w:val="24"/>
        </w:rPr>
      </w:pPr>
    </w:p>
    <w:bookmarkStart w:id="6" w:name="_Toc201509692"/>
    <w:bookmarkStart w:id="7" w:name="_Toc202853689"/>
    <w:p>
      <w:pPr>
        <w:pStyle w:val="style1"/>
        <w:jc w:val="center"/>
        <w:rPr>
          <w:rFonts w:ascii="宋体" w:eastAsia="Calibri" w:hAnsi="宋体"/>
          <w:b/>
          <w:bCs/>
          <w:color w:val="auto"/>
          <w:sz w:val="28"/>
          <w:szCs w:val="28"/>
        </w:rPr>
      </w:pPr>
      <w:r>
        <w:rPr>
          <w:rFonts w:ascii="宋体" w:eastAsia="Calibri" w:hAnsi="宋体"/>
          <w:b/>
          <w:bCs/>
          <w:color w:val="auto"/>
          <w:sz w:val="28"/>
          <w:szCs w:val="28"/>
        </w:rPr>
        <w:t>ABSTRACT</w:t>
      </w:r>
      <w:bookmarkEnd w:id="6"/>
      <w:bookmarkEnd w:id="7"/>
    </w:p>
    <w:p>
      <w:pPr>
        <w:pStyle w:val="style0"/>
        <w:keepNext/>
        <w:keepLines/>
        <w:spacing w:before="240" w:after="0"/>
        <w:jc w:val="center"/>
        <w:outlineLvl w:val="0"/>
        <w:rPr>
          <w:rFonts w:ascii="Times New Roman" w:cs="Times New Roman" w:eastAsia="宋体" w:hAnsi="Times New Roman"/>
          <w:b/>
          <w:sz w:val="28"/>
          <w:szCs w:val="28"/>
        </w:rPr>
      </w:pPr>
    </w:p>
    <w:p>
      <w:pPr>
        <w:pStyle w:val="style94"/>
        <w:spacing w:lineRule="auto" w:line="480"/>
        <w:jc w:val="both"/>
        <w:rPr/>
      </w:pPr>
      <w:r>
        <w:t xml:space="preserve">The emergence of antibiotic-resistant bacteria, especially methicillin-resistant </w:t>
      </w:r>
      <w:r>
        <w:rPr>
          <w:rStyle w:val="style88"/>
        </w:rPr>
        <w:t>Staphylococcus aureus</w:t>
      </w:r>
      <w:r>
        <w:t xml:space="preserve"> (MRSA) and multidrug-resistant </w:t>
      </w:r>
      <w:r>
        <w:rPr>
          <w:rStyle w:val="style88"/>
        </w:rPr>
        <w:t>Escherichia coli</w:t>
      </w:r>
      <w:r>
        <w:t xml:space="preserve">, necessitates the exploration of alternative antimicrobial agents. This study investigated the antibacterial activity of aqueous extract of </w:t>
      </w:r>
      <w:r>
        <w:rPr>
          <w:rStyle w:val="style88"/>
        </w:rPr>
        <w:t>Syzygium</w:t>
      </w:r>
      <w:r>
        <w:rPr>
          <w:rStyle w:val="style88"/>
        </w:rPr>
        <w:t xml:space="preserve"> </w:t>
      </w:r>
      <w:r>
        <w:rPr>
          <w:rStyle w:val="style88"/>
        </w:rPr>
        <w:t>aromaticum</w:t>
      </w:r>
      <w:r>
        <w:t xml:space="preserve"> (clove) against MRSA and </w:t>
      </w:r>
      <w:r>
        <w:rPr>
          <w:rStyle w:val="style88"/>
        </w:rPr>
        <w:t>E. coli</w:t>
      </w:r>
      <w:r>
        <w:t xml:space="preserve">. The extract was prepared by soaking powdered clove in distilled water and filtering the solution after 24 hours. Antibacterial activity was evaluated using the agar well diffusion method, while the minimum inhibitory concentration (MIC) and minimum bactericidal concentration (MBC) were determined using broth dilution. Results revealed concentration-dependent inhibition of both organisms, with inhibition zones reaching up to 20.14 mm for MRSA and 21.10 mm for </w:t>
      </w:r>
      <w:r>
        <w:rPr>
          <w:rStyle w:val="style88"/>
        </w:rPr>
        <w:t>E. coli</w:t>
      </w:r>
      <w:r>
        <w:t xml:space="preserve"> at 100 mg/</w:t>
      </w:r>
      <w:r>
        <w:t>mL.</w:t>
      </w:r>
      <w:r>
        <w:t xml:space="preserve"> MIC and MBC for both organisms were 80 mg/mL and 100 mg/mL, respectively. The study demonstrates the moderate efficacy of aqueous clove extract against MRSA and </w:t>
      </w:r>
      <w:r>
        <w:rPr>
          <w:rStyle w:val="style88"/>
        </w:rPr>
        <w:t>E. coli</w:t>
      </w:r>
      <w:r>
        <w:t>, highlighting its potential as a complementary antibacterial agent.</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bookmarkStart w:id="8" w:name="_Toc201509693"/>
    <w:bookmarkStart w:id="9" w:name="_Toc85116914"/>
    <w:p>
      <w:pPr>
        <w:pStyle w:val="style1"/>
        <w:spacing w:after="100" w:afterAutospacing="true"/>
        <w:jc w:val="center"/>
        <w:rPr>
          <w:rFonts w:ascii="宋体" w:eastAsia="Calibri" w:hAnsi="宋体"/>
          <w:b/>
          <w:bCs/>
          <w:color w:val="auto"/>
          <w:sz w:val="28"/>
          <w:szCs w:val="28"/>
        </w:rPr>
        <w:sectPr>
          <w:footerReference w:type="default" r:id="rId3"/>
          <w:pgSz w:w="11906" w:h="16838" w:orient="portrait" w:code="9"/>
          <w:pgMar w:top="1440" w:right="1440" w:bottom="1440" w:left="1440" w:header="720" w:footer="720" w:gutter="0"/>
          <w:pgNumType w:fmt="lowerRoman" w:start="1"/>
          <w:cols w:space="720"/>
          <w:titlePg/>
          <w:docGrid w:linePitch="360"/>
        </w:sectPr>
      </w:pPr>
    </w:p>
    <w:bookmarkStart w:id="10" w:name="_Toc202853690"/>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ONE</w:t>
      </w:r>
      <w:bookmarkEnd w:id="8"/>
      <w:bookmarkEnd w:id="10"/>
    </w:p>
    <w:bookmarkStart w:id="11" w:name="_Toc201509694"/>
    <w:bookmarkStart w:id="12" w:name="_Toc202853691"/>
    <w:p>
      <w:pPr>
        <w:pStyle w:val="style2"/>
        <w:rPr>
          <w:rFonts w:ascii="宋体" w:hAnsi="宋体"/>
          <w:b w:val="false"/>
          <w:bCs w:val="false"/>
          <w:sz w:val="24"/>
          <w:szCs w:val="24"/>
        </w:rPr>
      </w:pPr>
      <w:r>
        <w:rPr>
          <w:rFonts w:ascii="宋体" w:hAnsi="宋体"/>
          <w:sz w:val="24"/>
          <w:szCs w:val="24"/>
        </w:rPr>
        <w:t>1.0 Introduction</w:t>
      </w:r>
      <w:bookmarkEnd w:id="9"/>
      <w:bookmarkEnd w:id="11"/>
      <w:bookmarkEnd w:id="12"/>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troubling examples of antibiotic resistance is observed in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especially the methicillin-resistant strain (MRSA), which is known to cause a range of infections, including wound infections, sepsis, and pneumonia. Similarly, </w:t>
      </w:r>
      <w:r>
        <w:rPr>
          <w:rFonts w:ascii="Times New Roman" w:cs="Times New Roman" w:eastAsia="Times New Roman" w:hAnsi="Times New Roman"/>
          <w:i/>
          <w:iCs/>
          <w:sz w:val="24"/>
          <w:szCs w:val="24"/>
        </w:rPr>
        <w:t>Escherichia coli</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have developed resistance to multiple antibiotics, posing a challenge to clinicians and microbiologists alike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r>
        <w:rPr>
          <w:rFonts w:ascii="Times New Roman" w:cs="Times New Roman" w:eastAsia="Times New Roman" w:hAnsi="Times New Roman"/>
          <w:sz w:val="24"/>
          <w:szCs w:val="24"/>
        </w:rPr>
        <w:t>Tahsiri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 These natural products have historically contributed to drug discovery and are gaining popularity for their availability, low toxicity, and cost-effectiveness.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an aromatic flower bud of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Hence, comparative evaluations of different solvents are important to identify the most effective extraction method for antibacterial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Clove extracts prepared with various solvents have been investigated for their activity against both Gram-positive and Gram-negative bacteria. Gram-positive bacteria like </w:t>
      </w:r>
      <w:r>
        <w:rPr>
          <w:rFonts w:ascii="Times New Roman" w:cs="Times New Roman" w:eastAsia="Times New Roman" w:hAnsi="Times New Roman"/>
          <w:iCs/>
          <w:sz w:val="24"/>
          <w:szCs w:val="24"/>
        </w:rPr>
        <w:t>Staphylococcus aureus</w:t>
      </w:r>
      <w:r>
        <w:rPr>
          <w:rFonts w:ascii="Times New Roman" w:cs="Times New Roman" w:eastAsia="Times New Roman" w:hAnsi="Times New Roman"/>
          <w:sz w:val="24"/>
          <w:szCs w:val="24"/>
        </w:rPr>
        <w:t xml:space="preserve"> have a thick peptidoglycan cell wall that can be penetrated by certain phytochemicals, while Gram-negative bacteria like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aeruginosa</w:t>
      </w:r>
      <w:r>
        <w:rPr>
          <w:rFonts w:ascii="Times New Roman" w:cs="Times New Roman" w:eastAsia="Times New Roman" w:hAnsi="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bookmarkStart w:id="13" w:name="_Toc202853692"/>
    <w:p>
      <w:pPr>
        <w:pStyle w:val="style2"/>
        <w:rPr>
          <w:rFonts w:ascii="宋体" w:hAnsi="宋体"/>
          <w:sz w:val="24"/>
          <w:szCs w:val="24"/>
        </w:rPr>
      </w:pPr>
      <w:r>
        <w:rPr>
          <w:rFonts w:ascii="宋体" w:hAnsi="宋体"/>
          <w:sz w:val="24"/>
          <w:szCs w:val="24"/>
        </w:rPr>
        <w:t>1.1 Statement of the Problem</w:t>
      </w:r>
      <w:bookmarkEnd w:id="13"/>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Pr>
          <w:rFonts w:ascii="Times New Roman" w:cs="Times New Roman" w:eastAsia="Times New Roman" w:hAnsi="Times New Roman"/>
          <w:sz w:val="24"/>
          <w:szCs w:val="24"/>
        </w:rPr>
        <w:t xml:space="preserve">antibacterial efficacy against clinically relevant bacterial strains (WHO, 2023;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14" w:name="_Toc202853693"/>
    <w:p>
      <w:pPr>
        <w:pStyle w:val="style2"/>
        <w:rPr>
          <w:rFonts w:ascii="宋体" w:hAnsi="宋体"/>
          <w:sz w:val="24"/>
          <w:szCs w:val="24"/>
        </w:rPr>
      </w:pPr>
      <w:r>
        <w:rPr>
          <w:rFonts w:ascii="宋体" w:hAnsi="宋体"/>
          <w:sz w:val="24"/>
          <w:szCs w:val="24"/>
        </w:rPr>
        <w:t>1.2 Justification of the Study</w:t>
      </w:r>
      <w:bookmarkEnd w:id="14"/>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significant because it explores the antibacterial potential of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against resistant clinical pathogens. The findings could also provide a foundation for phytomedicine-based interventions in managing antibiotic-resistant infections.</w:t>
      </w:r>
    </w:p>
    <w:bookmarkStart w:id="15" w:name="_Toc201509697"/>
    <w:bookmarkStart w:id="16" w:name="_Toc202853694"/>
    <w:p>
      <w:pPr>
        <w:pStyle w:val="style2"/>
        <w:rPr>
          <w:rFonts w:ascii="宋体" w:hAnsi="宋体"/>
          <w:sz w:val="24"/>
          <w:szCs w:val="24"/>
        </w:rPr>
      </w:pPr>
      <w:r>
        <w:rPr>
          <w:rFonts w:ascii="宋体" w:hAnsi="宋体"/>
          <w:sz w:val="24"/>
          <w:szCs w:val="24"/>
        </w:rPr>
        <w:t>1.3 Aim of Study</w:t>
      </w:r>
      <w:bookmarkEnd w:id="15"/>
      <w:bookmarkEnd w:id="16"/>
    </w:p>
    <w:p>
      <w:pPr>
        <w:pStyle w:val="style0"/>
        <w:spacing w:before="100" w:beforeAutospacing="true" w:after="100" w:afterAutospacing="true" w:lineRule="auto" w:line="480"/>
        <w:ind w:firstLine="720"/>
        <w:jc w:val="both"/>
        <w:rPr>
          <w:rFonts w:ascii="宋体" w:cs="宋体" w:eastAsia="Times New Roman" w:hAnsi="宋体"/>
          <w:sz w:val="24"/>
          <w:szCs w:val="24"/>
        </w:rPr>
      </w:pPr>
      <w:r>
        <w:rPr>
          <w:rFonts w:ascii="宋体" w:cs="宋体" w:eastAsia="SimSun" w:hAnsi="宋体"/>
          <w:kern w:val="2"/>
          <w:sz w:val="24"/>
          <w:szCs w:val="24"/>
          <w:lang w:eastAsia="zh-CN"/>
        </w:rPr>
        <w:t xml:space="preserve">The major aims of this study </w:t>
      </w:r>
      <w:r>
        <w:rPr>
          <w:rFonts w:ascii="宋体" w:cs="宋体" w:eastAsia="SimSun" w:hAnsi="宋体"/>
          <w:kern w:val="2"/>
          <w:sz w:val="24"/>
          <w:szCs w:val="24"/>
          <w:lang w:eastAsia="zh-CN"/>
        </w:rPr>
        <w:t>were</w:t>
      </w:r>
      <w:r>
        <w:rPr>
          <w:rFonts w:ascii="宋体" w:cs="宋体" w:eastAsia="SimSun" w:hAnsi="宋体"/>
          <w:kern w:val="2"/>
          <w:sz w:val="24"/>
          <w:szCs w:val="24"/>
          <w:lang w:eastAsia="zh-CN"/>
        </w:rPr>
        <w:t xml:space="preserve"> to</w:t>
      </w:r>
      <w:r>
        <w:rPr>
          <w:rFonts w:ascii="宋体" w:cs="宋体" w:eastAsia="Times New Roman" w:hAnsi="宋体"/>
          <w:sz w:val="24"/>
          <w:szCs w:val="24"/>
        </w:rPr>
        <w:t xml:space="preserve"> </w:t>
      </w:r>
      <w:r>
        <w:rPr>
          <w:rFonts w:ascii="Times New Roman" w:cs="Times New Roman" w:hAnsi="Times New Roman"/>
          <w:sz w:val="24"/>
          <w:szCs w:val="24"/>
        </w:rPr>
        <w:t xml:space="preserve">evaluate the antibacterial activity of aqueous extract of </w:t>
      </w:r>
      <w:r>
        <w:rPr>
          <w:rStyle w:val="style88"/>
          <w:rFonts w:ascii="Times New Roman" w:cs="Times New Roman" w:hAnsi="Times New Roman"/>
          <w:sz w:val="24"/>
          <w:szCs w:val="24"/>
        </w:rPr>
        <w:t>Syzygium</w:t>
      </w:r>
      <w:r>
        <w:rPr>
          <w:rStyle w:val="style88"/>
          <w:rFonts w:ascii="Times New Roman" w:cs="Times New Roman" w:hAnsi="Times New Roman"/>
          <w:sz w:val="24"/>
          <w:szCs w:val="24"/>
        </w:rPr>
        <w:t xml:space="preserve"> </w:t>
      </w:r>
      <w:r>
        <w:rPr>
          <w:rStyle w:val="style88"/>
          <w:rFonts w:ascii="Times New Roman" w:cs="Times New Roman" w:hAnsi="Times New Roman"/>
          <w:sz w:val="24"/>
          <w:szCs w:val="24"/>
        </w:rPr>
        <w:t>aromaticum</w:t>
      </w:r>
      <w:r>
        <w:rPr>
          <w:rFonts w:ascii="Times New Roman" w:cs="Times New Roman" w:hAnsi="Times New Roman"/>
          <w:sz w:val="24"/>
          <w:szCs w:val="24"/>
        </w:rPr>
        <w:t xml:space="preserve"> (clove) against 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and </w:t>
      </w:r>
      <w:r>
        <w:rPr>
          <w:rStyle w:val="style88"/>
          <w:rFonts w:ascii="Times New Roman" w:cs="Times New Roman" w:hAnsi="Times New Roman"/>
          <w:sz w:val="24"/>
          <w:szCs w:val="24"/>
        </w:rPr>
        <w:t>Escherichia coli</w:t>
      </w:r>
      <w:r>
        <w:rPr>
          <w:rFonts w:ascii="Times New Roman" w:cs="Times New Roman" w:hAnsi="Times New Roman"/>
          <w:sz w:val="24"/>
          <w:szCs w:val="24"/>
        </w:rPr>
        <w:t>.</w:t>
      </w:r>
    </w:p>
    <w:bookmarkStart w:id="17" w:name="_Toc85116918"/>
    <w:bookmarkStart w:id="18" w:name="_Toc201509698"/>
    <w:bookmarkStart w:id="19" w:name="_Toc202853695"/>
    <w:p>
      <w:pPr>
        <w:pStyle w:val="style2"/>
        <w:rPr>
          <w:rFonts w:ascii="宋体" w:hAnsi="宋体"/>
          <w:sz w:val="24"/>
          <w:szCs w:val="24"/>
        </w:rPr>
      </w:pPr>
      <w:r>
        <w:rPr>
          <w:rFonts w:ascii="宋体" w:hAnsi="宋体"/>
          <w:sz w:val="24"/>
          <w:szCs w:val="24"/>
        </w:rPr>
        <w:t>1.4 Objectives of Study</w:t>
      </w:r>
      <w:bookmarkEnd w:id="17"/>
      <w:bookmarkEnd w:id="18"/>
      <w:bookmarkEnd w:id="19"/>
    </w:p>
    <w:p>
      <w:pPr>
        <w:pStyle w:val="style0"/>
        <w:widowControl w:val="false"/>
        <w:spacing w:after="0" w:lineRule="auto" w:line="480"/>
        <w:ind w:firstLine="360"/>
        <w:jc w:val="both"/>
        <w:rPr>
          <w:rFonts w:ascii="宋体" w:cs="宋体" w:eastAsia="SimSun" w:hAnsi="宋体"/>
          <w:kern w:val="2"/>
          <w:sz w:val="24"/>
          <w:szCs w:val="24"/>
          <w:lang w:eastAsia="zh-CN"/>
        </w:rPr>
      </w:pPr>
      <w:r>
        <w:rPr>
          <w:rFonts w:ascii="宋体" w:cs="宋体" w:eastAsia="SimSun" w:hAnsi="宋体"/>
          <w:kern w:val="2"/>
          <w:sz w:val="24"/>
          <w:szCs w:val="24"/>
          <w:lang w:eastAsia="zh-CN"/>
        </w:rPr>
        <w:t>The specific objectives of this study were to:</w:t>
      </w:r>
    </w:p>
    <w:p>
      <w:pPr>
        <w:pStyle w:val="style94"/>
        <w:numPr>
          <w:ilvl w:val="0"/>
          <w:numId w:val="3"/>
        </w:numPr>
        <w:spacing w:lineRule="auto" w:line="480"/>
        <w:rPr/>
      </w:pPr>
      <w:r>
        <w:t>prepare aqueous extract of clove</w:t>
      </w:r>
      <w:r>
        <w:t>;</w:t>
      </w:r>
    </w:p>
    <w:p>
      <w:pPr>
        <w:pStyle w:val="style94"/>
        <w:numPr>
          <w:ilvl w:val="0"/>
          <w:numId w:val="3"/>
        </w:numPr>
        <w:spacing w:lineRule="auto" w:line="480"/>
        <w:rPr/>
      </w:pPr>
      <w:r>
        <w:t xml:space="preserve">collect </w:t>
      </w:r>
      <w:r>
        <w:t xml:space="preserve">methicillin-resistant </w:t>
      </w:r>
      <w:r>
        <w:rPr>
          <w:rStyle w:val="style88"/>
        </w:rPr>
        <w:t>Staphylococcus aureus</w:t>
      </w:r>
      <w:r>
        <w:t xml:space="preserve"> and </w:t>
      </w:r>
      <w:r>
        <w:rPr>
          <w:rStyle w:val="style88"/>
        </w:rPr>
        <w:t>Escherichia coli</w:t>
      </w:r>
      <w:r>
        <w:t xml:space="preserve"> from </w:t>
      </w:r>
      <w:r>
        <w:t>microbiology lab;</w:t>
      </w:r>
    </w:p>
    <w:p>
      <w:pPr>
        <w:pStyle w:val="style94"/>
        <w:numPr>
          <w:ilvl w:val="0"/>
          <w:numId w:val="3"/>
        </w:numPr>
        <w:spacing w:lineRule="auto" w:line="480"/>
        <w:rPr/>
      </w:pPr>
      <w:r>
        <w:t>determine the antibacterial activity of the aqueous extract</w:t>
      </w:r>
      <w:r>
        <w:t xml:space="preserve"> on clinical pathogen;</w:t>
      </w:r>
    </w:p>
    <w:p>
      <w:pPr>
        <w:pStyle w:val="style179"/>
        <w:numPr>
          <w:ilvl w:val="0"/>
          <w:numId w:val="3"/>
        </w:numPr>
        <w:spacing w:lineRule="auto" w:line="480"/>
        <w:jc w:val="both"/>
        <w:rPr>
          <w:rFonts w:ascii="宋体" w:cs="宋体" w:hAnsi="宋体"/>
          <w:sz w:val="24"/>
          <w:szCs w:val="24"/>
        </w:rPr>
      </w:pPr>
      <w:r>
        <w:rPr>
          <w:rFonts w:ascii="宋体" w:cs="宋体" w:hAnsi="宋体"/>
          <w:sz w:val="24"/>
          <w:szCs w:val="24"/>
        </w:rPr>
        <w:t>d</w:t>
      </w:r>
      <w:r>
        <w:rPr>
          <w:rFonts w:ascii="宋体" w:cs="宋体" w:hAnsi="宋体"/>
          <w:sz w:val="24"/>
          <w:szCs w:val="24"/>
        </w:rPr>
        <w:t>etermin</w:t>
      </w:r>
      <w:r>
        <w:rPr>
          <w:rFonts w:ascii="宋体" w:cs="宋体" w:hAnsi="宋体"/>
          <w:sz w:val="24"/>
          <w:szCs w:val="24"/>
        </w:rPr>
        <w:t>e</w:t>
      </w:r>
      <w:r>
        <w:rPr>
          <w:rFonts w:ascii="宋体" w:cs="宋体" w:hAnsi="宋体"/>
          <w:sz w:val="24"/>
          <w:szCs w:val="24"/>
        </w:rPr>
        <w:t xml:space="preserv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i</w:t>
      </w:r>
      <w:r>
        <w:rPr>
          <w:rFonts w:ascii="宋体" w:cs="宋体" w:hAnsi="宋体"/>
          <w:sz w:val="24"/>
          <w:szCs w:val="24"/>
        </w:rPr>
        <w:t xml:space="preserve">nhibitory </w:t>
      </w:r>
      <w:r>
        <w:rPr>
          <w:rFonts w:ascii="宋体" w:cs="宋体" w:hAnsi="宋体"/>
          <w:sz w:val="24"/>
          <w:szCs w:val="24"/>
        </w:rPr>
        <w:t>c</w:t>
      </w:r>
      <w:r>
        <w:rPr>
          <w:rFonts w:ascii="宋体" w:cs="宋体" w:hAnsi="宋体"/>
          <w:sz w:val="24"/>
          <w:szCs w:val="24"/>
        </w:rPr>
        <w:t xml:space="preserve">oncentration </w:t>
      </w:r>
      <w:r>
        <w:rPr>
          <w:rFonts w:ascii="宋体" w:cs="宋体" w:hAnsi="宋体"/>
          <w:sz w:val="24"/>
          <w:szCs w:val="24"/>
        </w:rPr>
        <w:t>and</w:t>
      </w:r>
    </w:p>
    <w:p>
      <w:pPr>
        <w:pStyle w:val="style179"/>
        <w:numPr>
          <w:ilvl w:val="0"/>
          <w:numId w:val="3"/>
        </w:numPr>
        <w:spacing w:lineRule="auto" w:line="480"/>
        <w:jc w:val="both"/>
        <w:rPr>
          <w:rFonts w:ascii="宋体" w:cs="宋体" w:hAnsi="宋体"/>
          <w:sz w:val="24"/>
          <w:szCs w:val="24"/>
        </w:rPr>
      </w:pPr>
      <w:r>
        <w:rPr>
          <w:rFonts w:ascii="宋体" w:cs="宋体" w:hAnsi="宋体"/>
          <w:sz w:val="24"/>
          <w:szCs w:val="24"/>
        </w:rPr>
        <w:t xml:space="preserve">determine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b</w:t>
      </w:r>
      <w:r>
        <w:rPr>
          <w:rFonts w:ascii="宋体" w:cs="宋体" w:hAnsi="宋体"/>
          <w:sz w:val="24"/>
          <w:szCs w:val="24"/>
        </w:rPr>
        <w:t>actericidal</w:t>
      </w:r>
      <w:r>
        <w:rPr>
          <w:rFonts w:ascii="宋体" w:cs="宋体" w:hAnsi="宋体"/>
          <w:sz w:val="24"/>
          <w:szCs w:val="24"/>
        </w:rPr>
        <w:t xml:space="preserve"> c</w:t>
      </w:r>
      <w:r>
        <w:rPr>
          <w:rFonts w:ascii="宋体" w:cs="宋体" w:hAnsi="宋体"/>
          <w:sz w:val="24"/>
          <w:szCs w:val="24"/>
        </w:rPr>
        <w:t>oncentration</w:t>
      </w:r>
    </w:p>
    <w:p>
      <w:pPr>
        <w:pStyle w:val="style0"/>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jc w:val="both"/>
        <w:rPr/>
      </w:pPr>
    </w:p>
    <w:bookmarkStart w:id="20" w:name="_Toc201509699"/>
    <w:bookmarkStart w:id="21" w:name="_Toc202853696"/>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TWO</w:t>
      </w:r>
      <w:bookmarkEnd w:id="20"/>
      <w:bookmarkEnd w:id="21"/>
    </w:p>
    <w:bookmarkStart w:id="22" w:name="_Toc201509700"/>
    <w:bookmarkStart w:id="23" w:name="_Toc202853697"/>
    <w:p>
      <w:pPr>
        <w:pStyle w:val="style2"/>
        <w:tabs>
          <w:tab w:val="center" w:leader="none" w:pos="4513"/>
        </w:tabs>
        <w:rPr>
          <w:rFonts w:ascii="宋体" w:hAnsi="宋体"/>
          <w:b w:val="false"/>
          <w:bCs w:val="false"/>
          <w:sz w:val="24"/>
          <w:szCs w:val="24"/>
        </w:rPr>
      </w:pPr>
      <w:r>
        <w:rPr>
          <w:rFonts w:ascii="宋体" w:hAnsi="宋体"/>
          <w:sz w:val="24"/>
          <w:szCs w:val="24"/>
        </w:rPr>
        <w:t xml:space="preserve">2.0 </w:t>
      </w:r>
      <w:r>
        <w:rPr>
          <w:rFonts w:ascii="宋体" w:hAnsi="宋体"/>
          <w:sz w:val="24"/>
          <w:szCs w:val="24"/>
        </w:rPr>
        <w:t>LITERATURE REVIEW</w:t>
      </w:r>
      <w:bookmarkEnd w:id="22"/>
      <w:bookmarkEnd w:id="23"/>
    </w:p>
    <w:bookmarkStart w:id="24" w:name="_Toc202853698"/>
    <w:p>
      <w:pPr>
        <w:pStyle w:val="style2"/>
        <w:tabs>
          <w:tab w:val="center" w:leader="none" w:pos="4513"/>
        </w:tabs>
        <w:rPr>
          <w:rFonts w:ascii="宋体" w:hAnsi="宋体"/>
          <w:sz w:val="24"/>
          <w:szCs w:val="24"/>
        </w:rPr>
      </w:pPr>
      <w:r>
        <w:rPr>
          <w:rFonts w:ascii="宋体" w:hAnsi="宋体"/>
          <w:sz w:val="24"/>
          <w:szCs w:val="24"/>
        </w:rPr>
        <w:t>2.1 Overview of Antimicrobial Resistance</w:t>
      </w:r>
      <w:bookmarkEnd w:id="24"/>
    </w:p>
    <w:bookmarkStart w:id="25" w:name="_Toc202853699"/>
    <w:p>
      <w:pPr>
        <w:pStyle w:val="style3"/>
        <w:rPr>
          <w:sz w:val="24"/>
          <w:szCs w:val="24"/>
        </w:rPr>
      </w:pPr>
      <w:r>
        <w:rPr>
          <w:sz w:val="24"/>
          <w:szCs w:val="24"/>
        </w:rPr>
        <w:t>2.1.1 Global Burden of Antibiotic Resistance</w:t>
      </w:r>
      <w:bookmarkEnd w:id="25"/>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6" w:name="_Toc202853700"/>
    <w:p>
      <w:pPr>
        <w:pStyle w:val="style3"/>
        <w:rPr>
          <w:sz w:val="24"/>
          <w:szCs w:val="24"/>
        </w:rPr>
      </w:pPr>
      <w:r>
        <w:rPr>
          <w:sz w:val="24"/>
          <w:szCs w:val="24"/>
        </w:rPr>
        <w:t>2.1.2 Emergence of Multidrug-Resistant Bacteria</w:t>
      </w:r>
      <w:bookmarkEnd w:id="2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extended-spectrum β-lactamase (ESBL)-producing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sz w:val="24"/>
          <w:szCs w:val="24"/>
        </w:rPr>
        <w:t xml:space="preserve"> are now resistant to multiple classes of antibiotics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continued evolution of these strains highlights the urgent need for novel antimicrobial solutions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7" w:name="_Toc202853701"/>
    <w:p>
      <w:pPr>
        <w:pStyle w:val="style3"/>
        <w:rPr>
          <w:sz w:val="24"/>
          <w:szCs w:val="24"/>
        </w:rPr>
      </w:pPr>
      <w:r>
        <w:rPr>
          <w:sz w:val="24"/>
          <w:szCs w:val="24"/>
        </w:rPr>
        <w:t>2.1.3 Need for Alternative Therapies</w:t>
      </w:r>
      <w:bookmarkEnd w:id="27"/>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Due to the slow pace of new antibiotic discovery and the increasing resistance to existing drugs, there is growing interest in complementary approaches such as </w:t>
      </w:r>
      <w:r>
        <w:rPr>
          <w:rFonts w:ascii="Times New Roman" w:cs="Times New Roman" w:eastAsia="Times New Roman" w:hAnsi="Times New Roman"/>
          <w:sz w:val="24"/>
          <w:szCs w:val="24"/>
        </w:rPr>
        <w:t>phytotherapy</w:t>
      </w:r>
      <w:r>
        <w:rPr>
          <w:rFonts w:ascii="Times New Roman" w:cs="Times New Roman" w:eastAsia="Times New Roman" w:hAnsi="Times New Roman"/>
          <w:sz w:val="24"/>
          <w:szCs w:val="24"/>
        </w:rPr>
        <w:t xml:space="preserve">. Plant-based antimicrobials are being explored for their ability to target bacteria through multiple mechanisms while posing a lower risk of resistance development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bookmarkStart w:id="28" w:name="_Toc202853702"/>
    <w:p>
      <w:pPr>
        <w:pStyle w:val="style2"/>
        <w:tabs>
          <w:tab w:val="center" w:leader="none" w:pos="4513"/>
        </w:tabs>
        <w:rPr>
          <w:rFonts w:ascii="宋体" w:hAnsi="宋体"/>
          <w:sz w:val="24"/>
          <w:szCs w:val="24"/>
        </w:rPr>
      </w:pPr>
      <w:r>
        <w:rPr>
          <w:rFonts w:ascii="宋体" w:hAnsi="宋体"/>
          <w:sz w:val="24"/>
          <w:szCs w:val="24"/>
        </w:rPr>
        <w:t>2.2 Clinical Relevance of the Test Organisms</w:t>
      </w:r>
      <w:bookmarkEnd w:id="28"/>
    </w:p>
    <w:bookmarkStart w:id="29" w:name="_Toc202853703"/>
    <w:p>
      <w:pPr>
        <w:pStyle w:val="style3"/>
        <w:rPr>
          <w:sz w:val="24"/>
          <w:szCs w:val="24"/>
        </w:rPr>
      </w:pPr>
      <w:r>
        <w:rPr>
          <w:sz w:val="24"/>
          <w:szCs w:val="24"/>
        </w:rPr>
        <w:t>2.2.1 Staphylococcus aureus (MRSA and MSSA)</w:t>
      </w:r>
      <w:bookmarkEnd w:id="29"/>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is a Gram-positive </w:t>
      </w:r>
      <w:r>
        <w:rPr>
          <w:rFonts w:ascii="Times New Roman" w:cs="Times New Roman" w:hAnsi="Times New Roman"/>
          <w:sz w:val="24"/>
          <w:szCs w:val="24"/>
        </w:rPr>
        <w:t>coccal</w:t>
      </w:r>
      <w:r>
        <w:rPr>
          <w:rFonts w:ascii="Times New Roman" w:cs="Times New Roman" w:hAnsi="Times New Roman"/>
          <w:sz w:val="24"/>
          <w:szCs w:val="24"/>
        </w:rPr>
        <w:t xml:space="preserve"> bacterium commonly found in the human nasal passages and skin (Tong </w:t>
      </w:r>
      <w:r>
        <w:rPr>
          <w:rFonts w:ascii="Times New Roman" w:cs="Times New Roman" w:hAnsi="Times New Roman"/>
          <w:i/>
          <w:sz w:val="24"/>
          <w:szCs w:val="24"/>
        </w:rPr>
        <w:t>et al</w:t>
      </w:r>
      <w:r>
        <w:rPr>
          <w:rFonts w:ascii="Times New Roman" w:cs="Times New Roman" w:hAnsi="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(MRSA) is a particularly virulent and drug-resistant strain that has become endemic in hospitals and increasingly prevalent in community settings (Lee </w:t>
      </w:r>
      <w:r>
        <w:rPr>
          <w:rFonts w:ascii="Times New Roman" w:cs="Times New Roman" w:hAnsi="Times New Roman"/>
          <w:i/>
          <w:sz w:val="24"/>
          <w:szCs w:val="24"/>
        </w:rPr>
        <w:t>et al</w:t>
      </w:r>
      <w:r>
        <w:rPr>
          <w:rFonts w:ascii="Times New Roman" w:cs="Times New Roman" w:hAnsi="Times New Roman"/>
          <w:sz w:val="24"/>
          <w:szCs w:val="24"/>
        </w:rPr>
        <w:t xml:space="preserve">., 2018). MRSA is resistant to all β-lactam antibiotics, which complicates treatment and increases morbidity, mortality, and healthcare costs (David &amp; </w:t>
      </w:r>
      <w:r>
        <w:rPr>
          <w:rFonts w:ascii="Times New Roman" w:cs="Times New Roman" w:hAnsi="Times New Roman"/>
          <w:sz w:val="24"/>
          <w:szCs w:val="24"/>
        </w:rPr>
        <w:t>Daum</w:t>
      </w:r>
      <w:r>
        <w:rPr>
          <w:rFonts w:ascii="Times New Roman" w:cs="Times New Roman" w:hAnsi="Times New Roman"/>
          <w:sz w:val="24"/>
          <w:szCs w:val="24"/>
        </w:rPr>
        <w:t xml:space="preserve">, 2010). In contrast,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style88"/>
          <w:rFonts w:ascii="Times New Roman" w:cs="Times New Roman" w:hAnsi="Times New Roman"/>
          <w:sz w:val="24"/>
          <w:szCs w:val="24"/>
        </w:rPr>
        <w:t>S. aureus</w:t>
      </w:r>
      <w:r>
        <w:rPr>
          <w:rFonts w:ascii="Times New Roman" w:cs="Times New Roman" w:hAnsi="Times New Roman"/>
          <w:sz w:val="24"/>
          <w:szCs w:val="24"/>
        </w:rPr>
        <w:t xml:space="preserve">, indicating potential use as adjunct therapies (Nassar </w:t>
      </w:r>
      <w:r>
        <w:rPr>
          <w:rFonts w:ascii="Times New Roman" w:cs="Times New Roman" w:hAnsi="Times New Roman"/>
          <w:i/>
          <w:sz w:val="24"/>
          <w:szCs w:val="24"/>
        </w:rPr>
        <w:t>et al</w:t>
      </w:r>
      <w:r>
        <w:rPr>
          <w:rFonts w:ascii="Times New Roman" w:cs="Times New Roman" w:hAnsi="Times New Roman"/>
          <w:sz w:val="24"/>
          <w:szCs w:val="24"/>
        </w:rPr>
        <w:t>., 2017).</w:t>
      </w:r>
    </w:p>
    <w:bookmarkStart w:id="30" w:name="_Toc202853704"/>
    <w:p>
      <w:pPr>
        <w:pStyle w:val="style3"/>
        <w:rPr>
          <w:sz w:val="24"/>
          <w:szCs w:val="24"/>
        </w:rPr>
      </w:pPr>
      <w:r>
        <w:rPr>
          <w:sz w:val="24"/>
          <w:szCs w:val="24"/>
        </w:rPr>
        <w:t>2.2.2 Escherichia coli</w:t>
      </w:r>
      <w:bookmarkEnd w:id="30"/>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Escherichia coli</w:t>
      </w:r>
      <w:r>
        <w:rPr>
          <w:rFonts w:ascii="Times New Roman" w:cs="Times New Roman" w:hAnsi="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(EPEC), Enterotoxigenic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(ETEC), and </w:t>
      </w:r>
      <w:r>
        <w:rPr>
          <w:rFonts w:ascii="Times New Roman" w:cs="Times New Roman" w:hAnsi="Times New Roman"/>
          <w:sz w:val="24"/>
          <w:szCs w:val="24"/>
        </w:rPr>
        <w:t>Uropathogenic</w:t>
      </w:r>
      <w:r>
        <w:rPr>
          <w:rFonts w:ascii="Times New Roman" w:cs="Times New Roman" w:hAnsi="Times New Roman"/>
          <w:sz w:val="24"/>
          <w:szCs w:val="24"/>
        </w:rPr>
        <w:t xml:space="preserve"> </w:t>
      </w:r>
      <w:r>
        <w:rPr>
          <w:rStyle w:val="style88"/>
          <w:rFonts w:ascii="Times New Roman" w:cs="Times New Roman" w:hAnsi="Times New Roman"/>
          <w:sz w:val="24"/>
          <w:szCs w:val="24"/>
        </w:rPr>
        <w:t>E. coli</w:t>
      </w:r>
      <w:r>
        <w:rPr>
          <w:rFonts w:ascii="Times New Roman" w:cs="Times New Roman" w:hAnsi="Times New Roman"/>
          <w:sz w:val="24"/>
          <w:szCs w:val="24"/>
        </w:rPr>
        <w:t xml:space="preserve"> (UPEC) are significant causes of diarrhea, urinary tract infections, and sepsis, respectively (</w:t>
      </w:r>
      <w:r>
        <w:rPr>
          <w:rFonts w:ascii="Times New Roman" w:cs="Times New Roman" w:hAnsi="Times New Roman"/>
          <w:sz w:val="24"/>
          <w:szCs w:val="24"/>
        </w:rPr>
        <w:t>Kaper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2004). The rise of extended-spectrum beta-lactamase (ESBL)-producing </w:t>
      </w:r>
      <w:r>
        <w:rPr>
          <w:rStyle w:val="style88"/>
          <w:rFonts w:ascii="Times New Roman" w:cs="Times New Roman" w:hAnsi="Times New Roman"/>
          <w:sz w:val="24"/>
          <w:szCs w:val="24"/>
        </w:rPr>
        <w:t>E. coli</w:t>
      </w:r>
      <w:r>
        <w:rPr>
          <w:rFonts w:ascii="Times New Roman" w:cs="Times New Roman" w:hAnsi="Times New Roman"/>
          <w:sz w:val="24"/>
          <w:szCs w:val="24"/>
        </w:rPr>
        <w:t xml:space="preserve"> has severely limited the efficacy of first-line antibiotics, prompting the need for novel antimicrobial agents (Paterson &amp; </w:t>
      </w:r>
      <w:r>
        <w:rPr>
          <w:rFonts w:ascii="Times New Roman" w:cs="Times New Roman" w:hAnsi="Times New Roman"/>
          <w:sz w:val="24"/>
          <w:szCs w:val="24"/>
        </w:rPr>
        <w:t>Bonomo</w:t>
      </w:r>
      <w:r>
        <w:rPr>
          <w:rFonts w:ascii="Times New Roman" w:cs="Times New Roman" w:hAnsi="Times New Roman"/>
          <w:sz w:val="24"/>
          <w:szCs w:val="24"/>
        </w:rPr>
        <w:t xml:space="preserve">, 2005). Clove extracts, particularly those containing high concentrations of eugenol, </w:t>
      </w:r>
      <w:r>
        <w:rPr>
          <w:rFonts w:ascii="Times New Roman" w:cs="Times New Roman" w:hAnsi="Times New Roman"/>
          <w:sz w:val="24"/>
          <w:szCs w:val="24"/>
        </w:rPr>
        <w:t xml:space="preserve">have demonstrated significant antibacterial activity against both susceptible and resistant strains of </w:t>
      </w:r>
      <w:r>
        <w:rPr>
          <w:rStyle w:val="style88"/>
          <w:rFonts w:ascii="Times New Roman" w:cs="Times New Roman" w:hAnsi="Times New Roman"/>
          <w:sz w:val="24"/>
          <w:szCs w:val="24"/>
        </w:rPr>
        <w:t>E. coli</w:t>
      </w:r>
      <w:r>
        <w:rPr>
          <w:rFonts w:ascii="Times New Roman" w:cs="Times New Roman" w:hAnsi="Times New Roman"/>
          <w:sz w:val="24"/>
          <w:szCs w:val="24"/>
        </w:rPr>
        <w:t xml:space="preserve"> in vitro (Marchese </w:t>
      </w:r>
      <w:r>
        <w:rPr>
          <w:rFonts w:ascii="Times New Roman" w:cs="Times New Roman" w:hAnsi="Times New Roman"/>
          <w:i/>
          <w:sz w:val="24"/>
          <w:szCs w:val="24"/>
        </w:rPr>
        <w:t>et al</w:t>
      </w:r>
      <w:r>
        <w:rPr>
          <w:rFonts w:ascii="Times New Roman" w:cs="Times New Roman" w:hAnsi="Times New Roman"/>
          <w:sz w:val="24"/>
          <w:szCs w:val="24"/>
        </w:rPr>
        <w:t xml:space="preserve">., 2017). </w:t>
      </w:r>
    </w:p>
    <w:bookmarkStart w:id="31" w:name="_Toc202853705"/>
    <w:p>
      <w:pPr>
        <w:pStyle w:val="style3"/>
        <w:rPr>
          <w:sz w:val="24"/>
          <w:szCs w:val="24"/>
        </w:rPr>
      </w:pPr>
      <w:r>
        <w:rPr>
          <w:sz w:val="24"/>
          <w:szCs w:val="24"/>
        </w:rPr>
        <w:t>2.2.3 Pseudomonas aeruginosa</w:t>
      </w:r>
      <w:bookmarkEnd w:id="31"/>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Pseudomonas aeruginosa</w:t>
      </w:r>
      <w:r>
        <w:rPr>
          <w:rFonts w:ascii="Times New Roman" w:cs="Times New Roman" w:hAnsi="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cs="Times New Roman" w:hAnsi="Times New Roman"/>
          <w:i/>
          <w:sz w:val="24"/>
          <w:szCs w:val="24"/>
        </w:rPr>
        <w:t>et al</w:t>
      </w:r>
      <w:r>
        <w:rPr>
          <w:rFonts w:ascii="Times New Roman" w:cs="Times New Roman" w:hAnsi="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cs="Times New Roman" w:hAnsi="Times New Roman"/>
          <w:i/>
          <w:sz w:val="24"/>
          <w:szCs w:val="24"/>
        </w:rPr>
        <w:t>et al</w:t>
      </w:r>
      <w:r>
        <w:rPr>
          <w:rFonts w:ascii="Times New Roman" w:cs="Times New Roman" w:hAnsi="Times New Roman"/>
          <w:sz w:val="24"/>
          <w:szCs w:val="24"/>
        </w:rPr>
        <w:t xml:space="preserve">., 2015). In addition,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employs quorum sensing to regulate virulence factor production and biofilm formation, both of which contribute to chronic infection and antibiotic tolerance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2020). Clove extracts have been shown to disrupt quorum sensing pathways, inhibit biofilm formation, and reduce the growth of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in laboratory settings, highlighting their potential in the management of persistent infections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p>
    <w:bookmarkStart w:id="32" w:name="_Toc202853706"/>
    <w:p>
      <w:pPr>
        <w:pStyle w:val="style3"/>
        <w:rPr>
          <w:sz w:val="24"/>
          <w:szCs w:val="24"/>
        </w:rPr>
      </w:pPr>
      <w:r>
        <w:rPr>
          <w:sz w:val="24"/>
          <w:szCs w:val="24"/>
        </w:rPr>
        <w:t xml:space="preserve">2.2.4 </w:t>
      </w:r>
      <w:r>
        <w:rPr>
          <w:sz w:val="24"/>
          <w:szCs w:val="24"/>
        </w:rPr>
        <w:t>Klebsiella</w:t>
      </w:r>
      <w:r>
        <w:rPr>
          <w:sz w:val="24"/>
          <w:szCs w:val="24"/>
        </w:rPr>
        <w:t xml:space="preserve"> pneumoniae</w:t>
      </w:r>
      <w:bookmarkEnd w:id="32"/>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Klebsiella</w:t>
      </w:r>
      <w:r>
        <w:rPr>
          <w:rStyle w:val="style88"/>
          <w:rFonts w:ascii="Times New Roman" w:cs="Times New Roman" w:hAnsi="Times New Roman"/>
          <w:sz w:val="24"/>
          <w:szCs w:val="24"/>
        </w:rPr>
        <w:t xml:space="preserve"> pneumoniae</w:t>
      </w:r>
      <w:r>
        <w:rPr>
          <w:rFonts w:ascii="Times New Roman" w:cs="Times New Roman" w:hAnsi="Times New Roman"/>
          <w:sz w:val="24"/>
          <w:szCs w:val="24"/>
        </w:rPr>
        <w:t xml:space="preserve"> is a Gram-negative, non-motile bacterium that is commonly implicated in hospital-acquired infections, including pneumonia, bloodstream infections, surgical wound infections, and urinary tract infections (</w:t>
      </w:r>
      <w:r>
        <w:rPr>
          <w:rFonts w:ascii="Times New Roman" w:cs="Times New Roman" w:hAnsi="Times New Roman"/>
          <w:sz w:val="24"/>
          <w:szCs w:val="24"/>
        </w:rPr>
        <w:t>Podschun</w:t>
      </w:r>
      <w:r>
        <w:rPr>
          <w:rFonts w:ascii="Times New Roman" w:cs="Times New Roman" w:hAnsi="Times New Roman"/>
          <w:sz w:val="24"/>
          <w:szCs w:val="24"/>
        </w:rPr>
        <w:t xml:space="preserve"> &amp; Ullmann, 2018). It is known for its polysaccharide capsule, which serves as a major virulence factor by inhibiting phagocytosis (Navon-Venezia </w:t>
      </w:r>
      <w:r>
        <w:rPr>
          <w:rFonts w:ascii="Times New Roman" w:cs="Times New Roman" w:hAnsi="Times New Roman"/>
          <w:i/>
          <w:sz w:val="24"/>
          <w:szCs w:val="24"/>
        </w:rPr>
        <w:t>et al</w:t>
      </w:r>
      <w:r>
        <w:rPr>
          <w:rFonts w:ascii="Times New Roman" w:cs="Times New Roman" w:hAnsi="Times New Roman"/>
          <w:sz w:val="24"/>
          <w:szCs w:val="24"/>
        </w:rPr>
        <w:t xml:space="preserve">., 2017). The recent emergence of carbapenem-resistant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(CRKP) has posed a major public health threat due to limited treatment options and high mortality rates (</w:t>
      </w:r>
      <w:r>
        <w:rPr>
          <w:rFonts w:ascii="Times New Roman" w:cs="Times New Roman" w:hAnsi="Times New Roman"/>
          <w:sz w:val="24"/>
          <w:szCs w:val="24"/>
        </w:rPr>
        <w:t>Pitout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 In vitro studies have demonstrated that clove extracts possess inhibitory effects against </w:t>
      </w:r>
      <w:r>
        <w:rPr>
          <w:rStyle w:val="style88"/>
          <w:rFonts w:ascii="Times New Roman" w:cs="Times New Roman" w:hAnsi="Times New Roman"/>
          <w:sz w:val="24"/>
          <w:szCs w:val="24"/>
        </w:rPr>
        <w:t>K. pneumoniae</w:t>
      </w:r>
      <w:r>
        <w:rPr>
          <w:rFonts w:ascii="Times New Roman" w:cs="Times New Roman" w:hAnsi="Times New Roman"/>
          <w:sz w:val="24"/>
          <w:szCs w:val="24"/>
        </w:rPr>
        <w:t>, possibly through membrane disruption and inhibition of essential metabolic pathways. These findings suggest that plant-</w:t>
      </w:r>
      <w:r>
        <w:rPr>
          <w:rFonts w:ascii="Times New Roman" w:cs="Times New Roman" w:hAnsi="Times New Roman"/>
          <w:sz w:val="24"/>
          <w:szCs w:val="24"/>
        </w:rPr>
        <w:t>based antimicrobials could be beneficial in combating infections caused by resistant strains (</w:t>
      </w:r>
      <w:r>
        <w:rPr>
          <w:rFonts w:ascii="Times New Roman" w:cs="Times New Roman" w:hAnsi="Times New Roman"/>
          <w:sz w:val="24"/>
          <w:szCs w:val="24"/>
        </w:rPr>
        <w:t>Nabavi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w:t>
      </w:r>
    </w:p>
    <w:bookmarkStart w:id="33" w:name="_Toc202853707"/>
    <w:p>
      <w:pPr>
        <w:pStyle w:val="style3"/>
        <w:rPr>
          <w:sz w:val="24"/>
          <w:szCs w:val="24"/>
        </w:rPr>
      </w:pPr>
      <w:r>
        <w:rPr>
          <w:sz w:val="24"/>
          <w:szCs w:val="24"/>
        </w:rPr>
        <w:t>2.2.5 Salmonella typhi</w:t>
      </w:r>
      <w:bookmarkEnd w:id="33"/>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Salmonella enterica</w:t>
      </w:r>
      <w:r>
        <w:rPr>
          <w:rFonts w:ascii="Times New Roman" w:cs="Times New Roman" w:hAnsi="Times New Roman"/>
          <w:sz w:val="24"/>
          <w:szCs w:val="24"/>
        </w:rPr>
        <w:t xml:space="preserve"> </w:t>
      </w:r>
      <w:r>
        <w:rPr>
          <w:rFonts w:ascii="Times New Roman" w:cs="Times New Roman" w:hAnsi="Times New Roman"/>
          <w:sz w:val="24"/>
          <w:szCs w:val="24"/>
        </w:rPr>
        <w:t>serovar</w:t>
      </w:r>
      <w:r>
        <w:rPr>
          <w:rFonts w:ascii="Times New Roman" w:cs="Times New Roman" w:hAnsi="Times New Roman"/>
          <w:sz w:val="24"/>
          <w:szCs w:val="24"/>
        </w:rPr>
        <w:t xml:space="preserve">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r>
        <w:rPr>
          <w:rFonts w:ascii="Times New Roman" w:cs="Times New Roman" w:hAnsi="Times New Roman"/>
          <w:sz w:val="24"/>
          <w:szCs w:val="24"/>
        </w:rPr>
        <w:t>Mintz</w:t>
      </w:r>
      <w:r>
        <w:rPr>
          <w:rFonts w:ascii="Times New Roman" w:cs="Times New Roman" w:hAnsi="Times New Roman"/>
          <w:sz w:val="24"/>
          <w:szCs w:val="24"/>
        </w:rPr>
        <w:t xml:space="preserve">, 2010). The emergence of multidrug-resistant (MDR) </w:t>
      </w:r>
      <w:r>
        <w:rPr>
          <w:rStyle w:val="style88"/>
          <w:rFonts w:ascii="Times New Roman" w:cs="Times New Roman" w:hAnsi="Times New Roman"/>
          <w:sz w:val="24"/>
          <w:szCs w:val="24"/>
        </w:rPr>
        <w:t>S. typhi</w:t>
      </w:r>
      <w:r>
        <w:rPr>
          <w:rFonts w:ascii="Times New Roman" w:cs="Times New Roman" w:hAnsi="Times New Roman"/>
          <w:sz w:val="24"/>
          <w:szCs w:val="24"/>
        </w:rPr>
        <w:t xml:space="preserve"> strains has greatly complicated the management of typhoid fever, especially with resistance to chloramphenicol, ampicillin, and trimethoprim-sulfamethoxazole (Parry </w:t>
      </w:r>
      <w:r>
        <w:rPr>
          <w:rFonts w:ascii="Times New Roman" w:cs="Times New Roman" w:hAnsi="Times New Roman"/>
          <w:i/>
          <w:sz w:val="24"/>
          <w:szCs w:val="24"/>
        </w:rPr>
        <w:t>et al</w:t>
      </w:r>
      <w:r>
        <w:rPr>
          <w:rFonts w:ascii="Times New Roman" w:cs="Times New Roman" w:hAnsi="Times New Roman"/>
          <w:sz w:val="24"/>
          <w:szCs w:val="24"/>
        </w:rPr>
        <w:t xml:space="preserve">., 2002). Clove extracts have been observed to exert strong antibacterial activity against </w:t>
      </w:r>
      <w:r>
        <w:rPr>
          <w:rStyle w:val="style88"/>
          <w:rFonts w:ascii="Times New Roman" w:cs="Times New Roman" w:hAnsi="Times New Roman"/>
          <w:sz w:val="24"/>
          <w:szCs w:val="24"/>
        </w:rPr>
        <w:t>S. typhi</w:t>
      </w:r>
      <w:r>
        <w:rPr>
          <w:rFonts w:ascii="Times New Roman" w:cs="Times New Roman" w:hAnsi="Times New Roman"/>
          <w:sz w:val="24"/>
          <w:szCs w:val="24"/>
        </w:rPr>
        <w:t xml:space="preserve"> in vitro, particularly when extracted with methanol or ethanol (</w:t>
      </w:r>
      <w:r>
        <w:rPr>
          <w:rFonts w:ascii="Times New Roman" w:cs="Times New Roman" w:hAnsi="Times New Roman"/>
          <w:sz w:val="24"/>
          <w:szCs w:val="24"/>
        </w:rPr>
        <w:t>Akinpelu</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This suggests a valuable role for clove-based formulations in areas where conventional antibiotic therapy may be ineffective or inaccessible.</w:t>
      </w:r>
    </w:p>
    <w:bookmarkStart w:id="34" w:name="_Toc202853708"/>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3</w:t>
      </w:r>
      <w:r>
        <w:rPr>
          <w:rFonts w:ascii="宋体" w:hAnsi="宋体"/>
          <w:sz w:val="24"/>
          <w:szCs w:val="24"/>
        </w:rPr>
        <w:t xml:space="preserve"> Overview of Clove</w:t>
      </w:r>
      <w:bookmarkEnd w:id="34"/>
    </w:p>
    <w:p>
      <w:pPr>
        <w:pStyle w:val="style0"/>
        <w:spacing w:lineRule="auto" w:line="480"/>
        <w:ind w:firstLine="720"/>
        <w:jc w:val="both"/>
        <w:rPr>
          <w:rFonts w:ascii="宋体" w:cs="宋体" w:hAnsi="宋体"/>
          <w:sz w:val="24"/>
          <w:szCs w:val="24"/>
        </w:rPr>
      </w:pPr>
      <w:r>
        <w:rPr>
          <w:rFonts w:ascii="宋体" w:cs="宋体" w:hAnsi="宋体"/>
          <w:sz w:val="24"/>
          <w:szCs w:val="24"/>
        </w:rPr>
        <w:t>Spices as clove, oregano, mint, thyme and cinnamon, have been employed for centuries as</w:t>
      </w:r>
      <w:r>
        <w:rPr>
          <w:rFonts w:ascii="宋体" w:cs="宋体" w:hAnsi="宋体"/>
          <w:sz w:val="24"/>
          <w:szCs w:val="24"/>
        </w:rPr>
        <w:t xml:space="preserve"> </w:t>
      </w:r>
      <w:r>
        <w:rPr>
          <w:rFonts w:ascii="宋体" w:cs="宋体" w:hAnsi="宋体"/>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宋体" w:cs="宋体" w:hAnsi="宋体"/>
          <w:sz w:val="24"/>
          <w:szCs w:val="24"/>
        </w:rPr>
        <w:t xml:space="preserve"> (</w:t>
      </w:r>
      <w:r>
        <w:rPr>
          <w:rFonts w:ascii="宋体" w:cs="宋体" w:hAnsi="宋体"/>
          <w:sz w:val="24"/>
          <w:szCs w:val="24"/>
        </w:rPr>
        <w:t xml:space="preserve">Shan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i/>
          <w:iCs/>
          <w:sz w:val="24"/>
          <w:szCs w:val="24"/>
        </w:rPr>
        <w:t xml:space="preserve"> (S. </w:t>
      </w:r>
      <w:r>
        <w:rPr>
          <w:rFonts w:ascii="宋体" w:cs="宋体" w:hAnsi="宋体"/>
          <w:i/>
          <w:iCs/>
          <w:sz w:val="24"/>
          <w:szCs w:val="24"/>
        </w:rPr>
        <w:t>aromaticum</w:t>
      </w:r>
      <w:r>
        <w:rPr>
          <w:rFonts w:ascii="宋体" w:cs="宋体" w:hAnsi="宋体"/>
          <w:sz w:val="24"/>
          <w:szCs w:val="24"/>
        </w:rPr>
        <w:t xml:space="preserve">) (synonym: </w:t>
      </w:r>
      <w:r>
        <w:rPr>
          <w:rFonts w:ascii="宋体" w:cs="宋体" w:hAnsi="宋体"/>
          <w:i/>
          <w:iCs/>
          <w:sz w:val="24"/>
          <w:szCs w:val="24"/>
        </w:rPr>
        <w:t xml:space="preserve">Eugenia </w:t>
      </w:r>
      <w:r>
        <w:rPr>
          <w:rFonts w:ascii="宋体" w:cs="宋体" w:hAnsi="宋体"/>
          <w:i/>
          <w:iCs/>
          <w:sz w:val="24"/>
          <w:szCs w:val="24"/>
        </w:rPr>
        <w:t>cariophylata</w:t>
      </w:r>
      <w:r>
        <w:rPr>
          <w:rFonts w:ascii="宋体" w:cs="宋体" w:hAnsi="宋体"/>
          <w:sz w:val="24"/>
          <w:szCs w:val="24"/>
        </w:rPr>
        <w:t xml:space="preserve">) commonly known as clove, is a median size tree (8-12 m) from the </w:t>
      </w:r>
      <w:r>
        <w:rPr>
          <w:rFonts w:ascii="宋体" w:cs="宋体" w:hAnsi="宋体"/>
          <w:sz w:val="24"/>
          <w:szCs w:val="24"/>
        </w:rPr>
        <w:t>Mirtaceae</w:t>
      </w:r>
      <w:r>
        <w:rPr>
          <w:rFonts w:ascii="宋体" w:cs="宋体" w:hAnsi="宋体"/>
          <w:sz w:val="24"/>
          <w:szCs w:val="24"/>
        </w:rPr>
        <w:t xml:space="preserve"> family native from the Maluku islands in east Indonesia. For centuries the trade of clove and the search of this valuable spice stimulated the economic development of this Asiatic region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Kamatou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The </w:t>
      </w:r>
      <w:r>
        <w:rPr>
          <w:rFonts w:ascii="宋体" w:cs="宋体" w:hAnsi="宋体"/>
          <w:sz w:val="24"/>
          <w:szCs w:val="24"/>
        </w:rPr>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宋体" w:cs="宋体" w:hAnsi="宋体"/>
          <w:sz w:val="24"/>
          <w:szCs w:val="24"/>
        </w:rPr>
        <w:t xml:space="preserve"> </w:t>
      </w:r>
      <w:r>
        <w:rPr>
          <w:rFonts w:ascii="宋体" w:cs="宋体" w:hAnsi="宋体"/>
          <w:sz w:val="24"/>
          <w:szCs w:val="24"/>
        </w:rPr>
        <w:t>using a natural phytohormone which liberates ethylene in the vegetal tissue, producing precocious maturation</w:t>
      </w:r>
      <w:r>
        <w:rPr>
          <w:rFonts w:ascii="宋体" w:cs="宋体" w:hAnsi="宋体"/>
          <w:sz w:val="24"/>
          <w:szCs w:val="24"/>
        </w:rPr>
        <w:t xml:space="preserve"> </w:t>
      </w:r>
      <w:r>
        <w:rPr>
          <w:rFonts w:ascii="宋体" w:cs="宋体" w:hAnsi="宋体"/>
          <w:sz w:val="24"/>
          <w:szCs w:val="24"/>
        </w:rPr>
        <w:t xml:space="preserve">(Filho </w:t>
      </w:r>
      <w:r>
        <w:rPr>
          <w:rFonts w:ascii="宋体" w:cs="宋体" w:hAnsi="宋体"/>
          <w:i/>
          <w:iCs/>
          <w:sz w:val="24"/>
          <w:szCs w:val="24"/>
        </w:rPr>
        <w:t>et al</w:t>
      </w:r>
      <w:r>
        <w:rPr>
          <w:rFonts w:ascii="宋体" w:cs="宋体" w:hAnsi="宋体"/>
          <w:sz w:val="24"/>
          <w:szCs w:val="24"/>
        </w:rPr>
        <w:t>., 2013)</w:t>
      </w:r>
      <w:r>
        <w:rPr>
          <w:rFonts w:ascii="宋体" w:cs="宋体" w:hAnsi="宋体"/>
          <w:sz w:val="24"/>
          <w:szCs w:val="24"/>
        </w:rPr>
        <w:t>.</w:t>
      </w:r>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r>
        <w:rPr>
          <w:rFonts w:ascii="宋体" w:cs="宋体" w:hAnsi="宋体"/>
          <w:sz w:val="24"/>
          <w:szCs w:val="24"/>
        </w:rPr>
        <w:t>Valença</w:t>
      </w:r>
      <w:r>
        <w:rPr>
          <w:rFonts w:ascii="宋体" w:cs="宋体" w:hAnsi="宋体"/>
          <w:sz w:val="24"/>
          <w:szCs w:val="24"/>
        </w:rPr>
        <w:t xml:space="preserve">, </w:t>
      </w:r>
      <w:r>
        <w:rPr>
          <w:rFonts w:ascii="宋体" w:cs="宋体" w:hAnsi="宋体"/>
          <w:sz w:val="24"/>
          <w:szCs w:val="24"/>
        </w:rPr>
        <w:t>Ituberá</w:t>
      </w:r>
      <w:r>
        <w:rPr>
          <w:rFonts w:ascii="宋体" w:cs="宋体" w:hAnsi="宋体"/>
          <w:sz w:val="24"/>
          <w:szCs w:val="24"/>
        </w:rPr>
        <w:t xml:space="preserve">, </w:t>
      </w:r>
      <w:r>
        <w:rPr>
          <w:rFonts w:ascii="宋体" w:cs="宋体" w:hAnsi="宋体"/>
          <w:sz w:val="24"/>
          <w:szCs w:val="24"/>
        </w:rPr>
        <w:t>Taperoá</w:t>
      </w:r>
      <w:r>
        <w:rPr>
          <w:rFonts w:ascii="宋体" w:cs="宋体" w:hAnsi="宋体"/>
          <w:sz w:val="24"/>
          <w:szCs w:val="24"/>
        </w:rPr>
        <w:t xml:space="preserve">, </w:t>
      </w:r>
      <w:r>
        <w:rPr>
          <w:rFonts w:ascii="宋体" w:cs="宋体" w:hAnsi="宋体"/>
          <w:sz w:val="24"/>
          <w:szCs w:val="24"/>
        </w:rPr>
        <w:t>Camamu</w:t>
      </w:r>
      <w:r>
        <w:rPr>
          <w:rFonts w:ascii="宋体" w:cs="宋体" w:hAnsi="宋体"/>
          <w:sz w:val="24"/>
          <w:szCs w:val="24"/>
        </w:rPr>
        <w:t xml:space="preserve"> and </w:t>
      </w:r>
      <w:r>
        <w:rPr>
          <w:rFonts w:ascii="宋体" w:cs="宋体" w:hAnsi="宋体"/>
          <w:sz w:val="24"/>
          <w:szCs w:val="24"/>
        </w:rPr>
        <w:t>Nilo</w:t>
      </w:r>
      <w:r>
        <w:rPr>
          <w:rFonts w:ascii="宋体" w:cs="宋体" w:hAnsi="宋体"/>
          <w:sz w:val="24"/>
          <w:szCs w:val="24"/>
        </w:rPr>
        <w:t xml:space="preserve"> </w:t>
      </w:r>
      <w:r>
        <w:rPr>
          <w:rFonts w:ascii="宋体" w:cs="宋体" w:hAnsi="宋体"/>
          <w:sz w:val="24"/>
          <w:szCs w:val="24"/>
        </w:rPr>
        <w:t>Peçanha</w:t>
      </w:r>
      <w:r>
        <w:rPr>
          <w:rFonts w:ascii="宋体" w:cs="宋体" w:hAnsi="宋体"/>
          <w:sz w:val="24"/>
          <w:szCs w:val="24"/>
        </w:rPr>
        <w:t>, where approximately 8 000 hectares are cultivated, producing near 2 500 tons per year</w:t>
      </w:r>
      <w:r>
        <w:rPr>
          <w:rFonts w:ascii="宋体" w:cs="宋体" w:hAnsi="宋体"/>
          <w:sz w:val="24"/>
          <w:szCs w:val="24"/>
        </w:rPr>
        <w:t xml:space="preserve"> </w:t>
      </w:r>
      <w:r>
        <w:rPr>
          <w:rFonts w:ascii="宋体" w:cs="宋体" w:hAnsi="宋体"/>
          <w:sz w:val="24"/>
          <w:szCs w:val="24"/>
        </w:rPr>
        <w:t xml:space="preserve">(Oliveira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7</w:t>
      </w:r>
      <w:r>
        <w:rPr>
          <w:rFonts w:ascii="宋体" w:cs="宋体" w:hAnsi="宋体"/>
          <w:sz w:val="24"/>
          <w:szCs w:val="24"/>
        </w:rPr>
        <w:t>)</w:t>
      </w:r>
      <w:r>
        <w:rPr>
          <w:rFonts w:ascii="宋体" w:cs="宋体" w:hAnsi="宋体"/>
          <w:sz w:val="24"/>
          <w:szCs w:val="24"/>
        </w:rPr>
        <w:t xml:space="preserve">. </w:t>
      </w:r>
    </w:p>
    <w:bookmarkStart w:id="35" w:name="_Toc202853709"/>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4</w:t>
      </w:r>
      <w:r>
        <w:rPr>
          <w:rFonts w:ascii="宋体" w:hAnsi="宋体"/>
          <w:sz w:val="24"/>
          <w:szCs w:val="24"/>
        </w:rPr>
        <w:t xml:space="preserve"> Bioactive Compounds of Clove Extract</w:t>
      </w:r>
      <w:bookmarkEnd w:id="35"/>
      <w:r>
        <w:rPr>
          <w:rFonts w:ascii="宋体" w:hAnsi="宋体"/>
          <w:sz w:val="24"/>
          <w:szCs w:val="24"/>
        </w:rPr>
        <w:t xml:space="preserve"> </w:t>
      </w:r>
    </w:p>
    <w:p>
      <w:pPr>
        <w:pStyle w:val="style0"/>
        <w:spacing w:lineRule="auto" w:line="480"/>
        <w:ind w:firstLine="360"/>
        <w:jc w:val="both"/>
        <w:rPr>
          <w:rFonts w:ascii="宋体" w:cs="宋体" w:hAnsi="宋体"/>
          <w:sz w:val="24"/>
          <w:szCs w:val="24"/>
        </w:rPr>
      </w:pPr>
      <w:r>
        <w:rPr>
          <w:rFonts w:ascii="宋体" w:cs="宋体" w:hAnsi="宋体"/>
          <w:sz w:val="24"/>
          <w:szCs w:val="24"/>
        </w:rPr>
        <w:t xml:space="preserve"> Clove represents one of the major vegetal sources of phenolic compounds</w:t>
      </w:r>
      <w:r>
        <w:rPr>
          <w:rFonts w:ascii="宋体" w:cs="宋体" w:hAnsi="宋体"/>
          <w:sz w:val="24"/>
          <w:szCs w:val="24"/>
        </w:rPr>
        <w:t xml:space="preserve"> such</w:t>
      </w:r>
      <w:r>
        <w:rPr>
          <w:rFonts w:ascii="宋体" w:cs="宋体" w:hAnsi="宋体"/>
          <w:sz w:val="24"/>
          <w:szCs w:val="24"/>
        </w:rPr>
        <w:t xml:space="preserve"> as flavonoids, </w:t>
      </w:r>
      <w:r>
        <w:rPr>
          <w:rFonts w:ascii="宋体" w:cs="宋体" w:hAnsi="宋体"/>
          <w:sz w:val="24"/>
          <w:szCs w:val="24"/>
        </w:rPr>
        <w:t>hidroxibenzoic</w:t>
      </w:r>
      <w:r>
        <w:rPr>
          <w:rFonts w:ascii="宋体" w:cs="宋体" w:hAnsi="宋体"/>
          <w:sz w:val="24"/>
          <w:szCs w:val="24"/>
        </w:rPr>
        <w:t xml:space="preserve"> acids, </w:t>
      </w:r>
      <w:r>
        <w:rPr>
          <w:rFonts w:ascii="宋体" w:cs="宋体" w:hAnsi="宋体"/>
          <w:sz w:val="24"/>
          <w:szCs w:val="24"/>
        </w:rPr>
        <w:t>hidroxicinamic</w:t>
      </w:r>
      <w:r>
        <w:rPr>
          <w:rFonts w:ascii="宋体" w:cs="宋体" w:hAnsi="宋体"/>
          <w:sz w:val="24"/>
          <w:szCs w:val="24"/>
        </w:rPr>
        <w:t xml:space="preserve"> acids and </w:t>
      </w:r>
      <w:r>
        <w:rPr>
          <w:rFonts w:ascii="宋体" w:cs="宋体" w:hAnsi="宋体"/>
          <w:sz w:val="24"/>
          <w:szCs w:val="24"/>
        </w:rPr>
        <w:t>hidroxiphenyl</w:t>
      </w:r>
      <w:r>
        <w:rPr>
          <w:rFonts w:ascii="宋体" w:cs="宋体" w:hAnsi="宋体"/>
          <w:sz w:val="24"/>
          <w:szCs w:val="24"/>
        </w:rPr>
        <w:t xml:space="preserve"> </w:t>
      </w:r>
      <w:r>
        <w:rPr>
          <w:rFonts w:ascii="宋体" w:cs="宋体" w:hAnsi="宋体"/>
          <w:sz w:val="24"/>
          <w:szCs w:val="24"/>
        </w:rPr>
        <w:t>propens</w:t>
      </w:r>
      <w:r>
        <w:rPr>
          <w:rFonts w:ascii="宋体" w:cs="宋体" w:hAnsi="宋体"/>
          <w:sz w:val="24"/>
          <w:szCs w:val="24"/>
        </w:rPr>
        <w:t xml:space="preserve">. </w:t>
      </w:r>
      <w:r>
        <w:rPr>
          <w:rFonts w:ascii="宋体" w:cs="宋体" w:hAnsi="宋体"/>
          <w:sz w:val="24"/>
          <w:szCs w:val="24"/>
        </w:rPr>
        <w:t>Eugenol is the main bioactive compound of clove, which is found in concentrations ranging from 9 381.70 to 14 650.00 mg per 100 g of fresh plant material</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Jirovetz</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w:t>
      </w:r>
      <w:r>
        <w:rPr>
          <w:rFonts w:ascii="宋体" w:cs="宋体" w:hAnsi="宋体"/>
          <w:sz w:val="24"/>
          <w:szCs w:val="24"/>
        </w:rPr>
        <w:t xml:space="preserve"> With regard to the phenolic acids, gallic acid is the compound found in higher concentration (783.50 mg/100g fresh weight)</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Cooke</w:t>
      </w:r>
      <w:r>
        <w:rPr>
          <w:rFonts w:ascii="宋体" w:cs="宋体" w:hAnsi="宋体"/>
          <w:sz w:val="24"/>
          <w:szCs w:val="24"/>
        </w:rPr>
        <w:t xml:space="preserve"> and</w:t>
      </w:r>
      <w:r>
        <w:rPr>
          <w:rFonts w:ascii="宋体" w:cs="宋体" w:hAnsi="宋体"/>
          <w:sz w:val="24"/>
          <w:szCs w:val="24"/>
        </w:rPr>
        <w:t xml:space="preserve"> Plot nick</w:t>
      </w:r>
      <w:r>
        <w:rPr>
          <w:rFonts w:ascii="宋体" w:cs="宋体" w:hAnsi="宋体"/>
          <w:sz w:val="24"/>
          <w:szCs w:val="24"/>
        </w:rPr>
        <w:t>, 2018)</w:t>
      </w:r>
      <w:r>
        <w:rPr>
          <w:rFonts w:ascii="宋体" w:cs="宋体" w:hAnsi="宋体"/>
          <w:sz w:val="24"/>
          <w:szCs w:val="24"/>
        </w:rPr>
        <w:t>. However, other gallic acid derivates</w:t>
      </w:r>
      <w:r>
        <w:rPr>
          <w:rFonts w:ascii="宋体" w:cs="宋体" w:hAnsi="宋体"/>
          <w:sz w:val="24"/>
          <w:szCs w:val="24"/>
        </w:rPr>
        <w:t xml:space="preserve"> such</w:t>
      </w:r>
      <w:r>
        <w:rPr>
          <w:rFonts w:ascii="宋体" w:cs="宋体" w:hAnsi="宋体"/>
          <w:sz w:val="24"/>
          <w:szCs w:val="24"/>
        </w:rPr>
        <w:t xml:space="preserve"> as </w:t>
      </w:r>
      <w:r>
        <w:rPr>
          <w:rFonts w:ascii="宋体" w:cs="宋体" w:hAnsi="宋体"/>
          <w:sz w:val="24"/>
          <w:szCs w:val="24"/>
        </w:rPr>
        <w:t>h</w:t>
      </w:r>
      <w:r>
        <w:rPr>
          <w:rFonts w:ascii="宋体" w:cs="宋体" w:hAnsi="宋体"/>
          <w:sz w:val="24"/>
          <w:szCs w:val="24"/>
        </w:rPr>
        <w:t>i</w:t>
      </w:r>
      <w:r>
        <w:rPr>
          <w:rFonts w:ascii="宋体" w:cs="宋体" w:hAnsi="宋体"/>
          <w:sz w:val="24"/>
          <w:szCs w:val="24"/>
        </w:rPr>
        <w:t>drolizable</w:t>
      </w:r>
      <w:r>
        <w:rPr>
          <w:rFonts w:ascii="宋体" w:cs="宋体" w:hAnsi="宋体"/>
          <w:sz w:val="24"/>
          <w:szCs w:val="24"/>
        </w:rPr>
        <w:t xml:space="preserve"> tannins are present in higher concentrations (2 375.8 mg/100 g). Other phenolic acids found in clove are the caffeic, ferulic, </w:t>
      </w:r>
      <w:r>
        <w:rPr>
          <w:rFonts w:ascii="宋体" w:cs="宋体" w:hAnsi="宋体"/>
          <w:sz w:val="24"/>
          <w:szCs w:val="24"/>
        </w:rPr>
        <w:t>elagic</w:t>
      </w:r>
      <w:r>
        <w:rPr>
          <w:rFonts w:ascii="宋体" w:cs="宋体" w:hAnsi="宋体"/>
          <w:sz w:val="24"/>
          <w:szCs w:val="24"/>
        </w:rPr>
        <w:t xml:space="preserve"> and salicylic acids. Flavonoids as kaempferol, quercetin and its derivates (</w:t>
      </w:r>
      <w:r>
        <w:rPr>
          <w:rFonts w:ascii="宋体" w:cs="宋体" w:hAnsi="宋体"/>
          <w:sz w:val="24"/>
          <w:szCs w:val="24"/>
        </w:rPr>
        <w:t>glycosilated</w:t>
      </w:r>
      <w:r>
        <w:rPr>
          <w:rFonts w:ascii="宋体" w:cs="宋体" w:hAnsi="宋体"/>
          <w:sz w:val="24"/>
          <w:szCs w:val="24"/>
        </w:rPr>
        <w:t>) are also found in clove in lower concentrations</w:t>
      </w:r>
      <w:r>
        <w:rPr>
          <w:rFonts w:ascii="宋体" w:cs="宋体" w:hAnsi="宋体"/>
          <w:sz w:val="24"/>
          <w:szCs w:val="24"/>
        </w:rPr>
        <w:t xml:space="preserve"> (</w:t>
      </w:r>
      <w:r>
        <w:rPr>
          <w:rFonts w:ascii="宋体" w:cs="宋体" w:hAnsi="宋体"/>
          <w:sz w:val="24"/>
          <w:szCs w:val="24"/>
        </w:rPr>
        <w:t xml:space="preserve">Tahir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Concentrations up to 18% of essential oil can be found in the clove flower buds. Roughly, 89% of the clove essential oil is eugenol and 5% to 15% is eugenol acetate and β-</w:t>
      </w:r>
      <w:r>
        <w:rPr>
          <w:rFonts w:ascii="宋体" w:cs="宋体" w:hAnsi="宋体"/>
          <w:sz w:val="24"/>
          <w:szCs w:val="24"/>
        </w:rPr>
        <w:t>cariofileno</w:t>
      </w:r>
      <w:r>
        <w:rPr>
          <w:rFonts w:ascii="宋体" w:cs="宋体" w:hAnsi="宋体"/>
          <w:sz w:val="24"/>
          <w:szCs w:val="24"/>
        </w:rPr>
        <w:t xml:space="preserve"> </w:t>
      </w:r>
      <w:r>
        <w:rPr>
          <w:rFonts w:ascii="宋体" w:cs="宋体" w:hAnsi="宋体"/>
          <w:sz w:val="24"/>
          <w:szCs w:val="24"/>
        </w:rPr>
        <w:t xml:space="preserve">(Pérez-Jiménez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Another important compound </w:t>
      </w:r>
      <w:r>
        <w:rPr>
          <w:rFonts w:ascii="宋体" w:cs="宋体" w:hAnsi="宋体"/>
          <w:sz w:val="24"/>
          <w:szCs w:val="24"/>
        </w:rPr>
        <w:t>found in the essential oil of clove in concentrations up to 2.1%</w:t>
      </w:r>
      <w:r>
        <w:rPr>
          <w:rFonts w:ascii="宋体" w:cs="宋体" w:hAnsi="宋体"/>
          <w:sz w:val="24"/>
          <w:szCs w:val="24"/>
        </w:rPr>
        <w:t xml:space="preserve"> </w:t>
      </w:r>
      <w:r>
        <w:rPr>
          <w:rFonts w:ascii="宋体" w:cs="宋体" w:hAnsi="宋体"/>
          <w:sz w:val="24"/>
          <w:szCs w:val="24"/>
        </w:rPr>
        <w:t>is α-</w:t>
      </w:r>
      <w:r>
        <w:rPr>
          <w:rFonts w:ascii="宋体" w:cs="宋体" w:hAnsi="宋体"/>
          <w:sz w:val="24"/>
          <w:szCs w:val="24"/>
        </w:rPr>
        <w:t>humulen</w:t>
      </w:r>
      <w:r>
        <w:rPr>
          <w:rFonts w:ascii="宋体" w:cs="宋体" w:hAnsi="宋体"/>
          <w:sz w:val="24"/>
          <w:szCs w:val="24"/>
        </w:rPr>
        <w:t xml:space="preserve">. Other volatile compounds present in lower concentrations in clove essential oil are β-pinene, limonene, </w:t>
      </w:r>
      <w:r>
        <w:rPr>
          <w:rFonts w:ascii="宋体" w:cs="宋体" w:hAnsi="宋体"/>
          <w:sz w:val="24"/>
          <w:szCs w:val="24"/>
        </w:rPr>
        <w:t>farnesol</w:t>
      </w:r>
      <w:r>
        <w:rPr>
          <w:rFonts w:ascii="宋体" w:cs="宋体" w:hAnsi="宋体"/>
          <w:sz w:val="24"/>
          <w:szCs w:val="24"/>
        </w:rPr>
        <w:t>, benzaldehyde, 2-heptanone and ethyl hexanoate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36" w:name="_Toc202853710"/>
    <w:p>
      <w:pPr>
        <w:pStyle w:val="style3"/>
        <w:rPr>
          <w:sz w:val="24"/>
          <w:szCs w:val="24"/>
        </w:rPr>
      </w:pPr>
      <w:r>
        <w:rPr>
          <w:sz w:val="24"/>
          <w:szCs w:val="24"/>
        </w:rPr>
        <w:t>2.</w:t>
      </w:r>
      <w:r>
        <w:rPr>
          <w:sz w:val="24"/>
          <w:szCs w:val="24"/>
        </w:rPr>
        <w:t>4</w:t>
      </w:r>
      <w:r>
        <w:rPr>
          <w:sz w:val="24"/>
          <w:szCs w:val="24"/>
        </w:rPr>
        <w:t>.1 Eugenol</w:t>
      </w:r>
      <w:bookmarkEnd w:id="36"/>
      <w:r>
        <w:rPr>
          <w:sz w:val="24"/>
          <w:szCs w:val="24"/>
        </w:rPr>
        <w:t xml:space="preserve"> </w:t>
      </w:r>
    </w:p>
    <w:p>
      <w:pPr>
        <w:pStyle w:val="style0"/>
        <w:spacing w:lineRule="auto" w:line="480"/>
        <w:ind w:firstLine="720"/>
        <w:jc w:val="both"/>
        <w:rPr>
          <w:rFonts w:ascii="宋体" w:cs="宋体" w:hAnsi="宋体"/>
          <w:sz w:val="24"/>
          <w:szCs w:val="24"/>
        </w:rPr>
      </w:pPr>
      <w:r>
        <w:rPr>
          <w:rFonts w:ascii="宋体" w:cs="宋体" w:hAnsi="宋体"/>
          <w:sz w:val="24"/>
          <w:szCs w:val="24"/>
        </w:rPr>
        <w:t>Eugenol appears as clear colorless pale yellow or amber-colored liquid. Odor of cloves. Spicy pungent taste. The compound eugenol is responsible for most of the characteristic aroma of cloves.</w:t>
      </w:r>
      <w:r>
        <w:rPr>
          <w:rFonts w:ascii="宋体" w:cs="宋体" w:hAnsi="宋体"/>
          <w:sz w:val="24"/>
          <w:szCs w:val="24"/>
        </w:rPr>
        <w:t xml:space="preserve"> </w:t>
      </w:r>
      <w:r>
        <w:rPr>
          <w:rFonts w:ascii="宋体" w:cs="宋体" w:hAnsi="宋体"/>
          <w:sz w:val="24"/>
          <w:szCs w:val="24"/>
        </w:rPr>
        <w:t xml:space="preserve">Eugenol comprises 72–90% of the essential oil extracted from </w:t>
      </w:r>
      <w:r>
        <w:rPr>
          <w:rFonts w:ascii="宋体" w:cs="宋体" w:hAnsi="宋体"/>
          <w:sz w:val="24"/>
          <w:szCs w:val="24"/>
        </w:rPr>
        <w:t>cloves, and</w:t>
      </w:r>
      <w:r>
        <w:rPr>
          <w:rFonts w:ascii="宋体" w:cs="宋体" w:hAnsi="宋体"/>
          <w:sz w:val="24"/>
          <w:szCs w:val="24"/>
        </w:rPr>
        <w:t xml:space="preserve"> is the compound most responsible for clove aroma. Complete extraction occurs at 80 minutes in pressurized water at 125 °C (257 °F)</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Chen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宋体" w:cs="宋体" w:hAnsi="宋体"/>
          <w:sz w:val="24"/>
          <w:szCs w:val="24"/>
        </w:rPr>
        <w:t xml:space="preserve"> </w:t>
      </w:r>
      <w:bookmarkStart w:id="37" w:name="_Hlk185407426"/>
      <w:r>
        <w:rPr>
          <w:rFonts w:ascii="宋体" w:cs="宋体" w:hAnsi="宋体"/>
          <w:sz w:val="24"/>
          <w:szCs w:val="24"/>
        </w:rPr>
        <w:t xml:space="preserve">(Aguilar-González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xml:space="preserve">. </w:t>
      </w:r>
      <w:bookmarkEnd w:id="37"/>
      <w:r>
        <w:rPr>
          <w:rFonts w:ascii="宋体" w:cs="宋体" w:hAnsi="宋体"/>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Donsì</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1</w:t>
      </w:r>
      <w:r>
        <w:rPr>
          <w:rFonts w:ascii="宋体" w:cs="宋体" w:hAnsi="宋体"/>
          <w:sz w:val="24"/>
          <w:szCs w:val="24"/>
        </w:rPr>
        <w:t>)</w:t>
      </w:r>
      <w:r>
        <w:rPr>
          <w:rFonts w:ascii="宋体" w:cs="宋体" w:hAnsi="宋体"/>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Sebaaly</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Eugenol is an allyl chain</w:t>
      </w:r>
      <w:r>
        <w:rPr>
          <w:rFonts w:ascii="宋体" w:cs="宋体" w:hAnsi="宋体"/>
          <w:sz w:val="24"/>
          <w:szCs w:val="24"/>
        </w:rPr>
        <w:t>-</w:t>
      </w:r>
      <w:r>
        <w:rPr>
          <w:rFonts w:ascii="宋体" w:cs="宋体" w:hAnsi="宋体"/>
          <w:sz w:val="24"/>
          <w:szCs w:val="24"/>
        </w:rPr>
        <w:t>substituted guaiacol, i.e. 2-methoxy-4-(2-propenyl)</w:t>
      </w:r>
      <w:r>
        <w:rPr>
          <w:rFonts w:ascii="宋体" w:cs="宋体" w:hAnsi="宋体"/>
          <w:sz w:val="24"/>
          <w:szCs w:val="24"/>
        </w:rPr>
        <w:t xml:space="preserve"> </w:t>
      </w:r>
      <w:r>
        <w:rPr>
          <w:rFonts w:ascii="宋体" w:cs="宋体" w:hAnsi="宋体"/>
          <w:sz w:val="24"/>
          <w:szCs w:val="24"/>
        </w:rPr>
        <w:t xml:space="preserve">phenol. Eugenol is a member of the allylbenzene class of chemical compounds. It is a clear to pale yellow oily liquid extracted from certain essential oils especially from clove </w:t>
      </w:r>
      <w:r>
        <w:rPr>
          <w:rFonts w:ascii="宋体" w:cs="宋体" w:hAnsi="宋体"/>
          <w:sz w:val="24"/>
          <w:szCs w:val="24"/>
        </w:rPr>
        <w:t>oil, nutmeg, cinnamon, and bay leaf. It is slightly soluble in water and soluble in organic solvents. It has a pleasant, spicy, clove-like odor</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Vahedikia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2019)</w:t>
      </w:r>
      <w:r>
        <w:rPr>
          <w:rFonts w:ascii="宋体" w:cs="宋体" w:hAnsi="宋体"/>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r>
        <w:rPr>
          <w:rFonts w:ascii="宋体" w:cs="宋体" w:hAnsi="宋体"/>
          <w:sz w:val="24"/>
          <w:szCs w:val="24"/>
        </w:rPr>
        <w:t>.</w:t>
      </w:r>
    </w:p>
    <w:bookmarkEnd w:id="38"/>
    <w:p>
      <w:pPr>
        <w:pStyle w:val="style0"/>
        <w:spacing w:lineRule="auto" w:line="480"/>
        <w:ind w:firstLine="720"/>
        <w:jc w:val="both"/>
        <w:rPr>
          <w:rFonts w:ascii="宋体" w:cs="宋体" w:hAnsi="宋体"/>
          <w:sz w:val="24"/>
          <w:szCs w:val="24"/>
        </w:rPr>
      </w:pPr>
      <w:r>
        <w:rPr>
          <w:rFonts w:ascii="宋体" w:cs="宋体" w:hAnsi="宋体"/>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宋体" w:cs="宋体" w:hAnsi="宋体"/>
          <w:sz w:val="24"/>
          <w:szCs w:val="24"/>
        </w:rPr>
        <w:t xml:space="preserve"> </w:t>
      </w:r>
      <w:r>
        <w:rPr>
          <w:rFonts w:ascii="宋体" w:cs="宋体" w:hAnsi="宋体"/>
          <w:sz w:val="24"/>
          <w:szCs w:val="24"/>
        </w:rPr>
        <w:t xml:space="preserve">(Ribeiro-Santos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 xml:space="preserve"> It has a role as an allergen, a human blood serum metabolite, a </w:t>
      </w:r>
      <w:r>
        <w:rPr>
          <w:rFonts w:ascii="宋体" w:cs="宋体" w:hAnsi="宋体"/>
          <w:sz w:val="24"/>
          <w:szCs w:val="24"/>
        </w:rPr>
        <w:t>sensitiser</w:t>
      </w:r>
      <w:r>
        <w:rPr>
          <w:rFonts w:ascii="宋体" w:cs="宋体" w:hAnsi="宋体"/>
          <w:sz w:val="24"/>
          <w:szCs w:val="24"/>
        </w:rPr>
        <w:t xml:space="preserve">, a volatile oil component, a </w:t>
      </w:r>
      <w:r>
        <w:rPr>
          <w:rFonts w:ascii="宋体" w:cs="宋体" w:hAnsi="宋体"/>
          <w:sz w:val="24"/>
          <w:szCs w:val="24"/>
        </w:rPr>
        <w:t>flavouring</w:t>
      </w:r>
      <w:r>
        <w:rPr>
          <w:rFonts w:ascii="宋体" w:cs="宋体" w:hAnsi="宋体"/>
          <w:sz w:val="24"/>
          <w:szCs w:val="24"/>
        </w:rPr>
        <w:t xml:space="preserve"> agent, an EC 1.4.3.4 (monoamine oxidase) inhibitor, a radical scavenger, an antibacterial agent, an antineoplastic agent, an apoptosis inducer, an anesthetic, an analgesic, a voltage-gated sodium channel blocker, a NF-</w:t>
      </w:r>
      <w:r>
        <w:rPr>
          <w:rFonts w:ascii="宋体" w:cs="宋体" w:hAnsi="宋体"/>
          <w:sz w:val="24"/>
          <w:szCs w:val="24"/>
        </w:rPr>
        <w:t>kappaB</w:t>
      </w:r>
      <w:r>
        <w:rPr>
          <w:rFonts w:ascii="宋体" w:cs="宋体" w:hAnsi="宋体"/>
          <w:sz w:val="24"/>
          <w:szCs w:val="24"/>
        </w:rPr>
        <w:t xml:space="preserve"> inhibitor and an anti-inflammatory agent. It is a phenylpropanoid, a </w:t>
      </w:r>
      <w:r>
        <w:rPr>
          <w:rFonts w:ascii="宋体" w:cs="宋体" w:hAnsi="宋体"/>
          <w:sz w:val="24"/>
          <w:szCs w:val="24"/>
        </w:rPr>
        <w:t>monomethoxybenzene</w:t>
      </w:r>
      <w:r>
        <w:rPr>
          <w:rFonts w:ascii="宋体" w:cs="宋体" w:hAnsi="宋体"/>
          <w:sz w:val="24"/>
          <w:szCs w:val="24"/>
        </w:rPr>
        <w:t xml:space="preserve">, a member of phenols and an </w:t>
      </w:r>
      <w:r>
        <w:rPr>
          <w:rFonts w:ascii="宋体" w:cs="宋体" w:hAnsi="宋体"/>
          <w:sz w:val="24"/>
          <w:szCs w:val="24"/>
        </w:rPr>
        <w:t>alkenylbenzene</w:t>
      </w:r>
      <w:r>
        <w:rPr>
          <w:rFonts w:ascii="宋体" w:cs="宋体" w:hAnsi="宋体"/>
          <w:sz w:val="24"/>
          <w:szCs w:val="24"/>
        </w:rPr>
        <w:t xml:space="preserve">. It is functionally related to a guaiacol </w:t>
      </w:r>
      <w:r>
        <w:rPr>
          <w:rFonts w:ascii="宋体" w:cs="宋体" w:hAnsi="宋体"/>
          <w:sz w:val="24"/>
          <w:szCs w:val="24"/>
        </w:rPr>
        <w:t>(</w:t>
      </w:r>
      <w:r>
        <w:rPr>
          <w:rFonts w:ascii="宋体" w:cs="宋体" w:hAnsi="宋体"/>
          <w:sz w:val="24"/>
          <w:szCs w:val="24"/>
        </w:rPr>
        <w:t>Zhelyazkov</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2022)</w:t>
      </w:r>
      <w:r>
        <w:rPr>
          <w:rFonts w:ascii="宋体" w:cs="宋体" w:hAnsi="宋体"/>
          <w:sz w:val="24"/>
          <w:szCs w:val="24"/>
        </w:rPr>
        <w:t>.</w:t>
      </w:r>
    </w:p>
    <w:bookmarkStart w:id="39" w:name="_Toc202853711"/>
    <w:p>
      <w:pPr>
        <w:pStyle w:val="style3"/>
        <w:rPr>
          <w:sz w:val="24"/>
          <w:szCs w:val="24"/>
        </w:rPr>
      </w:pPr>
      <w:r>
        <w:rPr>
          <w:sz w:val="24"/>
          <w:szCs w:val="24"/>
        </w:rPr>
        <w:t>2.</w:t>
      </w:r>
      <w:r>
        <w:rPr>
          <w:sz w:val="24"/>
          <w:szCs w:val="24"/>
        </w:rPr>
        <w:t>4</w:t>
      </w:r>
      <w:r>
        <w:rPr>
          <w:sz w:val="24"/>
          <w:szCs w:val="24"/>
        </w:rPr>
        <w:t>.2 Acetyl Eugenol</w:t>
      </w:r>
      <w:bookmarkEnd w:id="39"/>
    </w:p>
    <w:p>
      <w:pPr>
        <w:pStyle w:val="style0"/>
        <w:spacing w:lineRule="auto" w:line="480"/>
        <w:ind w:firstLine="720"/>
        <w:jc w:val="both"/>
        <w:rPr>
          <w:rFonts w:ascii="宋体" w:cs="宋体" w:hAnsi="宋体"/>
          <w:sz w:val="24"/>
          <w:szCs w:val="24"/>
        </w:rPr>
      </w:pPr>
      <w:r>
        <w:rPr>
          <w:rFonts w:ascii="宋体" w:cs="宋体" w:hAnsi="宋体"/>
          <w:sz w:val="24"/>
          <w:szCs w:val="24"/>
        </w:rPr>
        <w:t>Acetyl</w:t>
      </w:r>
      <w:r>
        <w:rPr>
          <w:rFonts w:ascii="宋体" w:cs="宋体" w:hAnsi="宋体"/>
          <w:sz w:val="24"/>
          <w:szCs w:val="24"/>
        </w:rPr>
        <w:t xml:space="preserve"> </w:t>
      </w:r>
      <w:r>
        <w:rPr>
          <w:rFonts w:ascii="宋体" w:cs="宋体" w:hAnsi="宋体"/>
          <w:sz w:val="24"/>
          <w:szCs w:val="24"/>
        </w:rPr>
        <w:t>eugenol is a phenylpropanoid compound found in cloves. It is the second in abundance to the related compound eugenol in certain extract preparations.</w:t>
      </w:r>
      <w:r>
        <w:t xml:space="preserve"> </w:t>
      </w:r>
      <w:r>
        <w:rPr>
          <w:rFonts w:ascii="宋体" w:cs="宋体" w:hAnsi="宋体"/>
          <w:sz w:val="24"/>
          <w:szCs w:val="24"/>
        </w:rPr>
        <w:t>Eugenol acetate (</w:t>
      </w:r>
      <w:r>
        <w:rPr>
          <w:rFonts w:ascii="宋体" w:cs="宋体" w:hAnsi="宋体"/>
          <w:sz w:val="24"/>
          <w:szCs w:val="24"/>
        </w:rPr>
        <w:t>Eugenyl</w:t>
      </w:r>
      <w:r>
        <w:rPr>
          <w:rFonts w:ascii="宋体" w:cs="宋体" w:hAnsi="宋体"/>
          <w:sz w:val="24"/>
          <w:szCs w:val="24"/>
        </w:rPr>
        <w:t xml:space="preserve"> acetate), a major phytochemical constituent of the essential oil exhibits antibacterial, antioxidant, and anti</w:t>
      </w:r>
      <w:r>
        <w:rPr>
          <w:rFonts w:ascii="宋体" w:cs="宋体" w:hAnsi="宋体"/>
          <w:sz w:val="24"/>
          <w:szCs w:val="24"/>
        </w:rPr>
        <w:t>-</w:t>
      </w:r>
      <w:r>
        <w:rPr>
          <w:rFonts w:ascii="宋体" w:cs="宋体" w:hAnsi="宋体"/>
          <w:sz w:val="24"/>
          <w:szCs w:val="24"/>
        </w:rPr>
        <w:t>virulence activities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Haro</w:t>
      </w:r>
      <w:r>
        <w:rPr>
          <w:rFonts w:ascii="宋体" w:cs="宋体" w:hAnsi="宋体"/>
          <w:sz w:val="24"/>
          <w:szCs w:val="24"/>
        </w:rPr>
        <w:t xml:space="preserve">-González </w:t>
      </w:r>
      <w:r>
        <w:rPr>
          <w:rFonts w:ascii="宋体" w:cs="宋体" w:hAnsi="宋体"/>
          <w:i/>
          <w:iCs/>
          <w:sz w:val="24"/>
          <w:szCs w:val="24"/>
        </w:rPr>
        <w:t>et al</w:t>
      </w:r>
      <w:r>
        <w:rPr>
          <w:rFonts w:ascii="宋体" w:cs="宋体" w:hAnsi="宋体"/>
          <w:sz w:val="24"/>
          <w:szCs w:val="24"/>
        </w:rPr>
        <w:t>., 2021)</w:t>
      </w:r>
      <w:r>
        <w:rPr>
          <w:rFonts w:ascii="宋体" w:cs="宋体" w:hAnsi="宋体"/>
          <w:sz w:val="24"/>
          <w:szCs w:val="24"/>
        </w:rPr>
        <w:t>. Eugenol acetate (</w:t>
      </w:r>
      <w:r>
        <w:rPr>
          <w:rFonts w:ascii="宋体" w:cs="宋体" w:hAnsi="宋体"/>
          <w:sz w:val="24"/>
          <w:szCs w:val="24"/>
        </w:rPr>
        <w:t>Eugenyl</w:t>
      </w:r>
      <w:r>
        <w:rPr>
          <w:rFonts w:ascii="宋体" w:cs="宋体" w:hAnsi="宋体"/>
          <w:sz w:val="24"/>
          <w:szCs w:val="24"/>
        </w:rPr>
        <w:t xml:space="preserve"> acetate), a phytochemical in clove essential oil, against clinical isolates of Candida </w:t>
      </w:r>
      <w:r>
        <w:rPr>
          <w:rFonts w:ascii="宋体" w:cs="宋体" w:hAnsi="宋体"/>
          <w:sz w:val="24"/>
          <w:szCs w:val="24"/>
        </w:rPr>
        <w:t>albicans</w:t>
      </w:r>
      <w:r>
        <w:rPr>
          <w:rFonts w:ascii="宋体" w:cs="宋体" w:hAnsi="宋体"/>
          <w:sz w:val="24"/>
          <w:szCs w:val="24"/>
        </w:rPr>
        <w:t xml:space="preserve">, Candida </w:t>
      </w:r>
      <w:r>
        <w:rPr>
          <w:rFonts w:ascii="宋体" w:cs="宋体" w:hAnsi="宋体"/>
          <w:sz w:val="24"/>
          <w:szCs w:val="24"/>
        </w:rPr>
        <w:t>parapsilosis</w:t>
      </w:r>
      <w:r>
        <w:rPr>
          <w:rFonts w:ascii="宋体" w:cs="宋体" w:hAnsi="宋体"/>
          <w:sz w:val="24"/>
          <w:szCs w:val="24"/>
        </w:rPr>
        <w:t>, Candida tropicalis, and Candida glabrata. It inhibits aggregation and alters arachidonic acid metabolism in human blood platelets</w:t>
      </w:r>
      <w:r>
        <w:rPr>
          <w:rFonts w:ascii="宋体" w:cs="宋体" w:hAnsi="宋体"/>
          <w:sz w:val="24"/>
          <w:szCs w:val="24"/>
        </w:rPr>
        <w:t xml:space="preserve"> </w:t>
      </w:r>
      <w:r>
        <w:rPr>
          <w:rFonts w:ascii="宋体" w:cs="宋体" w:hAnsi="宋体"/>
          <w:sz w:val="24"/>
          <w:szCs w:val="24"/>
        </w:rPr>
        <w:t xml:space="preserve">(Cortés-Rojas </w:t>
      </w:r>
      <w:r>
        <w:rPr>
          <w:rFonts w:ascii="宋体" w:cs="宋体" w:hAnsi="宋体"/>
          <w:i/>
          <w:iCs/>
          <w:sz w:val="24"/>
          <w:szCs w:val="24"/>
        </w:rPr>
        <w:t>et al</w:t>
      </w:r>
      <w:r>
        <w:rPr>
          <w:rFonts w:ascii="宋体" w:cs="宋体" w:hAnsi="宋体"/>
          <w:sz w:val="24"/>
          <w:szCs w:val="24"/>
        </w:rPr>
        <w:t>., 2014)</w:t>
      </w:r>
      <w:r>
        <w:rPr>
          <w:rFonts w:ascii="宋体" w:cs="宋体" w:hAnsi="宋体"/>
          <w:sz w:val="24"/>
          <w:szCs w:val="24"/>
        </w:rPr>
        <w:t xml:space="preserve">. In </w:t>
      </w:r>
      <w:r>
        <w:rPr>
          <w:rFonts w:ascii="宋体" w:cs="宋体" w:hAnsi="宋体"/>
          <w:sz w:val="24"/>
          <w:szCs w:val="24"/>
        </w:rPr>
        <w:t xml:space="preserve">high doses, however, eugenol appears to be a direct cytotoxin and several instances of severe acute liver and kidney injury have been reported after accidental overdose of eugenol containing herbal products, largely in children </w:t>
      </w:r>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p>
    <w:bookmarkStart w:id="40" w:name="_Toc202853712"/>
    <w:p>
      <w:pPr>
        <w:pStyle w:val="style3"/>
        <w:rPr>
          <w:sz w:val="24"/>
          <w:szCs w:val="24"/>
        </w:rPr>
      </w:pPr>
      <w:r>
        <w:rPr>
          <w:sz w:val="24"/>
          <w:szCs w:val="24"/>
        </w:rPr>
        <w:t>2.</w:t>
      </w:r>
      <w:r>
        <w:rPr>
          <w:sz w:val="24"/>
          <w:szCs w:val="24"/>
        </w:rPr>
        <w:t>4</w:t>
      </w:r>
      <w:r>
        <w:rPr>
          <w:sz w:val="24"/>
          <w:szCs w:val="24"/>
        </w:rPr>
        <w:t>.3 β-Caryophyllene</w:t>
      </w:r>
      <w:bookmarkEnd w:id="40"/>
    </w:p>
    <w:p>
      <w:pPr>
        <w:pStyle w:val="style0"/>
        <w:spacing w:lineRule="auto" w:line="480"/>
        <w:ind w:firstLine="720"/>
        <w:jc w:val="both"/>
        <w:rPr>
          <w:rFonts w:ascii="宋体" w:cs="宋体" w:hAnsi="宋体"/>
          <w:sz w:val="24"/>
          <w:szCs w:val="24"/>
        </w:rPr>
      </w:pPr>
      <w:r>
        <w:rPr>
          <w:rFonts w:ascii="宋体" w:cs="宋体" w:hAnsi="宋体"/>
          <w:sz w:val="24"/>
          <w:szCs w:val="24"/>
        </w:rPr>
        <w:t xml:space="preserve">Caryophyllene, more formally-β-caryophyllene, is a natural bicyclic sesquiterpene that is a constituent of many essential oils, especially clove oil, the oil from the stems and flowers of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Nuñez</w:t>
      </w:r>
      <w:r>
        <w:rPr>
          <w:rFonts w:ascii="宋体" w:cs="宋体" w:hAnsi="宋体"/>
          <w:sz w:val="24"/>
          <w:szCs w:val="24"/>
        </w:rPr>
        <w:t xml:space="preserve"> </w:t>
      </w:r>
      <w:r>
        <w:rPr>
          <w:rFonts w:ascii="宋体" w:cs="宋体" w:hAnsi="宋体"/>
          <w:sz w:val="24"/>
          <w:szCs w:val="24"/>
        </w:rPr>
        <w:t>and</w:t>
      </w:r>
      <w:r>
        <w:rPr>
          <w:rFonts w:ascii="宋体" w:cs="宋体" w:hAnsi="宋体"/>
          <w:sz w:val="24"/>
          <w:szCs w:val="24"/>
        </w:rPr>
        <w:t xml:space="preserve"> </w:t>
      </w:r>
      <w:r>
        <w:rPr>
          <w:rFonts w:ascii="宋体" w:cs="宋体" w:hAnsi="宋体"/>
          <w:sz w:val="24"/>
          <w:szCs w:val="24"/>
        </w:rPr>
        <w:t>D'Aquino</w:t>
      </w:r>
      <w:r>
        <w:rPr>
          <w:rFonts w:ascii="宋体" w:cs="宋体" w:hAnsi="宋体"/>
          <w:sz w:val="24"/>
          <w:szCs w:val="24"/>
        </w:rPr>
        <w:t>, 2012)</w:t>
      </w:r>
      <w:r>
        <w:rPr>
          <w:rFonts w:ascii="宋体" w:cs="宋体" w:hAnsi="宋体"/>
          <w:sz w:val="24"/>
          <w:szCs w:val="24"/>
        </w:rPr>
        <w:t>.</w:t>
      </w:r>
    </w:p>
    <w:bookmarkStart w:id="41" w:name="_Toc202853713"/>
    <w:p>
      <w:pPr>
        <w:pStyle w:val="style3"/>
        <w:rPr>
          <w:sz w:val="24"/>
          <w:szCs w:val="24"/>
        </w:rPr>
      </w:pPr>
      <w:r>
        <w:rPr>
          <w:sz w:val="24"/>
          <w:szCs w:val="24"/>
        </w:rPr>
        <w:t>2.</w:t>
      </w:r>
      <w:r>
        <w:rPr>
          <w:sz w:val="24"/>
          <w:szCs w:val="24"/>
        </w:rPr>
        <w:t>4</w:t>
      </w:r>
      <w:r>
        <w:rPr>
          <w:sz w:val="24"/>
          <w:szCs w:val="24"/>
        </w:rPr>
        <w:t>.4 α-Humulene</w:t>
      </w:r>
      <w:bookmarkEnd w:id="41"/>
    </w:p>
    <w:p>
      <w:pPr>
        <w:pStyle w:val="style0"/>
        <w:spacing w:lineRule="auto" w:line="480"/>
        <w:ind w:firstLine="720"/>
        <w:jc w:val="both"/>
        <w:rPr>
          <w:rFonts w:ascii="宋体" w:cs="宋体" w:hAnsi="宋体"/>
          <w:sz w:val="24"/>
          <w:szCs w:val="24"/>
        </w:rPr>
      </w:pPr>
      <w:r>
        <w:rPr>
          <w:rFonts w:ascii="宋体" w:cs="宋体" w:hAnsi="宋体"/>
          <w:sz w:val="24"/>
          <w:szCs w:val="24"/>
        </w:rPr>
        <w:t>Humulene, also known as α-humulene or α-caryophyllene, is a naturally occurring monocyclic sesquiterpene, containing an 11-membered ring and consisting of 3 isoprene units containing three non</w:t>
      </w:r>
      <w:r>
        <w:rPr>
          <w:rFonts w:ascii="宋体" w:cs="宋体" w:hAnsi="宋体"/>
          <w:sz w:val="24"/>
          <w:szCs w:val="24"/>
        </w:rPr>
        <w:t>-</w:t>
      </w:r>
      <w:r>
        <w:rPr>
          <w:rFonts w:ascii="宋体" w:cs="宋体" w:hAnsi="宋体"/>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p>
    <w:bookmarkStart w:id="42" w:name="_Toc202853714"/>
    <w:p>
      <w:pPr>
        <w:pStyle w:val="style3"/>
        <w:rPr>
          <w:sz w:val="24"/>
          <w:szCs w:val="24"/>
        </w:rPr>
      </w:pPr>
      <w:r>
        <w:rPr>
          <w:sz w:val="24"/>
          <w:szCs w:val="24"/>
        </w:rPr>
        <w:t>2.</w:t>
      </w:r>
      <w:r>
        <w:rPr>
          <w:sz w:val="24"/>
          <w:szCs w:val="24"/>
        </w:rPr>
        <w:t>4</w:t>
      </w:r>
      <w:r>
        <w:rPr>
          <w:sz w:val="24"/>
          <w:szCs w:val="24"/>
        </w:rPr>
        <w:t>.5 α-Caryophyllene Oxide</w:t>
      </w:r>
      <w:bookmarkEnd w:id="42"/>
    </w:p>
    <w:p>
      <w:pPr>
        <w:pStyle w:val="style0"/>
        <w:spacing w:lineRule="auto" w:line="480"/>
        <w:ind w:firstLine="720"/>
        <w:jc w:val="both"/>
        <w:rPr>
          <w:rFonts w:ascii="宋体" w:cs="宋体" w:hAnsi="宋体"/>
          <w:sz w:val="24"/>
          <w:szCs w:val="24"/>
        </w:rPr>
      </w:pPr>
      <w:r>
        <w:rPr>
          <w:rFonts w:ascii="宋体" w:cs="宋体" w:hAnsi="宋体"/>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宋体" w:cs="宋体" w:hAnsi="宋体"/>
          <w:sz w:val="24"/>
          <w:szCs w:val="24"/>
        </w:rPr>
        <w:t xml:space="preserve"> </w:t>
      </w:r>
      <w:r>
        <w:rPr>
          <w:rFonts w:ascii="宋体" w:cs="宋体" w:hAnsi="宋体"/>
          <w:sz w:val="24"/>
          <w:szCs w:val="24"/>
        </w:rPr>
        <w:t xml:space="preserve">(Bajpai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2012)</w:t>
      </w:r>
      <w:r>
        <w:rPr>
          <w:rFonts w:ascii="宋体" w:cs="宋体" w:hAnsi="宋体"/>
          <w:sz w:val="24"/>
          <w:szCs w:val="24"/>
        </w:rPr>
        <w:t>.</w:t>
      </w:r>
    </w:p>
    <w:bookmarkStart w:id="43" w:name="_Toc202853715"/>
    <w:p>
      <w:pPr>
        <w:pStyle w:val="style3"/>
        <w:rPr>
          <w:sz w:val="24"/>
          <w:szCs w:val="24"/>
        </w:rPr>
      </w:pPr>
      <w:r>
        <w:rPr>
          <w:sz w:val="24"/>
          <w:szCs w:val="24"/>
        </w:rPr>
        <w:t>2.</w:t>
      </w:r>
      <w:r>
        <w:rPr>
          <w:sz w:val="24"/>
          <w:szCs w:val="24"/>
        </w:rPr>
        <w:t>4</w:t>
      </w:r>
      <w:r>
        <w:rPr>
          <w:sz w:val="24"/>
          <w:szCs w:val="24"/>
        </w:rPr>
        <w:t>.6 α-Murolene and γ-Murolene</w:t>
      </w:r>
      <w:bookmarkEnd w:id="43"/>
    </w:p>
    <w:p>
      <w:pPr>
        <w:pStyle w:val="style0"/>
        <w:spacing w:lineRule="auto" w:line="480"/>
        <w:ind w:firstLine="720"/>
        <w:jc w:val="both"/>
        <w:rPr>
          <w:rFonts w:ascii="宋体" w:cs="宋体" w:hAnsi="宋体"/>
          <w:sz w:val="24"/>
          <w:szCs w:val="24"/>
        </w:rPr>
      </w:pPr>
      <w:r>
        <w:rPr>
          <w:rFonts w:ascii="宋体" w:cs="宋体" w:hAnsi="宋体"/>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4" w:name="_Toc202853716"/>
    <w:p>
      <w:pPr>
        <w:pStyle w:val="style3"/>
        <w:rPr>
          <w:sz w:val="24"/>
          <w:szCs w:val="24"/>
        </w:rPr>
      </w:pPr>
      <w:r>
        <w:rPr>
          <w:sz w:val="24"/>
          <w:szCs w:val="24"/>
        </w:rPr>
        <w:t>2.</w:t>
      </w:r>
      <w:r>
        <w:rPr>
          <w:sz w:val="24"/>
          <w:szCs w:val="24"/>
        </w:rPr>
        <w:t>4</w:t>
      </w:r>
      <w:r>
        <w:rPr>
          <w:sz w:val="24"/>
          <w:szCs w:val="24"/>
        </w:rPr>
        <w:t>.7 α-Selinene and β-Selinene</w:t>
      </w:r>
      <w:bookmarkEnd w:id="44"/>
    </w:p>
    <w:p>
      <w:pPr>
        <w:pStyle w:val="style0"/>
        <w:spacing w:lineRule="auto" w:line="480"/>
        <w:ind w:firstLine="720"/>
        <w:jc w:val="both"/>
        <w:rPr>
          <w:rFonts w:ascii="宋体" w:cs="宋体" w:hAnsi="宋体"/>
          <w:sz w:val="24"/>
          <w:szCs w:val="24"/>
        </w:rPr>
      </w:pPr>
      <w:r>
        <w:rPr>
          <w:rFonts w:ascii="宋体" w:cs="宋体" w:hAnsi="宋体"/>
          <w:sz w:val="24"/>
          <w:szCs w:val="24"/>
        </w:rPr>
        <w:t>α -Selinene and β-selinene are the most common and are two of the principal components of the oil from celery seeds and clove. γ</w:t>
      </w:r>
      <w:r>
        <w:rPr>
          <w:rFonts w:ascii="宋体" w:cs="宋体" w:hAnsi="宋体"/>
          <w:sz w:val="24"/>
          <w:szCs w:val="24"/>
        </w:rPr>
        <w:t>-</w:t>
      </w:r>
      <w:r>
        <w:rPr>
          <w:rFonts w:ascii="宋体" w:cs="宋体" w:hAnsi="宋体"/>
          <w:sz w:val="24"/>
          <w:szCs w:val="24"/>
        </w:rPr>
        <w:t>Selinene and δ-selinene are less common. Any eukaryotic</w:t>
      </w:r>
      <w:r>
        <w:rPr>
          <w:rFonts w:ascii="宋体" w:cs="宋体" w:hAnsi="宋体"/>
          <w:sz w:val="24"/>
          <w:szCs w:val="24"/>
        </w:rPr>
        <w:t xml:space="preserve"> </w:t>
      </w:r>
      <w:r>
        <w:rPr>
          <w:rFonts w:ascii="宋体" w:cs="宋体" w:hAnsi="宋体"/>
          <w:sz w:val="24"/>
          <w:szCs w:val="24"/>
        </w:rPr>
        <w:t>metabolite produced during a metabolic reaction in plants, the kingdom that include flowering plants, conifers and other gymnosperms</w:t>
      </w:r>
      <w:r>
        <w:rPr>
          <w:rFonts w:ascii="宋体" w:cs="宋体" w:hAnsi="宋体"/>
          <w:sz w:val="24"/>
          <w:szCs w:val="24"/>
        </w:rPr>
        <w:t xml:space="preserve"> </w:t>
      </w:r>
      <w:r>
        <w:rPr>
          <w:rFonts w:ascii="宋体" w:cs="宋体" w:hAnsi="宋体"/>
          <w:sz w:val="24"/>
          <w:szCs w:val="24"/>
        </w:rPr>
        <w:t>(Delgado-</w:t>
      </w:r>
      <w:r>
        <w:rPr>
          <w:rFonts w:ascii="宋体" w:cs="宋体" w:hAnsi="宋体"/>
          <w:sz w:val="24"/>
          <w:szCs w:val="24"/>
        </w:rPr>
        <w:t>Adámez</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Selinenes</w:t>
      </w:r>
      <w:r>
        <w:rPr>
          <w:rFonts w:ascii="宋体" w:cs="宋体" w:hAnsi="宋体"/>
          <w:sz w:val="24"/>
          <w:szCs w:val="24"/>
        </w:rPr>
        <w:t xml:space="preserve"> </w:t>
      </w:r>
      <w:r>
        <w:rPr>
          <w:rFonts w:ascii="宋体" w:cs="宋体" w:hAnsi="宋体"/>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Voon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Alpha-selinene is an isomer of selinene where the double bond in the </w:t>
      </w:r>
      <w:r>
        <w:rPr>
          <w:rFonts w:ascii="宋体" w:cs="宋体" w:hAnsi="宋体"/>
          <w:sz w:val="24"/>
          <w:szCs w:val="24"/>
        </w:rPr>
        <w:t>octahydronaphthalene</w:t>
      </w:r>
      <w:r>
        <w:rPr>
          <w:rFonts w:ascii="宋体" w:cs="宋体" w:hAnsi="宋体"/>
          <w:sz w:val="24"/>
          <w:szCs w:val="24"/>
        </w:rPr>
        <w:t xml:space="preserve"> ring system is endocyclic (2R,4aR,8aR)-configuration. It has a role as a plant metabolite. It is a selinene and a member of </w:t>
      </w:r>
      <w:r>
        <w:rPr>
          <w:rFonts w:ascii="宋体" w:cs="宋体" w:hAnsi="宋体"/>
          <w:sz w:val="24"/>
          <w:szCs w:val="24"/>
        </w:rPr>
        <w:t>octahydronaphthalenes</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45" w:name="_Toc202853717"/>
    <w:p>
      <w:pPr>
        <w:pStyle w:val="style3"/>
        <w:rPr>
          <w:sz w:val="24"/>
          <w:szCs w:val="24"/>
        </w:rPr>
      </w:pPr>
      <w:r>
        <w:rPr>
          <w:sz w:val="24"/>
          <w:szCs w:val="24"/>
        </w:rPr>
        <w:t>2.</w:t>
      </w:r>
      <w:r>
        <w:rPr>
          <w:sz w:val="24"/>
          <w:szCs w:val="24"/>
        </w:rPr>
        <w:t>4</w:t>
      </w:r>
      <w:r>
        <w:rPr>
          <w:sz w:val="24"/>
          <w:szCs w:val="24"/>
        </w:rPr>
        <w:t>.8 δ-cadinene</w:t>
      </w:r>
      <w:bookmarkEnd w:id="45"/>
    </w:p>
    <w:p>
      <w:pPr>
        <w:pStyle w:val="style0"/>
        <w:spacing w:lineRule="auto" w:line="480"/>
        <w:ind w:firstLine="720"/>
        <w:jc w:val="both"/>
        <w:rPr>
          <w:rFonts w:ascii="宋体" w:cs="宋体" w:hAnsi="宋体"/>
          <w:sz w:val="24"/>
          <w:szCs w:val="24"/>
        </w:rPr>
      </w:pPr>
      <w:r>
        <w:rPr>
          <w:rFonts w:ascii="宋体" w:cs="宋体" w:hAnsi="宋体"/>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宋体" w:cs="宋体" w:hAnsi="宋体"/>
          <w:sz w:val="24"/>
          <w:szCs w:val="24"/>
        </w:rPr>
        <w:t xml:space="preserve"> </w:t>
      </w:r>
      <w:r>
        <w:rPr>
          <w:rFonts w:ascii="宋体" w:cs="宋体" w:hAnsi="宋体"/>
          <w:sz w:val="24"/>
          <w:szCs w:val="24"/>
        </w:rPr>
        <w:t xml:space="preserve">anticancer effects against human ovary cancer cells through the mediation of apoptosis, nuclear membrane rupture, cell cycle arrest and caspase activation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6" w:name="_Toc202853718"/>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5</w:t>
      </w:r>
      <w:r>
        <w:rPr>
          <w:rFonts w:ascii="宋体" w:hAnsi="宋体"/>
          <w:sz w:val="24"/>
          <w:szCs w:val="24"/>
        </w:rPr>
        <w:t xml:space="preserve"> Biological Activities of Clove</w:t>
      </w:r>
      <w:bookmarkEnd w:id="46"/>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Clove is an important medicinal plant due to the wide range of pharmacological effects consolidated from traditional use for centuries and reported in literature. A</w:t>
      </w:r>
      <w:r>
        <w:rPr>
          <w:rFonts w:ascii="宋体" w:cs="宋体" w:hAnsi="宋体"/>
          <w:sz w:val="24"/>
          <w:szCs w:val="24"/>
        </w:rPr>
        <w:t xml:space="preserve"> </w:t>
      </w:r>
      <w:r>
        <w:rPr>
          <w:rFonts w:ascii="宋体" w:cs="宋体" w:hAnsi="宋体"/>
          <w:sz w:val="24"/>
          <w:szCs w:val="24"/>
        </w:rPr>
        <w:t>review of several scientific reports of the most important biological activities of clove</w:t>
      </w:r>
      <w:r>
        <w:rPr>
          <w:rFonts w:ascii="宋体" w:cs="宋体" w:hAnsi="宋体"/>
          <w:sz w:val="24"/>
          <w:szCs w:val="24"/>
        </w:rPr>
        <w:t xml:space="preserve"> </w:t>
      </w:r>
      <w:r>
        <w:rPr>
          <w:rFonts w:ascii="宋体" w:cs="宋体" w:hAnsi="宋体"/>
          <w:sz w:val="24"/>
          <w:szCs w:val="24"/>
        </w:rPr>
        <w:t xml:space="preserve">is presented in the following paragraphs. </w:t>
      </w:r>
    </w:p>
    <w:bookmarkStart w:id="47" w:name="_Toc202853719"/>
    <w:p>
      <w:pPr>
        <w:pStyle w:val="style3"/>
        <w:rPr>
          <w:sz w:val="24"/>
          <w:szCs w:val="24"/>
        </w:rPr>
      </w:pPr>
      <w:r>
        <w:rPr>
          <w:sz w:val="24"/>
          <w:szCs w:val="24"/>
        </w:rPr>
        <w:t>2.</w:t>
      </w:r>
      <w:r>
        <w:rPr>
          <w:sz w:val="24"/>
          <w:szCs w:val="24"/>
        </w:rPr>
        <w:t>5</w:t>
      </w:r>
      <w:r>
        <w:rPr>
          <w:sz w:val="24"/>
          <w:szCs w:val="24"/>
        </w:rPr>
        <w:t>.1 Anti-Diabetic Activity</w:t>
      </w:r>
      <w:bookmarkEnd w:id="47"/>
    </w:p>
    <w:p>
      <w:pPr>
        <w:pStyle w:val="style0"/>
        <w:spacing w:lineRule="auto" w:line="480"/>
        <w:ind w:firstLine="720"/>
        <w:jc w:val="both"/>
        <w:rPr>
          <w:rFonts w:ascii="宋体" w:cs="宋体" w:hAnsi="宋体"/>
          <w:sz w:val="24"/>
          <w:szCs w:val="24"/>
        </w:rPr>
      </w:pPr>
      <w:r>
        <w:rPr>
          <w:rFonts w:ascii="宋体" w:cs="宋体" w:hAnsi="宋体"/>
          <w:sz w:val="24"/>
          <w:szCs w:val="24"/>
        </w:rPr>
        <w:t>Clove extract acts like insulin in hepatocytes and hepatoma cells by reducing</w:t>
      </w:r>
      <w:r>
        <w:rPr>
          <w:rFonts w:ascii="宋体" w:cs="宋体" w:hAnsi="宋体"/>
          <w:sz w:val="24"/>
          <w:szCs w:val="24"/>
        </w:rPr>
        <w:t xml:space="preserve"> </w:t>
      </w:r>
      <w:r>
        <w:rPr>
          <w:rFonts w:ascii="宋体" w:cs="宋体" w:hAnsi="宋体"/>
          <w:sz w:val="24"/>
          <w:szCs w:val="24"/>
        </w:rPr>
        <w:t>phosphoenolpyruvate</w:t>
      </w:r>
      <w:r>
        <w:rPr>
          <w:rFonts w:ascii="宋体" w:cs="宋体" w:hAnsi="宋体"/>
          <w:sz w:val="24"/>
          <w:szCs w:val="24"/>
        </w:rPr>
        <w:t xml:space="preserve"> </w:t>
      </w:r>
      <w:r>
        <w:rPr>
          <w:rFonts w:ascii="宋体" w:cs="宋体" w:hAnsi="宋体"/>
          <w:sz w:val="24"/>
          <w:szCs w:val="24"/>
        </w:rPr>
        <w:t>carboxykinase</w:t>
      </w:r>
      <w:r>
        <w:rPr>
          <w:rFonts w:ascii="宋体" w:cs="宋体" w:hAnsi="宋体"/>
          <w:sz w:val="24"/>
          <w:szCs w:val="24"/>
        </w:rPr>
        <w:t xml:space="preserve"> (PEPCK) and glucose 6-phosphatase (G6Pase) gene expression. Much like insulin, clove</w:t>
      </w:r>
      <w:r>
        <w:rPr>
          <w:rFonts w:ascii="宋体" w:cs="宋体" w:hAnsi="宋体"/>
          <w:sz w:val="24"/>
          <w:szCs w:val="24"/>
        </w:rPr>
        <w:t xml:space="preserve"> </w:t>
      </w:r>
      <w:r>
        <w:rPr>
          <w:rFonts w:ascii="宋体" w:cs="宋体" w:hAnsi="宋体"/>
          <w:sz w:val="24"/>
          <w:szCs w:val="24"/>
        </w:rPr>
        <w:t>mediated repression is reversed by PI3K inhibitors and</w:t>
      </w:r>
      <w:r>
        <w:rPr>
          <w:rFonts w:ascii="宋体" w:cs="宋体" w:hAnsi="宋体"/>
          <w:sz w:val="24"/>
          <w:szCs w:val="24"/>
        </w:rPr>
        <w:t xml:space="preserve"> </w:t>
      </w:r>
      <w:r>
        <w:rPr>
          <w:rFonts w:ascii="宋体" w:cs="宋体" w:hAnsi="宋体"/>
          <w:sz w:val="24"/>
          <w:szCs w:val="24"/>
        </w:rPr>
        <w:t>N</w:t>
      </w:r>
      <w:r>
        <w:rPr>
          <w:rFonts w:ascii="宋体" w:cs="宋体" w:hAnsi="宋体"/>
          <w:sz w:val="24"/>
          <w:szCs w:val="24"/>
        </w:rPr>
        <w:t>-</w:t>
      </w:r>
      <w:r>
        <w:rPr>
          <w:rFonts w:ascii="宋体" w:cs="宋体" w:hAnsi="宋体"/>
          <w:sz w:val="24"/>
          <w:szCs w:val="24"/>
        </w:rPr>
        <w:t>acetylcysteine (NAC). A more global analysis of gene expression by DNA microarray analysis revealed that clove and insulin regulated the expression of many of the</w:t>
      </w:r>
      <w:r>
        <w:rPr>
          <w:rFonts w:ascii="宋体" w:cs="宋体" w:hAnsi="宋体"/>
          <w:sz w:val="24"/>
          <w:szCs w:val="24"/>
        </w:rPr>
        <w:t xml:space="preserve"> </w:t>
      </w:r>
      <w:r>
        <w:rPr>
          <w:rFonts w:ascii="宋体" w:cs="宋体" w:hAnsi="宋体"/>
          <w:sz w:val="24"/>
          <w:szCs w:val="24"/>
        </w:rPr>
        <w:t>same genes in a similar manner</w:t>
      </w:r>
      <w:r>
        <w:rPr>
          <w:rFonts w:ascii="宋体" w:cs="宋体" w:hAnsi="宋体"/>
          <w:sz w:val="24"/>
          <w:szCs w:val="24"/>
        </w:rPr>
        <w:t xml:space="preserve"> (Cimino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2021)</w:t>
      </w:r>
    </w:p>
    <w:bookmarkStart w:id="48" w:name="_Toc202853720"/>
    <w:p>
      <w:pPr>
        <w:pStyle w:val="style3"/>
        <w:rPr>
          <w:sz w:val="24"/>
          <w:szCs w:val="24"/>
        </w:rPr>
      </w:pPr>
      <w:r>
        <w:rPr>
          <w:sz w:val="24"/>
          <w:szCs w:val="24"/>
        </w:rPr>
        <w:t>2.</w:t>
      </w:r>
      <w:r>
        <w:rPr>
          <w:sz w:val="24"/>
          <w:szCs w:val="24"/>
        </w:rPr>
        <w:t>5</w:t>
      </w:r>
      <w:r>
        <w:rPr>
          <w:sz w:val="24"/>
          <w:szCs w:val="24"/>
        </w:rPr>
        <w:t>.2 Antioxidant Activity</w:t>
      </w:r>
      <w:bookmarkEnd w:id="48"/>
    </w:p>
    <w:p>
      <w:pPr>
        <w:pStyle w:val="style0"/>
        <w:spacing w:lineRule="auto" w:line="480"/>
        <w:ind w:firstLine="720"/>
        <w:jc w:val="both"/>
        <w:rPr>
          <w:rFonts w:ascii="宋体" w:cs="宋体" w:hAnsi="宋体"/>
          <w:sz w:val="24"/>
          <w:szCs w:val="24"/>
        </w:rPr>
      </w:pPr>
      <w:r>
        <w:rPr>
          <w:rFonts w:ascii="宋体" w:cs="宋体" w:hAnsi="宋体"/>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(2010)</w:t>
      </w:r>
      <w:r>
        <w:rPr>
          <w:rFonts w:ascii="宋体" w:cs="宋体" w:hAnsi="宋体"/>
          <w:sz w:val="24"/>
          <w:szCs w:val="24"/>
        </w:rPr>
        <w:t xml:space="preserve"> classified the 100 richest dietary sources of polyphenols. Results indicate that the spice plants are the kind of food with higher polyphenol content followed by</w:t>
      </w:r>
      <w:r>
        <w:rPr>
          <w:rFonts w:ascii="宋体" w:cs="宋体" w:hAnsi="宋体"/>
          <w:sz w:val="24"/>
          <w:szCs w:val="24"/>
        </w:rPr>
        <w:t xml:space="preserve"> </w:t>
      </w:r>
      <w:r>
        <w:rPr>
          <w:rFonts w:ascii="宋体" w:cs="宋体" w:hAnsi="宋体"/>
          <w:sz w:val="24"/>
          <w:szCs w:val="24"/>
        </w:rPr>
        <w:t>fruits, seeds a</w:t>
      </w:r>
      <w:r>
        <w:rPr>
          <w:rFonts w:ascii="宋体" w:cs="宋体" w:hAnsi="宋体"/>
          <w:sz w:val="24"/>
          <w:szCs w:val="24"/>
        </w:rPr>
        <w:t>nd</w:t>
      </w:r>
      <w:r>
        <w:rPr>
          <w:rFonts w:ascii="宋体" w:cs="宋体" w:hAnsi="宋体"/>
          <w:sz w:val="24"/>
          <w:szCs w:val="24"/>
        </w:rPr>
        <w:t xml:space="preserve"> vegetables. Among spices,</w:t>
      </w:r>
      <w:r>
        <w:rPr>
          <w:rFonts w:ascii="宋体" w:cs="宋体" w:hAnsi="宋体"/>
          <w:sz w:val="24"/>
          <w:szCs w:val="24"/>
        </w:rPr>
        <w:t xml:space="preserve"> </w:t>
      </w:r>
      <w:r>
        <w:rPr>
          <w:rFonts w:ascii="宋体" w:cs="宋体" w:hAnsi="宋体"/>
          <w:sz w:val="24"/>
          <w:szCs w:val="24"/>
        </w:rPr>
        <w:t xml:space="preserve">clove showed the higher content of polyphenols and antioxidant compounds. In another work published by Shan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(2015)</w:t>
      </w:r>
      <w:r>
        <w:rPr>
          <w:rFonts w:ascii="宋体" w:cs="宋体" w:hAnsi="宋体"/>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cs="MS Gothic" w:eastAsia="MS Gothic" w:hAnsi="MS Gothic" w:hint="eastAsia"/>
          <w:sz w:val="24"/>
          <w:szCs w:val="24"/>
        </w:rPr>
        <w:t>±</w:t>
      </w:r>
      <w:r>
        <w:rPr>
          <w:rFonts w:ascii="宋体" w:cs="宋体" w:hAnsi="宋体"/>
          <w:sz w:val="24"/>
          <w:szCs w:val="24"/>
        </w:rPr>
        <w:t>0.024) tetraethylammonium chloride (mmol of Trolox/100g dried weight) and (14.380</w:t>
      </w:r>
      <w:r>
        <w:rPr>
          <w:rFonts w:ascii="MS Gothic" w:cs="MS Gothic" w:eastAsia="MS Gothic" w:hAnsi="MS Gothic" w:hint="eastAsia"/>
          <w:sz w:val="24"/>
          <w:szCs w:val="24"/>
        </w:rPr>
        <w:t>±</w:t>
      </w:r>
      <w:r>
        <w:rPr>
          <w:rFonts w:ascii="宋体" w:cs="宋体" w:hAnsi="宋体"/>
          <w:sz w:val="24"/>
          <w:szCs w:val="24"/>
        </w:rPr>
        <w:t xml:space="preserve">0.006) g of </w:t>
      </w:r>
      <w:r>
        <w:rPr>
          <w:rFonts w:ascii="宋体" w:cs="宋体" w:hAnsi="宋体"/>
          <w:sz w:val="24"/>
          <w:szCs w:val="24"/>
        </w:rPr>
        <w:t>gallic acid (equivalents/100g of dried weight)</w:t>
      </w:r>
      <w:r>
        <w:rPr>
          <w:rFonts w:ascii="宋体" w:cs="宋体" w:hAnsi="宋体"/>
          <w:sz w:val="24"/>
          <w:szCs w:val="24"/>
        </w:rPr>
        <w:t xml:space="preserve"> </w:t>
      </w:r>
      <w:r>
        <w:rPr>
          <w:rFonts w:ascii="宋体" w:cs="宋体" w:hAnsi="宋体"/>
          <w:sz w:val="24"/>
          <w:szCs w:val="24"/>
        </w:rPr>
        <w:t xml:space="preserve">respectively. The major types of phenolic compounds found were phenolic acids (gallic acid), </w:t>
      </w:r>
      <w:r>
        <w:rPr>
          <w:rFonts w:ascii="宋体" w:cs="宋体" w:hAnsi="宋体"/>
          <w:sz w:val="24"/>
          <w:szCs w:val="24"/>
        </w:rPr>
        <w:t>flavonol</w:t>
      </w:r>
      <w:r>
        <w:rPr>
          <w:rFonts w:ascii="宋体" w:cs="宋体" w:hAnsi="宋体"/>
          <w:sz w:val="24"/>
          <w:szCs w:val="24"/>
        </w:rPr>
        <w:t xml:space="preserve"> glucosides, phenolic volatile oils (eugenol, acetyl eugenol) and tannins. It was highlighted the huge potential of clove as radical</w:t>
      </w:r>
      <w:r>
        <w:rPr>
          <w:rFonts w:ascii="宋体" w:cs="宋体" w:hAnsi="宋体"/>
          <w:sz w:val="24"/>
          <w:szCs w:val="24"/>
        </w:rPr>
        <w:t xml:space="preserve"> </w:t>
      </w:r>
      <w:r>
        <w:rPr>
          <w:rFonts w:ascii="宋体" w:cs="宋体" w:hAnsi="宋体"/>
          <w:sz w:val="24"/>
          <w:szCs w:val="24"/>
        </w:rPr>
        <w:t>scavenger and as a commercial source of polyphenols.  The antioxidant activity of clove and caraway were screened using various in vitro models, such as b-</w:t>
      </w:r>
      <w:r>
        <w:rPr>
          <w:rFonts w:ascii="宋体" w:cs="宋体" w:hAnsi="宋体"/>
          <w:sz w:val="24"/>
          <w:szCs w:val="24"/>
        </w:rPr>
        <w:t>carotenelinoleate</w:t>
      </w:r>
      <w:r>
        <w:rPr>
          <w:rFonts w:ascii="宋体" w:cs="宋体" w:hAnsi="宋体"/>
          <w:sz w:val="24"/>
          <w:szCs w:val="24"/>
        </w:rPr>
        <w:t xml:space="preserv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 xml:space="preserve">. According to </w:t>
      </w:r>
      <w:r>
        <w:rPr>
          <w:rFonts w:ascii="宋体" w:cs="宋体" w:hAnsi="宋体"/>
          <w:sz w:val="24"/>
          <w:szCs w:val="24"/>
        </w:rPr>
        <w:t>Gülçin</w:t>
      </w:r>
      <w:r>
        <w:rPr>
          <w:rFonts w:ascii="宋体" w:cs="宋体" w:hAnsi="宋体"/>
          <w:sz w:val="24"/>
          <w:szCs w:val="24"/>
        </w:rPr>
        <w:t xml:space="preserve">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(2012)</w:t>
      </w:r>
      <w:r>
        <w:rPr>
          <w:rFonts w:ascii="宋体" w:cs="宋体" w:hAnsi="宋体"/>
          <w:sz w:val="24"/>
          <w:szCs w:val="24"/>
        </w:rPr>
        <w:t>, the antioxidant activity of clove oil compared with synthetic antioxidants measured as the scavenging of the DPPH radical decreased in the following order: clove oil&gt;BHT&gt;</w:t>
      </w:r>
      <w:r>
        <w:rPr>
          <w:rFonts w:ascii="宋体" w:cs="宋体" w:hAnsi="宋体"/>
          <w:sz w:val="24"/>
          <w:szCs w:val="24"/>
        </w:rPr>
        <w:t>alfatocopherol</w:t>
      </w:r>
      <w:r>
        <w:rPr>
          <w:rFonts w:ascii="宋体" w:cs="宋体" w:hAnsi="宋体"/>
          <w:sz w:val="24"/>
          <w:szCs w:val="24"/>
        </w:rPr>
        <w:t xml:space="preserve">&gt;butylated </w:t>
      </w:r>
      <w:r>
        <w:rPr>
          <w:rFonts w:ascii="宋体" w:cs="宋体" w:hAnsi="宋体"/>
          <w:sz w:val="24"/>
          <w:szCs w:val="24"/>
        </w:rPr>
        <w:t>hydroxyanisole</w:t>
      </w:r>
      <w:r>
        <w:rPr>
          <w:rFonts w:ascii="宋体" w:cs="宋体" w:hAnsi="宋体"/>
          <w:sz w:val="24"/>
          <w:szCs w:val="24"/>
        </w:rPr>
        <w:t>&gt;Trolox.</w:t>
      </w:r>
      <w:r>
        <w:rPr>
          <w:rFonts w:ascii="宋体" w:cs="宋体" w:hAnsi="宋体"/>
          <w:sz w:val="24"/>
          <w:szCs w:val="24"/>
        </w:rPr>
        <w:t xml:space="preserve"> </w:t>
      </w:r>
      <w:r>
        <w:rPr>
          <w:rFonts w:ascii="宋体" w:cs="宋体" w:hAnsi="宋体"/>
          <w:sz w:val="24"/>
          <w:szCs w:val="24"/>
        </w:rPr>
        <w:t>The antioxidant activity of aqueous extracts of clove has been tested by different in vitro methods as 2,2-diphenyl-1-picrylhydrazyl (DPPH); 2,2’-azino-bis (3-ethylbenzothiazoline-6-sulphonic acid) (ABTS), ox</w:t>
      </w:r>
      <w:r>
        <w:rPr>
          <w:rFonts w:ascii="宋体" w:cs="宋体" w:hAnsi="宋体"/>
          <w:sz w:val="24"/>
          <w:szCs w:val="24"/>
        </w:rPr>
        <w:t>y</w:t>
      </w:r>
      <w:r>
        <w:rPr>
          <w:rFonts w:ascii="宋体" w:cs="宋体" w:hAnsi="宋体"/>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宋体" w:cs="宋体" w:hAnsi="宋体"/>
          <w:sz w:val="24"/>
          <w:szCs w:val="24"/>
        </w:rPr>
        <w:t xml:space="preserve"> (</w:t>
      </w:r>
      <w:r>
        <w:rPr>
          <w:rFonts w:ascii="宋体" w:cs="宋体" w:hAnsi="宋体"/>
          <w:sz w:val="24"/>
          <w:szCs w:val="24"/>
        </w:rPr>
        <w:t>Dudonné</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2019)</w:t>
      </w:r>
      <w:r>
        <w:rPr>
          <w:rFonts w:ascii="宋体" w:cs="宋体" w:hAnsi="宋体"/>
          <w:sz w:val="24"/>
          <w:szCs w:val="24"/>
        </w:rPr>
        <w:t xml:space="preserve">.  Ethanol and aqueous extracts of clove and lavender at concentrations of 20, 40 and 60 µg/mL showed inhibitions up to 95% when tested as metal </w:t>
      </w:r>
      <w:r>
        <w:rPr>
          <w:rFonts w:ascii="宋体" w:cs="宋体" w:hAnsi="宋体"/>
          <w:sz w:val="24"/>
          <w:szCs w:val="24"/>
        </w:rPr>
        <w:t>quelants</w:t>
      </w:r>
      <w:r>
        <w:rPr>
          <w:rFonts w:ascii="宋体" w:cs="宋体" w:hAnsi="宋体"/>
          <w:sz w:val="24"/>
          <w:szCs w:val="24"/>
        </w:rPr>
        <w:t xml:space="preserve">, superoxide radical capture and scavenging of the DPPH radical. The powerful antioxidant activity of both extracts may be attributed to the strong hydrogen donating ability, metal chelating ability and </w:t>
      </w:r>
      <w:r>
        <w:rPr>
          <w:rFonts w:ascii="宋体" w:cs="宋体" w:hAnsi="宋体"/>
          <w:sz w:val="24"/>
          <w:szCs w:val="24"/>
        </w:rPr>
        <w:t>scavanging</w:t>
      </w:r>
      <w:r>
        <w:rPr>
          <w:rFonts w:ascii="宋体" w:cs="宋体" w:hAnsi="宋体"/>
          <w:sz w:val="24"/>
          <w:szCs w:val="24"/>
        </w:rPr>
        <w:t xml:space="preserve"> of free radicals, hydrogen peroxide and superoxide</w:t>
      </w:r>
      <w:r>
        <w:rPr>
          <w:rFonts w:ascii="宋体" w:cs="宋体" w:hAnsi="宋体"/>
          <w:sz w:val="24"/>
          <w:szCs w:val="24"/>
        </w:rPr>
        <w:t xml:space="preserve"> (</w:t>
      </w:r>
      <w:r>
        <w:rPr>
          <w:rFonts w:ascii="宋体" w:cs="宋体" w:hAnsi="宋体"/>
          <w:sz w:val="24"/>
          <w:szCs w:val="24"/>
        </w:rPr>
        <w:t>Gülçin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w:t>
      </w:r>
      <w:r>
        <w:rPr>
          <w:rFonts w:ascii="宋体" w:cs="宋体" w:hAnsi="宋体"/>
          <w:sz w:val="24"/>
          <w:szCs w:val="24"/>
        </w:rPr>
        <w:t>, 2012).</w:t>
      </w:r>
    </w:p>
    <w:p>
      <w:pPr>
        <w:pStyle w:val="style0"/>
        <w:spacing w:lineRule="auto" w:line="480"/>
        <w:ind w:firstLine="720"/>
        <w:jc w:val="both"/>
        <w:rPr>
          <w:rFonts w:ascii="宋体" w:cs="宋体" w:hAnsi="宋体"/>
          <w:sz w:val="24"/>
          <w:szCs w:val="24"/>
        </w:rPr>
      </w:pPr>
      <w:r>
        <w:rPr>
          <w:rFonts w:ascii="宋体" w:cs="宋体" w:hAnsi="宋体"/>
          <w:sz w:val="24"/>
          <w:szCs w:val="24"/>
        </w:rPr>
        <w:t>Gülcin</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 xml:space="preserve">studied the antioxidant activity of eugenol by several in vitro methods and discusses the structure-activity relationship. Compared to butylated </w:t>
      </w:r>
      <w:r>
        <w:rPr>
          <w:rFonts w:ascii="宋体" w:cs="宋体" w:hAnsi="宋体"/>
          <w:sz w:val="24"/>
          <w:szCs w:val="24"/>
        </w:rPr>
        <w:t>hydroxyanisole</w:t>
      </w:r>
      <w:r>
        <w:rPr>
          <w:rFonts w:ascii="宋体" w:cs="宋体" w:hAnsi="宋体"/>
          <w:sz w:val="24"/>
          <w:szCs w:val="24"/>
        </w:rPr>
        <w:t xml:space="preserve">, BHT, Trolox and α-tocopherol, eugenol presented higher antioxidant activity in most of the methods </w:t>
      </w:r>
      <w:r>
        <w:rPr>
          <w:rFonts w:ascii="宋体" w:cs="宋体" w:hAnsi="宋体"/>
          <w:sz w:val="24"/>
          <w:szCs w:val="24"/>
        </w:rPr>
        <w:t>tested, DPPH, ABTS, N,</w:t>
      </w:r>
      <w:r>
        <w:rPr>
          <w:rFonts w:ascii="宋体" w:cs="宋体" w:hAnsi="宋体"/>
          <w:sz w:val="24"/>
          <w:szCs w:val="24"/>
        </w:rPr>
        <w:t xml:space="preserve"> </w:t>
      </w:r>
      <w:r>
        <w:rPr>
          <w:rFonts w:ascii="宋体" w:cs="宋体" w:hAnsi="宋体"/>
          <w:sz w:val="24"/>
          <w:szCs w:val="24"/>
        </w:rPr>
        <w:t>N-dimethyl-p-phenylenediamine, CUPRAC</w:t>
      </w:r>
      <w:r>
        <w:rPr>
          <w:rFonts w:ascii="宋体" w:cs="宋体" w:hAnsi="宋体"/>
          <w:sz w:val="24"/>
          <w:szCs w:val="24"/>
        </w:rPr>
        <w:t xml:space="preserve"> </w:t>
      </w:r>
      <w:r>
        <w:rPr>
          <w:rFonts w:ascii="宋体" w:cs="宋体" w:hAnsi="宋体"/>
          <w:sz w:val="24"/>
          <w:szCs w:val="24"/>
        </w:rPr>
        <w:t>and ferric reducing assay. It was remarked that plant polyphenols are multifunctional in the sense that they can act as reducing agents, hydrogen atom donators, and singlet</w:t>
      </w:r>
      <w:r>
        <w:rPr>
          <w:rFonts w:ascii="宋体" w:cs="宋体" w:hAnsi="宋体"/>
          <w:sz w:val="24"/>
          <w:szCs w:val="24"/>
        </w:rPr>
        <w:t xml:space="preserve"> </w:t>
      </w:r>
      <w:r>
        <w:rPr>
          <w:rFonts w:ascii="宋体" w:cs="宋体" w:hAnsi="宋体"/>
          <w:sz w:val="24"/>
          <w:szCs w:val="24"/>
        </w:rPr>
        <w:t xml:space="preserve">oxygen scavengers. Eugenol allows the donation of </w:t>
      </w:r>
      <w:r>
        <w:rPr>
          <w:rFonts w:ascii="宋体" w:cs="宋体" w:hAnsi="宋体"/>
          <w:sz w:val="24"/>
          <w:szCs w:val="24"/>
        </w:rPr>
        <w:t>an</w:t>
      </w:r>
      <w:r>
        <w:rPr>
          <w:rFonts w:ascii="宋体" w:cs="宋体" w:hAnsi="宋体"/>
          <w:sz w:val="24"/>
          <w:szCs w:val="24"/>
        </w:rPr>
        <w:t xml:space="preserve"> </w:t>
      </w:r>
      <w:r>
        <w:rPr>
          <w:rFonts w:ascii="宋体" w:cs="宋体" w:hAnsi="宋体"/>
          <w:sz w:val="24"/>
          <w:szCs w:val="24"/>
        </w:rPr>
        <w:t xml:space="preserve">hydrogen atom and subsequent stabilization of the </w:t>
      </w:r>
      <w:r>
        <w:rPr>
          <w:rFonts w:ascii="宋体" w:cs="宋体" w:hAnsi="宋体"/>
          <w:sz w:val="24"/>
          <w:szCs w:val="24"/>
        </w:rPr>
        <w:t>phenoxil</w:t>
      </w:r>
      <w:r>
        <w:rPr>
          <w:rFonts w:ascii="宋体" w:cs="宋体" w:hAnsi="宋体"/>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r>
        <w:rPr>
          <w:rFonts w:ascii="宋体" w:cs="宋体" w:hAnsi="宋体"/>
          <w:sz w:val="24"/>
          <w:szCs w:val="24"/>
        </w:rPr>
        <w:t>phenoxyl</w:t>
      </w:r>
      <w:r>
        <w:rPr>
          <w:rFonts w:ascii="宋体" w:cs="宋体" w:hAnsi="宋体"/>
          <w:sz w:val="24"/>
          <w:szCs w:val="24"/>
        </w:rPr>
        <w:t xml:space="preserve"> radical by resonance. This </w:t>
      </w:r>
      <w:r>
        <w:rPr>
          <w:rFonts w:ascii="宋体" w:cs="宋体" w:hAnsi="宋体"/>
          <w:sz w:val="24"/>
          <w:szCs w:val="24"/>
        </w:rPr>
        <w:t>chromophoric</w:t>
      </w:r>
      <w:r>
        <w:rPr>
          <w:rFonts w:ascii="宋体" w:cs="宋体" w:hAnsi="宋体"/>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r>
        <w:rPr>
          <w:rFonts w:ascii="宋体" w:cs="宋体" w:hAnsi="宋体"/>
          <w:sz w:val="24"/>
          <w:szCs w:val="24"/>
        </w:rPr>
        <w:t>dehydrodieugenol</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with two phenolic </w:t>
      </w:r>
      <w:r>
        <w:rPr>
          <w:rFonts w:ascii="宋体" w:cs="宋体" w:hAnsi="宋体"/>
          <w:sz w:val="24"/>
          <w:szCs w:val="24"/>
        </w:rPr>
        <w:t>hidroxyl</w:t>
      </w:r>
      <w:r>
        <w:rPr>
          <w:rFonts w:ascii="宋体" w:cs="宋体" w:hAnsi="宋体"/>
          <w:sz w:val="24"/>
          <w:szCs w:val="24"/>
        </w:rPr>
        <w:t xml:space="preserve"> groups originated from </w:t>
      </w:r>
      <w:r>
        <w:rPr>
          <w:rFonts w:ascii="宋体" w:cs="宋体" w:hAnsi="宋体"/>
          <w:sz w:val="24"/>
          <w:szCs w:val="24"/>
        </w:rPr>
        <w:t>eugenyl</w:t>
      </w:r>
      <w:r>
        <w:rPr>
          <w:rFonts w:ascii="宋体" w:cs="宋体" w:hAnsi="宋体"/>
          <w:sz w:val="24"/>
          <w:szCs w:val="24"/>
        </w:rPr>
        <w:t xml:space="preserve"> intermediate radicals has also been proposed as mechanism between eugenol and DPPH radicals.  In the same way,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oil and Nigella sativa oil significant protect male rats exposed to aflatoxins which caused </w:t>
      </w:r>
      <w:r>
        <w:rPr>
          <w:rFonts w:ascii="宋体" w:cs="宋体" w:hAnsi="宋体"/>
          <w:sz w:val="24"/>
          <w:szCs w:val="24"/>
        </w:rPr>
        <w:t>hepato</w:t>
      </w:r>
      <w:r>
        <w:rPr>
          <w:rFonts w:ascii="宋体" w:cs="宋体" w:hAnsi="宋体"/>
          <w:sz w:val="24"/>
          <w:szCs w:val="24"/>
        </w:rPr>
        <w:t xml:space="preserve"> and nephrotoxicity and oxidative stress. Regarding to the biochemical parameters, such as alanine aminotransferase, aspartate aminotransferase, alkaline </w:t>
      </w:r>
      <w:r>
        <w:rPr>
          <w:rFonts w:ascii="宋体" w:cs="宋体" w:hAnsi="宋体"/>
          <w:sz w:val="24"/>
          <w:szCs w:val="24"/>
        </w:rPr>
        <w:t>phospatase</w:t>
      </w:r>
      <w:r>
        <w:rPr>
          <w:rFonts w:ascii="宋体" w:cs="宋体" w:hAnsi="宋体"/>
          <w:sz w:val="24"/>
          <w:szCs w:val="24"/>
        </w:rPr>
        <w:t xml:space="preserve">, total </w:t>
      </w:r>
      <w:r>
        <w:rPr>
          <w:rFonts w:ascii="宋体" w:cs="宋体" w:hAnsi="宋体"/>
          <w:sz w:val="24"/>
          <w:szCs w:val="24"/>
        </w:rPr>
        <w:t>billirubin</w:t>
      </w:r>
      <w:r>
        <w:rPr>
          <w:rFonts w:ascii="宋体" w:cs="宋体" w:hAnsi="宋体"/>
          <w:sz w:val="24"/>
          <w:szCs w:val="24"/>
        </w:rPr>
        <w:t xml:space="preserve">, urea, total protein, cholesterol, the activity of both oils </w:t>
      </w:r>
      <w:r>
        <w:rPr>
          <w:rFonts w:ascii="宋体" w:cs="宋体" w:hAnsi="宋体"/>
          <w:sz w:val="24"/>
          <w:szCs w:val="24"/>
        </w:rPr>
        <w:t>were</w:t>
      </w:r>
      <w:r>
        <w:rPr>
          <w:rFonts w:ascii="宋体" w:cs="宋体" w:hAnsi="宋体"/>
          <w:sz w:val="24"/>
          <w:szCs w:val="24"/>
        </w:rPr>
        <w:t xml:space="preserve"> comparable with the controls</w:t>
      </w:r>
      <w:r>
        <w:rPr>
          <w:rFonts w:ascii="宋体" w:cs="宋体" w:hAnsi="宋体"/>
          <w:sz w:val="24"/>
          <w:szCs w:val="24"/>
        </w:rPr>
        <w:t xml:space="preserve"> </w:t>
      </w:r>
      <w:r>
        <w:rPr>
          <w:rFonts w:ascii="宋体" w:cs="宋体" w:hAnsi="宋体"/>
          <w:sz w:val="24"/>
          <w:szCs w:val="24"/>
        </w:rPr>
        <w:t>(Abdel-</w:t>
      </w:r>
      <w:r>
        <w:rPr>
          <w:rFonts w:ascii="宋体" w:cs="宋体" w:hAnsi="宋体"/>
          <w:sz w:val="24"/>
          <w:szCs w:val="24"/>
        </w:rPr>
        <w:t>Wahhab</w:t>
      </w:r>
      <w:r>
        <w:rPr>
          <w:rFonts w:ascii="宋体" w:cs="宋体" w:hAnsi="宋体"/>
          <w:sz w:val="24"/>
          <w:szCs w:val="24"/>
        </w:rPr>
        <w:t xml:space="preserve"> and Aly, 2015)</w:t>
      </w:r>
      <w:r>
        <w:rPr>
          <w:rFonts w:ascii="宋体" w:cs="宋体" w:hAnsi="宋体"/>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宋体" w:cs="宋体" w:hAnsi="宋体"/>
          <w:sz w:val="24"/>
          <w:szCs w:val="24"/>
        </w:rPr>
        <w:t xml:space="preserve"> </w:t>
      </w:r>
      <w:r>
        <w:rPr>
          <w:rFonts w:ascii="宋体" w:cs="宋体" w:hAnsi="宋体"/>
          <w:sz w:val="24"/>
          <w:szCs w:val="24"/>
        </w:rPr>
        <w:t xml:space="preserve">(Mehta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Pr>
          <w:rFonts w:ascii="宋体" w:cs="宋体" w:hAnsi="宋体"/>
          <w:sz w:val="24"/>
          <w:szCs w:val="24"/>
        </w:rPr>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r>
        <w:rPr>
          <w:rFonts w:ascii="宋体" w:cs="宋体" w:hAnsi="宋体"/>
          <w:sz w:val="24"/>
          <w:szCs w:val="24"/>
        </w:rPr>
        <w:t>arabic</w:t>
      </w:r>
      <w:r>
        <w:rPr>
          <w:rFonts w:ascii="宋体" w:cs="宋体" w:hAnsi="宋体"/>
          <w:sz w:val="24"/>
          <w:szCs w:val="24"/>
        </w:rPr>
        <w:t xml:space="preserve"> gum as wall materials</w:t>
      </w:r>
      <w:r>
        <w:rPr>
          <w:rFonts w:ascii="宋体" w:cs="宋体" w:hAnsi="宋体"/>
          <w:sz w:val="24"/>
          <w:szCs w:val="24"/>
        </w:rPr>
        <w:t xml:space="preserve"> </w:t>
      </w:r>
      <w:r>
        <w:rPr>
          <w:rFonts w:ascii="宋体" w:cs="宋体" w:hAnsi="宋体"/>
          <w:sz w:val="24"/>
          <w:szCs w:val="24"/>
        </w:rPr>
        <w:t xml:space="preserve">(Halder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2014)</w:t>
      </w:r>
      <w:r>
        <w:rPr>
          <w:rFonts w:ascii="宋体" w:cs="宋体" w:hAnsi="宋体"/>
          <w:sz w:val="24"/>
          <w:szCs w:val="24"/>
        </w:rPr>
        <w:t xml:space="preserve">. </w:t>
      </w:r>
    </w:p>
    <w:bookmarkStart w:id="49" w:name="_Toc202853721"/>
    <w:p>
      <w:pPr>
        <w:pStyle w:val="style3"/>
        <w:rPr>
          <w:sz w:val="24"/>
          <w:szCs w:val="24"/>
        </w:rPr>
      </w:pPr>
      <w:r>
        <w:rPr>
          <w:sz w:val="24"/>
          <w:szCs w:val="24"/>
        </w:rPr>
        <w:t>2.</w:t>
      </w:r>
      <w:r>
        <w:rPr>
          <w:sz w:val="24"/>
          <w:szCs w:val="24"/>
        </w:rPr>
        <w:t>5</w:t>
      </w:r>
      <w:r>
        <w:rPr>
          <w:sz w:val="24"/>
          <w:szCs w:val="24"/>
        </w:rPr>
        <w:t>.3 Antimicrobial Activity</w:t>
      </w:r>
      <w:bookmarkEnd w:id="49"/>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The antimicrobial activities of clove have been proved against several </w:t>
      </w:r>
      <w:r>
        <w:rPr>
          <w:rFonts w:ascii="宋体" w:cs="宋体" w:hAnsi="宋体"/>
          <w:sz w:val="24"/>
          <w:szCs w:val="24"/>
        </w:rPr>
        <w:t>bacteria</w:t>
      </w:r>
      <w:r>
        <w:rPr>
          <w:rFonts w:ascii="宋体" w:cs="宋体" w:hAnsi="宋体"/>
          <w:sz w:val="24"/>
          <w:szCs w:val="24"/>
        </w:rPr>
        <w:t xml:space="preserve"> and fungal strains. Sofia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(2017) </w:t>
      </w:r>
      <w:r>
        <w:rPr>
          <w:rFonts w:ascii="宋体" w:cs="宋体" w:hAnsi="宋体"/>
          <w:sz w:val="24"/>
          <w:szCs w:val="24"/>
        </w:rPr>
        <w:t>tested the antimicrobial activity of different Indian spice plants as mint, cinnamon, mustard, ginger, garlic and clove. The only sampled that showed complete bactericidal effect against all the food-borne pathogens tested Escherichia coli (</w:t>
      </w:r>
      <w:r>
        <w:rPr>
          <w:rFonts w:ascii="宋体" w:cs="宋体" w:hAnsi="宋体"/>
          <w:i/>
          <w:iCs/>
          <w:sz w:val="24"/>
          <w:szCs w:val="24"/>
        </w:rPr>
        <w:t>E. coli), Staphylococcus aureus and Bacillus cereus</w:t>
      </w:r>
      <w:r>
        <w:rPr>
          <w:rFonts w:ascii="宋体" w:cs="宋体" w:hAnsi="宋体"/>
          <w:sz w:val="24"/>
          <w:szCs w:val="24"/>
        </w:rPr>
        <w:t xml:space="preserve"> was the aqueous extract of clove at 3%. At the concentration of 1%clove extract also showed good inhibitory action.</w:t>
      </w:r>
      <w:r>
        <w:rPr>
          <w:rFonts w:ascii="宋体" w:cs="宋体" w:hAnsi="宋体"/>
          <w:sz w:val="24"/>
          <w:szCs w:val="24"/>
        </w:rPr>
        <w:t xml:space="preserve"> </w:t>
      </w:r>
      <w:r>
        <w:rPr>
          <w:rFonts w:ascii="宋体" w:cs="宋体" w:hAnsi="宋体"/>
          <w:sz w:val="24"/>
          <w:szCs w:val="24"/>
        </w:rPr>
        <w:t>In another work published by Dorman and Deans</w:t>
      </w:r>
      <w:r>
        <w:rPr>
          <w:rFonts w:ascii="宋体" w:cs="宋体" w:hAnsi="宋体"/>
          <w:sz w:val="24"/>
          <w:szCs w:val="24"/>
        </w:rPr>
        <w:t xml:space="preserve"> (2010)</w:t>
      </w:r>
      <w:r>
        <w:rPr>
          <w:rFonts w:ascii="宋体" w:cs="宋体" w:hAnsi="宋体"/>
          <w:sz w:val="24"/>
          <w:szCs w:val="24"/>
        </w:rPr>
        <w:t>, the antibacterial activity of black pepper, geranium, nutmeg, oregano, thyme and clove was tested against 25 strains of Gram positive and Gram</w:t>
      </w:r>
      <w:r>
        <w:rPr>
          <w:rFonts w:ascii="宋体" w:cs="宋体" w:hAnsi="宋体"/>
          <w:sz w:val="24"/>
          <w:szCs w:val="24"/>
        </w:rPr>
        <w:t>-</w:t>
      </w:r>
      <w:r>
        <w:rPr>
          <w:rFonts w:ascii="宋体" w:cs="宋体" w:hAnsi="宋体"/>
          <w:sz w:val="24"/>
          <w:szCs w:val="24"/>
        </w:rPr>
        <w:t>negative bacteria. The oils with the widest spectrum of activity were thyme, oregano and clove respectively. The antibacterial activity of clove, oregano (</w:t>
      </w:r>
      <w:r>
        <w:rPr>
          <w:rFonts w:ascii="宋体" w:cs="宋体" w:hAnsi="宋体"/>
          <w:sz w:val="24"/>
          <w:szCs w:val="24"/>
        </w:rPr>
        <w:t>Origanum</w:t>
      </w:r>
      <w:r>
        <w:rPr>
          <w:rFonts w:ascii="宋体" w:cs="宋体" w:hAnsi="宋体"/>
          <w:sz w:val="24"/>
          <w:szCs w:val="24"/>
        </w:rPr>
        <w:t xml:space="preserve"> vulgare), bay (</w:t>
      </w:r>
      <w:r>
        <w:rPr>
          <w:rFonts w:ascii="宋体" w:cs="宋体" w:hAnsi="宋体"/>
          <w:sz w:val="24"/>
          <w:szCs w:val="24"/>
        </w:rPr>
        <w:t>Pimenta</w:t>
      </w:r>
      <w:r>
        <w:rPr>
          <w:rFonts w:ascii="宋体" w:cs="宋体" w:hAnsi="宋体"/>
          <w:sz w:val="24"/>
          <w:szCs w:val="24"/>
        </w:rPr>
        <w:t xml:space="preserve"> </w:t>
      </w:r>
      <w:r>
        <w:rPr>
          <w:rFonts w:ascii="宋体" w:cs="宋体" w:hAnsi="宋体"/>
          <w:sz w:val="24"/>
          <w:szCs w:val="24"/>
        </w:rPr>
        <w:t>racemosa</w:t>
      </w:r>
      <w:r>
        <w:rPr>
          <w:rFonts w:ascii="宋体" w:cs="宋体" w:hAnsi="宋体"/>
          <w:sz w:val="24"/>
          <w:szCs w:val="24"/>
        </w:rPr>
        <w:t xml:space="preserve">) and thyme (Thymus vulgaris) essential oil was tested against </w:t>
      </w:r>
      <w:r>
        <w:rPr>
          <w:rFonts w:ascii="宋体" w:cs="宋体" w:hAnsi="宋体"/>
          <w:i/>
          <w:iCs/>
          <w:sz w:val="24"/>
          <w:szCs w:val="24"/>
        </w:rPr>
        <w:t>E. coli</w:t>
      </w:r>
      <w:r>
        <w:rPr>
          <w:rFonts w:ascii="宋体" w:cs="宋体" w:hAnsi="宋体"/>
          <w:sz w:val="24"/>
          <w:szCs w:val="24"/>
        </w:rPr>
        <w:t xml:space="preserve"> O157:H7showing the different grades of inhibition of these essential oils</w:t>
      </w:r>
      <w:r>
        <w:rPr>
          <w:rFonts w:ascii="宋体" w:cs="宋体" w:hAnsi="宋体"/>
          <w:sz w:val="24"/>
          <w:szCs w:val="24"/>
        </w:rPr>
        <w:t xml:space="preserve"> </w:t>
      </w:r>
      <w:r>
        <w:rPr>
          <w:rFonts w:ascii="宋体" w:cs="宋体" w:hAnsi="宋体"/>
          <w:sz w:val="24"/>
          <w:szCs w:val="24"/>
        </w:rPr>
        <w:t>(Burt and Reinders, 2013)</w:t>
      </w:r>
      <w:r>
        <w:rPr>
          <w:rFonts w:ascii="宋体" w:cs="宋体" w:hAnsi="宋体"/>
          <w:sz w:val="24"/>
          <w:szCs w:val="24"/>
        </w:rPr>
        <w:t xml:space="preserve">. </w:t>
      </w:r>
      <w:r>
        <w:rPr>
          <w:rFonts w:ascii="宋体" w:cs="宋体" w:hAnsi="宋体"/>
          <w:sz w:val="24"/>
          <w:szCs w:val="24"/>
        </w:rPr>
        <w:t>Likewise</w:t>
      </w:r>
      <w:r>
        <w:rPr>
          <w:rFonts w:ascii="宋体" w:cs="宋体" w:hAnsi="宋体"/>
          <w:sz w:val="24"/>
          <w:szCs w:val="24"/>
        </w:rPr>
        <w:t>,</w:t>
      </w:r>
      <w:r>
        <w:rPr>
          <w:rFonts w:ascii="宋体" w:cs="宋体" w:hAnsi="宋体"/>
          <w:sz w:val="24"/>
          <w:szCs w:val="24"/>
        </w:rPr>
        <w:t xml:space="preserve"> formulations containing eugenol and carvacrol encapsulated in a non</w:t>
      </w:r>
      <w:r>
        <w:rPr>
          <w:rFonts w:ascii="宋体" w:cs="宋体" w:hAnsi="宋体"/>
          <w:sz w:val="24"/>
          <w:szCs w:val="24"/>
        </w:rPr>
        <w:t>-</w:t>
      </w:r>
      <w:r>
        <w:rPr>
          <w:rFonts w:ascii="宋体" w:cs="宋体" w:hAnsi="宋体"/>
          <w:sz w:val="24"/>
          <w:szCs w:val="24"/>
        </w:rPr>
        <w:t xml:space="preserve">ionic surfactant were tested against four strains of two important foodborne pathogens, </w:t>
      </w:r>
      <w:r>
        <w:rPr>
          <w:rFonts w:ascii="宋体" w:cs="宋体" w:hAnsi="宋体"/>
          <w:i/>
          <w:iCs/>
          <w:sz w:val="24"/>
          <w:szCs w:val="24"/>
        </w:rPr>
        <w:t>E. coli</w:t>
      </w:r>
      <w:r>
        <w:rPr>
          <w:rFonts w:ascii="宋体" w:cs="宋体" w:hAnsi="宋体"/>
          <w:sz w:val="24"/>
          <w:szCs w:val="24"/>
        </w:rPr>
        <w:t xml:space="preserve"> O157:H7 and </w:t>
      </w:r>
      <w:r>
        <w:rPr>
          <w:rFonts w:ascii="宋体" w:cs="宋体" w:hAnsi="宋体"/>
          <w:i/>
          <w:iCs/>
          <w:sz w:val="24"/>
          <w:szCs w:val="24"/>
        </w:rPr>
        <w:t xml:space="preserve">Listeria </w:t>
      </w:r>
      <w:r>
        <w:rPr>
          <w:rFonts w:ascii="宋体" w:cs="宋体" w:hAnsi="宋体"/>
          <w:i/>
          <w:iCs/>
          <w:sz w:val="24"/>
          <w:szCs w:val="24"/>
        </w:rPr>
        <w:t>monocitogenes</w:t>
      </w:r>
      <w:r>
        <w:rPr>
          <w:rFonts w:ascii="宋体" w:cs="宋体" w:hAnsi="宋体"/>
          <w:sz w:val="24"/>
          <w:szCs w:val="24"/>
        </w:rPr>
        <w:t xml:space="preserve">, results </w:t>
      </w:r>
      <w:r>
        <w:rPr>
          <w:rFonts w:ascii="宋体" w:cs="宋体" w:hAnsi="宋体"/>
          <w:sz w:val="24"/>
          <w:szCs w:val="24"/>
        </w:rPr>
        <w:t>reinforces</w:t>
      </w:r>
      <w:r>
        <w:rPr>
          <w:rFonts w:ascii="宋体" w:cs="宋体" w:hAnsi="宋体"/>
          <w:sz w:val="24"/>
          <w:szCs w:val="24"/>
        </w:rPr>
        <w:t xml:space="preserve"> the employment of eugenol to inhibit the growth of these microorganisms in surfaces in contact with food</w:t>
      </w:r>
      <w:r>
        <w:rPr>
          <w:rFonts w:ascii="宋体" w:cs="宋体" w:hAnsi="宋体"/>
          <w:sz w:val="24"/>
          <w:szCs w:val="24"/>
        </w:rPr>
        <w:t xml:space="preserve"> </w:t>
      </w:r>
      <w:r>
        <w:rPr>
          <w:rFonts w:ascii="宋体" w:cs="宋体" w:hAnsi="宋体"/>
          <w:sz w:val="24"/>
          <w:szCs w:val="24"/>
        </w:rPr>
        <w:t xml:space="preserve">(Pérez-Conesa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r>
        <w:rPr>
          <w:rFonts w:ascii="宋体" w:cs="宋体" w:hAnsi="宋体"/>
          <w:sz w:val="24"/>
          <w:szCs w:val="24"/>
        </w:rPr>
        <w:t xml:space="preserve">Rana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determined the</w:t>
      </w:r>
      <w:r>
        <w:rPr>
          <w:rFonts w:ascii="宋体" w:cs="宋体" w:hAnsi="宋体"/>
          <w:sz w:val="24"/>
          <w:szCs w:val="24"/>
        </w:rPr>
        <w:t xml:space="preserve"> </w:t>
      </w:r>
      <w:r>
        <w:rPr>
          <w:rFonts w:ascii="宋体" w:cs="宋体" w:hAnsi="宋体"/>
          <w:sz w:val="24"/>
          <w:szCs w:val="24"/>
        </w:rPr>
        <w:t>antifungic</w:t>
      </w:r>
      <w:r>
        <w:rPr>
          <w:rFonts w:ascii="宋体" w:cs="宋体" w:hAnsi="宋体"/>
          <w:sz w:val="24"/>
          <w:szCs w:val="24"/>
        </w:rPr>
        <w:t xml:space="preserve"> activity of clove oil in different strains and reported this scale of sensibility Mucor sp.&gt;</w:t>
      </w:r>
      <w:r>
        <w:rPr>
          <w:rFonts w:ascii="宋体" w:cs="宋体" w:hAnsi="宋体"/>
          <w:sz w:val="24"/>
          <w:szCs w:val="24"/>
        </w:rPr>
        <w:t>Microsporum</w:t>
      </w:r>
      <w:r>
        <w:rPr>
          <w:rFonts w:ascii="宋体" w:cs="宋体" w:hAnsi="宋体"/>
          <w:sz w:val="24"/>
          <w:szCs w:val="24"/>
        </w:rPr>
        <w:t xml:space="preserve"> </w:t>
      </w:r>
      <w:r>
        <w:rPr>
          <w:rFonts w:ascii="宋体" w:cs="宋体" w:hAnsi="宋体"/>
          <w:sz w:val="24"/>
          <w:szCs w:val="24"/>
        </w:rPr>
        <w:t>gypseum</w:t>
      </w:r>
      <w:r>
        <w:rPr>
          <w:rFonts w:ascii="宋体" w:cs="宋体" w:hAnsi="宋体"/>
          <w:sz w:val="24"/>
          <w:szCs w:val="24"/>
        </w:rPr>
        <w:t xml:space="preserve">&gt;Fusarium </w:t>
      </w:r>
      <w:r>
        <w:rPr>
          <w:rFonts w:ascii="宋体" w:cs="宋体" w:hAnsi="宋体"/>
          <w:sz w:val="24"/>
          <w:szCs w:val="24"/>
        </w:rPr>
        <w:t>monoliformeNCIM</w:t>
      </w:r>
      <w:r>
        <w:rPr>
          <w:rFonts w:ascii="宋体" w:cs="宋体" w:hAnsi="宋体"/>
          <w:sz w:val="24"/>
          <w:szCs w:val="24"/>
        </w:rPr>
        <w:t xml:space="preserve"> 1100&gt;</w:t>
      </w:r>
      <w:r>
        <w:rPr>
          <w:rFonts w:ascii="宋体" w:cs="宋体" w:hAnsi="宋体"/>
          <w:sz w:val="24"/>
          <w:szCs w:val="24"/>
        </w:rPr>
        <w:t>Trichophytum</w:t>
      </w:r>
      <w:r>
        <w:rPr>
          <w:rFonts w:ascii="宋体" w:cs="宋体" w:hAnsi="宋体"/>
          <w:sz w:val="24"/>
          <w:szCs w:val="24"/>
        </w:rPr>
        <w:t xml:space="preserve"> rubrum&gt;Aspergillus sp.&gt;Fusarium </w:t>
      </w:r>
      <w:r>
        <w:rPr>
          <w:rFonts w:ascii="宋体" w:cs="宋体" w:hAnsi="宋体"/>
          <w:sz w:val="24"/>
          <w:szCs w:val="24"/>
        </w:rPr>
        <w:t>oxysporum</w:t>
      </w:r>
      <w:r>
        <w:rPr>
          <w:rFonts w:ascii="宋体" w:cs="宋体" w:hAnsi="宋体"/>
          <w:sz w:val="24"/>
          <w:szCs w:val="24"/>
        </w:rPr>
        <w:t xml:space="preserve"> </w:t>
      </w:r>
      <w:r>
        <w:rPr>
          <w:rFonts w:ascii="宋体" w:cs="宋体" w:hAnsi="宋体"/>
          <w:sz w:val="24"/>
          <w:szCs w:val="24"/>
        </w:rPr>
        <w:t xml:space="preserve">MTCC 284. The chromatographic analyses showed that eugenol was the main compound responsible for the </w:t>
      </w:r>
      <w:r>
        <w:rPr>
          <w:rFonts w:ascii="宋体" w:cs="宋体" w:hAnsi="宋体"/>
          <w:sz w:val="24"/>
          <w:szCs w:val="24"/>
        </w:rPr>
        <w:t>antifungic</w:t>
      </w:r>
      <w:r>
        <w:rPr>
          <w:rFonts w:ascii="宋体" w:cs="宋体" w:hAnsi="宋体"/>
          <w:sz w:val="24"/>
          <w:szCs w:val="24"/>
        </w:rPr>
        <w:t xml:space="preserve"> activity due to lysis of the spores and micelles. A similar mechanism of action of membrane disruption and deformation of macromolecules produced by eugenol was reported by Devi </w:t>
      </w:r>
      <w:r>
        <w:rPr>
          <w:rFonts w:ascii="宋体" w:cs="宋体" w:hAnsi="宋体"/>
          <w:i/>
          <w:sz w:val="24"/>
          <w:szCs w:val="24"/>
        </w:rPr>
        <w:t>et al</w:t>
      </w:r>
      <w:r>
        <w:rPr>
          <w:rFonts w:ascii="宋体" w:cs="宋体" w:hAnsi="宋体"/>
          <w:sz w:val="24"/>
          <w:szCs w:val="24"/>
        </w:rPr>
        <w:t>. (2010)</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The activities of clove oil against different dermatophytes as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canis</w:t>
      </w:r>
      <w:r>
        <w:rPr>
          <w:rFonts w:ascii="宋体" w:cs="宋体" w:hAnsi="宋体"/>
          <w:sz w:val="24"/>
          <w:szCs w:val="24"/>
        </w:rPr>
        <w:t xml:space="preserve"> (KCTC 6591), </w:t>
      </w:r>
      <w:r>
        <w:rPr>
          <w:rFonts w:ascii="宋体" w:cs="宋体" w:hAnsi="宋体"/>
          <w:i/>
          <w:iCs/>
          <w:sz w:val="24"/>
          <w:szCs w:val="24"/>
        </w:rPr>
        <w:t>Trichophyton mentagrophytes</w:t>
      </w:r>
      <w:r>
        <w:rPr>
          <w:rFonts w:ascii="宋体" w:cs="宋体" w:hAnsi="宋体"/>
          <w:sz w:val="24"/>
          <w:szCs w:val="24"/>
        </w:rPr>
        <w:t xml:space="preserve"> (KCTC 6077), </w:t>
      </w:r>
      <w:r>
        <w:rPr>
          <w:rFonts w:ascii="宋体" w:cs="宋体" w:hAnsi="宋体"/>
          <w:i/>
          <w:iCs/>
          <w:sz w:val="24"/>
          <w:szCs w:val="24"/>
        </w:rPr>
        <w:t>Trichophyton rubrum</w:t>
      </w:r>
      <w:r>
        <w:rPr>
          <w:rFonts w:ascii="宋体" w:cs="宋体" w:hAnsi="宋体"/>
          <w:sz w:val="24"/>
          <w:szCs w:val="24"/>
        </w:rPr>
        <w:t xml:space="preserve"> (KCCM</w:t>
      </w:r>
      <w:r>
        <w:rPr>
          <w:rFonts w:ascii="宋体" w:cs="宋体" w:hAnsi="宋体"/>
          <w:sz w:val="24"/>
          <w:szCs w:val="24"/>
        </w:rPr>
        <w:t xml:space="preserve"> </w:t>
      </w:r>
      <w:r>
        <w:rPr>
          <w:rFonts w:ascii="宋体" w:cs="宋体" w:hAnsi="宋体"/>
          <w:sz w:val="24"/>
          <w:szCs w:val="24"/>
        </w:rPr>
        <w:t xml:space="preserve">60443), </w:t>
      </w:r>
      <w:r>
        <w:rPr>
          <w:rFonts w:ascii="宋体" w:cs="宋体" w:hAnsi="宋体"/>
          <w:i/>
          <w:iCs/>
          <w:sz w:val="24"/>
          <w:szCs w:val="24"/>
        </w:rPr>
        <w:t>Epidermophyton</w:t>
      </w:r>
      <w:r>
        <w:rPr>
          <w:rFonts w:ascii="宋体" w:cs="宋体" w:hAnsi="宋体"/>
          <w:i/>
          <w:iCs/>
          <w:sz w:val="24"/>
          <w:szCs w:val="24"/>
        </w:rPr>
        <w:t xml:space="preserve"> </w:t>
      </w:r>
      <w:r>
        <w:rPr>
          <w:rFonts w:ascii="宋体" w:cs="宋体" w:hAnsi="宋体"/>
          <w:i/>
          <w:iCs/>
          <w:sz w:val="24"/>
          <w:szCs w:val="24"/>
        </w:rPr>
        <w:t>floccosum</w:t>
      </w:r>
      <w:r>
        <w:rPr>
          <w:rFonts w:ascii="宋体" w:cs="宋体" w:hAnsi="宋体"/>
          <w:sz w:val="24"/>
          <w:szCs w:val="24"/>
        </w:rPr>
        <w:t xml:space="preserve"> (KCCM 11667) and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gypseum</w:t>
      </w:r>
      <w:r>
        <w:rPr>
          <w:rFonts w:ascii="宋体" w:cs="宋体" w:hAnsi="宋体"/>
          <w:sz w:val="24"/>
          <w:szCs w:val="24"/>
        </w:rPr>
        <w:t xml:space="preserve"> were tested and results indicate a maximum activity at concentration of 0.2 mg/mL with an effectiveness of up to 60%</w:t>
      </w:r>
      <w:r>
        <w:rPr>
          <w:rFonts w:ascii="宋体" w:cs="宋体" w:hAnsi="宋体"/>
          <w:sz w:val="24"/>
          <w:szCs w:val="24"/>
        </w:rPr>
        <w:t xml:space="preserve"> </w:t>
      </w:r>
      <w:r>
        <w:rPr>
          <w:rFonts w:ascii="宋体" w:cs="宋体" w:hAnsi="宋体"/>
          <w:sz w:val="24"/>
          <w:szCs w:val="24"/>
        </w:rPr>
        <w:t xml:space="preserve">(Park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Pure clove oil or mixes with rosemary (</w:t>
      </w:r>
      <w:r>
        <w:rPr>
          <w:rFonts w:ascii="宋体" w:cs="宋体" w:hAnsi="宋体"/>
          <w:i/>
          <w:iCs/>
          <w:sz w:val="24"/>
          <w:szCs w:val="24"/>
        </w:rPr>
        <w:t>Rosmarinus officinalis</w:t>
      </w:r>
      <w:r>
        <w:rPr>
          <w:rFonts w:ascii="宋体" w:cs="宋体" w:hAnsi="宋体"/>
          <w:sz w:val="24"/>
          <w:szCs w:val="24"/>
        </w:rPr>
        <w:t xml:space="preserve"> spp.) oil were tested against </w:t>
      </w:r>
      <w:r>
        <w:rPr>
          <w:rFonts w:ascii="宋体" w:cs="宋体" w:hAnsi="宋体"/>
          <w:i/>
          <w:iCs/>
          <w:sz w:val="24"/>
          <w:szCs w:val="24"/>
        </w:rPr>
        <w:t>Staphylococcus epidermidis, Staphylococcus aureus, Bacillus subtilis, E. coli, Proteus vulgaris, Pseudomonas aeruginosa</w:t>
      </w:r>
      <w:r>
        <w:rPr>
          <w:rFonts w:ascii="宋体" w:cs="宋体" w:hAnsi="宋体"/>
          <w:sz w:val="24"/>
          <w:szCs w:val="24"/>
        </w:rPr>
        <w:t xml:space="preserve"> and results showed minimum inhibitory concentrations between 0.062%</w:t>
      </w:r>
      <w:r>
        <w:rPr>
          <w:rFonts w:ascii="宋体" w:cs="宋体" w:hAnsi="宋体"/>
          <w:sz w:val="24"/>
          <w:szCs w:val="24"/>
        </w:rPr>
        <w:t xml:space="preserve"> </w:t>
      </w:r>
      <w:r>
        <w:rPr>
          <w:rFonts w:ascii="宋体" w:cs="宋体" w:hAnsi="宋体"/>
          <w:sz w:val="24"/>
          <w:szCs w:val="24"/>
        </w:rPr>
        <w:t>and 0.500% (v/v) which is promising as anti</w:t>
      </w:r>
      <w:r>
        <w:rPr>
          <w:rFonts w:ascii="宋体" w:cs="宋体" w:hAnsi="宋体"/>
          <w:sz w:val="24"/>
          <w:szCs w:val="24"/>
        </w:rPr>
        <w:t>-</w:t>
      </w:r>
      <w:r>
        <w:rPr>
          <w:rFonts w:ascii="宋体" w:cs="宋体" w:hAnsi="宋体"/>
          <w:sz w:val="24"/>
          <w:szCs w:val="24"/>
        </w:rPr>
        <w:t>infe</w:t>
      </w:r>
      <w:r>
        <w:rPr>
          <w:rFonts w:ascii="宋体" w:cs="宋体" w:hAnsi="宋体"/>
          <w:sz w:val="24"/>
          <w:szCs w:val="24"/>
        </w:rPr>
        <w:t>ctic</w:t>
      </w:r>
      <w:r>
        <w:rPr>
          <w:rFonts w:ascii="宋体" w:cs="宋体" w:hAnsi="宋体"/>
          <w:sz w:val="24"/>
          <w:szCs w:val="24"/>
        </w:rPr>
        <w:t>ious</w:t>
      </w:r>
      <w:r>
        <w:rPr>
          <w:rFonts w:ascii="宋体" w:cs="宋体" w:hAnsi="宋体"/>
          <w:sz w:val="24"/>
          <w:szCs w:val="24"/>
        </w:rPr>
        <w:t xml:space="preserve"> agents or as food preservative</w:t>
      </w:r>
      <w:r>
        <w:rPr>
          <w:rFonts w:ascii="宋体" w:cs="宋体" w:hAnsi="宋体"/>
          <w:sz w:val="24"/>
          <w:szCs w:val="24"/>
        </w:rPr>
        <w:t xml:space="preserve"> </w:t>
      </w:r>
      <w:bookmarkStart w:id="50" w:name="_Hlk185410869"/>
      <w:r>
        <w:rPr>
          <w:rFonts w:ascii="宋体" w:cs="宋体" w:hAnsi="宋体"/>
          <w:sz w:val="24"/>
          <w:szCs w:val="24"/>
        </w:rPr>
        <w:t>(</w:t>
      </w:r>
      <w:r>
        <w:rPr>
          <w:rFonts w:ascii="宋体" w:cs="宋体" w:hAnsi="宋体"/>
          <w:sz w:val="24"/>
          <w:szCs w:val="24"/>
        </w:rPr>
        <w:t>Fu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bookmarkEnd w:id="50"/>
    </w:p>
    <w:p>
      <w:pPr>
        <w:pStyle w:val="style0"/>
        <w:spacing w:lineRule="auto" w:line="480"/>
        <w:ind w:firstLine="720"/>
        <w:jc w:val="both"/>
        <w:rPr>
          <w:rFonts w:ascii="宋体" w:cs="宋体" w:hAnsi="宋体"/>
          <w:sz w:val="24"/>
          <w:szCs w:val="24"/>
        </w:rPr>
      </w:pPr>
      <w:r>
        <w:rPr>
          <w:rFonts w:ascii="宋体" w:cs="宋体" w:hAnsi="宋体"/>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Chami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4</w:t>
      </w:r>
      <w:r>
        <w:rPr>
          <w:rFonts w:ascii="宋体" w:cs="宋体" w:hAnsi="宋体"/>
          <w:sz w:val="24"/>
          <w:szCs w:val="24"/>
        </w:rPr>
        <w:t xml:space="preserve">). </w:t>
      </w:r>
      <w:r>
        <w:rPr>
          <w:rFonts w:ascii="宋体" w:cs="宋体" w:hAnsi="宋体"/>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宋体" w:cs="宋体" w:hAnsi="宋体"/>
          <w:sz w:val="24"/>
          <w:szCs w:val="24"/>
        </w:rPr>
        <w:t xml:space="preserve"> </w:t>
      </w:r>
      <w:r>
        <w:rPr>
          <w:rFonts w:ascii="宋体" w:cs="宋体" w:hAnsi="宋体"/>
          <w:sz w:val="24"/>
          <w:szCs w:val="24"/>
        </w:rPr>
        <w:t>resistance.</w:t>
      </w:r>
      <w:r>
        <w:rPr>
          <w:rFonts w:ascii="宋体" w:cs="宋体" w:hAnsi="宋体"/>
          <w:sz w:val="24"/>
          <w:szCs w:val="24"/>
        </w:rPr>
        <w:t xml:space="preserve"> </w:t>
      </w:r>
      <w:r>
        <w:rPr>
          <w:rFonts w:ascii="宋体" w:cs="宋体" w:hAnsi="宋体"/>
          <w:sz w:val="24"/>
          <w:szCs w:val="24"/>
        </w:rPr>
        <w:t xml:space="preserve">The activity and stability of those compounds was checked at low pH values since </w:t>
      </w:r>
      <w:r>
        <w:rPr>
          <w:rFonts w:ascii="宋体" w:cs="宋体" w:hAnsi="宋体"/>
          <w:i/>
          <w:iCs/>
          <w:sz w:val="24"/>
          <w:szCs w:val="24"/>
        </w:rPr>
        <w:t>Helicobacter pylori</w:t>
      </w:r>
      <w:r>
        <w:rPr>
          <w:rFonts w:ascii="宋体" w:cs="宋体" w:hAnsi="宋体"/>
          <w:sz w:val="24"/>
          <w:szCs w:val="24"/>
        </w:rPr>
        <w:t xml:space="preserve"> resides in the stomach</w:t>
      </w:r>
      <w:r>
        <w:rPr>
          <w:rFonts w:ascii="宋体" w:cs="宋体" w:hAnsi="宋体"/>
          <w:sz w:val="24"/>
          <w:szCs w:val="24"/>
        </w:rPr>
        <w:t xml:space="preserve"> (Ali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Solid lipid nanoparticles containing eugenol were</w:t>
      </w:r>
      <w:r>
        <w:rPr>
          <w:rFonts w:ascii="宋体" w:cs="宋体" w:hAnsi="宋体"/>
          <w:sz w:val="24"/>
          <w:szCs w:val="24"/>
        </w:rPr>
        <w:t xml:space="preserve"> </w:t>
      </w:r>
      <w:r>
        <w:rPr>
          <w:rFonts w:ascii="宋体" w:cs="宋体" w:hAnsi="宋体"/>
          <w:sz w:val="24"/>
          <w:szCs w:val="24"/>
        </w:rPr>
        <w:t xml:space="preserve">prepared employing stearic acid, caprylic triglyceride and Poloxamer 188 in different concentrations by a modified hot homogenization ultrasonication method. The particles formed were characterized by the particle size, </w:t>
      </w:r>
      <w:r>
        <w:rPr>
          <w:rFonts w:ascii="宋体" w:cs="宋体" w:hAnsi="宋体"/>
          <w:sz w:val="24"/>
          <w:szCs w:val="24"/>
        </w:rPr>
        <w:t>polydispersitivity</w:t>
      </w:r>
      <w:r>
        <w:rPr>
          <w:rFonts w:ascii="宋体" w:cs="宋体" w:hAnsi="宋体"/>
          <w:sz w:val="24"/>
          <w:szCs w:val="24"/>
        </w:rPr>
        <w:t xml:space="preserve"> index, morphology, zeta potential, crystalline state and encapsulation efficiency. The antifungal activity of solid </w:t>
      </w:r>
      <w:r>
        <w:rPr>
          <w:rFonts w:ascii="宋体" w:cs="宋体" w:hAnsi="宋体"/>
          <w:sz w:val="24"/>
          <w:szCs w:val="24"/>
        </w:rPr>
        <w:t xml:space="preserve">lipid nanoparticles was tested in vivo by using a model of oral candidiasis (Candida </w:t>
      </w:r>
      <w:r>
        <w:rPr>
          <w:rFonts w:ascii="宋体" w:cs="宋体" w:hAnsi="宋体"/>
          <w:sz w:val="24"/>
          <w:szCs w:val="24"/>
        </w:rPr>
        <w:t>albicans</w:t>
      </w:r>
      <w:r>
        <w:rPr>
          <w:rFonts w:ascii="宋体" w:cs="宋体" w:hAnsi="宋体"/>
          <w:sz w:val="24"/>
          <w:szCs w:val="24"/>
        </w:rPr>
        <w:t xml:space="preserve">) in </w:t>
      </w:r>
      <w:r>
        <w:rPr>
          <w:rFonts w:ascii="宋体" w:cs="宋体" w:hAnsi="宋体"/>
          <w:sz w:val="24"/>
          <w:szCs w:val="24"/>
        </w:rPr>
        <w:t>immunosupressed</w:t>
      </w:r>
      <w:r>
        <w:rPr>
          <w:rFonts w:ascii="宋体" w:cs="宋体" w:hAnsi="宋体"/>
          <w:sz w:val="24"/>
          <w:szCs w:val="24"/>
        </w:rPr>
        <w:t xml:space="preserve"> rats. The results showed the increase in the therapeutic effectiveness of eugenol and the modification of the release when administrated as solid lipid nanoparticles</w:t>
      </w:r>
      <w:r>
        <w:rPr>
          <w:rFonts w:ascii="宋体" w:cs="宋体" w:hAnsi="宋体"/>
          <w:sz w:val="24"/>
          <w:szCs w:val="24"/>
        </w:rPr>
        <w:t xml:space="preserve"> </w:t>
      </w:r>
      <w:r>
        <w:rPr>
          <w:rFonts w:ascii="宋体" w:cs="宋体" w:hAnsi="宋体"/>
          <w:sz w:val="24"/>
          <w:szCs w:val="24"/>
        </w:rPr>
        <w:t>(Garg and Singh, 2011)</w:t>
      </w:r>
      <w:r>
        <w:rPr>
          <w:rFonts w:ascii="宋体" w:cs="宋体" w:hAnsi="宋体"/>
          <w:sz w:val="24"/>
          <w:szCs w:val="24"/>
        </w:rPr>
        <w:t>.</w:t>
      </w:r>
    </w:p>
    <w:bookmarkStart w:id="51" w:name="_Toc202853722"/>
    <w:p>
      <w:pPr>
        <w:pStyle w:val="style3"/>
        <w:rPr>
          <w:sz w:val="24"/>
          <w:szCs w:val="24"/>
        </w:rPr>
      </w:pPr>
      <w:r>
        <w:rPr>
          <w:sz w:val="24"/>
          <w:szCs w:val="24"/>
        </w:rPr>
        <w:t>2.</w:t>
      </w:r>
      <w:r>
        <w:rPr>
          <w:sz w:val="24"/>
          <w:szCs w:val="24"/>
        </w:rPr>
        <w:t>5</w:t>
      </w:r>
      <w:r>
        <w:rPr>
          <w:sz w:val="24"/>
          <w:szCs w:val="24"/>
        </w:rPr>
        <w:t>.4 Antinociceptive</w:t>
      </w:r>
      <w:bookmarkEnd w:id="51"/>
    </w:p>
    <w:p>
      <w:pPr>
        <w:pStyle w:val="style0"/>
        <w:spacing w:lineRule="auto" w:line="480"/>
        <w:ind w:firstLine="720"/>
        <w:jc w:val="both"/>
        <w:rPr>
          <w:rFonts w:ascii="宋体" w:cs="宋体" w:hAnsi="宋体"/>
          <w:sz w:val="24"/>
          <w:szCs w:val="24"/>
        </w:rPr>
      </w:pPr>
      <w:r>
        <w:rPr>
          <w:rFonts w:ascii="宋体" w:cs="宋体" w:hAnsi="宋体"/>
          <w:sz w:val="24"/>
          <w:szCs w:val="24"/>
        </w:rPr>
        <w:t>The employment of clove as analgesic have been reported since the 13th century, for toothache, join pain and antispasmodic, being the eugenol the main compound respons</w:t>
      </w:r>
      <w:r>
        <w:rPr>
          <w:rFonts w:ascii="宋体" w:cs="宋体" w:hAnsi="宋体"/>
          <w:sz w:val="24"/>
          <w:szCs w:val="24"/>
        </w:rPr>
        <w:t>i</w:t>
      </w:r>
      <w:r>
        <w:rPr>
          <w:rFonts w:ascii="宋体" w:cs="宋体" w:hAnsi="宋体"/>
          <w:sz w:val="24"/>
          <w:szCs w:val="24"/>
        </w:rPr>
        <w:t xml:space="preserve">ble for this activity. The mechanism evolved has been attributed to the activation of calcium and chloride channels in </w:t>
      </w:r>
      <w:r>
        <w:rPr>
          <w:rFonts w:ascii="宋体" w:cs="宋体" w:hAnsi="宋体"/>
          <w:sz w:val="24"/>
          <w:szCs w:val="24"/>
        </w:rPr>
        <w:t>ganglionar</w:t>
      </w:r>
      <w:r>
        <w:rPr>
          <w:rFonts w:ascii="宋体" w:cs="宋体" w:hAnsi="宋体"/>
          <w:sz w:val="24"/>
          <w:szCs w:val="24"/>
        </w:rPr>
        <w:t xml:space="preserve"> cells</w:t>
      </w:r>
      <w:r>
        <w:rPr>
          <w:rFonts w:ascii="宋体" w:cs="宋体" w:hAnsi="宋体"/>
          <w:sz w:val="24"/>
          <w:szCs w:val="24"/>
        </w:rPr>
        <w:t xml:space="preserve"> </w:t>
      </w:r>
      <w:r>
        <w:rPr>
          <w:rFonts w:ascii="宋体" w:cs="宋体" w:hAnsi="宋体"/>
          <w:sz w:val="24"/>
          <w:szCs w:val="24"/>
        </w:rPr>
        <w:t>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The voltage </w:t>
      </w:r>
      <w:r>
        <w:rPr>
          <w:rFonts w:ascii="宋体" w:cs="宋体" w:hAnsi="宋体"/>
          <w:sz w:val="24"/>
          <w:szCs w:val="24"/>
        </w:rPr>
        <w:t>dependant</w:t>
      </w:r>
      <w:r>
        <w:rPr>
          <w:rFonts w:ascii="宋体" w:cs="宋体" w:hAnsi="宋体"/>
          <w:sz w:val="24"/>
          <w:szCs w:val="24"/>
        </w:rPr>
        <w:t xml:space="preserve"> effects of eugenol in sodium and calcium channels and in receptors expressed in the trigeminal </w:t>
      </w:r>
      <w:r>
        <w:rPr>
          <w:rFonts w:ascii="宋体" w:cs="宋体" w:hAnsi="宋体"/>
          <w:sz w:val="24"/>
          <w:szCs w:val="24"/>
        </w:rPr>
        <w:t>ganglio</w:t>
      </w:r>
      <w:r>
        <w:rPr>
          <w:rFonts w:ascii="宋体" w:cs="宋体" w:hAnsi="宋体"/>
          <w:sz w:val="24"/>
          <w:szCs w:val="24"/>
        </w:rPr>
        <w:t xml:space="preserve"> also contributed to the analgesic effect of clove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8</w:t>
      </w:r>
      <w:r>
        <w:rPr>
          <w:rFonts w:ascii="宋体" w:cs="宋体" w:hAnsi="宋体"/>
          <w:sz w:val="24"/>
          <w:szCs w:val="24"/>
        </w:rPr>
        <w:t>)</w:t>
      </w:r>
      <w:r>
        <w:rPr>
          <w:rFonts w:ascii="宋体" w:cs="宋体" w:hAnsi="宋体"/>
          <w:sz w:val="24"/>
          <w:szCs w:val="24"/>
        </w:rPr>
        <w:t>. Other results show that the analgesic effect of clove is due to the action as capsaicin agonist</w:t>
      </w:r>
      <w:r>
        <w:rPr>
          <w:rFonts w:ascii="宋体" w:cs="宋体" w:hAnsi="宋体"/>
          <w:sz w:val="24"/>
          <w:szCs w:val="24"/>
        </w:rPr>
        <w:t xml:space="preserve"> </w:t>
      </w:r>
      <w:r>
        <w:rPr>
          <w:rFonts w:ascii="宋体" w:cs="宋体" w:hAnsi="宋体"/>
          <w:sz w:val="24"/>
          <w:szCs w:val="24"/>
        </w:rPr>
        <w:t>(Ohkubo and Shibata, 2017)</w:t>
      </w:r>
      <w:r>
        <w:rPr>
          <w:rFonts w:ascii="宋体" w:cs="宋体" w:hAnsi="宋体"/>
          <w:sz w:val="24"/>
          <w:szCs w:val="24"/>
        </w:rPr>
        <w:t xml:space="preserve">. </w:t>
      </w:r>
      <w:r>
        <w:rPr>
          <w:rFonts w:ascii="宋体" w:cs="宋体" w:hAnsi="宋体"/>
          <w:sz w:val="24"/>
          <w:szCs w:val="24"/>
        </w:rPr>
        <w:t xml:space="preserve">The peripheral antinociceptive activity of eugenol was reported by Daniel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(2009) </w:t>
      </w:r>
      <w:r>
        <w:rPr>
          <w:rFonts w:ascii="宋体" w:cs="宋体" w:hAnsi="宋体"/>
          <w:sz w:val="24"/>
          <w:szCs w:val="24"/>
        </w:rPr>
        <w:t>showing significant activity at doses of 50, 75 and 100 mg/kg.</w:t>
      </w:r>
    </w:p>
    <w:bookmarkStart w:id="52" w:name="_Toc202853723"/>
    <w:p>
      <w:pPr>
        <w:pStyle w:val="style3"/>
        <w:rPr>
          <w:sz w:val="24"/>
          <w:szCs w:val="24"/>
        </w:rPr>
      </w:pPr>
      <w:r>
        <w:rPr>
          <w:sz w:val="24"/>
          <w:szCs w:val="24"/>
        </w:rPr>
        <w:t>2.</w:t>
      </w:r>
      <w:r>
        <w:rPr>
          <w:sz w:val="24"/>
          <w:szCs w:val="24"/>
        </w:rPr>
        <w:t>5</w:t>
      </w:r>
      <w:r>
        <w:rPr>
          <w:sz w:val="24"/>
          <w:szCs w:val="24"/>
        </w:rPr>
        <w:t>.5 Antiviral Activity</w:t>
      </w:r>
      <w:bookmarkEnd w:id="52"/>
    </w:p>
    <w:p>
      <w:pPr>
        <w:pStyle w:val="style0"/>
        <w:spacing w:lineRule="auto" w:line="480"/>
        <w:ind w:firstLine="720"/>
        <w:jc w:val="both"/>
        <w:rPr>
          <w:rFonts w:ascii="宋体" w:cs="宋体" w:hAnsi="宋体"/>
          <w:sz w:val="24"/>
          <w:szCs w:val="24"/>
        </w:rPr>
      </w:pPr>
      <w:r>
        <w:rPr>
          <w:rFonts w:ascii="宋体" w:cs="宋体" w:hAnsi="宋体"/>
          <w:sz w:val="24"/>
          <w:szCs w:val="24"/>
        </w:rPr>
        <w:t xml:space="preserve"> The antiviral activity of </w:t>
      </w:r>
      <w:r>
        <w:rPr>
          <w:rFonts w:ascii="宋体" w:cs="宋体" w:hAnsi="宋体"/>
          <w:sz w:val="24"/>
          <w:szCs w:val="24"/>
        </w:rPr>
        <w:t>eugeniin</w:t>
      </w:r>
      <w:r>
        <w:rPr>
          <w:rFonts w:ascii="宋体" w:cs="宋体" w:hAnsi="宋体"/>
          <w:sz w:val="24"/>
          <w:szCs w:val="24"/>
        </w:rPr>
        <w:t xml:space="preserve">, a compound isolated from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and from </w:t>
      </w:r>
      <w:r>
        <w:rPr>
          <w:rFonts w:ascii="宋体" w:cs="宋体" w:hAnsi="宋体"/>
          <w:i/>
          <w:iCs/>
          <w:sz w:val="24"/>
          <w:szCs w:val="24"/>
        </w:rPr>
        <w:t>Geum</w:t>
      </w:r>
      <w:r>
        <w:rPr>
          <w:rFonts w:ascii="宋体" w:cs="宋体" w:hAnsi="宋体"/>
          <w:i/>
          <w:iCs/>
          <w:sz w:val="24"/>
          <w:szCs w:val="24"/>
        </w:rPr>
        <w:t xml:space="preserve"> japonicum</w:t>
      </w:r>
      <w:r>
        <w:rPr>
          <w:rFonts w:ascii="宋体" w:cs="宋体" w:hAnsi="宋体"/>
          <w:sz w:val="24"/>
          <w:szCs w:val="24"/>
        </w:rPr>
        <w:t xml:space="preserve">, was tested against herpes virus strains being effective at 5 µg/mL, and it was deducted that one of the major targets of </w:t>
      </w:r>
      <w:r>
        <w:rPr>
          <w:rFonts w:ascii="宋体" w:cs="宋体" w:hAnsi="宋体"/>
          <w:sz w:val="24"/>
          <w:szCs w:val="24"/>
        </w:rPr>
        <w:t>eugeniin</w:t>
      </w:r>
      <w:r>
        <w:rPr>
          <w:rFonts w:ascii="宋体" w:cs="宋体" w:hAnsi="宋体"/>
          <w:sz w:val="24"/>
          <w:szCs w:val="24"/>
        </w:rPr>
        <w:t xml:space="preserve"> is the viral DNA synthesis by the inhibition of the viral DNA</w:t>
      </w:r>
      <w:r>
        <w:rPr>
          <w:rFonts w:ascii="宋体" w:cs="宋体" w:hAnsi="宋体"/>
          <w:sz w:val="24"/>
          <w:szCs w:val="24"/>
        </w:rPr>
        <w:t xml:space="preserve"> </w:t>
      </w:r>
      <w:r>
        <w:rPr>
          <w:rFonts w:ascii="宋体" w:cs="宋体" w:hAnsi="宋体"/>
          <w:sz w:val="24"/>
          <w:szCs w:val="24"/>
        </w:rPr>
        <w:t xml:space="preserve">polymerase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In another study, aqueous extracts of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(L.)</w:t>
      </w:r>
      <w:r>
        <w:rPr>
          <w:rFonts w:ascii="宋体" w:cs="宋体" w:hAnsi="宋体"/>
          <w:sz w:val="24"/>
          <w:szCs w:val="24"/>
        </w:rPr>
        <w:t xml:space="preserve"> </w:t>
      </w:r>
      <w:r>
        <w:rPr>
          <w:rFonts w:ascii="宋体" w:cs="宋体" w:hAnsi="宋体"/>
          <w:sz w:val="24"/>
          <w:szCs w:val="24"/>
        </w:rPr>
        <w:t>Merr</w:t>
      </w:r>
      <w:r>
        <w:rPr>
          <w:rFonts w:ascii="宋体" w:cs="宋体" w:hAnsi="宋体"/>
          <w:sz w:val="24"/>
          <w:szCs w:val="24"/>
        </w:rPr>
        <w:t xml:space="preserve">. et Perry and other plants as </w:t>
      </w:r>
      <w:r>
        <w:rPr>
          <w:rFonts w:ascii="宋体" w:cs="宋体" w:hAnsi="宋体"/>
          <w:sz w:val="24"/>
          <w:szCs w:val="24"/>
        </w:rPr>
        <w:t>Geum</w:t>
      </w:r>
      <w:r>
        <w:rPr>
          <w:rFonts w:ascii="宋体" w:cs="宋体" w:hAnsi="宋体"/>
          <w:sz w:val="24"/>
          <w:szCs w:val="24"/>
        </w:rPr>
        <w:t xml:space="preserve"> japonicum </w:t>
      </w:r>
      <w:r>
        <w:rPr>
          <w:rFonts w:ascii="宋体" w:cs="宋体" w:hAnsi="宋体"/>
          <w:sz w:val="24"/>
          <w:szCs w:val="24"/>
        </w:rPr>
        <w:t>Thunb</w:t>
      </w:r>
      <w:r>
        <w:rPr>
          <w:rFonts w:ascii="宋体" w:cs="宋体" w:hAnsi="宋体"/>
          <w:sz w:val="24"/>
          <w:szCs w:val="24"/>
        </w:rPr>
        <w:t xml:space="preserve">., </w:t>
      </w:r>
      <w:r>
        <w:rPr>
          <w:rFonts w:ascii="宋体" w:cs="宋体" w:hAnsi="宋体"/>
          <w:sz w:val="24"/>
          <w:szCs w:val="24"/>
        </w:rPr>
        <w:t>Rhus</w:t>
      </w:r>
      <w:r>
        <w:rPr>
          <w:rFonts w:ascii="宋体" w:cs="宋体" w:hAnsi="宋体"/>
          <w:sz w:val="24"/>
          <w:szCs w:val="24"/>
        </w:rPr>
        <w:t xml:space="preserve"> </w:t>
      </w:r>
      <w:r>
        <w:rPr>
          <w:rFonts w:ascii="宋体" w:cs="宋体" w:hAnsi="宋体"/>
          <w:sz w:val="24"/>
          <w:szCs w:val="24"/>
        </w:rPr>
        <w:t>javanica</w:t>
      </w:r>
      <w:r>
        <w:rPr>
          <w:rFonts w:ascii="宋体" w:cs="宋体" w:hAnsi="宋体"/>
          <w:sz w:val="24"/>
          <w:szCs w:val="24"/>
        </w:rPr>
        <w:t xml:space="preserve"> L., and Terminalia </w:t>
      </w:r>
      <w:r>
        <w:rPr>
          <w:rFonts w:ascii="宋体" w:cs="宋体" w:hAnsi="宋体"/>
          <w:sz w:val="24"/>
          <w:szCs w:val="24"/>
        </w:rPr>
        <w:t>chebula</w:t>
      </w:r>
      <w:r>
        <w:rPr>
          <w:rFonts w:ascii="宋体" w:cs="宋体" w:hAnsi="宋体"/>
          <w:sz w:val="24"/>
          <w:szCs w:val="24"/>
        </w:rPr>
        <w:t xml:space="preserve"> </w:t>
      </w:r>
      <w:r>
        <w:rPr>
          <w:rFonts w:ascii="宋体" w:cs="宋体" w:hAnsi="宋体"/>
          <w:sz w:val="24"/>
          <w:szCs w:val="24"/>
        </w:rPr>
        <w:t>Retzus</w:t>
      </w:r>
      <w:r>
        <w:rPr>
          <w:rFonts w:ascii="宋体" w:cs="宋体" w:hAnsi="宋体"/>
          <w:sz w:val="24"/>
          <w:szCs w:val="24"/>
        </w:rPr>
        <w:t xml:space="preserve"> among others showed strong </w:t>
      </w:r>
      <w:r>
        <w:rPr>
          <w:rFonts w:ascii="宋体" w:cs="宋体" w:hAnsi="宋体"/>
          <w:sz w:val="24"/>
          <w:szCs w:val="24"/>
        </w:rPr>
        <w:t>antiherpes</w:t>
      </w:r>
      <w:r>
        <w:rPr>
          <w:rFonts w:ascii="宋体" w:cs="宋体" w:hAnsi="宋体"/>
          <w:sz w:val="24"/>
          <w:szCs w:val="24"/>
        </w:rPr>
        <w:t xml:space="preserve"> simplex virus type 1 (HSV-1)</w:t>
      </w:r>
      <w:r>
        <w:rPr>
          <w:rFonts w:ascii="宋体" w:cs="宋体" w:hAnsi="宋体"/>
          <w:sz w:val="24"/>
          <w:szCs w:val="24"/>
        </w:rPr>
        <w:t xml:space="preserve"> </w:t>
      </w:r>
      <w:r>
        <w:rPr>
          <w:rFonts w:ascii="宋体" w:cs="宋体" w:hAnsi="宋体"/>
          <w:sz w:val="24"/>
          <w:szCs w:val="24"/>
        </w:rPr>
        <w:t>activity when combined with acyclovir. This synergic activity was stronger in the brain that in the skin and it was also proved that those combinations were not toxic to mice</w:t>
      </w:r>
      <w:r>
        <w:rPr>
          <w:rFonts w:ascii="宋体" w:cs="宋体" w:hAnsi="宋体"/>
          <w:sz w:val="24"/>
          <w:szCs w:val="24"/>
        </w:rPr>
        <w:t xml:space="preserve"> </w:t>
      </w:r>
      <w:bookmarkStart w:id="53" w:name="_Hlk185407514"/>
      <w:r>
        <w:rPr>
          <w:rFonts w:ascii="宋体" w:cs="宋体" w:hAnsi="宋体"/>
          <w:sz w:val="24"/>
          <w:szCs w:val="24"/>
        </w:rPr>
        <w:t>(</w:t>
      </w:r>
      <w:r>
        <w:rPr>
          <w:rFonts w:ascii="宋体" w:cs="宋体" w:hAnsi="宋体"/>
          <w:sz w:val="24"/>
          <w:szCs w:val="24"/>
        </w:rPr>
        <w:t>Kurokawa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w:t>
      </w:r>
      <w:r>
        <w:rPr>
          <w:rFonts w:ascii="宋体" w:cs="宋体" w:hAnsi="宋体"/>
          <w:sz w:val="24"/>
          <w:szCs w:val="24"/>
        </w:rPr>
        <w:t>18</w:t>
      </w:r>
      <w:r>
        <w:rPr>
          <w:rFonts w:ascii="宋体" w:cs="宋体" w:hAnsi="宋体"/>
          <w:sz w:val="24"/>
          <w:szCs w:val="24"/>
        </w:rPr>
        <w:t>)</w:t>
      </w:r>
      <w:bookmarkEnd w:id="53"/>
    </w:p>
    <w:bookmarkStart w:id="54" w:name="_Toc85116954"/>
    <w:bookmarkStart w:id="55" w:name="_Toc201509724"/>
    <w:bookmarkStart w:id="56" w:name="_Toc202853724"/>
    <w:p>
      <w:pPr>
        <w:pStyle w:val="style1"/>
        <w:jc w:val="center"/>
        <w:rPr>
          <w:rFonts w:ascii="宋体" w:eastAsia="Calibri" w:hAnsi="宋体"/>
          <w:b/>
          <w:bCs/>
          <w:color w:val="auto"/>
          <w:sz w:val="28"/>
          <w:szCs w:val="28"/>
        </w:rPr>
      </w:pPr>
      <w:r>
        <w:rPr>
          <w:rFonts w:ascii="宋体" w:eastAsia="Calibri" w:hAnsi="宋体"/>
          <w:b/>
          <w:bCs/>
          <w:color w:val="auto"/>
          <w:sz w:val="28"/>
          <w:szCs w:val="28"/>
        </w:rPr>
        <w:t>CHAPTER THREE</w:t>
      </w:r>
      <w:bookmarkEnd w:id="54"/>
      <w:bookmarkEnd w:id="55"/>
      <w:bookmarkEnd w:id="56"/>
    </w:p>
    <w:p>
      <w:pPr>
        <w:pStyle w:val="style0"/>
        <w:jc w:val="center"/>
        <w:rPr>
          <w:rFonts w:ascii="Times New Roman" w:cs="Times New Roman" w:hAnsi="Times New Roman"/>
          <w:b/>
          <w:sz w:val="28"/>
          <w:szCs w:val="28"/>
        </w:rPr>
      </w:pPr>
    </w:p>
    <w:bookmarkStart w:id="57" w:name="_Toc85116955"/>
    <w:bookmarkStart w:id="58" w:name="_Toc201509725"/>
    <w:bookmarkStart w:id="59" w:name="_Toc202853725"/>
    <w:p>
      <w:pPr>
        <w:pStyle w:val="style2"/>
        <w:rPr>
          <w:rFonts w:ascii="宋体" w:hAnsi="宋体"/>
          <w:b w:val="false"/>
          <w:bCs w:val="false"/>
          <w:sz w:val="24"/>
          <w:szCs w:val="24"/>
        </w:rPr>
      </w:pPr>
      <w:r>
        <w:rPr>
          <w:rFonts w:ascii="宋体" w:hAnsi="宋体"/>
          <w:sz w:val="24"/>
          <w:szCs w:val="24"/>
        </w:rPr>
        <w:t>3.0 MATERIALS AND METHODS</w:t>
      </w:r>
      <w:bookmarkEnd w:id="57"/>
      <w:bookmarkEnd w:id="58"/>
      <w:bookmarkEnd w:id="59"/>
      <w:r>
        <w:rPr>
          <w:rFonts w:ascii="宋体" w:hAnsi="宋体"/>
          <w:sz w:val="24"/>
          <w:szCs w:val="24"/>
        </w:rPr>
        <w:t xml:space="preserve"> </w:t>
      </w:r>
    </w:p>
    <w:bookmarkStart w:id="60" w:name="_Toc202853726"/>
    <w:p>
      <w:pPr>
        <w:pStyle w:val="style2"/>
        <w:rPr>
          <w:rFonts w:ascii="宋体" w:hAnsi="宋体"/>
          <w:sz w:val="24"/>
          <w:szCs w:val="24"/>
        </w:rPr>
      </w:pPr>
      <w:r>
        <w:rPr>
          <w:rFonts w:ascii="宋体" w:hAnsi="宋体"/>
          <w:sz w:val="24"/>
          <w:szCs w:val="24"/>
        </w:rPr>
        <w:t xml:space="preserve">3.1 </w:t>
      </w:r>
      <w:r>
        <w:rPr>
          <w:rFonts w:ascii="宋体" w:hAnsi="宋体"/>
          <w:sz w:val="24"/>
          <w:szCs w:val="24"/>
        </w:rPr>
        <w:t>Collection and Preparation of Clove Flower Buds</w:t>
      </w:r>
      <w:bookmarkEnd w:id="60"/>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Dried </w:t>
      </w:r>
      <w:r>
        <w:rPr>
          <w:rFonts w:ascii="Times New Roman" w:hAnsi="Times New Roman"/>
          <w:sz w:val="24"/>
          <w:szCs w:val="24"/>
        </w:rPr>
        <w:t>clove flower buds (</w:t>
      </w:r>
      <w:r>
        <w:rPr>
          <w:rFonts w:ascii="Times New Roman" w:hAnsi="Times New Roman"/>
          <w:i/>
          <w:iCs/>
          <w:sz w:val="24"/>
          <w:szCs w:val="24"/>
        </w:rPr>
        <w:t>Syzygium</w:t>
      </w:r>
      <w:r>
        <w:rPr>
          <w:rFonts w:ascii="Times New Roman" w:hAnsi="Times New Roman"/>
          <w:i/>
          <w:iCs/>
          <w:sz w:val="24"/>
          <w:szCs w:val="24"/>
        </w:rPr>
        <w:t xml:space="preserve"> </w:t>
      </w:r>
      <w:r>
        <w:rPr>
          <w:rFonts w:ascii="Times New Roman" w:hAnsi="Times New Roman"/>
          <w:i/>
          <w:iCs/>
          <w:sz w:val="24"/>
          <w:szCs w:val="24"/>
        </w:rPr>
        <w:t>aromaticum</w:t>
      </w:r>
      <w:r>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Pr>
          <w:rFonts w:ascii="Times New Roman" w:hAnsi="Times New Roman"/>
          <w:sz w:val="24"/>
          <w:szCs w:val="24"/>
        </w:rPr>
        <w:t>. The buds were thoroughly</w:t>
      </w:r>
      <w:r>
        <w:rPr>
          <w:rFonts w:ascii="Times New Roman" w:hAnsi="Times New Roman"/>
          <w:sz w:val="24"/>
          <w:szCs w:val="24"/>
        </w:rPr>
        <w:t xml:space="preserve"> cleaned</w:t>
      </w:r>
      <w:r>
        <w:rPr>
          <w:rFonts w:ascii="Times New Roman" w:hAnsi="Times New Roman"/>
          <w:sz w:val="24"/>
          <w:szCs w:val="24"/>
        </w:rPr>
        <w:t xml:space="preserve"> to remove any dirt or contaminants. </w:t>
      </w:r>
      <w:r>
        <w:rPr>
          <w:rFonts w:ascii="Times New Roman" w:hAnsi="Times New Roman"/>
          <w:sz w:val="24"/>
          <w:szCs w:val="24"/>
        </w:rPr>
        <w:t>After cleaning</w:t>
      </w:r>
      <w:r>
        <w:rPr>
          <w:rFonts w:ascii="Times New Roman" w:hAnsi="Times New Roman"/>
          <w:sz w:val="24"/>
          <w:szCs w:val="24"/>
        </w:rPr>
        <w:t>, the buds were ground into a fine powder using a sterile electric grinder. The fine powder was stored in airtight containers at room temperature until further use.</w:t>
      </w:r>
    </w:p>
    <w:bookmarkStart w:id="61" w:name="_Toc202853727"/>
    <w:p>
      <w:pPr>
        <w:pStyle w:val="style2"/>
        <w:rPr>
          <w:rFonts w:ascii="宋体" w:hAnsi="宋体"/>
          <w:sz w:val="24"/>
          <w:szCs w:val="24"/>
        </w:rPr>
      </w:pPr>
      <w:r>
        <w:rPr>
          <w:rFonts w:ascii="宋体" w:hAnsi="宋体"/>
          <w:sz w:val="24"/>
          <w:szCs w:val="24"/>
        </w:rPr>
        <w:t xml:space="preserve">3.2 </w:t>
      </w:r>
      <w:r>
        <w:rPr>
          <w:rFonts w:ascii="宋体" w:hAnsi="宋体"/>
          <w:sz w:val="24"/>
          <w:szCs w:val="24"/>
        </w:rPr>
        <w:t>Preparation of Clove Extract</w:t>
      </w:r>
      <w:bookmarkEnd w:id="61"/>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Water </w:t>
      </w:r>
      <w:r>
        <w:rPr>
          <w:rFonts w:ascii="Times New Roman" w:hAnsi="Times New Roman"/>
          <w:sz w:val="24"/>
          <w:szCs w:val="24"/>
        </w:rPr>
        <w:t>w</w:t>
      </w:r>
      <w:r>
        <w:rPr>
          <w:rFonts w:ascii="Times New Roman" w:hAnsi="Times New Roman"/>
          <w:sz w:val="24"/>
          <w:szCs w:val="24"/>
        </w:rPr>
        <w:t>as</w:t>
      </w:r>
      <w:r>
        <w:rPr>
          <w:rFonts w:ascii="Times New Roman" w:hAnsi="Times New Roman"/>
          <w:sz w:val="24"/>
          <w:szCs w:val="24"/>
        </w:rPr>
        <w:t xml:space="preserve"> used to prepare the clove extract.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Pr>
          <w:rFonts w:ascii="Times New Roman" w:hAnsi="Times New Roman"/>
          <w:sz w:val="24"/>
          <w:szCs w:val="24"/>
        </w:rPr>
        <w:t>using rotatory evaporator at 4</w:t>
      </w:r>
      <w:r>
        <w:rPr>
          <w:rFonts w:ascii="Times New Roman" w:hAnsi="Times New Roman"/>
          <w:sz w:val="24"/>
          <w:szCs w:val="24"/>
        </w:rPr>
        <w:t>0</w:t>
      </w:r>
      <w:r>
        <w:rPr>
          <w:rFonts w:ascii="Times New Roman" w:hAnsi="Times New Roman"/>
          <w:sz w:val="24"/>
          <w:szCs w:val="24"/>
        </w:rPr>
        <w:t>°C</w:t>
      </w:r>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Sarker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r>
        <w:rPr>
          <w:rFonts w:ascii="Times New Roman" w:hAnsi="Times New Roman"/>
          <w:sz w:val="24"/>
          <w:szCs w:val="24"/>
        </w:rPr>
        <w:t>.</w:t>
      </w:r>
    </w:p>
    <w:bookmarkStart w:id="62" w:name="_Toc202853728"/>
    <w:p>
      <w:pPr>
        <w:pStyle w:val="style2"/>
        <w:rPr>
          <w:rFonts w:ascii="宋体" w:hAnsi="宋体"/>
          <w:sz w:val="24"/>
          <w:szCs w:val="24"/>
        </w:rPr>
      </w:pPr>
      <w:r>
        <w:rPr>
          <w:rFonts w:ascii="宋体" w:hAnsi="宋体"/>
          <w:sz w:val="24"/>
          <w:szCs w:val="24"/>
        </w:rPr>
        <w:t xml:space="preserve">3.3 </w:t>
      </w:r>
      <w:r>
        <w:rPr>
          <w:rFonts w:ascii="宋体" w:hAnsi="宋体"/>
          <w:sz w:val="24"/>
          <w:szCs w:val="24"/>
        </w:rPr>
        <w:t>Collection of Test Organisms</w:t>
      </w:r>
      <w:bookmarkEnd w:id="62"/>
    </w:p>
    <w:p>
      <w:pPr>
        <w:pStyle w:val="style94"/>
        <w:spacing w:lineRule="auto" w:line="480"/>
        <w:ind w:firstLine="720"/>
        <w:jc w:val="both"/>
        <w:rPr/>
      </w:pPr>
      <w:r>
        <w:t>The test organisms were collected from the microbiology laboratory</w:t>
      </w:r>
      <w:r>
        <w:t xml:space="preserve"> of University of Ilorin</w:t>
      </w:r>
      <w:r>
        <w:t>. The bacteri</w:t>
      </w:r>
      <w:r>
        <w:t>al pathogen</w:t>
      </w:r>
      <w:r>
        <w:t xml:space="preserve"> selected for the study were</w:t>
      </w:r>
      <w:r>
        <w:t xml:space="preserve"> methicillin-resistant</w:t>
      </w:r>
      <w:r>
        <w:t xml:space="preserve"> </w:t>
      </w:r>
      <w:r>
        <w:rPr>
          <w:rStyle w:val="style88"/>
        </w:rPr>
        <w:t>Staphylococcus aureus</w:t>
      </w:r>
      <w:r>
        <w:t xml:space="preserve"> (MRSA), </w:t>
      </w:r>
      <w:r>
        <w:rPr>
          <w:rStyle w:val="style88"/>
          <w:i w:val="false"/>
        </w:rPr>
        <w:t xml:space="preserve">and </w:t>
      </w:r>
      <w:r>
        <w:rPr>
          <w:rStyle w:val="style88"/>
        </w:rPr>
        <w:t>Escherichia coli</w:t>
      </w:r>
      <w:r>
        <w:t xml:space="preserve">. </w:t>
      </w:r>
    </w:p>
    <w:bookmarkStart w:id="63" w:name="_Toc202853729"/>
    <w:p>
      <w:pPr>
        <w:pStyle w:val="style2"/>
        <w:rPr>
          <w:rFonts w:ascii="宋体" w:hAnsi="宋体"/>
          <w:sz w:val="24"/>
          <w:szCs w:val="24"/>
        </w:rPr>
      </w:pPr>
      <w:r>
        <w:rPr>
          <w:rFonts w:ascii="宋体" w:hAnsi="宋体"/>
          <w:sz w:val="24"/>
          <w:szCs w:val="24"/>
        </w:rPr>
        <w:t xml:space="preserve">3.4 </w:t>
      </w:r>
      <w:r>
        <w:rPr>
          <w:rFonts w:ascii="宋体" w:hAnsi="宋体"/>
          <w:sz w:val="24"/>
          <w:szCs w:val="24"/>
        </w:rPr>
        <w:t>Standardization of Test Organisms</w:t>
      </w:r>
      <w:bookmarkEnd w:id="63"/>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standardize the test organisms, bacterial </w:t>
      </w:r>
      <w:r>
        <w:rPr>
          <w:rFonts w:ascii="Times New Roman" w:hAnsi="Times New Roman"/>
          <w:sz w:val="24"/>
          <w:szCs w:val="24"/>
        </w:rPr>
        <w:t>pathogen</w:t>
      </w:r>
      <w:r>
        <w:rPr>
          <w:rFonts w:ascii="Times New Roman" w:hAnsi="Times New Roman"/>
          <w:sz w:val="24"/>
          <w:szCs w:val="24"/>
        </w:rPr>
        <w:t xml:space="preserve"> </w:t>
      </w:r>
      <w:r>
        <w:rPr>
          <w:rFonts w:ascii="Times New Roman" w:hAnsi="Times New Roman"/>
          <w:sz w:val="24"/>
          <w:szCs w:val="24"/>
        </w:rPr>
        <w:t>were</w:t>
      </w:r>
      <w:r>
        <w:rPr>
          <w:rFonts w:ascii="Times New Roman" w:hAnsi="Times New Roman"/>
          <w:sz w:val="24"/>
          <w:szCs w:val="24"/>
        </w:rPr>
        <w:t xml:space="preserve"> cultured on nutrient agar at 37°C for 24 hours. </w:t>
      </w:r>
      <w:r>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 xml:space="preserve">).  </w:t>
      </w:r>
    </w:p>
    <w:bookmarkStart w:id="64" w:name="_Toc202853730"/>
    <w:p>
      <w:pPr>
        <w:pStyle w:val="style2"/>
        <w:rPr>
          <w:rFonts w:ascii="宋体" w:hAnsi="宋体"/>
          <w:sz w:val="24"/>
          <w:szCs w:val="24"/>
        </w:rPr>
      </w:pPr>
      <w:r>
        <w:rPr>
          <w:rFonts w:ascii="宋体" w:hAnsi="宋体"/>
          <w:sz w:val="24"/>
          <w:szCs w:val="24"/>
        </w:rPr>
        <w:t xml:space="preserve">3.5 </w:t>
      </w:r>
      <w:r>
        <w:rPr>
          <w:rFonts w:ascii="宋体" w:hAnsi="宋体"/>
          <w:sz w:val="24"/>
          <w:szCs w:val="24"/>
        </w:rPr>
        <w:t>Antibacterial Activity Assay</w:t>
      </w:r>
      <w:bookmarkEnd w:id="64"/>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Pr>
          <w:rFonts w:ascii="Times New Roman" w:hAnsi="Times New Roman"/>
          <w:sz w:val="24"/>
          <w:szCs w:val="24"/>
        </w:rPr>
        <w:t>technique</w:t>
      </w:r>
      <w:r>
        <w:rPr>
          <w:rFonts w:ascii="Times New Roman" w:hAnsi="Times New Roman"/>
          <w:sz w:val="24"/>
          <w:szCs w:val="24"/>
        </w:rPr>
        <w:t xml:space="preserve">. The standardized suspension was used to inoculate the surfaces of sterile </w:t>
      </w:r>
      <w:r>
        <w:rPr>
          <w:rFonts w:ascii="Times New Roman" w:hAnsi="Times New Roman"/>
          <w:sz w:val="24"/>
          <w:szCs w:val="24"/>
        </w:rPr>
        <w:t xml:space="preserve">Mueller-Hinton agar </w:t>
      </w:r>
      <w:r>
        <w:rPr>
          <w:rFonts w:ascii="Times New Roman" w:hAnsi="Times New Roman"/>
          <w:sz w:val="24"/>
          <w:szCs w:val="24"/>
        </w:rPr>
        <w:t xml:space="preserve">using sterile cotton swab. </w:t>
      </w:r>
      <w:r>
        <w:rPr>
          <w:rFonts w:ascii="Times New Roman" w:hAnsi="Times New Roman"/>
          <w:sz w:val="24"/>
          <w:szCs w:val="24"/>
        </w:rPr>
        <w:t>6</w:t>
      </w:r>
      <w:r>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Pr>
          <w:rFonts w:ascii="Times New Roman" w:hAnsi="Times New Roman"/>
          <w:sz w:val="24"/>
          <w:szCs w:val="24"/>
        </w:rPr>
        <w:t xml:space="preserve"> ml of sterile </w:t>
      </w:r>
      <w:r>
        <w:rPr>
          <w:rFonts w:ascii="Times New Roman" w:hAnsi="Times New Roman"/>
          <w:sz w:val="24"/>
          <w:szCs w:val="24"/>
        </w:rPr>
        <w:t>Mueller-Hinton agar</w:t>
      </w:r>
      <w:r>
        <w:rPr>
          <w:rFonts w:ascii="Times New Roman" w:hAnsi="Times New Roman"/>
          <w:sz w:val="24"/>
          <w:szCs w:val="24"/>
        </w:rPr>
        <w:t>. The wells were then filled with</w:t>
      </w:r>
      <w:r>
        <w:rPr>
          <w:rFonts w:ascii="Times New Roman" w:hAnsi="Times New Roman"/>
          <w:sz w:val="24"/>
          <w:szCs w:val="24"/>
        </w:rPr>
        <w:t xml:space="preserve"> 100 </w:t>
      </w:r>
      <w:r>
        <w:rPr>
          <w:rFonts w:ascii="Times New Roman" w:hAnsi="Times New Roman"/>
          <w:sz w:val="24"/>
          <w:szCs w:val="24"/>
        </w:rPr>
        <w:t>microliter</w:t>
      </w:r>
      <w:r>
        <w:rPr>
          <w:rFonts w:ascii="Times New Roman" w:hAnsi="Times New Roman"/>
          <w:sz w:val="24"/>
          <w:szCs w:val="24"/>
        </w:rPr>
        <w:t xml:space="preserve"> of</w:t>
      </w:r>
      <w:r>
        <w:rPr>
          <w:rFonts w:ascii="Times New Roman" w:hAnsi="Times New Roman"/>
          <w:sz w:val="24"/>
          <w:szCs w:val="24"/>
        </w:rPr>
        <w:t xml:space="preserve">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w:t>
      </w:r>
      <w:r>
        <w:rPr>
          <w:rFonts w:ascii="Times New Roman" w:hAnsi="Times New Roman"/>
          <w:sz w:val="24"/>
          <w:szCs w:val="24"/>
        </w:rPr>
        <w:t xml:space="preserve"> </w:t>
      </w:r>
      <w:r>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Pr>
          <w:rFonts w:ascii="Times New Roman" w:hAnsi="Times New Roman"/>
          <w:sz w:val="24"/>
          <w:szCs w:val="24"/>
        </w:rPr>
        <w:t>then the agar plates were incubated at 37</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 xml:space="preserve"> for 24 hours. The antibacterial</w:t>
      </w:r>
      <w:r>
        <w:rPr>
          <w:rFonts w:ascii="Times New Roman" w:hAnsi="Times New Roman"/>
          <w:sz w:val="24"/>
          <w:szCs w:val="24"/>
        </w:rPr>
        <w:t xml:space="preserve"> </w:t>
      </w:r>
      <w:r>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Pr>
          <w:rFonts w:ascii="Times New Roman" w:hAnsi="Times New Roman"/>
          <w:sz w:val="24"/>
          <w:szCs w:val="24"/>
        </w:rPr>
        <w:t>The same</w:t>
      </w:r>
      <w:r>
        <w:rPr>
          <w:rFonts w:ascii="Times New Roman" w:hAnsi="Times New Roman"/>
          <w:sz w:val="24"/>
          <w:szCs w:val="24"/>
        </w:rPr>
        <w:t xml:space="preserve"> </w:t>
      </w:r>
      <w:r>
        <w:rPr>
          <w:rFonts w:ascii="Times New Roman" w:hAnsi="Times New Roman"/>
          <w:sz w:val="24"/>
          <w:szCs w:val="24"/>
        </w:rPr>
        <w:t>procedure was repeated for</w:t>
      </w:r>
      <w:r>
        <w:rPr>
          <w:rFonts w:ascii="Times New Roman" w:hAnsi="Times New Roman"/>
          <w:sz w:val="24"/>
          <w:szCs w:val="24"/>
        </w:rPr>
        <w:t xml:space="preserve"> other solvent</w:t>
      </w:r>
      <w:r>
        <w:rPr>
          <w:rFonts w:ascii="Times New Roman" w:hAnsi="Times New Roman"/>
          <w:sz w:val="24"/>
          <w:szCs w:val="24"/>
        </w:rPr>
        <w:t xml:space="preserve"> extract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w:t>
      </w:r>
    </w:p>
    <w:bookmarkStart w:id="65" w:name="_Toc202853731"/>
    <w:p>
      <w:pPr>
        <w:pStyle w:val="style2"/>
        <w:rPr>
          <w:rFonts w:ascii="宋体" w:hAnsi="宋体"/>
          <w:sz w:val="24"/>
          <w:szCs w:val="24"/>
        </w:rPr>
      </w:pPr>
      <w:r>
        <w:rPr>
          <w:rFonts w:ascii="宋体" w:hAnsi="宋体"/>
          <w:sz w:val="24"/>
          <w:szCs w:val="24"/>
        </w:rPr>
        <w:t xml:space="preserve">3.6 </w:t>
      </w:r>
      <w:r>
        <w:rPr>
          <w:rFonts w:ascii="宋体" w:hAnsi="宋体"/>
          <w:sz w:val="24"/>
          <w:szCs w:val="24"/>
        </w:rPr>
        <w:t>Determination of Minimum Inhibitory Concentration (MIC)</w:t>
      </w:r>
      <w:bookmarkEnd w:id="65"/>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w:t>
      </w:r>
      <w:r>
        <w:rPr>
          <w:rFonts w:ascii="Times New Roman" w:hAnsi="Times New Roman"/>
          <w:sz w:val="24"/>
          <w:szCs w:val="24"/>
        </w:rPr>
        <w:t xml:space="preserve">. The experiment utilized </w:t>
      </w:r>
      <w:r>
        <w:rPr>
          <w:rFonts w:ascii="Times New Roman" w:hAnsi="Times New Roman"/>
          <w:sz w:val="24"/>
          <w:szCs w:val="24"/>
        </w:rPr>
        <w:t>five</w:t>
      </w:r>
      <w:r>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Pr>
          <w:rFonts w:ascii="Times New Roman" w:hAnsi="Times New Roman"/>
          <w:sz w:val="24"/>
          <w:szCs w:val="24"/>
        </w:rPr>
        <w:t xml:space="preserve"> were prepared and distributed among the tubes as follows: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Pr>
          <w:rFonts w:ascii="Times New Roman" w:hAnsi="Times New Roman"/>
          <w:sz w:val="24"/>
          <w:szCs w:val="24"/>
        </w:rPr>
        <w:t xml:space="preserve"> </w:t>
      </w:r>
      <w:r>
        <w:rPr>
          <w:rFonts w:ascii="Times New Roman" w:hAnsi="Times New Roman"/>
          <w:sz w:val="24"/>
          <w:szCs w:val="24"/>
        </w:rPr>
        <w:t xml:space="preserve">tubes </w:t>
      </w:r>
      <w:r>
        <w:rPr>
          <w:rFonts w:ascii="Times New Roman" w:hAnsi="Times New Roman"/>
          <w:sz w:val="24"/>
          <w:szCs w:val="24"/>
        </w:rPr>
        <w:t xml:space="preserve">and </w:t>
      </w:r>
      <w:r>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Pr>
          <w:rFonts w:ascii="Times New Roman" w:hAnsi="Times New Roman"/>
          <w:sz w:val="24"/>
          <w:szCs w:val="24"/>
        </w:rPr>
        <w:t xml:space="preserve"> </w:t>
      </w:r>
      <w:r>
        <w:rPr>
          <w:rFonts w:ascii="Times New Roman" w:hAnsi="Times New Roman"/>
          <w:sz w:val="24"/>
          <w:szCs w:val="24"/>
        </w:rPr>
        <w:t>(CLSI, 2018)</w:t>
      </w:r>
      <w:r>
        <w:rPr>
          <w:rFonts w:ascii="Times New Roman" w:hAnsi="Times New Roman"/>
          <w:sz w:val="24"/>
          <w:szCs w:val="24"/>
        </w:rPr>
        <w:t>.</w:t>
      </w:r>
    </w:p>
    <w:bookmarkStart w:id="66" w:name="_Toc202853732"/>
    <w:p>
      <w:pPr>
        <w:pStyle w:val="style2"/>
        <w:rPr>
          <w:rFonts w:ascii="宋体" w:hAnsi="宋体"/>
          <w:sz w:val="24"/>
          <w:szCs w:val="24"/>
        </w:rPr>
      </w:pPr>
      <w:r>
        <w:rPr>
          <w:rFonts w:ascii="宋体" w:hAnsi="宋体"/>
          <w:sz w:val="24"/>
          <w:szCs w:val="24"/>
        </w:rPr>
        <w:t xml:space="preserve">3.7 </w:t>
      </w:r>
      <w:r>
        <w:rPr>
          <w:rFonts w:ascii="宋体" w:hAnsi="宋体"/>
          <w:sz w:val="24"/>
          <w:szCs w:val="24"/>
        </w:rPr>
        <w:t>Determination of Minimum Bactericidal Concentration (MBC)</w:t>
      </w:r>
      <w:bookmarkEnd w:id="66"/>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determine the MBC, the test tubes showing no visible growth in the MIC assay were </w:t>
      </w:r>
      <w:r>
        <w:rPr>
          <w:rFonts w:ascii="Times New Roman" w:hAnsi="Times New Roman"/>
          <w:sz w:val="24"/>
          <w:szCs w:val="24"/>
        </w:rPr>
        <w:t>subcultured</w:t>
      </w:r>
      <w:r>
        <w:rPr>
          <w:rFonts w:ascii="Times New Roman" w:hAnsi="Times New Roman"/>
          <w:sz w:val="24"/>
          <w:szCs w:val="24"/>
        </w:rPr>
        <w:t xml:space="preserve"> onto fresh Mueller-Hinton agar plates. The plates were incubated at 37°C for 24 </w:t>
      </w:r>
      <w:r>
        <w:rPr>
          <w:rFonts w:ascii="Times New Roman" w:hAnsi="Times New Roman"/>
          <w:sz w:val="24"/>
          <w:szCs w:val="24"/>
        </w:rPr>
        <w:t>hours. The MBC was defined as the lowest concentration of the extract that resulted in no growth on the subculture plates, indicating complete killing of the organism</w:t>
      </w:r>
      <w:r>
        <w:rPr>
          <w:rFonts w:ascii="Times New Roman" w:hAnsi="Times New Roman"/>
          <w:sz w:val="24"/>
          <w:szCs w:val="24"/>
        </w:rPr>
        <w:t xml:space="preserve"> (</w:t>
      </w:r>
      <w:r>
        <w:rPr>
          <w:rFonts w:ascii="Times New Roman" w:hAnsi="Times New Roman"/>
          <w:sz w:val="24"/>
          <w:szCs w:val="24"/>
        </w:rPr>
        <w:t>National Committee for Clinical Laboratory Standards</w:t>
      </w:r>
      <w:r>
        <w:rPr>
          <w:rFonts w:ascii="Times New Roman" w:hAnsi="Times New Roman"/>
          <w:sz w:val="24"/>
          <w:szCs w:val="24"/>
        </w:rPr>
        <w:t>, 2018)</w:t>
      </w:r>
      <w:r>
        <w:rPr>
          <w:rFonts w:ascii="Times New Roman" w:hAnsi="Times New Roman"/>
          <w:sz w:val="24"/>
          <w:szCs w:val="24"/>
        </w:rPr>
        <w:t>.</w:t>
      </w: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bookmarkStart w:id="67" w:name="_Toc198499533"/>
    <w:bookmarkStart w:id="68" w:name="_Toc202633520"/>
    <w:bookmarkStart w:id="69" w:name="_Toc202853733"/>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FOUR</w:t>
      </w:r>
      <w:bookmarkEnd w:id="67"/>
      <w:bookmarkEnd w:id="68"/>
      <w:bookmarkEnd w:id="69"/>
    </w:p>
    <w:p>
      <w:pPr>
        <w:pStyle w:val="style0"/>
        <w:jc w:val="center"/>
        <w:rPr>
          <w:rFonts w:ascii="Times New Roman" w:cs="Times New Roman" w:hAnsi="Times New Roman"/>
          <w:b/>
          <w:sz w:val="28"/>
          <w:szCs w:val="28"/>
        </w:rPr>
      </w:pPr>
    </w:p>
    <w:bookmarkStart w:id="70" w:name="_Toc198499534"/>
    <w:bookmarkStart w:id="71" w:name="_Toc202633521"/>
    <w:bookmarkStart w:id="72" w:name="_Toc202853734"/>
    <w:p>
      <w:pPr>
        <w:pStyle w:val="style2"/>
        <w:tabs>
          <w:tab w:val="center" w:leader="none" w:pos="4513"/>
        </w:tabs>
        <w:rPr>
          <w:rFonts w:ascii="宋体" w:hAnsi="宋体"/>
          <w:b w:val="false"/>
          <w:bCs w:val="false"/>
          <w:sz w:val="24"/>
          <w:szCs w:val="24"/>
        </w:rPr>
      </w:pPr>
      <w:r>
        <w:rPr>
          <w:rFonts w:ascii="宋体" w:hAnsi="宋体"/>
          <w:sz w:val="24"/>
          <w:szCs w:val="24"/>
        </w:rPr>
        <w:t>4.0</w:t>
      </w:r>
      <w:r>
        <w:rPr>
          <w:rFonts w:ascii="宋体" w:hAnsi="宋体"/>
          <w:sz w:val="24"/>
          <w:szCs w:val="24"/>
        </w:rPr>
        <w:tab/>
      </w:r>
      <w:r>
        <w:rPr>
          <w:rFonts w:ascii="宋体" w:hAnsi="宋体"/>
          <w:sz w:val="24"/>
          <w:szCs w:val="24"/>
        </w:rPr>
        <w:t>RESULTS</w:t>
      </w:r>
      <w:bookmarkEnd w:id="70"/>
      <w:bookmarkEnd w:id="71"/>
      <w:bookmarkEnd w:id="72"/>
    </w:p>
    <w:bookmarkStart w:id="73" w:name="_Toc202853735"/>
    <w:p>
      <w:pPr>
        <w:pStyle w:val="style2"/>
        <w:rPr>
          <w:rFonts w:ascii="宋体" w:hAnsi="宋体"/>
          <w:sz w:val="24"/>
          <w:szCs w:val="24"/>
        </w:rPr>
      </w:pPr>
      <w:r>
        <w:rPr>
          <w:rFonts w:ascii="宋体" w:hAnsi="宋体"/>
          <w:sz w:val="24"/>
          <w:szCs w:val="24"/>
        </w:rPr>
        <w:t>4.1 Antibacterial Activity of Aqueous Clove Extract</w:t>
      </w:r>
      <w:bookmarkEnd w:id="73"/>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antibacterial activity of aqueous extract of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is presented in </w:t>
      </w:r>
      <w:r>
        <w:rPr>
          <w:rFonts w:ascii="Times New Roman" w:cs="Times New Roman" w:eastAsia="Times New Roman" w:hAnsi="Times New Roman"/>
          <w:bCs/>
          <w:sz w:val="24"/>
          <w:szCs w:val="24"/>
        </w:rPr>
        <w:t>Table 1</w:t>
      </w:r>
      <w:r>
        <w:rPr>
          <w:rFonts w:ascii="Times New Roman" w:cs="Times New Roman" w:eastAsia="Times New Roman" w:hAnsi="Times New Roman"/>
          <w:sz w:val="24"/>
          <w:szCs w:val="24"/>
        </w:rPr>
        <w:t xml:space="preserve">. The </w:t>
      </w:r>
      <w:r>
        <w:rPr>
          <w:rFonts w:ascii="Times New Roman" w:cs="Times New Roman" w:eastAsia="Times New Roman" w:hAnsi="Times New Roman"/>
          <w:sz w:val="24"/>
          <w:szCs w:val="24"/>
        </w:rPr>
        <w:t xml:space="preserve">zone of inhibition obtained in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ranged between 8.00 to 20.14, while zone of inhibition obtained in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ranged between 0.00 to 21.10.</w:t>
      </w:r>
    </w:p>
    <w:bookmarkStart w:id="74" w:name="_Toc202853736"/>
    <w:p>
      <w:pPr>
        <w:pStyle w:val="style2"/>
        <w:rPr>
          <w:rFonts w:ascii="宋体" w:hAnsi="宋体"/>
          <w:sz w:val="24"/>
          <w:szCs w:val="24"/>
        </w:rPr>
      </w:pPr>
      <w:r>
        <w:rPr>
          <w:rFonts w:ascii="宋体" w:hAnsi="宋体"/>
          <w:sz w:val="24"/>
          <w:szCs w:val="24"/>
        </w:rPr>
        <w:t>4.2 Minimum Inhibitory Concentration (MIC) and Minimum Bactericidal Concentration</w:t>
      </w:r>
      <w:bookmarkEnd w:id="74"/>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MIC and MBC values for the aqueous clove extract against MRSA and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are shown in </w:t>
      </w:r>
      <w:r>
        <w:rPr>
          <w:rFonts w:ascii="Times New Roman" w:cs="Times New Roman" w:eastAsia="Times New Roman" w:hAnsi="Times New Roman"/>
          <w:bCs/>
          <w:sz w:val="24"/>
          <w:szCs w:val="24"/>
        </w:rPr>
        <w:t>Table 2</w:t>
      </w:r>
      <w:r>
        <w:rPr>
          <w:rFonts w:ascii="Times New Roman" w:cs="Times New Roman" w:eastAsia="Times New Roman" w:hAnsi="Times New Roman"/>
          <w:sz w:val="24"/>
          <w:szCs w:val="24"/>
        </w:rPr>
        <w:t xml:space="preserve">. For both organisms, the MIC was determined to be </w:t>
      </w:r>
      <w:r>
        <w:rPr>
          <w:rFonts w:ascii="Times New Roman" w:cs="Times New Roman" w:eastAsia="Times New Roman" w:hAnsi="Times New Roman"/>
          <w:bCs/>
          <w:sz w:val="24"/>
          <w:szCs w:val="24"/>
        </w:rPr>
        <w:t>80 mg/mL</w:t>
      </w:r>
      <w:r>
        <w:rPr>
          <w:rFonts w:ascii="Times New Roman" w:cs="Times New Roman" w:eastAsia="Times New Roman" w:hAnsi="Times New Roman"/>
          <w:sz w:val="24"/>
          <w:szCs w:val="24"/>
        </w:rPr>
        <w:t xml:space="preserve">, while the MBC was </w:t>
      </w:r>
      <w:r>
        <w:rPr>
          <w:rFonts w:ascii="Times New Roman" w:cs="Times New Roman" w:eastAsia="Times New Roman" w:hAnsi="Times New Roman"/>
          <w:bCs/>
          <w:sz w:val="24"/>
          <w:szCs w:val="24"/>
        </w:rPr>
        <w:t>100 mg/</w:t>
      </w:r>
      <w:r>
        <w:rPr>
          <w:rFonts w:ascii="Times New Roman" w:cs="Times New Roman" w:eastAsia="Times New Roman" w:hAnsi="Times New Roman"/>
          <w:bCs/>
          <w:sz w:val="24"/>
          <w:szCs w:val="24"/>
        </w:rPr>
        <w:t>mL</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column">
                  <wp:posOffset>28575</wp:posOffset>
                </wp:positionH>
                <wp:positionV relativeFrom="paragraph">
                  <wp:posOffset>761365</wp:posOffset>
                </wp:positionV>
                <wp:extent cx="5629910" cy="0"/>
                <wp:effectExtent l="9525" t="12700" r="8890" b="6350"/>
                <wp:wrapNone/>
                <wp:docPr id="102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2.25pt,59.949997pt" to="445.55pt,59.949997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eastAsia="Times New Roman" w:hAnsi="Times New Roman"/>
          <w:bCs/>
          <w:sz w:val="24"/>
          <w:szCs w:val="24"/>
        </w:rPr>
        <w:t>Table 1</w:t>
      </w:r>
      <w:r>
        <w:rPr>
          <w:rFonts w:ascii="Times New Roman" w:cs="Times New Roman" w:eastAsia="Times New Roman" w:hAnsi="Times New Roman"/>
          <w:sz w:val="24"/>
          <w:szCs w:val="24"/>
        </w:rPr>
        <w:t xml:space="preserve">: Antibacterial Activity of Aqueous Clove Extract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p>
    <w:tbl>
      <w:tblPr>
        <w:tblW w:w="6215" w:type="dxa"/>
        <w:tblCellSpacing w:w="15" w:type="dxa"/>
        <w:tblCellMar>
          <w:top w:w="15" w:type="dxa"/>
          <w:left w:w="15" w:type="dxa"/>
          <w:bottom w:w="15" w:type="dxa"/>
          <w:right w:w="15" w:type="dxa"/>
        </w:tblCellMar>
        <w:tblLook w:val="04A0" w:firstRow="1" w:lastRow="0" w:firstColumn="1" w:lastColumn="0" w:noHBand="0" w:noVBand="1"/>
      </w:tblPr>
      <w:tblGrid>
        <w:gridCol w:w="2986"/>
        <w:gridCol w:w="1616"/>
        <w:gridCol w:w="1612"/>
      </w:tblGrid>
      <w:tr>
        <w:trPr>
          <w:trHeight w:val="248" w:hRule="atLeast"/>
          <w:tblHeader/>
          <w:tblCellSpacing w:w="15" w:type="dxa"/>
        </w:trPr>
        <w:tc>
          <w:tcPr>
            <w:tcW w:w="0" w:type="auto"/>
            <w:tcBorders/>
            <w:vAlign w:val="center"/>
            <w:hideMark/>
          </w:tcPr>
          <w:p>
            <w:pPr>
              <w:pStyle w:val="style0"/>
              <w:rPr/>
            </w:pPr>
            <w:r>
              <w:rPr>
                <w:rFonts w:ascii="Times New Roman" w:cs="Times New Roman" w:eastAsia="Times New Roman" w:hAnsi="Times New Roman"/>
                <w:bCs/>
                <w:sz w:val="24"/>
                <w:szCs w:val="24"/>
              </w:rPr>
              <w:t>Concentration (mg/mL)</w:t>
            </w:r>
          </w:p>
        </w:tc>
        <w:tc>
          <w:tcPr>
            <w:tcW w:w="0" w:type="auto"/>
            <w:tcBorders/>
            <w:vAlign w:val="center"/>
            <w:hideMark/>
          </w:tcPr>
          <w:p>
            <w:pPr>
              <w:pStyle w:val="style0"/>
              <w:spacing w:after="0" w:lineRule="auto" w:line="480"/>
              <w:jc w:val="both"/>
              <w:rPr>
                <w:rFonts w:ascii="Times New Roman" w:cs="Times New Roman" w:eastAsia="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-1873884</wp:posOffset>
                      </wp:positionH>
                      <wp:positionV relativeFrom="paragraph">
                        <wp:posOffset>287020</wp:posOffset>
                      </wp:positionV>
                      <wp:extent cx="5629910" cy="0"/>
                      <wp:effectExtent l="9525" t="12700" r="8890" b="6350"/>
                      <wp:wrapNone/>
                      <wp:docPr id="1028" name="Straight Connector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147.54993pt,22.599998pt" to="295.75006pt,22.599998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eastAsia="Times New Roman" w:hAnsi="Times New Roman"/>
                <w:bCs/>
                <w:sz w:val="24"/>
                <w:szCs w:val="24"/>
              </w:rPr>
              <w:t xml:space="preserve">MRSA (mm) </w:t>
            </w:r>
          </w:p>
        </w:tc>
        <w:tc>
          <w:tcPr>
            <w:tcW w:w="0" w:type="auto"/>
            <w:tcBorders/>
            <w:vAlign w:val="center"/>
            <w:hideMark/>
          </w:tcPr>
          <w:p>
            <w:pPr>
              <w:pStyle w:val="style0"/>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Cs/>
                <w:i/>
                <w:iCs/>
                <w:sz w:val="24"/>
                <w:szCs w:val="24"/>
              </w:rPr>
              <w:t xml:space="preserve">E. coli </w:t>
            </w:r>
            <w:r>
              <w:rPr>
                <w:rFonts w:ascii="Times New Roman" w:cs="Times New Roman" w:eastAsia="Times New Roman" w:hAnsi="Times New Roman"/>
                <w:bCs/>
                <w:iCs/>
                <w:sz w:val="24"/>
                <w:szCs w:val="24"/>
              </w:rPr>
              <w:t>(mm)</w:t>
            </w:r>
            <w:r>
              <w:rPr>
                <w:rFonts w:ascii="Times New Roman" w:cs="Times New Roman" w:eastAsia="Times New Roman" w:hAnsi="Times New Roman"/>
                <w:bCs/>
                <w:sz w:val="24"/>
                <w:szCs w:val="24"/>
              </w:rPr>
              <w:t xml:space="preserve"> </w:t>
            </w:r>
          </w:p>
        </w:tc>
      </w:tr>
      <w:tr>
        <w:tblPrEx/>
        <w:trPr>
          <w:trHeight w:val="261" w:hRule="atLeast"/>
          <w:tblCellSpacing w:w="15" w:type="dxa"/>
        </w:trPr>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trHeight w:val="248" w:hRule="atLeast"/>
          <w:tblCellSpacing w:w="15" w:type="dxa"/>
        </w:trPr>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14.12</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13.00</w:t>
            </w:r>
          </w:p>
        </w:tc>
      </w:tr>
      <w:tr>
        <w:tblPrEx/>
        <w:trPr>
          <w:trHeight w:val="261" w:hRule="atLeast"/>
          <w:tblCellSpacing w:w="15" w:type="dxa"/>
        </w:trPr>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16.20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17.10</w:t>
            </w:r>
          </w:p>
        </w:tc>
      </w:tr>
      <w:tr>
        <w:tblPrEx/>
        <w:trPr>
          <w:trHeight w:val="248" w:hRule="atLeast"/>
          <w:tblCellSpacing w:w="15" w:type="dxa"/>
        </w:trPr>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20.00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19.00</w:t>
            </w:r>
          </w:p>
        </w:tc>
      </w:tr>
      <w:tr>
        <w:tblPrEx/>
        <w:trPr>
          <w:trHeight w:val="248" w:hRule="atLeast"/>
          <w:tblCellSpacing w:w="15" w:type="dxa"/>
        </w:trPr>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20.14</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21.10</w:t>
            </w:r>
          </w:p>
        </w:tc>
      </w:tr>
    </w:tbl>
    <w:p>
      <w:pPr>
        <w:pStyle w:val="style0"/>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90805</wp:posOffset>
                </wp:positionV>
                <wp:extent cx="5629910" cy="0"/>
                <wp:effectExtent l="9525" t="12700" r="8890" b="6350"/>
                <wp:wrapNone/>
                <wp:docPr id="1029"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0.0pt,7.15pt" to="443.3pt,7.1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noProof/>
          <w:sz w:val="24"/>
          <w:szCs w:val="24"/>
        </w:rPr>
        <mc:AlternateContent>
          <mc:Choice Requires="wps">
            <w:drawing>
              <wp:anchor distT="0" distB="0" distL="0" distR="0" simplePos="false" relativeHeight="5" behindDoc="false" locked="false" layoutInCell="true" allowOverlap="true">
                <wp:simplePos x="0" y="0"/>
                <wp:positionH relativeFrom="column">
                  <wp:posOffset>0</wp:posOffset>
                </wp:positionH>
                <wp:positionV relativeFrom="paragraph">
                  <wp:posOffset>90805</wp:posOffset>
                </wp:positionV>
                <wp:extent cx="5629910" cy="0"/>
                <wp:effectExtent l="9525" t="12700" r="8890" b="6350"/>
                <wp:wrapNone/>
                <wp:docPr id="1030"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0.0pt,7.15pt" to="443.3pt,7.15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0"/>
        <w:spacing w:after="0"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spacing w:before="100" w:beforeAutospacing="true" w:after="100" w:afterAutospacing="true" w:lineRule="auto" w:line="480"/>
        <w:jc w:val="both"/>
        <w:rPr>
          <w:rFonts w:ascii="Times New Roman" w:cs="Times New Roman" w:eastAsia="Times New Roman" w:hAnsi="Times New Roman"/>
          <w:bCs/>
          <w:sz w:val="24"/>
          <w:szCs w:val="24"/>
        </w:rPr>
      </w:pPr>
    </w:p>
    <w:p>
      <w:pPr>
        <w:pStyle w:val="style0"/>
        <w:rPr>
          <w:rFonts w:ascii="Times New Roman" w:cs="Times New Roman" w:hAnsi="Times New Roman"/>
          <w:noProof/>
          <w:sz w:val="24"/>
          <w:szCs w:val="24"/>
        </w:rPr>
      </w:pPr>
    </w:p>
    <w:p>
      <w:pPr>
        <w:pStyle w:val="style0"/>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-9525</wp:posOffset>
                </wp:positionH>
                <wp:positionV relativeFrom="paragraph">
                  <wp:posOffset>745490</wp:posOffset>
                </wp:positionV>
                <wp:extent cx="5629910" cy="0"/>
                <wp:effectExtent l="9525" t="12700" r="8890" b="6350"/>
                <wp:wrapNone/>
                <wp:docPr id="1031" name="Straight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0.75pt,58.699997pt" to="442.55pt,58.699997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eastAsia="Times New Roman" w:hAnsi="Times New Roman"/>
          <w:bCs/>
          <w:sz w:val="24"/>
          <w:szCs w:val="24"/>
        </w:rPr>
        <w:t>Table 2</w:t>
      </w:r>
      <w:r>
        <w:rPr>
          <w:rFonts w:ascii="Times New Roman" w:cs="Times New Roman" w:eastAsia="Times New Roman" w:hAnsi="Times New Roman"/>
          <w:sz w:val="24"/>
          <w:szCs w:val="24"/>
        </w:rPr>
        <w:t xml:space="preserve">: MIC and MBC of Aqueous Clove Extract Against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p>
    <w:tbl>
      <w:tblPr>
        <w:tblW w:w="7316" w:type="dxa"/>
        <w:tblCellSpacing w:w="15" w:type="dxa"/>
        <w:tblCellMar>
          <w:top w:w="15" w:type="dxa"/>
          <w:left w:w="15" w:type="dxa"/>
          <w:bottom w:w="15" w:type="dxa"/>
          <w:right w:w="15" w:type="dxa"/>
        </w:tblCellMar>
        <w:tblLook w:val="04A0" w:firstRow="1" w:lastRow="0" w:firstColumn="1" w:lastColumn="0" w:noHBand="0" w:noVBand="1"/>
      </w:tblPr>
      <w:tblGrid>
        <w:gridCol w:w="2451"/>
        <w:gridCol w:w="2317"/>
        <w:gridCol w:w="2546"/>
      </w:tblGrid>
      <w:tr>
        <w:trPr>
          <w:trHeight w:val="246" w:hRule="atLeast"/>
          <w:tblHeader/>
          <w:tblCellSpacing w:w="15" w:type="dxa"/>
        </w:trPr>
        <w:tc>
          <w:tcPr>
            <w:tcW w:w="0" w:type="auto"/>
            <w:tcBorders/>
            <w:vAlign w:val="center"/>
            <w:hideMark/>
          </w:tcPr>
          <w:p>
            <w:pPr>
              <w:pStyle w:val="style0"/>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Bacteria</w:t>
            </w:r>
          </w:p>
        </w:tc>
        <w:tc>
          <w:tcPr>
            <w:tcW w:w="0" w:type="auto"/>
            <w:tcBorders/>
            <w:vAlign w:val="center"/>
            <w:hideMark/>
          </w:tcPr>
          <w:p>
            <w:pPr>
              <w:pStyle w:val="style0"/>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MIC (mg/mL)</w:t>
            </w:r>
          </w:p>
        </w:tc>
        <w:tc>
          <w:tcPr>
            <w:tcW w:w="0" w:type="auto"/>
            <w:tcBorders/>
            <w:vAlign w:val="center"/>
            <w:hideMark/>
          </w:tcPr>
          <w:p>
            <w:pPr>
              <w:pStyle w:val="style0"/>
              <w:spacing w:after="0" w:lineRule="auto" w:line="480"/>
              <w:jc w:val="both"/>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MBC (mg/mL)</w:t>
            </w:r>
          </w:p>
        </w:tc>
      </w:tr>
      <w:tr>
        <w:tblPrEx/>
        <w:trPr>
          <w:trHeight w:val="259" w:hRule="atLeast"/>
          <w:tblCellSpacing w:w="15" w:type="dxa"/>
        </w:trPr>
        <w:tc>
          <w:tcPr>
            <w:tcW w:w="0" w:type="auto"/>
            <w:tcBorders/>
            <w:vAlign w:val="center"/>
            <w:hideMark/>
          </w:tcPr>
          <w:p>
            <w:pPr>
              <w:pStyle w:val="style0"/>
              <w:rPr/>
            </w:pPr>
            <w:r>
              <w:rPr>
                <w:rFonts w:ascii="Times New Roman" w:cs="Times New Roman" w:hAnsi="Times New Roman"/>
                <w:noProof/>
                <w:sz w:val="24"/>
                <w:szCs w:val="24"/>
              </w:rPr>
              <mc:AlternateContent>
                <mc:Choice Requires="wps">
                  <w:drawing>
                    <wp:anchor distT="0" distB="0" distL="0" distR="0" simplePos="false" relativeHeight="7" behindDoc="false" locked="false" layoutInCell="true" allowOverlap="true">
                      <wp:simplePos x="0" y="0"/>
                      <wp:positionH relativeFrom="column">
                        <wp:posOffset>0</wp:posOffset>
                      </wp:positionH>
                      <wp:positionV relativeFrom="paragraph">
                        <wp:posOffset>90805</wp:posOffset>
                      </wp:positionV>
                      <wp:extent cx="5629910" cy="0"/>
                      <wp:effectExtent l="9525" t="12700" r="8890" b="6350"/>
                      <wp:wrapNone/>
                      <wp:docPr id="1032" name="Straight Connector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0.0pt,7.15pt" to="443.3pt,7.15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noProof/>
                <w:sz w:val="24"/>
                <w:szCs w:val="24"/>
              </w:rPr>
              <mc:AlternateContent>
                <mc:Choice Requires="wps">
                  <w:drawing>
                    <wp:anchor distT="0" distB="0" distL="0" distR="0" simplePos="false" relativeHeight="8" behindDoc="false" locked="false" layoutInCell="true" allowOverlap="true">
                      <wp:simplePos x="0" y="0"/>
                      <wp:positionH relativeFrom="column">
                        <wp:posOffset>0</wp:posOffset>
                      </wp:positionH>
                      <wp:positionV relativeFrom="paragraph">
                        <wp:posOffset>90805</wp:posOffset>
                      </wp:positionV>
                      <wp:extent cx="5629910" cy="0"/>
                      <wp:effectExtent l="9525" t="12700" r="8890" b="6350"/>
                      <wp:wrapNone/>
                      <wp:docPr id="1033"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3" filled="f" stroked="t" from="0.0pt,7.15pt" to="443.3pt,7.15pt" style="position:absolute;z-index:8;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MRSA</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r>
        <w:tblPrEx/>
        <w:trPr>
          <w:trHeight w:val="246" w:hRule="atLeast"/>
          <w:tblCellSpacing w:w="15" w:type="dxa"/>
        </w:trPr>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Escherichia coli</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vAlign w:val="center"/>
            <w:hideMark/>
          </w:tcPr>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100</w:t>
            </w:r>
          </w:p>
        </w:tc>
      </w:tr>
    </w:tbl>
    <w:p>
      <w:pPr>
        <w:pStyle w:val="style0"/>
        <w:rPr/>
      </w:pPr>
      <w:r>
        <w:rPr>
          <w:rFonts w:ascii="Times New Roman" w:cs="Times New Roman" w:hAnsi="Times New Roman"/>
          <w:noProof/>
          <w:sz w:val="24"/>
          <w:szCs w:val="24"/>
        </w:rPr>
        <mc:AlternateContent>
          <mc:Choice Requires="wps">
            <w:drawing>
              <wp:anchor distT="0" distB="0" distL="0" distR="0" simplePos="false" relativeHeight="9" behindDoc="false" locked="false" layoutInCell="true" allowOverlap="true">
                <wp:simplePos x="0" y="0"/>
                <wp:positionH relativeFrom="column">
                  <wp:posOffset>0</wp:posOffset>
                </wp:positionH>
                <wp:positionV relativeFrom="paragraph">
                  <wp:posOffset>90805</wp:posOffset>
                </wp:positionV>
                <wp:extent cx="5629910" cy="0"/>
                <wp:effectExtent l="9525" t="12700" r="8890" b="6350"/>
                <wp:wrapNone/>
                <wp:docPr id="1034" name="Straight Connector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4" filled="f" stroked="t" from="0.0pt,7.15pt" to="443.3pt,7.15pt" style="position:absolute;z-index:9;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noProof/>
          <w:sz w:val="24"/>
          <w:szCs w:val="24"/>
        </w:rPr>
        <mc:AlternateContent>
          <mc:Choice Requires="wps">
            <w:drawing>
              <wp:anchor distT="0" distB="0" distL="0" distR="0" simplePos="false" relativeHeight="10" behindDoc="false" locked="false" layoutInCell="true" allowOverlap="true">
                <wp:simplePos x="0" y="0"/>
                <wp:positionH relativeFrom="column">
                  <wp:posOffset>0</wp:posOffset>
                </wp:positionH>
                <wp:positionV relativeFrom="paragraph">
                  <wp:posOffset>90805</wp:posOffset>
                </wp:positionV>
                <wp:extent cx="5629910" cy="0"/>
                <wp:effectExtent l="9525" t="12700" r="8890" b="6350"/>
                <wp:wrapNone/>
                <wp:docPr id="1035" name="Straight Connector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type="none" w="med"/>
                          <a:tailEnd len="med" type="non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5" filled="f" stroked="t" from="0.0pt,7.15pt" to="443.3pt,7.15pt" style="position:absolute;z-index:10;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75" w:name="_Toc85116977"/>
    <w:bookmarkStart w:id="76" w:name="_Toc201509759"/>
    <w:bookmarkStart w:id="77" w:name="_Toc202853737"/>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FIVE</w:t>
      </w:r>
      <w:bookmarkEnd w:id="75"/>
      <w:bookmarkEnd w:id="76"/>
      <w:bookmarkEnd w:id="77"/>
    </w:p>
    <w:p>
      <w:pPr>
        <w:pStyle w:val="style0"/>
        <w:rPr>
          <w:lang w:eastAsia="zh-CN"/>
        </w:rPr>
      </w:pPr>
    </w:p>
    <w:bookmarkStart w:id="78" w:name="_Toc85116978"/>
    <w:bookmarkStart w:id="79" w:name="_Toc201509760"/>
    <w:bookmarkStart w:id="80" w:name="_Toc202853738"/>
    <w:p>
      <w:pPr>
        <w:pStyle w:val="style2"/>
        <w:rPr>
          <w:rFonts w:ascii="宋体" w:hAnsi="宋体"/>
          <w:b w:val="false"/>
          <w:bCs w:val="false"/>
          <w:sz w:val="24"/>
          <w:szCs w:val="24"/>
        </w:rPr>
      </w:pPr>
      <w:r>
        <w:rPr>
          <w:rFonts w:ascii="宋体" w:hAnsi="宋体"/>
          <w:sz w:val="24"/>
          <w:szCs w:val="24"/>
        </w:rPr>
        <w:t>5.0 Discussion</w:t>
      </w:r>
      <w:bookmarkEnd w:id="78"/>
      <w:bookmarkEnd w:id="79"/>
      <w:bookmarkEnd w:id="80"/>
    </w:p>
    <w:p>
      <w:pPr>
        <w:pStyle w:val="style94"/>
        <w:spacing w:lineRule="auto" w:line="480"/>
        <w:ind w:firstLine="720"/>
        <w:jc w:val="both"/>
        <w:rPr/>
      </w:pPr>
      <w:r>
        <w:t xml:space="preserve">The antibacterial activity demonstrated by the aqueous extract of </w:t>
      </w:r>
      <w:r>
        <w:rPr>
          <w:rStyle w:val="style88"/>
        </w:rPr>
        <w:t>Syzygium</w:t>
      </w:r>
      <w:r>
        <w:rPr>
          <w:rStyle w:val="style88"/>
        </w:rPr>
        <w:t xml:space="preserve"> </w:t>
      </w:r>
      <w:r>
        <w:rPr>
          <w:rStyle w:val="style88"/>
        </w:rPr>
        <w:t>aromaticum</w:t>
      </w:r>
      <w:r>
        <w:t xml:space="preserve"> (clove) against methicillin-resistant </w:t>
      </w:r>
      <w:r>
        <w:rPr>
          <w:rStyle w:val="style88"/>
        </w:rPr>
        <w:t>Staphylococcus aureus</w:t>
      </w:r>
      <w:r>
        <w:t xml:space="preserve"> (MRSA) and </w:t>
      </w:r>
      <w:r>
        <w:rPr>
          <w:rStyle w:val="style88"/>
        </w:rPr>
        <w:t>Escherichia coli</w:t>
      </w:r>
      <w:r>
        <w:t xml:space="preserve"> in this study may be attributed to the bioactive phytochemicals inherent in the clove buds. Aqueous extracts, though generally considered less potent than organic solvent extracts due to their inability to extract non-polar compounds efficiently, still possess antimicrobial potential when the plant material is rich in water-soluble bioactive constituents such as tannins, flavonoids, saponins, and glycosides. These compounds are known to exert antimicrobial effects by disrupting bacterial cell walls, inhibiting nucleic acid synthesis, or interfering with metabolic enzymes (Cowan, 1999).</w:t>
      </w:r>
    </w:p>
    <w:p>
      <w:pPr>
        <w:pStyle w:val="style94"/>
        <w:spacing w:lineRule="auto" w:line="480"/>
        <w:ind w:firstLine="720"/>
        <w:jc w:val="both"/>
        <w:rPr/>
      </w:pPr>
      <w:r>
        <w:t xml:space="preserve">MRSA, being a Gram-positive bacterium, has a thick peptidoglycan cell wall but lacks the outer membrane present in Gram-negative bacteria like </w:t>
      </w:r>
      <w:r>
        <w:rPr>
          <w:rStyle w:val="style88"/>
        </w:rPr>
        <w:t>E. coli</w:t>
      </w:r>
      <w:r>
        <w:t xml:space="preserve">. Interestingly, the aqueous extract exhibited a comparable inhibitory pattern against both MRSA and </w:t>
      </w:r>
      <w:r>
        <w:rPr>
          <w:rStyle w:val="style88"/>
        </w:rPr>
        <w:t>E. coli</w:t>
      </w:r>
      <w:r>
        <w:t xml:space="preserve">, particularly at higher concentrations. This suggests that the water-soluble compounds in clove may be broad-spectrum in nature. The activity observed against </w:t>
      </w:r>
      <w:r>
        <w:rPr>
          <w:rStyle w:val="style88"/>
        </w:rPr>
        <w:t>E. coli</w:t>
      </w:r>
      <w:r>
        <w:t>, despite its Gram-negative status, could be due to the extract's ability to penetrate the outer membrane or to compromise the integrity of the inner membrane. Studies have shown that some polar compounds like eugenol (the main active constituent of clove) can disrupt membrane integrity and induce leakage of cellular contents, thereby leading to cell death (</w:t>
      </w:r>
      <w:r>
        <w:t>Chaieb</w:t>
      </w:r>
      <w:r>
        <w:t xml:space="preserve"> </w:t>
      </w:r>
      <w:r>
        <w:rPr>
          <w:i/>
        </w:rPr>
        <w:t>et al</w:t>
      </w:r>
      <w:r>
        <w:t>., 2007).</w:t>
      </w:r>
    </w:p>
    <w:p>
      <w:pPr>
        <w:pStyle w:val="style94"/>
        <w:spacing w:lineRule="auto" w:line="480"/>
        <w:ind w:firstLine="720"/>
        <w:jc w:val="both"/>
        <w:rPr/>
      </w:pPr>
      <w:r>
        <w:t xml:space="preserve">The concentration-dependent increase in antibacterial activity supports the idea of a dose-response relationship, where higher concentrations result in more effective disruption of microbial structures and inhibition of physiological processes. The MIC and MBC values observed reinforce this, with bacteriostatic effects at moderate concentrations and bactericidal </w:t>
      </w:r>
      <w:r>
        <w:t xml:space="preserve">action requiring higher doses. This trend is typical in herbal extracts, where the complex nature of bioactive mixtures often results in concentration-dependent efficacy (Nair </w:t>
      </w:r>
      <w:r>
        <w:rPr>
          <w:i/>
        </w:rPr>
        <w:t>et al</w:t>
      </w:r>
      <w:r>
        <w:t>., 2005).</w:t>
      </w:r>
    </w:p>
    <w:p>
      <w:pPr>
        <w:pStyle w:val="style94"/>
        <w:spacing w:lineRule="auto" w:line="480"/>
        <w:ind w:firstLine="720"/>
        <w:jc w:val="both"/>
        <w:rPr/>
      </w:pPr>
      <w:r>
        <w:t xml:space="preserve">Comparatively, the findings of this study align with earlier research. For instance, </w:t>
      </w:r>
      <w:r>
        <w:t>Gulcin</w:t>
      </w:r>
      <w:r>
        <w:t xml:space="preserve"> </w:t>
      </w:r>
      <w:r>
        <w:rPr>
          <w:i/>
        </w:rPr>
        <w:t>et al</w:t>
      </w:r>
      <w:r>
        <w:t xml:space="preserve">. (2012) reported significant antibacterial activity of aqueous clove extract against </w:t>
      </w:r>
      <w:r>
        <w:rPr>
          <w:rStyle w:val="style88"/>
        </w:rPr>
        <w:t>Staphylococcus aureus</w:t>
      </w:r>
      <w:r>
        <w:t xml:space="preserve"> strains, with inhibition zones and MIC values similar to those observed in this study. Similarly, the work of Saeed and Tariq (2008) demonstrated that aqueous clove extract was effective against both Gram-positive and Gram-negative bacteria, although less potent than alcoholic extracts. In another study, Ahmad </w:t>
      </w:r>
      <w:r>
        <w:rPr>
          <w:i/>
        </w:rPr>
        <w:t>et al</w:t>
      </w:r>
      <w:r>
        <w:t xml:space="preserve">. (2005) found that clove aqueous extract exhibited inhibitory action against </w:t>
      </w:r>
      <w:r>
        <w:rPr>
          <w:rStyle w:val="style88"/>
        </w:rPr>
        <w:t>E. coli</w:t>
      </w:r>
      <w:r>
        <w:t>, supporting the current findings.</w:t>
      </w:r>
    </w:p>
    <w:p>
      <w:pPr>
        <w:pStyle w:val="style94"/>
        <w:spacing w:lineRule="auto" w:line="480"/>
        <w:ind w:firstLine="720"/>
        <w:jc w:val="both"/>
        <w:rPr/>
      </w:pPr>
      <w:r>
        <w:t>However, some studies have reported weaker activity of aqueous clove extract compared to ethanol or methanol extracts. This is largely due to the higher efficiency of organic solvents in solubilizing non-polar bioactive compounds like eugenol and β-caryophyllene (</w:t>
      </w:r>
      <w:r>
        <w:t>Bozin</w:t>
      </w:r>
      <w:r>
        <w:t xml:space="preserve"> </w:t>
      </w:r>
      <w:r>
        <w:rPr>
          <w:i/>
        </w:rPr>
        <w:t>et al</w:t>
      </w:r>
      <w:r>
        <w:t>., 2006). Despite this, the notable activity observed in this study suggests that the clove samples used were rich in water-soluble antimicrobials, or that the extraction process was effective in preserving their integrity.</w:t>
      </w:r>
    </w:p>
    <w:p>
      <w:pPr>
        <w:pStyle w:val="style94"/>
        <w:spacing w:lineRule="auto" w:line="480"/>
        <w:ind w:firstLine="720"/>
        <w:jc w:val="both"/>
        <w:rPr/>
      </w:pPr>
      <w:r>
        <w:t xml:space="preserve">The effectiveness of aqueous extract against MRSA is particularly noteworthy given the pathogen's clinical relevance. MRSA is known for its resistance to multiple antibiotics, including β-lactams, and presents a major public health challenge globally (Chambers and </w:t>
      </w:r>
      <w:r>
        <w:t>DeLeo</w:t>
      </w:r>
      <w:r>
        <w:t xml:space="preserve">, 2009). The ability of a crude plant extract to inhibit MRSA growth highlights its potential as a source for new therapeutic agents or adjuvants that could enhance antibiotic activity. Similarly, the sensitivity of </w:t>
      </w:r>
      <w:r>
        <w:rPr>
          <w:rStyle w:val="style88"/>
        </w:rPr>
        <w:t>E. coli</w:t>
      </w:r>
      <w:r>
        <w:t xml:space="preserve"> to the aqueous extract reflects the potential of clove-derived compounds to address infections caused by resistant Gram-negative strains.</w:t>
      </w:r>
    </w:p>
    <w:p>
      <w:pPr>
        <w:pStyle w:val="style94"/>
        <w:spacing w:lineRule="auto" w:line="480"/>
        <w:ind w:firstLine="720"/>
        <w:jc w:val="both"/>
        <w:rPr/>
      </w:pPr>
      <w:r>
        <w:t>Overall, the results from this study support the ethnomedicinal use of clove in treating bacterial infections. The moderate-to-high activity observed with the aqueous extract suggests that even simple water-based preparations, such as decoctions or infusions, may provide therapeutic benefits, especially in resource-limited settings where access to synthetic antibiotics is restricted.</w:t>
      </w:r>
    </w:p>
    <w:bookmarkStart w:id="81" w:name="_Toc201509761"/>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82" w:name="_Toc202853739"/>
    <w:p>
      <w:pPr>
        <w:pStyle w:val="style2"/>
        <w:rPr>
          <w:rFonts w:ascii="宋体" w:hAnsi="宋体"/>
          <w:b w:val="false"/>
          <w:bCs w:val="false"/>
          <w:sz w:val="24"/>
          <w:szCs w:val="24"/>
        </w:rPr>
      </w:pPr>
      <w:r>
        <w:rPr>
          <w:rFonts w:ascii="宋体" w:hAnsi="宋体"/>
          <w:sz w:val="24"/>
          <w:szCs w:val="24"/>
        </w:rPr>
        <w:t>5.1 Conclusion</w:t>
      </w:r>
      <w:bookmarkEnd w:id="81"/>
      <w:bookmarkEnd w:id="82"/>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demonstrates that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possesses significant antibacterial activity against </w:t>
      </w:r>
      <w:r>
        <w:rPr>
          <w:rFonts w:ascii="Times New Roman" w:cs="Times New Roman" w:hAnsi="Times New Roman"/>
          <w:sz w:val="24"/>
          <w:szCs w:val="24"/>
        </w:rPr>
        <w:t xml:space="preserve">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(MRSA) and </w:t>
      </w:r>
      <w:r>
        <w:rPr>
          <w:rStyle w:val="style88"/>
          <w:rFonts w:ascii="Times New Roman" w:cs="Times New Roman" w:hAnsi="Times New Roman"/>
          <w:sz w:val="24"/>
          <w:szCs w:val="24"/>
        </w:rPr>
        <w:t>Escherichia coli</w:t>
      </w:r>
      <w:r>
        <w:rPr>
          <w:rFonts w:ascii="Times New Roman" w:cs="Times New Roman" w:eastAsia="Times New Roman" w:hAnsi="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bookmarkStart w:id="83" w:name="_Toc85116979"/>
    <w:bookmarkStart w:id="84" w:name="_Toc201509762"/>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85" w:name="_Toc202853740"/>
    <w:p>
      <w:pPr>
        <w:pStyle w:val="style2"/>
        <w:rPr>
          <w:rFonts w:ascii="宋体" w:hAnsi="宋体"/>
          <w:sz w:val="24"/>
          <w:szCs w:val="24"/>
        </w:rPr>
      </w:pPr>
    </w:p>
    <w:p>
      <w:pPr>
        <w:pStyle w:val="style2"/>
        <w:rPr>
          <w:rFonts w:ascii="宋体" w:hAnsi="宋体"/>
          <w:sz w:val="24"/>
          <w:szCs w:val="24"/>
        </w:rPr>
      </w:pPr>
    </w:p>
    <w:p>
      <w:pPr>
        <w:pStyle w:val="style2"/>
        <w:rPr>
          <w:rFonts w:ascii="宋体" w:hAnsi="宋体"/>
          <w:b w:val="false"/>
          <w:bCs w:val="false"/>
          <w:sz w:val="24"/>
          <w:szCs w:val="24"/>
        </w:rPr>
      </w:pPr>
      <w:r>
        <w:rPr>
          <w:rFonts w:ascii="宋体" w:hAnsi="宋体"/>
          <w:sz w:val="24"/>
          <w:szCs w:val="24"/>
        </w:rPr>
        <w:t>5.2 Recommendations</w:t>
      </w:r>
      <w:bookmarkEnd w:id="83"/>
      <w:bookmarkEnd w:id="84"/>
      <w:bookmarkEnd w:id="85"/>
    </w:p>
    <w:p>
      <w:pPr>
        <w:pStyle w:val="style0"/>
        <w:widowControl w:val="false"/>
        <w:spacing w:after="0" w:lineRule="auto" w:line="480"/>
        <w:jc w:val="both"/>
        <w:rPr>
          <w:rFonts w:ascii="Times New Roman" w:cs="Times New Roman" w:eastAsia="SimSun" w:hAnsi="Times New Roman"/>
          <w:kern w:val="2"/>
          <w:sz w:val="24"/>
          <w:szCs w:val="24"/>
          <w:lang w:eastAsia="zh-CN"/>
        </w:rPr>
      </w:pPr>
      <w:r>
        <w:rPr>
          <w:rFonts w:ascii="Times New Roman" w:cs="Times New Roman" w:eastAsia="SimSun" w:hAnsi="Times New Roman"/>
          <w:kern w:val="2"/>
          <w:sz w:val="24"/>
          <w:szCs w:val="24"/>
          <w:lang w:eastAsia="zh-CN"/>
        </w:rPr>
        <w:t>I</w:t>
      </w:r>
      <w:r>
        <w:rPr>
          <w:rFonts w:ascii="Times New Roman" w:cs="Times New Roman" w:eastAsia="SimSun" w:hAnsi="Times New Roman"/>
          <w:kern w:val="2"/>
          <w:sz w:val="24"/>
          <w:szCs w:val="24"/>
          <w:lang w:eastAsia="zh-CN"/>
        </w:rPr>
        <w:t>t could be</w:t>
      </w:r>
      <w:r>
        <w:rPr>
          <w:rFonts w:ascii="Times New Roman" w:cs="Times New Roman" w:eastAsia="SimSun" w:hAnsi="Times New Roman"/>
          <w:kern w:val="2"/>
          <w:sz w:val="24"/>
          <w:szCs w:val="24"/>
          <w:lang w:eastAsia="zh-CN"/>
        </w:rPr>
        <w:t xml:space="preserve"> recommended </w:t>
      </w:r>
      <w:r>
        <w:rPr>
          <w:rFonts w:ascii="Times New Roman" w:cs="Times New Roman" w:eastAsia="SimSun" w:hAnsi="Times New Roman"/>
          <w:kern w:val="2"/>
          <w:sz w:val="24"/>
          <w:szCs w:val="24"/>
          <w:lang w:eastAsia="zh-CN"/>
        </w:rPr>
        <w:t xml:space="preserve">from the study </w:t>
      </w:r>
      <w:r>
        <w:rPr>
          <w:rFonts w:ascii="Times New Roman" w:cs="Times New Roman" w:eastAsia="SimSun" w:hAnsi="Times New Roman"/>
          <w:kern w:val="2"/>
          <w:sz w:val="24"/>
          <w:szCs w:val="24"/>
          <w:lang w:eastAsia="zh-CN"/>
        </w:rPr>
        <w:t>that:</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future studies should optimize the aqueous extraction method (e.g., temperature, time, ratio) to enhance yield and potency of water-soluble antibacterial compounds.</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investigate the synergistic effects of aqueous clove extract with conventional antibiotics against </w:t>
      </w:r>
      <w:r>
        <w:rPr>
          <w:rFonts w:ascii="Times New Roman" w:cs="Times New Roman" w:eastAsia="Times New Roman" w:hAnsi="Times New Roman"/>
          <w:sz w:val="24"/>
          <w:szCs w:val="24"/>
        </w:rPr>
        <w:t>mrsa</w:t>
      </w:r>
      <w:r>
        <w:rPr>
          <w:rFonts w:ascii="Times New Roman" w:cs="Times New Roman" w:eastAsia="Times New Roman" w:hAnsi="Times New Roman"/>
          <w:sz w:val="24"/>
          <w:szCs w:val="24"/>
        </w:rPr>
        <w:t xml:space="preserve"> to overcome resistance.</w:t>
      </w:r>
    </w:p>
    <w:p>
      <w:pPr>
        <w:pStyle w:val="style0"/>
        <w:numPr>
          <w:ilvl w:val="0"/>
          <w:numId w:val="13"/>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phytochemical screening of the aqueous extract is recommended to identify the bioactive compounds responsible for the observed activity.</w:t>
      </w:r>
    </w:p>
    <w:p>
      <w:pPr>
        <w:pStyle w:val="style94"/>
        <w:spacing w:lineRule="auto" w:line="480"/>
        <w:jc w:val="both"/>
        <w:rPr/>
      </w:pPr>
    </w:p>
    <w:p>
      <w:pPr>
        <w:pStyle w:val="style94"/>
        <w:spacing w:lineRule="auto" w:line="480"/>
        <w:jc w:val="both"/>
        <w:rPr/>
      </w:pPr>
    </w:p>
    <w:p>
      <w:pPr>
        <w:pStyle w:val="style0"/>
        <w:spacing w:lineRule="auto" w:line="480"/>
        <w:jc w:val="both"/>
        <w:rPr/>
      </w:pPr>
    </w:p>
    <w:p>
      <w:pPr>
        <w:pStyle w:val="style0"/>
        <w:spacing w:lineRule="auto" w:line="480"/>
        <w:jc w:val="both"/>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REFERENCES</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Abdel-</w:t>
      </w:r>
      <w:r>
        <w:rPr>
          <w:rFonts w:ascii="Times New Roman" w:cs="Times New Roman" w:eastAsia="Times New Roman" w:hAnsi="Times New Roman"/>
          <w:sz w:val="24"/>
          <w:szCs w:val="24"/>
        </w:rPr>
        <w:t>Wahhab</w:t>
      </w:r>
      <w:r>
        <w:rPr>
          <w:rFonts w:ascii="Times New Roman" w:cs="Times New Roman" w:eastAsia="Times New Roman" w:hAnsi="Times New Roman"/>
          <w:sz w:val="24"/>
          <w:szCs w:val="24"/>
        </w:rPr>
        <w:t xml:space="preserve">, M. A., &amp; Aly, S. E. (2015). Antioxidant property of </w:t>
      </w:r>
      <w:r>
        <w:rPr>
          <w:rFonts w:ascii="Times New Roman" w:cs="Times New Roman" w:eastAsia="Times New Roman" w:hAnsi="Times New Roman"/>
          <w:i/>
          <w:iCs/>
          <w:sz w:val="24"/>
          <w:szCs w:val="24"/>
        </w:rPr>
        <w:t>Nigella sativa</w:t>
      </w:r>
      <w:r>
        <w:rPr>
          <w:rFonts w:ascii="Times New Roman" w:cs="Times New Roman" w:eastAsia="Times New Roman" w:hAnsi="Times New Roman"/>
          <w:sz w:val="24"/>
          <w:szCs w:val="24"/>
        </w:rPr>
        <w:t xml:space="preserve"> (black cumin)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in rats during aflatoxicosis. </w:t>
      </w:r>
      <w:r>
        <w:rPr>
          <w:rFonts w:ascii="Times New Roman" w:cs="Times New Roman" w:eastAsia="Times New Roman" w:hAnsi="Times New Roman"/>
          <w:i/>
          <w:iCs/>
          <w:sz w:val="24"/>
          <w:szCs w:val="24"/>
        </w:rPr>
        <w:t>Journal of Applied Toxicology, 25</w:t>
      </w:r>
      <w:r>
        <w:rPr>
          <w:rFonts w:ascii="Times New Roman" w:cs="Times New Roman" w:eastAsia="Times New Roman" w:hAnsi="Times New Roman"/>
          <w:sz w:val="24"/>
          <w:szCs w:val="24"/>
        </w:rPr>
        <w:t>(3), 218–223.</w:t>
      </w:r>
    </w:p>
    <w:p>
      <w:pPr>
        <w:pStyle w:val="style94"/>
        <w:ind w:left="720" w:hanging="720"/>
        <w:jc w:val="both"/>
        <w:rPr/>
      </w:pPr>
      <w:r>
        <w:t xml:space="preserve">Adeyemi, O. S., </w:t>
      </w:r>
      <w:r>
        <w:t>Ogundele</w:t>
      </w:r>
      <w:r>
        <w:t xml:space="preserve">, O. M., &amp; </w:t>
      </w:r>
      <w:r>
        <w:t>Akintayo</w:t>
      </w:r>
      <w:r>
        <w:t xml:space="preserve">, C. O. (2021). Antibacterial and antioxidant potentials of </w:t>
      </w:r>
      <w:r>
        <w:rPr>
          <w:rStyle w:val="style88"/>
        </w:rPr>
        <w:t>Syzygium</w:t>
      </w:r>
      <w:r>
        <w:rPr>
          <w:rStyle w:val="style88"/>
        </w:rPr>
        <w:t xml:space="preserve"> </w:t>
      </w:r>
      <w:r>
        <w:rPr>
          <w:rStyle w:val="style88"/>
        </w:rPr>
        <w:t>aromaticum</w:t>
      </w:r>
      <w:r>
        <w:t xml:space="preserve"> (clove) extract on multidrug-resistant bacteria. </w:t>
      </w:r>
      <w:r>
        <w:rPr>
          <w:rStyle w:val="style88"/>
        </w:rPr>
        <w:t>Journal of Applied Microbiology</w:t>
      </w:r>
      <w:r>
        <w:t xml:space="preserve">, 130(3), 797–805. </w:t>
      </w:r>
      <w:r>
        <w:rPr/>
        <w:fldChar w:fldCharType="begin"/>
      </w:r>
      <w:r>
        <w:instrText xml:space="preserve"> HYPERLINK "https://doi.org/10.1111/jam.14883" </w:instrText>
      </w:r>
      <w:r>
        <w:rPr/>
        <w:fldChar w:fldCharType="separate"/>
      </w:r>
      <w:r>
        <w:rPr>
          <w:rStyle w:val="style85"/>
          <w:rFonts w:eastAsia="宋体"/>
        </w:rPr>
        <w:t>https://doi.org/10.1111/jam.14883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Aguilar-González, A. E., Palou, E., &amp; López-Malo, A. (2015). Antifungal activity of essential oils of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and/or mustard (</w:t>
      </w:r>
      <w:r>
        <w:rPr>
          <w:rFonts w:ascii="Times New Roman" w:cs="Times New Roman" w:eastAsia="Times New Roman" w:hAnsi="Times New Roman"/>
          <w:i/>
          <w:iCs/>
          <w:sz w:val="24"/>
          <w:szCs w:val="24"/>
        </w:rPr>
        <w:t xml:space="preserve">Brassica </w:t>
      </w:r>
      <w:r>
        <w:rPr>
          <w:rFonts w:ascii="Times New Roman" w:cs="Times New Roman" w:eastAsia="Times New Roman" w:hAnsi="Times New Roman"/>
          <w:i/>
          <w:iCs/>
          <w:sz w:val="24"/>
          <w:szCs w:val="24"/>
        </w:rPr>
        <w:t>nigra</w:t>
      </w:r>
      <w:r>
        <w:rPr>
          <w:rFonts w:ascii="Times New Roman" w:cs="Times New Roman" w:eastAsia="Times New Roman" w:hAnsi="Times New Roman"/>
          <w:sz w:val="24"/>
          <w:szCs w:val="24"/>
        </w:rPr>
        <w:t>) in vapor phase against gray mold (</w:t>
      </w:r>
      <w:r>
        <w:rPr>
          <w:rFonts w:ascii="Times New Roman" w:cs="Times New Roman" w:eastAsia="Times New Roman" w:hAnsi="Times New Roman"/>
          <w:i/>
          <w:iCs/>
          <w:sz w:val="24"/>
          <w:szCs w:val="24"/>
        </w:rPr>
        <w:t xml:space="preserve">Botrytis </w:t>
      </w:r>
      <w:r>
        <w:rPr>
          <w:rFonts w:ascii="Times New Roman" w:cs="Times New Roman" w:eastAsia="Times New Roman" w:hAnsi="Times New Roman"/>
          <w:i/>
          <w:iCs/>
          <w:sz w:val="24"/>
          <w:szCs w:val="24"/>
        </w:rPr>
        <w:t>cinerea</w:t>
      </w:r>
      <w:r>
        <w:rPr>
          <w:rFonts w:ascii="Times New Roman" w:cs="Times New Roman" w:eastAsia="Times New Roman" w:hAnsi="Times New Roman"/>
          <w:sz w:val="24"/>
          <w:szCs w:val="24"/>
        </w:rPr>
        <w:t xml:space="preserve">) in strawberries. </w:t>
      </w:r>
      <w:r>
        <w:rPr>
          <w:rFonts w:ascii="Times New Roman" w:cs="Times New Roman" w:eastAsia="Times New Roman" w:hAnsi="Times New Roman"/>
          <w:i/>
          <w:iCs/>
          <w:sz w:val="24"/>
          <w:szCs w:val="24"/>
        </w:rPr>
        <w:t>Innovative Food Science &amp; Emerging Technologies, 32,</w:t>
      </w:r>
      <w:r>
        <w:rPr>
          <w:rFonts w:ascii="Times New Roman" w:cs="Times New Roman" w:eastAsia="Times New Roman" w:hAnsi="Times New Roman"/>
          <w:sz w:val="24"/>
          <w:szCs w:val="24"/>
        </w:rPr>
        <w:t xml:space="preserve"> 181–185. </w:t>
      </w:r>
      <w:r>
        <w:rPr/>
        <w:fldChar w:fldCharType="begin"/>
      </w:r>
      <w:r>
        <w:instrText xml:space="preserve"> HYPERLINK "https://doi.org/10.1016/j.ifset.2015.09.003" </w:instrText>
      </w:r>
      <w:r>
        <w:rPr/>
        <w:fldChar w:fldCharType="separate"/>
      </w:r>
      <w:r>
        <w:rPr>
          <w:rFonts w:ascii="Times New Roman" w:cs="Times New Roman" w:eastAsia="Times New Roman" w:hAnsi="Times New Roman"/>
          <w:color w:val="0000ff"/>
          <w:sz w:val="24"/>
          <w:szCs w:val="24"/>
          <w:u w:val="single"/>
        </w:rPr>
        <w:t>https://doi.org/10.1016/j.ifset.2015.09.003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S. M., Khan, A. A., Ahmed, I., </w:t>
      </w:r>
      <w:r>
        <w:rPr>
          <w:rFonts w:ascii="Times New Roman" w:cs="Times New Roman" w:eastAsia="Times New Roman" w:hAnsi="Times New Roman"/>
          <w:sz w:val="24"/>
          <w:szCs w:val="24"/>
        </w:rPr>
        <w:t>Musaddiq</w:t>
      </w:r>
      <w:r>
        <w:rPr>
          <w:rFonts w:ascii="Times New Roman" w:cs="Times New Roman" w:eastAsia="Times New Roman" w:hAnsi="Times New Roman"/>
          <w:sz w:val="24"/>
          <w:szCs w:val="24"/>
        </w:rPr>
        <w:t xml:space="preserve">, M., Ahmed, K. S., </w:t>
      </w:r>
      <w:r>
        <w:rPr>
          <w:rFonts w:ascii="Times New Roman" w:cs="Times New Roman" w:eastAsia="Times New Roman" w:hAnsi="Times New Roman"/>
          <w:sz w:val="24"/>
          <w:szCs w:val="24"/>
        </w:rPr>
        <w:t>Polasa</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Antimicrobial activities of eugenol and cinnamaldehyde against the human gastric pathogen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Annals of Clinical Microbiology and Antimicrobials, 4,</w:t>
      </w:r>
      <w:r>
        <w:rPr>
          <w:rFonts w:ascii="Times New Roman" w:cs="Times New Roman" w:eastAsia="Times New Roman" w:hAnsi="Times New Roman"/>
          <w:sz w:val="24"/>
          <w:szCs w:val="24"/>
        </w:rPr>
        <w:t xml:space="preserve"> 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Alqahtani</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Mirajkar</w:t>
      </w:r>
      <w:r>
        <w:rPr>
          <w:rFonts w:ascii="Times New Roman" w:cs="Times New Roman" w:eastAsia="Times New Roman" w:hAnsi="Times New Roman"/>
          <w:sz w:val="24"/>
          <w:szCs w:val="24"/>
        </w:rPr>
        <w:t xml:space="preserve">, K. K., Kumar, K. R. A.,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Shaikh, I. A., </w:t>
      </w:r>
      <w:r>
        <w:rPr>
          <w:rFonts w:ascii="Times New Roman" w:cs="Times New Roman" w:eastAsia="Times New Roman" w:hAnsi="Times New Roman"/>
          <w:sz w:val="24"/>
          <w:szCs w:val="24"/>
        </w:rPr>
        <w:t>Mitra</w:t>
      </w:r>
      <w:r>
        <w:rPr>
          <w:rFonts w:ascii="Times New Roman" w:cs="Times New Roman" w:eastAsia="Times New Roman" w:hAnsi="Times New Roman"/>
          <w:sz w:val="24"/>
          <w:szCs w:val="24"/>
        </w:rPr>
        <w:t xml:space="preserve">,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In vitro antibacterial activity of green synthesized silver nanoparticles using </w:t>
      </w:r>
      <w:r>
        <w:rPr>
          <w:rFonts w:ascii="Times New Roman" w:cs="Times New Roman" w:eastAsia="Times New Roman" w:hAnsi="Times New Roman"/>
          <w:i/>
          <w:iCs/>
          <w:sz w:val="24"/>
          <w:szCs w:val="24"/>
        </w:rPr>
        <w:t>Azadirachta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indica</w:t>
      </w:r>
      <w:r>
        <w:rPr>
          <w:rFonts w:ascii="Times New Roman" w:cs="Times New Roman" w:eastAsia="Times New Roman" w:hAnsi="Times New Roman"/>
          <w:sz w:val="24"/>
          <w:szCs w:val="24"/>
        </w:rPr>
        <w:t xml:space="preserve"> aqueous leaf extract against MDR pathogens.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 xml:space="preserve"> </w:t>
      </w:r>
      <w:r>
        <w:rPr/>
        <w:fldChar w:fldCharType="begin"/>
      </w:r>
      <w:r>
        <w:instrText xml:space="preserve"> HYPERLINK "https://doi.org/10.3390/molecules27217244" </w:instrText>
      </w:r>
      <w:r>
        <w:rPr/>
        <w:fldChar w:fldCharType="separate"/>
      </w:r>
      <w:r>
        <w:rPr>
          <w:rFonts w:ascii="Times New Roman" w:cs="Times New Roman" w:eastAsia="Times New Roman" w:hAnsi="Times New Roman"/>
          <w:color w:val="0000ff"/>
          <w:sz w:val="24"/>
          <w:szCs w:val="24"/>
          <w:u w:val="single"/>
        </w:rPr>
        <w:t>https://doi.org/10.3390/molecules27217244</w:t>
      </w:r>
      <w:r>
        <w:rPr/>
        <w:fldChar w:fldCharType="end"/>
      </w:r>
    </w:p>
    <w:p>
      <w:pPr>
        <w:pStyle w:val="style0"/>
        <w:spacing w:before="100" w:beforeAutospacing="true" w:after="100" w:afterAutospacing="true" w:lineRule="auto" w:line="24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American Diabetes Association.</w:t>
      </w:r>
      <w:r>
        <w:rPr>
          <w:rFonts w:ascii="Times New Roman" w:cs="Times New Roman" w:eastAsia="Times New Roman" w:hAnsi="Times New Roman"/>
          <w:sz w:val="24"/>
          <w:szCs w:val="24"/>
        </w:rPr>
        <w:t xml:space="preserve"> (2014). </w:t>
      </w:r>
      <w:r>
        <w:rPr>
          <w:rFonts w:ascii="Times New Roman" w:cs="Times New Roman" w:eastAsia="Times New Roman" w:hAnsi="Times New Roman"/>
          <w:i/>
          <w:iCs/>
          <w:sz w:val="24"/>
          <w:szCs w:val="24"/>
        </w:rPr>
        <w:t>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rFonts w:ascii="Times New Roman" w:cs="Times New Roman" w:eastAsia="Times New Roman" w:hAnsi="Times New Roman"/>
          <w:sz w:val="24"/>
          <w:szCs w:val="24"/>
        </w:rPr>
        <w:t>http://www.diabetes.org/diabetes-basics/type-1</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Arora, D. S., &amp; Kaur, J. (2019). Antimicrobial activity of spices. </w:t>
      </w:r>
      <w:r>
        <w:rPr>
          <w:rFonts w:ascii="Times New Roman" w:cs="Times New Roman" w:eastAsia="Times New Roman" w:hAnsi="Times New Roman"/>
          <w:i/>
          <w:iCs/>
          <w:sz w:val="24"/>
          <w:szCs w:val="24"/>
        </w:rPr>
        <w:t>International Journal of Antimicrobial Agents, 12,</w:t>
      </w:r>
      <w:r>
        <w:rPr>
          <w:rFonts w:ascii="Times New Roman" w:cs="Times New Roman" w:eastAsia="Times New Roman" w:hAnsi="Times New Roman"/>
          <w:sz w:val="24"/>
          <w:szCs w:val="24"/>
        </w:rPr>
        <w:t xml:space="preserve"> 257–262. </w:t>
      </w:r>
      <w:r>
        <w:rPr/>
        <w:fldChar w:fldCharType="begin"/>
      </w:r>
      <w:r>
        <w:instrText xml:space="preserve"> HYPERLINK "https://doi.org/10.1016/s0924-8579(99)00074-6" </w:instrText>
      </w:r>
      <w:r>
        <w:rPr/>
        <w:fldChar w:fldCharType="separate"/>
      </w:r>
      <w:r>
        <w:rPr>
          <w:rFonts w:ascii="Times New Roman" w:cs="Times New Roman" w:eastAsia="Times New Roman" w:hAnsi="Times New Roman"/>
          <w:color w:val="0000ff"/>
          <w:sz w:val="24"/>
          <w:szCs w:val="24"/>
          <w:u w:val="single"/>
        </w:rPr>
        <w:t>https://doi.org/10.1016/s0924-8579(99)00074-6</w:t>
      </w:r>
      <w:r>
        <w:rPr/>
        <w:fldChar w:fldCharType="end"/>
      </w:r>
    </w:p>
    <w:p>
      <w:pPr>
        <w:pStyle w:val="style94"/>
        <w:ind w:left="720" w:hanging="720"/>
        <w:jc w:val="both"/>
        <w:rPr/>
      </w:pPr>
      <w:r>
        <w:t xml:space="preserve">Aslam, B., Khurshid, M., Arshad, M. I., </w:t>
      </w:r>
      <w:r>
        <w:t>Muzammil</w:t>
      </w:r>
      <w:r>
        <w:t xml:space="preserve">, S., Rasool, M. H., Yasmeen, N., &amp; Baloch, Z. (2022). Antibiotic resistance: A rundown of a global crisis. </w:t>
      </w:r>
      <w:r>
        <w:rPr>
          <w:rStyle w:val="style88"/>
        </w:rPr>
        <w:t>Infection and Drug Resistance</w:t>
      </w:r>
      <w:r>
        <w:t xml:space="preserve">, 15, 1825–1844. </w:t>
      </w:r>
      <w:r>
        <w:rPr/>
        <w:fldChar w:fldCharType="begin"/>
      </w:r>
      <w:r>
        <w:instrText xml:space="preserve"> HYPERLINK "https://doi.org/10.2147/IDR.S346547" </w:instrText>
      </w:r>
      <w:r>
        <w:rPr/>
        <w:fldChar w:fldCharType="separate"/>
      </w:r>
      <w:r>
        <w:rPr>
          <w:rStyle w:val="style85"/>
          <w:rFonts w:eastAsia="宋体"/>
        </w:rPr>
        <w:t>https://doi.org/10.2147/IDR.S346547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Assadpour</w:t>
      </w:r>
      <w:r>
        <w:rPr>
          <w:rFonts w:ascii="Times New Roman" w:cs="Times New Roman" w:eastAsia="Times New Roman" w:hAnsi="Times New Roman"/>
          <w:sz w:val="24"/>
          <w:szCs w:val="24"/>
        </w:rPr>
        <w:t xml:space="preserve">, E., &amp; Mahdi Jafari, S. (2019). A systematic review on nanoencapsulation of food bioactive ingredients and nutraceuticals by various nanocarriers. </w:t>
      </w:r>
      <w:r>
        <w:rPr>
          <w:rFonts w:ascii="Times New Roman" w:cs="Times New Roman" w:eastAsia="Times New Roman" w:hAnsi="Times New Roman"/>
          <w:i/>
          <w:iCs/>
          <w:sz w:val="24"/>
          <w:szCs w:val="24"/>
        </w:rPr>
        <w:t>Critical Reviews in Food Science and Nutrition, 59,</w:t>
      </w:r>
      <w:r>
        <w:rPr>
          <w:rFonts w:ascii="Times New Roman" w:cs="Times New Roman" w:eastAsia="Times New Roman" w:hAnsi="Times New Roman"/>
          <w:sz w:val="24"/>
          <w:szCs w:val="24"/>
        </w:rPr>
        <w:t xml:space="preserve"> 3129–3151. </w:t>
      </w:r>
      <w:r>
        <w:rPr/>
        <w:fldChar w:fldCharType="begin"/>
      </w:r>
      <w:r>
        <w:instrText xml:space="preserve"> HYPERLINK "https://doi.org/10.1080/10408398.2018.1484687" </w:instrText>
      </w:r>
      <w:r>
        <w:rPr/>
        <w:fldChar w:fldCharType="separate"/>
      </w:r>
      <w:r>
        <w:rPr>
          <w:rFonts w:ascii="Times New Roman" w:cs="Times New Roman" w:eastAsia="Times New Roman" w:hAnsi="Times New Roman"/>
          <w:color w:val="0000ff"/>
          <w:sz w:val="24"/>
          <w:szCs w:val="24"/>
          <w:u w:val="single"/>
        </w:rPr>
        <w:t>https://doi.org/10.1080/10408398.2018.1484687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Atkinson, M. A., &amp; </w:t>
      </w:r>
      <w:r>
        <w:rPr>
          <w:rFonts w:ascii="Times New Roman" w:cs="Times New Roman" w:eastAsia="Times New Roman" w:hAnsi="Times New Roman"/>
          <w:sz w:val="24"/>
          <w:szCs w:val="24"/>
        </w:rPr>
        <w:t>Eisenbarth</w:t>
      </w:r>
      <w:r>
        <w:rPr>
          <w:rFonts w:ascii="Times New Roman" w:cs="Times New Roman" w:eastAsia="Times New Roman" w:hAnsi="Times New Roman"/>
          <w:sz w:val="24"/>
          <w:szCs w:val="24"/>
        </w:rPr>
        <w:t xml:space="preserve">, G. S. (2011). Type 1 diabetes: New perspectives on disease pathogenesis and treatment. </w:t>
      </w:r>
      <w:r>
        <w:rPr>
          <w:rFonts w:ascii="Times New Roman" w:cs="Times New Roman" w:eastAsia="Times New Roman" w:hAnsi="Times New Roman"/>
          <w:i/>
          <w:iCs/>
          <w:sz w:val="24"/>
          <w:szCs w:val="24"/>
        </w:rPr>
        <w:t>The Lancet, 358,</w:t>
      </w:r>
      <w:r>
        <w:rPr>
          <w:rFonts w:ascii="Times New Roman" w:cs="Times New Roman" w:eastAsia="Times New Roman" w:hAnsi="Times New Roman"/>
          <w:sz w:val="24"/>
          <w:szCs w:val="24"/>
        </w:rPr>
        <w:t xml:space="preserve"> 221–229.</w:t>
      </w:r>
    </w:p>
    <w:p>
      <w:pPr>
        <w:pStyle w:val="style94"/>
        <w:ind w:left="720" w:hanging="720"/>
        <w:jc w:val="both"/>
        <w:rPr/>
      </w:pPr>
      <w:r>
        <w:t xml:space="preserve">Aziz, M. M., Omar, A. R., &amp; Al-Ani, I. (2023). Phytochemical and antibacterial properties of </w:t>
      </w:r>
      <w:r>
        <w:rPr>
          <w:rStyle w:val="style88"/>
        </w:rPr>
        <w:t>Syzygium</w:t>
      </w:r>
      <w:r>
        <w:rPr>
          <w:rStyle w:val="style88"/>
        </w:rPr>
        <w:t xml:space="preserve"> </w:t>
      </w:r>
      <w:r>
        <w:rPr>
          <w:rStyle w:val="style88"/>
        </w:rPr>
        <w:t>aromaticum</w:t>
      </w:r>
      <w:r>
        <w:t xml:space="preserve"> against clinical bacterial isolates. </w:t>
      </w:r>
      <w:r>
        <w:rPr>
          <w:rStyle w:val="style88"/>
        </w:rPr>
        <w:t>Evidence-Based Complementary and Alternative Medicine</w:t>
      </w:r>
      <w:r>
        <w:t xml:space="preserve">, 2023, 1–8. </w:t>
      </w:r>
      <w:r>
        <w:rPr/>
        <w:fldChar w:fldCharType="begin"/>
      </w:r>
      <w:r>
        <w:instrText xml:space="preserve"> HYPERLINK "https://doi.org/10.1155/2023/5586473" </w:instrText>
      </w:r>
      <w:r>
        <w:rPr/>
        <w:fldChar w:fldCharType="separate"/>
      </w:r>
      <w:r>
        <w:rPr>
          <w:rStyle w:val="style85"/>
          <w:rFonts w:eastAsia="宋体"/>
        </w:rPr>
        <w:t>https://doi.org/10.1155/2023/5586473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Bajpai, V. K., </w:t>
      </w:r>
      <w:r>
        <w:rPr>
          <w:rFonts w:ascii="Times New Roman" w:cs="Times New Roman" w:eastAsia="Times New Roman" w:hAnsi="Times New Roman"/>
          <w:sz w:val="24"/>
          <w:szCs w:val="24"/>
        </w:rPr>
        <w:t>Baek</w:t>
      </w:r>
      <w:r>
        <w:rPr>
          <w:rFonts w:ascii="Times New Roman" w:cs="Times New Roman" w:eastAsia="Times New Roman" w:hAnsi="Times New Roman"/>
          <w:sz w:val="24"/>
          <w:szCs w:val="24"/>
        </w:rPr>
        <w:t xml:space="preserve">, K. H., &amp; Kang, S. C. (2012). Control of </w:t>
      </w:r>
      <w:r>
        <w:rPr>
          <w:rFonts w:ascii="Times New Roman" w:cs="Times New Roman" w:eastAsia="Times New Roman" w:hAnsi="Times New Roman"/>
          <w:i/>
          <w:iCs/>
          <w:sz w:val="24"/>
          <w:szCs w:val="24"/>
        </w:rPr>
        <w:t>Salmonella</w:t>
      </w:r>
      <w:r>
        <w:rPr>
          <w:rFonts w:ascii="Times New Roman" w:cs="Times New Roman" w:eastAsia="Times New Roman" w:hAnsi="Times New Roman"/>
          <w:sz w:val="24"/>
          <w:szCs w:val="24"/>
        </w:rPr>
        <w:t xml:space="preserve"> in foods by using essential oils: A review. </w:t>
      </w:r>
      <w:r>
        <w:rPr>
          <w:rFonts w:ascii="Times New Roman" w:cs="Times New Roman" w:eastAsia="Times New Roman" w:hAnsi="Times New Roman"/>
          <w:i/>
          <w:iCs/>
          <w:sz w:val="24"/>
          <w:szCs w:val="24"/>
        </w:rPr>
        <w:t>Food Research International, 45,</w:t>
      </w:r>
      <w:r>
        <w:rPr>
          <w:rFonts w:ascii="Times New Roman" w:cs="Times New Roman" w:eastAsia="Times New Roman" w:hAnsi="Times New Roman"/>
          <w:sz w:val="24"/>
          <w:szCs w:val="24"/>
        </w:rPr>
        <w:t xml:space="preserve"> 722–734. </w:t>
      </w:r>
      <w:r>
        <w:rPr/>
        <w:fldChar w:fldCharType="begin"/>
      </w:r>
      <w:r>
        <w:instrText xml:space="preserve"> HYPERLINK "https://doi.org/10.1016/j.foodres.2011.04.052" </w:instrText>
      </w:r>
      <w:r>
        <w:rPr/>
        <w:fldChar w:fldCharType="separate"/>
      </w:r>
      <w:r>
        <w:rPr>
          <w:rFonts w:ascii="Times New Roman" w:cs="Times New Roman" w:eastAsia="Times New Roman" w:hAnsi="Times New Roman"/>
          <w:color w:val="0000ff"/>
          <w:sz w:val="24"/>
          <w:szCs w:val="24"/>
          <w:u w:val="single"/>
        </w:rPr>
        <w:t>https://doi.org/10.1016/j.foodres.2011.04.052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Bamdad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Kadivar</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Keramat</w:t>
      </w:r>
      <w:r>
        <w:rPr>
          <w:rFonts w:ascii="Times New Roman" w:cs="Times New Roman" w:eastAsia="Times New Roman" w:hAnsi="Times New Roman"/>
          <w:sz w:val="24"/>
          <w:szCs w:val="24"/>
        </w:rPr>
        <w:t xml:space="preserve">, J. (2016). Evaluation of phenolic content and antioxidant activity of Iranian caraway in comparison with clove and BHT using model systems and vegetable oil. </w:t>
      </w:r>
      <w:r>
        <w:rPr>
          <w:rFonts w:ascii="Times New Roman" w:cs="Times New Roman" w:eastAsia="Times New Roman" w:hAnsi="Times New Roman"/>
          <w:i/>
          <w:iCs/>
          <w:sz w:val="24"/>
          <w:szCs w:val="24"/>
        </w:rPr>
        <w:t>International Journal of Food Science and Technology, 41</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1), S20–S27.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Burt, S. A., &amp; Reinders, R. D. (2013). Antibacterial activity of selected plant essential oils against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w:t>
      </w:r>
      <w:r>
        <w:rPr>
          <w:rFonts w:ascii="Times New Roman" w:cs="Times New Roman" w:eastAsia="Times New Roman" w:hAnsi="Times New Roman"/>
          <w:i/>
          <w:iCs/>
          <w:sz w:val="24"/>
          <w:szCs w:val="24"/>
        </w:rPr>
        <w:t>Letters in Applied Microbiology, 36</w:t>
      </w:r>
      <w:r>
        <w:rPr>
          <w:rFonts w:ascii="Times New Roman" w:cs="Times New Roman" w:eastAsia="Times New Roman" w:hAnsi="Times New Roman"/>
          <w:sz w:val="24"/>
          <w:szCs w:val="24"/>
        </w:rPr>
        <w:t>(3), 162–167.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CABI Crop Protection Compendium. (2018).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i/>
          <w:iCs/>
          <w:sz w:val="24"/>
          <w:szCs w:val="24"/>
        </w:rPr>
        <w:t xml:space="preserve"> datasheet.</w:t>
      </w:r>
      <w:r>
        <w:rPr>
          <w:rFonts w:ascii="Times New Roman" w:cs="Times New Roman" w:eastAsia="Times New Roman" w:hAnsi="Times New Roman"/>
          <w:sz w:val="24"/>
          <w:szCs w:val="24"/>
        </w:rPr>
        <w:t xml:space="preserve"> 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fldChar w:fldCharType="begin"/>
      </w:r>
      <w:r>
        <w:instrText xml:space="preserve"> HYPERLINK "http://www.cabi.org/pc/datasheet/52412" </w:instrText>
      </w:r>
      <w:r>
        <w:rPr/>
        <w:fldChar w:fldCharType="separate"/>
      </w:r>
      <w:r>
        <w:rPr>
          <w:rFonts w:ascii="Times New Roman" w:cs="Times New Roman" w:eastAsia="Times New Roman" w:hAnsi="Times New Roman"/>
          <w:color w:val="0000ff"/>
          <w:sz w:val="24"/>
          <w:szCs w:val="24"/>
          <w:u w:val="single"/>
        </w:rPr>
        <w:t>http://www.cabi.org/pc/datasheet/52412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N., Bennis, S., </w:t>
      </w:r>
      <w:r>
        <w:rPr>
          <w:rFonts w:ascii="Times New Roman" w:cs="Times New Roman" w:eastAsia="Times New Roman" w:hAnsi="Times New Roman"/>
          <w:sz w:val="24"/>
          <w:szCs w:val="24"/>
        </w:rPr>
        <w:t>Trouillas</w:t>
      </w:r>
      <w:r>
        <w:rPr>
          <w:rFonts w:ascii="Times New Roman" w:cs="Times New Roman" w:eastAsia="Times New Roman" w:hAnsi="Times New Roman"/>
          <w:sz w:val="24"/>
          <w:szCs w:val="24"/>
        </w:rPr>
        <w:t xml:space="preserve">, J., &amp; </w:t>
      </w:r>
      <w:r>
        <w:rPr>
          <w:rFonts w:ascii="Times New Roman" w:cs="Times New Roman" w:eastAsia="Times New Roman" w:hAnsi="Times New Roman"/>
          <w:sz w:val="24"/>
          <w:szCs w:val="24"/>
        </w:rPr>
        <w:t>Remmal</w:t>
      </w:r>
      <w:r>
        <w:rPr>
          <w:rFonts w:ascii="Times New Roman" w:cs="Times New Roman" w:eastAsia="Times New Roman" w:hAnsi="Times New Roman"/>
          <w:sz w:val="24"/>
          <w:szCs w:val="24"/>
        </w:rPr>
        <w:t xml:space="preserve">, A. (2014). Evaluation of carvacrol and eugenol as prophylaxis and treatment of vaginal candidiasis in an immunosuppressed rat model. </w:t>
      </w:r>
      <w:r>
        <w:rPr>
          <w:rFonts w:ascii="Times New Roman" w:cs="Times New Roman" w:eastAsia="Times New Roman" w:hAnsi="Times New Roman"/>
          <w:i/>
          <w:iCs/>
          <w:sz w:val="24"/>
          <w:szCs w:val="24"/>
        </w:rPr>
        <w:t>Journal of Antimicrobial Chemotherapy, 54</w:t>
      </w:r>
      <w:r>
        <w:rPr>
          <w:rFonts w:ascii="Times New Roman" w:cs="Times New Roman" w:eastAsia="Times New Roman" w:hAnsi="Times New Roman"/>
          <w:sz w:val="24"/>
          <w:szCs w:val="24"/>
        </w:rPr>
        <w:t>(5), 909–914.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C.-S., Tsai, P.-J., Sung, J.-M., Chen, J.-Y., Ho, L.-C., Pandya, K.,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Diuretics prevent thiazolidinedione-induced cardiac hypertrophy without compromising insulin-sensitizing effects in mice. </w:t>
      </w:r>
      <w:r>
        <w:rPr>
          <w:rFonts w:ascii="Times New Roman" w:cs="Times New Roman" w:eastAsia="Times New Roman" w:hAnsi="Times New Roman"/>
          <w:i/>
          <w:iCs/>
          <w:sz w:val="24"/>
          <w:szCs w:val="24"/>
        </w:rPr>
        <w:t>The American Journal of Pathology, 184</w:t>
      </w:r>
      <w:r>
        <w:rPr>
          <w:rFonts w:ascii="Times New Roman" w:cs="Times New Roman" w:eastAsia="Times New Roman" w:hAnsi="Times New Roman"/>
          <w:sz w:val="24"/>
          <w:szCs w:val="24"/>
        </w:rPr>
        <w:t xml:space="preserve">(2), 442–453. </w:t>
      </w:r>
      <w:r>
        <w:rPr/>
        <w:fldChar w:fldCharType="begin"/>
      </w:r>
      <w:r>
        <w:instrText xml:space="preserve"> HYPERLINK "https://doi.org/10.1016/j.ajpath.2013.10.020" </w:instrText>
      </w:r>
      <w:r>
        <w:rPr/>
        <w:fldChar w:fldCharType="separate"/>
      </w:r>
      <w:r>
        <w:rPr>
          <w:rFonts w:ascii="Times New Roman" w:cs="Times New Roman" w:eastAsia="Times New Roman" w:hAnsi="Times New Roman"/>
          <w:color w:val="0000ff"/>
          <w:sz w:val="24"/>
          <w:szCs w:val="24"/>
          <w:u w:val="single"/>
        </w:rPr>
        <w:t>https://doi.org/10.1016/j.ajpath.2013.10.020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Chen, X., Ren, L., Li, M., Qian, J., Fan, J., &amp; Du, B. (2017). Effects of clove essential oil and eugenol on quality and browning control of fresh-cut lettuce. </w:t>
      </w:r>
      <w:r>
        <w:rPr>
          <w:rFonts w:ascii="Times New Roman" w:cs="Times New Roman" w:eastAsia="Times New Roman" w:hAnsi="Times New Roman"/>
          <w:i/>
          <w:iCs/>
          <w:sz w:val="24"/>
          <w:szCs w:val="24"/>
        </w:rPr>
        <w:t>Food Chemistry, 214,</w:t>
      </w:r>
      <w:r>
        <w:rPr>
          <w:rFonts w:ascii="Times New Roman" w:cs="Times New Roman" w:eastAsia="Times New Roman" w:hAnsi="Times New Roman"/>
          <w:sz w:val="24"/>
          <w:szCs w:val="24"/>
        </w:rPr>
        <w:t xml:space="preserve"> 432–439. </w:t>
      </w:r>
      <w:r>
        <w:rPr/>
        <w:fldChar w:fldCharType="begin"/>
      </w:r>
      <w:r>
        <w:instrText xml:space="preserve"> HYPERLINK "https://doi.org/10.1016/j.foodchem.2016.07.101" </w:instrText>
      </w:r>
      <w:r>
        <w:rPr/>
        <w:fldChar w:fldCharType="separate"/>
      </w:r>
      <w:r>
        <w:rPr>
          <w:rFonts w:ascii="Times New Roman" w:cs="Times New Roman" w:eastAsia="Times New Roman" w:hAnsi="Times New Roman"/>
          <w:color w:val="0000ff"/>
          <w:sz w:val="24"/>
          <w:szCs w:val="24"/>
          <w:u w:val="single"/>
        </w:rPr>
        <w:t>https://doi.org/10.1016/j.foodchem.2016.07.101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Cimino, C., </w:t>
      </w:r>
      <w:r>
        <w:rPr>
          <w:rFonts w:ascii="Times New Roman" w:cs="Times New Roman" w:eastAsia="Times New Roman" w:hAnsi="Times New Roman"/>
          <w:sz w:val="24"/>
          <w:szCs w:val="24"/>
        </w:rPr>
        <w:t>Maurel</w:t>
      </w:r>
      <w:r>
        <w:rPr>
          <w:rFonts w:ascii="Times New Roman" w:cs="Times New Roman" w:eastAsia="Times New Roman" w:hAnsi="Times New Roman"/>
          <w:sz w:val="24"/>
          <w:szCs w:val="24"/>
        </w:rPr>
        <w:t xml:space="preserve">, O. M., </w:t>
      </w:r>
      <w:r>
        <w:rPr>
          <w:rFonts w:ascii="Times New Roman" w:cs="Times New Roman" w:eastAsia="Times New Roman" w:hAnsi="Times New Roman"/>
          <w:sz w:val="24"/>
          <w:szCs w:val="24"/>
        </w:rPr>
        <w:t>Musumeci</w:t>
      </w:r>
      <w:r>
        <w:rPr>
          <w:rFonts w:ascii="Times New Roman" w:cs="Times New Roman" w:eastAsia="Times New Roman" w:hAnsi="Times New Roman"/>
          <w:sz w:val="24"/>
          <w:szCs w:val="24"/>
        </w:rPr>
        <w:t xml:space="preserve">, T., Bonaccorso, A., Drago, F., </w:t>
      </w:r>
      <w:r>
        <w:rPr>
          <w:rFonts w:ascii="Times New Roman" w:cs="Times New Roman" w:eastAsia="Times New Roman" w:hAnsi="Times New Roman"/>
          <w:sz w:val="24"/>
          <w:szCs w:val="24"/>
        </w:rPr>
        <w:t>Souto</w:t>
      </w:r>
      <w:r>
        <w:rPr>
          <w:rFonts w:ascii="Times New Roman" w:cs="Times New Roman" w:eastAsia="Times New Roman" w:hAnsi="Times New Roman"/>
          <w:sz w:val="24"/>
          <w:szCs w:val="24"/>
        </w:rPr>
        <w:t xml:space="preserve">, E. M. B.,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Essential oils: Pharmaceutical applications and encapsulation strategies into lipid-based delivery systems. </w:t>
      </w:r>
      <w:r>
        <w:rPr>
          <w:rFonts w:ascii="Times New Roman" w:cs="Times New Roman" w:eastAsia="Times New Roman" w:hAnsi="Times New Roman"/>
          <w:i/>
          <w:iCs/>
          <w:sz w:val="24"/>
          <w:szCs w:val="24"/>
        </w:rPr>
        <w:t>Pharmaceutics, 13,</w:t>
      </w:r>
      <w:r>
        <w:rPr>
          <w:rFonts w:ascii="Times New Roman" w:cs="Times New Roman" w:eastAsia="Times New Roman" w:hAnsi="Times New Roman"/>
          <w:sz w:val="24"/>
          <w:szCs w:val="24"/>
        </w:rPr>
        <w:t xml:space="preserve"> 327.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lineRule="auto" w:line="240"/>
        <w:ind w:left="720" w:hanging="720"/>
        <w:jc w:val="both"/>
        <w:rPr>
          <w:rFonts w:ascii="宋体" w:cs="宋体" w:hAnsi="宋体"/>
          <w:sz w:val="24"/>
          <w:szCs w:val="24"/>
        </w:rPr>
      </w:pPr>
      <w:r>
        <w:rPr>
          <w:rFonts w:ascii="宋体" w:cs="宋体" w:hAnsi="宋体"/>
          <w:sz w:val="24"/>
          <w:szCs w:val="24"/>
        </w:rPr>
        <w:t xml:space="preserve">CLSI. </w:t>
      </w:r>
      <w:r>
        <w:rPr>
          <w:rFonts w:ascii="宋体" w:cs="宋体" w:hAnsi="宋体"/>
          <w:sz w:val="24"/>
          <w:szCs w:val="24"/>
        </w:rPr>
        <w:t>(</w:t>
      </w:r>
      <w:r>
        <w:rPr>
          <w:rFonts w:ascii="宋体" w:cs="宋体" w:hAnsi="宋体"/>
          <w:sz w:val="24"/>
          <w:szCs w:val="24"/>
        </w:rPr>
        <w:t>2018</w:t>
      </w:r>
      <w:r>
        <w:rPr>
          <w:rFonts w:ascii="宋体" w:cs="宋体" w:hAnsi="宋体"/>
          <w:sz w:val="24"/>
          <w:szCs w:val="24"/>
        </w:rPr>
        <w:t>)</w:t>
      </w:r>
      <w:r>
        <w:rPr>
          <w:rFonts w:ascii="宋体" w:cs="宋体" w:hAnsi="宋体"/>
          <w:sz w:val="24"/>
          <w:szCs w:val="24"/>
        </w:rPr>
        <w:t xml:space="preserve">. Performance Standard for Antimicrobial Disk Susceptibility Test MO12-A12, Clinical and Laboratory Standard Institute, Wayne, PA.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Cooke, D. W., &amp; </w:t>
      </w:r>
      <w:r>
        <w:rPr>
          <w:rFonts w:ascii="Times New Roman" w:cs="Times New Roman" w:eastAsia="Times New Roman" w:hAnsi="Times New Roman"/>
          <w:sz w:val="24"/>
          <w:szCs w:val="24"/>
        </w:rPr>
        <w:t>Plotnick</w:t>
      </w:r>
      <w:r>
        <w:rPr>
          <w:rFonts w:ascii="Times New Roman" w:cs="Times New Roman" w:eastAsia="Times New Roman" w:hAnsi="Times New Roman"/>
          <w:sz w:val="24"/>
          <w:szCs w:val="24"/>
        </w:rPr>
        <w:t xml:space="preserve">, L. (2018). Type 1 diabetes mellitus in pediatrics. </w:t>
      </w:r>
      <w:r>
        <w:rPr>
          <w:rFonts w:ascii="Times New Roman" w:cs="Times New Roman" w:eastAsia="Times New Roman" w:hAnsi="Times New Roman"/>
          <w:i/>
          <w:iCs/>
          <w:sz w:val="24"/>
          <w:szCs w:val="24"/>
        </w:rPr>
        <w:t>Pediatric Review, 29</w:t>
      </w:r>
      <w:r>
        <w:rPr>
          <w:rFonts w:ascii="Times New Roman" w:cs="Times New Roman" w:eastAsia="Times New Roman" w:hAnsi="Times New Roman"/>
          <w:sz w:val="24"/>
          <w:szCs w:val="24"/>
        </w:rPr>
        <w:t>(11), 374–384.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Cortés-Rojas, D. F., de Souza, C. R. F., &amp; Oliveira, W. P. (2014).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 precious spice. </w:t>
      </w:r>
      <w:r>
        <w:rPr>
          <w:rFonts w:ascii="Times New Roman" w:cs="Times New Roman" w:eastAsia="Times New Roman" w:hAnsi="Times New Roman"/>
          <w:i/>
          <w:iCs/>
          <w:sz w:val="24"/>
          <w:szCs w:val="24"/>
        </w:rPr>
        <w:t>Asian Pacific Journal of Tropical Biomedicine, 4,</w:t>
      </w:r>
      <w:r>
        <w:rPr>
          <w:rFonts w:ascii="Times New Roman" w:cs="Times New Roman" w:eastAsia="Times New Roman" w:hAnsi="Times New Roman"/>
          <w:sz w:val="24"/>
          <w:szCs w:val="24"/>
        </w:rPr>
        <w:t xml:space="preserve"> 90–96. </w:t>
      </w:r>
      <w:r>
        <w:rPr/>
        <w:fldChar w:fldCharType="begin"/>
      </w:r>
      <w:r>
        <w:instrText xml:space="preserve"> HYPERLINK "https://doi.org/10.1016/S2221-1691(14)60215-X" </w:instrText>
      </w:r>
      <w:r>
        <w:rPr/>
        <w:fldChar w:fldCharType="separate"/>
      </w:r>
      <w:r>
        <w:rPr>
          <w:rFonts w:ascii="Times New Roman" w:cs="Times New Roman" w:eastAsia="Times New Roman" w:hAnsi="Times New Roman"/>
          <w:color w:val="0000ff"/>
          <w:sz w:val="24"/>
          <w:szCs w:val="24"/>
          <w:u w:val="single"/>
        </w:rPr>
        <w:t>https://doi.org/10.1016/S2221-1691(14)60215-X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Daniel, A. N., </w:t>
      </w:r>
      <w:r>
        <w:rPr>
          <w:rFonts w:ascii="Times New Roman" w:cs="Times New Roman" w:eastAsia="Times New Roman" w:hAnsi="Times New Roman"/>
          <w:sz w:val="24"/>
          <w:szCs w:val="24"/>
        </w:rPr>
        <w:t>Sartoretto</w:t>
      </w:r>
      <w:r>
        <w:rPr>
          <w:rFonts w:ascii="Times New Roman" w:cs="Times New Roman" w:eastAsia="Times New Roman" w:hAnsi="Times New Roman"/>
          <w:sz w:val="24"/>
          <w:szCs w:val="24"/>
        </w:rPr>
        <w:t xml:space="preserve">, S. M., Schmidt, G., </w:t>
      </w:r>
      <w:r>
        <w:rPr>
          <w:rFonts w:ascii="Times New Roman" w:cs="Times New Roman" w:eastAsia="Times New Roman" w:hAnsi="Times New Roman"/>
          <w:sz w:val="24"/>
          <w:szCs w:val="24"/>
        </w:rPr>
        <w:t>Caparroz</w:t>
      </w:r>
      <w:r>
        <w:rPr>
          <w:rFonts w:ascii="Times New Roman" w:cs="Times New Roman" w:eastAsia="Times New Roman" w:hAnsi="Times New Roman"/>
          <w:sz w:val="24"/>
          <w:szCs w:val="24"/>
        </w:rPr>
        <w:t xml:space="preserve">-Assef, S. M., </w:t>
      </w:r>
      <w:r>
        <w:rPr>
          <w:rFonts w:ascii="Times New Roman" w:cs="Times New Roman" w:eastAsia="Times New Roman" w:hAnsi="Times New Roman"/>
          <w:sz w:val="24"/>
          <w:szCs w:val="24"/>
        </w:rPr>
        <w:t>Bersani</w:t>
      </w:r>
      <w:r>
        <w:rPr>
          <w:rFonts w:ascii="Times New Roman" w:cs="Times New Roman" w:eastAsia="Times New Roman" w:hAnsi="Times New Roman"/>
          <w:sz w:val="24"/>
          <w:szCs w:val="24"/>
        </w:rPr>
        <w:t xml:space="preserve">-Amado, C. A., &amp; Cuman, R. K. (2009). Anti-inflammatory and antinociceptive activities of eugenol essential oil in experimental animal models. </w:t>
      </w:r>
      <w:r>
        <w:rPr>
          <w:rFonts w:ascii="Times New Roman" w:cs="Times New Roman" w:eastAsia="Times New Roman" w:hAnsi="Times New Roman"/>
          <w:i/>
          <w:iCs/>
          <w:sz w:val="24"/>
          <w:szCs w:val="24"/>
        </w:rPr>
        <w:t>Revista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Brasileira</w:t>
      </w:r>
      <w:r>
        <w:rPr>
          <w:rFonts w:ascii="Times New Roman" w:cs="Times New Roman" w:eastAsia="Times New Roman" w:hAnsi="Times New Roman"/>
          <w:i/>
          <w:iCs/>
          <w:sz w:val="24"/>
          <w:szCs w:val="24"/>
        </w:rPr>
        <w:t xml:space="preserve"> de </w:t>
      </w:r>
      <w:r>
        <w:rPr>
          <w:rFonts w:ascii="Times New Roman" w:cs="Times New Roman" w:eastAsia="Times New Roman" w:hAnsi="Times New Roman"/>
          <w:i/>
          <w:iCs/>
          <w:sz w:val="24"/>
          <w:szCs w:val="24"/>
        </w:rPr>
        <w:t>Farmacognosia</w:t>
      </w:r>
      <w:r>
        <w:rPr>
          <w:rFonts w:ascii="Times New Roman" w:cs="Times New Roman" w:eastAsia="Times New Roman" w:hAnsi="Times New Roman"/>
          <w:i/>
          <w:iCs/>
          <w:sz w:val="24"/>
          <w:szCs w:val="24"/>
        </w:rPr>
        <w:t>, 19</w:t>
      </w:r>
      <w:r>
        <w:rPr>
          <w:rFonts w:ascii="Times New Roman" w:cs="Times New Roman" w:eastAsia="Times New Roman" w:hAnsi="Times New Roman"/>
          <w:sz w:val="24"/>
          <w:szCs w:val="24"/>
        </w:rPr>
        <w:t>(1B), 212–217.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Bonadonna</w:t>
      </w:r>
      <w:r>
        <w:rPr>
          <w:rFonts w:ascii="Times New Roman" w:cs="Times New Roman" w:eastAsia="Times New Roman" w:hAnsi="Times New Roman"/>
          <w:sz w:val="24"/>
          <w:szCs w:val="24"/>
        </w:rPr>
        <w:t xml:space="preserve">, R. C.,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(2017). Pathogenesis of NIDDM. In E.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&amp; 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(Eds.), </w:t>
      </w:r>
      <w:r>
        <w:rPr>
          <w:rFonts w:ascii="Times New Roman" w:cs="Times New Roman" w:eastAsia="Times New Roman" w:hAnsi="Times New Roman"/>
          <w:i/>
          <w:iCs/>
          <w:sz w:val="24"/>
          <w:szCs w:val="24"/>
        </w:rPr>
        <w:t>International Textbook of Diabetes Mellitus</w:t>
      </w:r>
      <w:r>
        <w:rPr>
          <w:rFonts w:ascii="Times New Roman" w:cs="Times New Roman" w:eastAsia="Times New Roman" w:hAnsi="Times New Roman"/>
          <w:sz w:val="24"/>
          <w:szCs w:val="24"/>
        </w:rPr>
        <w:t xml:space="preserve"> (pp. 635–671).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Delgado-</w:t>
      </w:r>
      <w:r>
        <w:rPr>
          <w:rFonts w:ascii="Times New Roman" w:cs="Times New Roman" w:eastAsia="Times New Roman" w:hAnsi="Times New Roman"/>
          <w:sz w:val="24"/>
          <w:szCs w:val="24"/>
        </w:rPr>
        <w:t>Adámez</w:t>
      </w:r>
      <w:r>
        <w:rPr>
          <w:rFonts w:ascii="Times New Roman" w:cs="Times New Roman" w:eastAsia="Times New Roman" w:hAnsi="Times New Roman"/>
          <w:sz w:val="24"/>
          <w:szCs w:val="24"/>
        </w:rPr>
        <w:t xml:space="preserve">, J., Fernández-León, M. F., </w:t>
      </w:r>
      <w:r>
        <w:rPr>
          <w:rFonts w:ascii="Times New Roman" w:cs="Times New Roman" w:eastAsia="Times New Roman" w:hAnsi="Times New Roman"/>
          <w:sz w:val="24"/>
          <w:szCs w:val="24"/>
        </w:rPr>
        <w:t>Velardo-Micharet</w:t>
      </w:r>
      <w:r>
        <w:rPr>
          <w:rFonts w:ascii="Times New Roman" w:cs="Times New Roman" w:eastAsia="Times New Roman" w:hAnsi="Times New Roman"/>
          <w:sz w:val="24"/>
          <w:szCs w:val="24"/>
        </w:rPr>
        <w:t xml:space="preserve">, B., &amp; González-Gómez, D. (2012). In vitro assays of the antibacterial and antioxidant activity of aqueous leaf extracts from different </w:t>
      </w:r>
      <w:r>
        <w:rPr>
          <w:rFonts w:ascii="Times New Roman" w:cs="Times New Roman" w:eastAsia="Times New Roman" w:hAnsi="Times New Roman"/>
          <w:i/>
          <w:iCs/>
          <w:sz w:val="24"/>
          <w:szCs w:val="24"/>
        </w:rPr>
        <w:t xml:space="preserve">Prunus </w:t>
      </w:r>
      <w:r>
        <w:rPr>
          <w:rFonts w:ascii="Times New Roman" w:cs="Times New Roman" w:eastAsia="Times New Roman" w:hAnsi="Times New Roman"/>
          <w:i/>
          <w:iCs/>
          <w:sz w:val="24"/>
          <w:szCs w:val="24"/>
        </w:rPr>
        <w:t>salicina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Lindl</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xml:space="preserve"> cultivars.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2481–2486. </w:t>
      </w:r>
      <w:r>
        <w:rPr/>
        <w:fldChar w:fldCharType="begin"/>
      </w:r>
      <w:r>
        <w:instrText xml:space="preserve"> HYPERLINK "https://doi.org/10.1016/j.fct.2012.02.024" </w:instrText>
      </w:r>
      <w:r>
        <w:rPr/>
        <w:fldChar w:fldCharType="separate"/>
      </w:r>
      <w:r>
        <w:rPr>
          <w:rFonts w:ascii="Times New Roman" w:cs="Times New Roman" w:eastAsia="Times New Roman" w:hAnsi="Times New Roman"/>
          <w:color w:val="0000ff"/>
          <w:sz w:val="24"/>
          <w:szCs w:val="24"/>
          <w:u w:val="single"/>
        </w:rPr>
        <w:t>https://doi.org/10.1016/j.fct.2012.02.024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Devi, K. P., Nisha, S. A., Sakthivel, R., &amp; Pandian, S. K. (2010). Eugenol (an essential oil of clove) acts as an antibacterial agent against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by disrupting the cellular membrane. </w:t>
      </w:r>
      <w:r>
        <w:rPr>
          <w:rFonts w:ascii="Times New Roman" w:cs="Times New Roman" w:eastAsia="Times New Roman" w:hAnsi="Times New Roman"/>
          <w:i/>
          <w:iCs/>
          <w:sz w:val="24"/>
          <w:szCs w:val="24"/>
        </w:rPr>
        <w:t>Journal of Ethnopharmacology, 130</w:t>
      </w:r>
      <w:r>
        <w:rPr>
          <w:rFonts w:ascii="Times New Roman" w:cs="Times New Roman" w:eastAsia="Times New Roman" w:hAnsi="Times New Roman"/>
          <w:sz w:val="24"/>
          <w:szCs w:val="24"/>
        </w:rPr>
        <w:t>(1), 107–115.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Donsì</w:t>
      </w:r>
      <w:r>
        <w:rPr>
          <w:rFonts w:ascii="Times New Roman" w:cs="Times New Roman" w:eastAsia="Times New Roman" w:hAnsi="Times New Roman"/>
          <w:sz w:val="24"/>
          <w:szCs w:val="24"/>
        </w:rPr>
        <w:t xml:space="preserve">, F., Annunziata, M., Sessa, M., &amp; Ferrari, G. (2011). Nanoencapsulation of essential oils to enhance their antimicrobial activity in foods. </w:t>
      </w:r>
      <w:r>
        <w:rPr>
          <w:rFonts w:ascii="Times New Roman" w:cs="Times New Roman" w:eastAsia="Times New Roman" w:hAnsi="Times New Roman"/>
          <w:i/>
          <w:iCs/>
          <w:sz w:val="24"/>
          <w:szCs w:val="24"/>
        </w:rPr>
        <w:t>LWT - Food Science and Technology, 44,</w:t>
      </w:r>
      <w:r>
        <w:rPr>
          <w:rFonts w:ascii="Times New Roman" w:cs="Times New Roman" w:eastAsia="Times New Roman" w:hAnsi="Times New Roman"/>
          <w:sz w:val="24"/>
          <w:szCs w:val="24"/>
        </w:rPr>
        <w:t xml:space="preserve"> 1908–1914. </w:t>
      </w:r>
      <w:r>
        <w:rPr/>
        <w:fldChar w:fldCharType="begin"/>
      </w:r>
      <w:r>
        <w:instrText xml:space="preserve"> HYPERLINK "https://doi.org/10.1016/j.lwt.2011.03.003" </w:instrText>
      </w:r>
      <w:r>
        <w:rPr/>
        <w:fldChar w:fldCharType="separate"/>
      </w:r>
      <w:r>
        <w:rPr>
          <w:rFonts w:ascii="Times New Roman" w:cs="Times New Roman" w:eastAsia="Times New Roman" w:hAnsi="Times New Roman"/>
          <w:color w:val="0000ff"/>
          <w:sz w:val="24"/>
          <w:szCs w:val="24"/>
          <w:u w:val="single"/>
        </w:rPr>
        <w:t>https://doi.org/10.1016/j.lwt.2011.03.003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Dorman, H. J., &amp; Deans, S. G. (2010). Antimicrobial agents from plants: Antibacterial activity of plant volatile oils. </w:t>
      </w:r>
      <w:r>
        <w:rPr>
          <w:rFonts w:ascii="Times New Roman" w:cs="Times New Roman" w:eastAsia="Times New Roman" w:hAnsi="Times New Roman"/>
          <w:i/>
          <w:iCs/>
          <w:sz w:val="24"/>
          <w:szCs w:val="24"/>
        </w:rPr>
        <w:t>Journal of Applied Microbiology, 88</w:t>
      </w:r>
      <w:r>
        <w:rPr>
          <w:rFonts w:ascii="Times New Roman" w:cs="Times New Roman" w:eastAsia="Times New Roman" w:hAnsi="Times New Roman"/>
          <w:sz w:val="24"/>
          <w:szCs w:val="24"/>
        </w:rPr>
        <w:t>(2), 308–316.</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Dudonné</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Vitrac</w:t>
      </w:r>
      <w:r>
        <w:rPr>
          <w:rFonts w:ascii="Times New Roman" w:cs="Times New Roman" w:eastAsia="Times New Roman" w:hAnsi="Times New Roman"/>
          <w:sz w:val="24"/>
          <w:szCs w:val="24"/>
        </w:rPr>
        <w:t xml:space="preserve">, X., </w:t>
      </w:r>
      <w:r>
        <w:rPr>
          <w:rFonts w:ascii="Times New Roman" w:cs="Times New Roman" w:eastAsia="Times New Roman" w:hAnsi="Times New Roman"/>
          <w:sz w:val="24"/>
          <w:szCs w:val="24"/>
        </w:rPr>
        <w:t>Coutière</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Woillez</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Mérillon</w:t>
      </w:r>
      <w:r>
        <w:rPr>
          <w:rFonts w:ascii="Times New Roman" w:cs="Times New Roman" w:eastAsia="Times New Roman" w:hAnsi="Times New Roman"/>
          <w:sz w:val="24"/>
          <w:szCs w:val="24"/>
        </w:rPr>
        <w:t xml:space="preserve">, J. M. (2019). Comparative study of antioxidant properties and total phenolic content of 30 plant extracts of industrial interest using DPPH, ABTS, FRAP, SOD, and ORAC assays. </w:t>
      </w:r>
      <w:r>
        <w:rPr>
          <w:rFonts w:ascii="Times New Roman" w:cs="Times New Roman" w:eastAsia="Times New Roman" w:hAnsi="Times New Roman"/>
          <w:i/>
          <w:iCs/>
          <w:sz w:val="24"/>
          <w:szCs w:val="24"/>
        </w:rPr>
        <w:t>Journal of Agricultural and Food Chemistry, 57</w:t>
      </w:r>
      <w:r>
        <w:rPr>
          <w:rFonts w:ascii="Times New Roman" w:cs="Times New Roman" w:eastAsia="Times New Roman" w:hAnsi="Times New Roman"/>
          <w:sz w:val="24"/>
          <w:szCs w:val="24"/>
        </w:rPr>
        <w:t>(5), 1768–1774.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Ekor</w:t>
      </w:r>
      <w:r>
        <w:rPr>
          <w:rFonts w:ascii="Times New Roman" w:cs="Times New Roman" w:eastAsia="Times New Roman" w:hAnsi="Times New Roman"/>
          <w:sz w:val="24"/>
          <w:szCs w:val="24"/>
        </w:rPr>
        <w:t xml:space="preserve">, M. (2014). The growing use of herbal medicines: Issues relating to adverse reactions and challenges in monitoring safety. </w:t>
      </w:r>
      <w:r>
        <w:rPr>
          <w:rFonts w:ascii="Times New Roman" w:cs="Times New Roman" w:eastAsia="Times New Roman" w:hAnsi="Times New Roman"/>
          <w:i/>
          <w:iCs/>
          <w:sz w:val="24"/>
          <w:szCs w:val="24"/>
        </w:rPr>
        <w:t>Frontiers in Pharmacology, 4,</w:t>
      </w:r>
      <w:r>
        <w:rPr>
          <w:rFonts w:ascii="Times New Roman" w:cs="Times New Roman" w:eastAsia="Times New Roman" w:hAnsi="Times New Roman"/>
          <w:sz w:val="24"/>
          <w:szCs w:val="24"/>
        </w:rPr>
        <w:t xml:space="preserve"> 177. </w:t>
      </w:r>
      <w:r>
        <w:rPr/>
        <w:fldChar w:fldCharType="begin"/>
      </w:r>
      <w:r>
        <w:instrText xml:space="preserve"> HYPERLINK "https://doi.org/10.3389/fphar.2013.00177" </w:instrText>
      </w:r>
      <w:r>
        <w:rPr/>
        <w:fldChar w:fldCharType="separate"/>
      </w:r>
      <w:r>
        <w:rPr>
          <w:rFonts w:ascii="Times New Roman" w:cs="Times New Roman" w:eastAsia="Times New Roman" w:hAnsi="Times New Roman"/>
          <w:color w:val="0000ff"/>
          <w:sz w:val="24"/>
          <w:szCs w:val="24"/>
          <w:u w:val="single"/>
        </w:rPr>
        <w:t>https://doi.org/10.3389/fphar.2013.00177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Filho, G. A., Cesar, J. O., &amp; Ramos, J. V. (2013). [</w:t>
      </w:r>
      <w:r>
        <w:rPr>
          <w:rFonts w:ascii="Times New Roman" w:cs="Times New Roman" w:eastAsia="Times New Roman" w:hAnsi="Times New Roman"/>
          <w:sz w:val="24"/>
          <w:szCs w:val="24"/>
        </w:rPr>
        <w:t>Cravo</w:t>
      </w:r>
      <w:r>
        <w:rPr>
          <w:rFonts w:ascii="Times New Roman" w:cs="Times New Roman" w:eastAsia="Times New Roman" w:hAnsi="Times New Roman"/>
          <w:sz w:val="24"/>
          <w:szCs w:val="24"/>
        </w:rPr>
        <w:t xml:space="preserve"> from India]. Itabuna: CEPLAC. Retrieved December 16, 2024, from </w:t>
      </w:r>
      <w:r>
        <w:rPr/>
        <w:fldChar w:fldCharType="begin"/>
      </w:r>
      <w:r>
        <w:instrText xml:space="preserve"> HYPERLINK "http://www.ceplac.gov.br/radar.htm" </w:instrText>
      </w:r>
      <w:r>
        <w:rPr/>
        <w:fldChar w:fldCharType="separate"/>
      </w:r>
      <w:r>
        <w:rPr>
          <w:rFonts w:ascii="Times New Roman" w:cs="Times New Roman" w:eastAsia="Times New Roman" w:hAnsi="Times New Roman"/>
          <w:color w:val="0000ff"/>
          <w:sz w:val="24"/>
          <w:szCs w:val="24"/>
          <w:u w:val="single"/>
        </w:rPr>
        <w:t>http://www.ceplac.gov.br/radar.htm</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Friedman, M. A., Fleming, L. E., Fernandez, M., </w:t>
      </w:r>
      <w:r>
        <w:rPr>
          <w:rFonts w:ascii="Times New Roman" w:cs="Times New Roman" w:eastAsia="Times New Roman" w:hAnsi="Times New Roman"/>
          <w:sz w:val="24"/>
          <w:szCs w:val="24"/>
        </w:rPr>
        <w:t>Bienfang</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Schrank</w:t>
      </w:r>
      <w:r>
        <w:rPr>
          <w:rFonts w:ascii="Times New Roman" w:cs="Times New Roman" w:eastAsia="Times New Roman" w:hAnsi="Times New Roman"/>
          <w:sz w:val="24"/>
          <w:szCs w:val="24"/>
        </w:rPr>
        <w:t xml:space="preserve">, K., Dickey,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(2008). Ciguatera fish poisoning: Treatment, prevention, and management. </w:t>
      </w:r>
      <w:r>
        <w:rPr>
          <w:rFonts w:ascii="Times New Roman" w:cs="Times New Roman" w:eastAsia="Times New Roman" w:hAnsi="Times New Roman"/>
          <w:i/>
          <w:iCs/>
          <w:sz w:val="24"/>
          <w:szCs w:val="24"/>
        </w:rPr>
        <w:t>Marine Drugs, 6</w:t>
      </w:r>
      <w:r>
        <w:rPr>
          <w:rFonts w:ascii="Times New Roman" w:cs="Times New Roman" w:eastAsia="Times New Roman" w:hAnsi="Times New Roman"/>
          <w:sz w:val="24"/>
          <w:szCs w:val="24"/>
        </w:rPr>
        <w:t>(4), 456–479.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 Y., Zu, Y., Chen, L., Shi, X., Wang, Z., Sun,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Antimicrobial activity of clove and rosemary essential oils alone and in combination. </w:t>
      </w:r>
      <w:r>
        <w:rPr>
          <w:rFonts w:ascii="Times New Roman" w:cs="Times New Roman" w:eastAsia="Times New Roman" w:hAnsi="Times New Roman"/>
          <w:i/>
          <w:iCs/>
          <w:sz w:val="24"/>
          <w:szCs w:val="24"/>
        </w:rPr>
        <w:t>Phytotherapy</w:t>
      </w:r>
      <w:r>
        <w:rPr>
          <w:rFonts w:ascii="Times New Roman" w:cs="Times New Roman" w:eastAsia="Times New Roman" w:hAnsi="Times New Roman"/>
          <w:i/>
          <w:iCs/>
          <w:sz w:val="24"/>
          <w:szCs w:val="24"/>
        </w:rPr>
        <w:t xml:space="preserve"> Research, 21</w:t>
      </w:r>
      <w:r>
        <w:rPr>
          <w:rFonts w:ascii="Times New Roman" w:cs="Times New Roman" w:eastAsia="Times New Roman" w:hAnsi="Times New Roman"/>
          <w:sz w:val="24"/>
          <w:szCs w:val="24"/>
        </w:rPr>
        <w:t>(10), 989–994.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Garg, A., &amp; Singh, S. (2011). Enhancement in antifungal activity of eugenol in immunosuppressed rats through lipid nanocarriers.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87</w:t>
      </w:r>
      <w:r>
        <w:rPr>
          <w:rFonts w:ascii="Times New Roman" w:cs="Times New Roman" w:eastAsia="Times New Roman" w:hAnsi="Times New Roman"/>
          <w:sz w:val="24"/>
          <w:szCs w:val="24"/>
        </w:rPr>
        <w:t>(2), 280–288.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(2011). Antioxidant activity of eugenol: A structure-activity relationship study. </w:t>
      </w:r>
      <w:r>
        <w:rPr>
          <w:rFonts w:ascii="Times New Roman" w:cs="Times New Roman" w:eastAsia="Times New Roman" w:hAnsi="Times New Roman"/>
          <w:i/>
          <w:iCs/>
          <w:sz w:val="24"/>
          <w:szCs w:val="24"/>
        </w:rPr>
        <w:t>Journal of Medicinal Food, 14</w:t>
      </w:r>
      <w:r>
        <w:rPr>
          <w:rFonts w:ascii="Times New Roman" w:cs="Times New Roman" w:eastAsia="Times New Roman" w:hAnsi="Times New Roman"/>
          <w:sz w:val="24"/>
          <w:szCs w:val="24"/>
        </w:rPr>
        <w:t>(9), 975–985.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Elmastaş</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Aboul-Enein</w:t>
      </w:r>
      <w:r>
        <w:rPr>
          <w:rFonts w:ascii="Times New Roman" w:cs="Times New Roman" w:eastAsia="Times New Roman" w:hAnsi="Times New Roman"/>
          <w:sz w:val="24"/>
          <w:szCs w:val="24"/>
        </w:rPr>
        <w:t xml:space="preserve">, H. Y. (2012). Antioxidant activity of clove oil: A powerful antioxidant source. </w:t>
      </w:r>
      <w:r>
        <w:rPr>
          <w:rFonts w:ascii="Times New Roman" w:cs="Times New Roman" w:eastAsia="Times New Roman" w:hAnsi="Times New Roman"/>
          <w:i/>
          <w:iCs/>
          <w:sz w:val="24"/>
          <w:szCs w:val="24"/>
        </w:rPr>
        <w:t>Arabian Journal of Chemistry, 5</w:t>
      </w:r>
      <w:r>
        <w:rPr>
          <w:rFonts w:ascii="Times New Roman" w:cs="Times New Roman" w:eastAsia="Times New Roman" w:hAnsi="Times New Roman"/>
          <w:sz w:val="24"/>
          <w:szCs w:val="24"/>
        </w:rPr>
        <w:t>(4), 489–499.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Halder, S., Mehta, A. K., Kar, R., Mustafa, M., </w:t>
      </w:r>
      <w:r>
        <w:rPr>
          <w:rFonts w:ascii="Times New Roman" w:cs="Times New Roman" w:eastAsia="Times New Roman" w:hAnsi="Times New Roman"/>
          <w:sz w:val="24"/>
          <w:szCs w:val="24"/>
        </w:rPr>
        <w:t>Mediratta</w:t>
      </w:r>
      <w:r>
        <w:rPr>
          <w:rFonts w:ascii="Times New Roman" w:cs="Times New Roman" w:eastAsia="Times New Roman" w:hAnsi="Times New Roman"/>
          <w:sz w:val="24"/>
          <w:szCs w:val="24"/>
        </w:rPr>
        <w:t xml:space="preserve">, P. K., &amp; Sharma, K. K. (2014). Clove oil reverses learning and memory deficits in scopolamine-treated mice. </w:t>
      </w:r>
      <w:r>
        <w:rPr>
          <w:rFonts w:ascii="Times New Roman" w:cs="Times New Roman" w:eastAsia="Times New Roman" w:hAnsi="Times New Roman"/>
          <w:i/>
          <w:iCs/>
          <w:sz w:val="24"/>
          <w:szCs w:val="24"/>
        </w:rPr>
        <w:t xml:space="preserve">Planta </w:t>
      </w:r>
      <w:r>
        <w:rPr>
          <w:rFonts w:ascii="Times New Roman" w:cs="Times New Roman" w:eastAsia="Times New Roman" w:hAnsi="Times New Roman"/>
          <w:i/>
          <w:iCs/>
          <w:sz w:val="24"/>
          <w:szCs w:val="24"/>
        </w:rPr>
        <w:t>Medica</w:t>
      </w:r>
      <w:r>
        <w:rPr>
          <w:rFonts w:ascii="Times New Roman" w:cs="Times New Roman" w:eastAsia="Times New Roman" w:hAnsi="Times New Roman"/>
          <w:i/>
          <w:iCs/>
          <w:sz w:val="24"/>
          <w:szCs w:val="24"/>
        </w:rPr>
        <w:t>, 77</w:t>
      </w:r>
      <w:r>
        <w:rPr>
          <w:rFonts w:ascii="Times New Roman" w:cs="Times New Roman" w:eastAsia="Times New Roman" w:hAnsi="Times New Roman"/>
          <w:sz w:val="24"/>
          <w:szCs w:val="24"/>
        </w:rPr>
        <w:t>(8).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Haro</w:t>
      </w:r>
      <w:r>
        <w:rPr>
          <w:rFonts w:ascii="Times New Roman" w:cs="Times New Roman" w:eastAsia="Times New Roman" w:hAnsi="Times New Roman"/>
          <w:sz w:val="24"/>
          <w:szCs w:val="24"/>
        </w:rPr>
        <w:t>-González, J. N., Castillo-Herrera, G. A., Martínez-Velázquez, M., &amp; Espinosa-Andrews, H. (2021). Clove essential oil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Extraction, chemical composition, food applications, and essential bioactivity for human health.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 xml:space="preserve"> 6387. </w:t>
      </w:r>
      <w:r>
        <w:rPr/>
        <w:fldChar w:fldCharType="begin"/>
      </w:r>
      <w:r>
        <w:instrText xml:space="preserve"> HYPERLINK "https://doi.org/10.3390/molecules26216387" </w:instrText>
      </w:r>
      <w:r>
        <w:rPr/>
        <w:fldChar w:fldCharType="separate"/>
      </w:r>
      <w:r>
        <w:rPr>
          <w:rFonts w:ascii="Times New Roman" w:cs="Times New Roman" w:eastAsia="Times New Roman" w:hAnsi="Times New Roman"/>
          <w:color w:val="0000ff"/>
          <w:sz w:val="24"/>
          <w:szCs w:val="24"/>
          <w:u w:val="single"/>
        </w:rPr>
        <w:t>https://doi.org/10.3390/molecules26216387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Harris, M. I. (2013). Undiagnosed NIDDM: Clinical and public health issues. </w:t>
      </w:r>
      <w:r>
        <w:rPr>
          <w:rFonts w:ascii="Times New Roman" w:cs="Times New Roman" w:eastAsia="Times New Roman" w:hAnsi="Times New Roman"/>
          <w:i/>
          <w:iCs/>
          <w:sz w:val="24"/>
          <w:szCs w:val="24"/>
        </w:rPr>
        <w:t>Diabetes Care, 16,</w:t>
      </w:r>
      <w:r>
        <w:rPr>
          <w:rFonts w:ascii="Times New Roman" w:cs="Times New Roman" w:eastAsia="Times New Roman" w:hAnsi="Times New Roman"/>
          <w:sz w:val="24"/>
          <w:szCs w:val="24"/>
        </w:rPr>
        <w:t xml:space="preserve"> 642–652.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Jirovetz</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Buchbauer</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Stoilova</w:t>
      </w:r>
      <w:r>
        <w:rPr>
          <w:rFonts w:ascii="Times New Roman" w:cs="Times New Roman" w:eastAsia="Times New Roman" w:hAnsi="Times New Roman"/>
          <w:sz w:val="24"/>
          <w:szCs w:val="24"/>
        </w:rPr>
        <w:t xml:space="preserve">, I., Stoyanova, A., </w:t>
      </w:r>
      <w:r>
        <w:rPr>
          <w:rFonts w:ascii="Times New Roman" w:cs="Times New Roman" w:eastAsia="Times New Roman" w:hAnsi="Times New Roman"/>
          <w:sz w:val="24"/>
          <w:szCs w:val="24"/>
        </w:rPr>
        <w:t>Krastanov</w:t>
      </w:r>
      <w:r>
        <w:rPr>
          <w:rFonts w:ascii="Times New Roman" w:cs="Times New Roman" w:eastAsia="Times New Roman" w:hAnsi="Times New Roman"/>
          <w:sz w:val="24"/>
          <w:szCs w:val="24"/>
        </w:rPr>
        <w:t xml:space="preserve">, A., &amp; Schmidt, E. (2016). Chemical composition and antioxidant properties of </w:t>
      </w:r>
      <w:r>
        <w:rPr>
          <w:rFonts w:ascii="Times New Roman" w:cs="Times New Roman" w:eastAsia="Times New Roman" w:hAnsi="Times New Roman"/>
          <w:sz w:val="24"/>
          <w:szCs w:val="24"/>
        </w:rPr>
        <w:t>clove</w:t>
      </w:r>
      <w:r>
        <w:rPr>
          <w:rFonts w:ascii="Times New Roman" w:cs="Times New Roman" w:eastAsia="Times New Roman" w:hAnsi="Times New Roman"/>
          <w:sz w:val="24"/>
          <w:szCs w:val="24"/>
        </w:rPr>
        <w:t xml:space="preserve"> leaf essential oil. </w:t>
      </w:r>
      <w:r>
        <w:rPr>
          <w:rFonts w:ascii="Times New Roman" w:cs="Times New Roman" w:eastAsia="Times New Roman" w:hAnsi="Times New Roman"/>
          <w:i/>
          <w:iCs/>
          <w:sz w:val="24"/>
          <w:szCs w:val="24"/>
        </w:rPr>
        <w:t>Journal of Agricultural and Food Chemistry, 54</w:t>
      </w:r>
      <w:r>
        <w:rPr>
          <w:rFonts w:ascii="Times New Roman" w:cs="Times New Roman" w:eastAsia="Times New Roman" w:hAnsi="Times New Roman"/>
          <w:sz w:val="24"/>
          <w:szCs w:val="24"/>
        </w:rPr>
        <w:t>(17), 6303–6307.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Jun, S. K., &amp; Yoon, Y. W. (2012). A new look at viruses in 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Diabetes/Metabolism Research and Reviews, 19,</w:t>
      </w:r>
      <w:r>
        <w:rPr>
          <w:rFonts w:ascii="Times New Roman" w:cs="Times New Roman" w:eastAsia="Times New Roman" w:hAnsi="Times New Roman"/>
          <w:sz w:val="24"/>
          <w:szCs w:val="24"/>
        </w:rPr>
        <w:t xml:space="preserve"> 8–31.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Kadiki</w:t>
      </w:r>
      <w:r>
        <w:rPr>
          <w:rFonts w:ascii="Times New Roman" w:cs="Times New Roman" w:eastAsia="Times New Roman" w:hAnsi="Times New Roman"/>
          <w:sz w:val="24"/>
          <w:szCs w:val="24"/>
        </w:rPr>
        <w:t xml:space="preserve">, O. A., Reddy, M. R., &amp;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A. A. (2016). Incidence of insulin-dependent diabetes (IDDM) and non-insulin-dependent diabetes (NIDDM) (0–34 years at onset) in Benghazi, Libya. </w:t>
      </w:r>
      <w:r>
        <w:rPr>
          <w:rFonts w:ascii="Times New Roman" w:cs="Times New Roman" w:eastAsia="Times New Roman" w:hAnsi="Times New Roman"/>
          <w:i/>
          <w:iCs/>
          <w:sz w:val="24"/>
          <w:szCs w:val="24"/>
        </w:rPr>
        <w:t>Diabetes Research and Clinical Practice, 32,</w:t>
      </w:r>
      <w:r>
        <w:rPr>
          <w:rFonts w:ascii="Times New Roman" w:cs="Times New Roman" w:eastAsia="Times New Roman" w:hAnsi="Times New Roman"/>
          <w:sz w:val="24"/>
          <w:szCs w:val="24"/>
        </w:rPr>
        <w:t xml:space="preserve"> 165–173.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Kamatou</w:t>
      </w:r>
      <w:r>
        <w:rPr>
          <w:rFonts w:ascii="Times New Roman" w:cs="Times New Roman" w:eastAsia="Times New Roman" w:hAnsi="Times New Roman"/>
          <w:sz w:val="24"/>
          <w:szCs w:val="24"/>
        </w:rPr>
        <w:t xml:space="preserve">, G. P., </w:t>
      </w:r>
      <w:r>
        <w:rPr>
          <w:rFonts w:ascii="Times New Roman" w:cs="Times New Roman" w:eastAsia="Times New Roman" w:hAnsi="Times New Roman"/>
          <w:sz w:val="24"/>
          <w:szCs w:val="24"/>
        </w:rPr>
        <w:t>Vermaak</w:t>
      </w:r>
      <w:r>
        <w:rPr>
          <w:rFonts w:ascii="Times New Roman" w:cs="Times New Roman" w:eastAsia="Times New Roman" w:hAnsi="Times New Roman"/>
          <w:sz w:val="24"/>
          <w:szCs w:val="24"/>
        </w:rPr>
        <w:t xml:space="preserve">, I., &amp; Viljoen, A. M. (2012). Eugenol: From the remote Maluku Islands to the international marketplace. </w:t>
      </w:r>
      <w:r>
        <w:rPr>
          <w:rFonts w:ascii="Times New Roman" w:cs="Times New Roman" w:eastAsia="Times New Roman" w:hAnsi="Times New Roman"/>
          <w:i/>
          <w:iCs/>
          <w:sz w:val="24"/>
          <w:szCs w:val="24"/>
        </w:rPr>
        <w:t>Molecules, 17</w:t>
      </w:r>
      <w:r>
        <w:rPr>
          <w:rFonts w:ascii="Times New Roman" w:cs="Times New Roman" w:eastAsia="Times New Roman" w:hAnsi="Times New Roman"/>
          <w:sz w:val="24"/>
          <w:szCs w:val="24"/>
        </w:rPr>
        <w:t xml:space="preserve">(6), 6953–6981. </w:t>
      </w:r>
      <w:r>
        <w:rPr/>
        <w:fldChar w:fldCharType="begin"/>
      </w:r>
      <w:r>
        <w:instrText xml:space="preserve"> HYPERLINK "https://doi.org/10.3390/molecules17066953" </w:instrText>
      </w:r>
      <w:r>
        <w:rPr/>
        <w:fldChar w:fldCharType="separate"/>
      </w:r>
      <w:r>
        <w:rPr>
          <w:rFonts w:ascii="Times New Roman" w:cs="Times New Roman" w:eastAsia="Times New Roman" w:hAnsi="Times New Roman"/>
          <w:color w:val="0000ff"/>
          <w:sz w:val="24"/>
          <w:szCs w:val="24"/>
          <w:u w:val="single"/>
        </w:rPr>
        <w:t>https://doi.org/10.3390/molecules17066953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Kharroubi</w:t>
      </w:r>
      <w:r>
        <w:rPr>
          <w:rFonts w:ascii="Times New Roman" w:cs="Times New Roman" w:eastAsia="Times New Roman" w:hAnsi="Times New Roman"/>
          <w:sz w:val="24"/>
          <w:szCs w:val="24"/>
        </w:rPr>
        <w:t xml:space="preserve">, A. T., &amp; Darwish, H. M. (2015). Diabetes mellitus: The epidemic of the century. </w:t>
      </w:r>
      <w:r>
        <w:rPr>
          <w:rFonts w:ascii="Times New Roman" w:cs="Times New Roman" w:eastAsia="Times New Roman" w:hAnsi="Times New Roman"/>
          <w:i/>
          <w:iCs/>
          <w:sz w:val="24"/>
          <w:szCs w:val="24"/>
        </w:rPr>
        <w:t>World Journal of Diabetes, 6</w:t>
      </w:r>
      <w:r>
        <w:rPr>
          <w:rFonts w:ascii="Times New Roman" w:cs="Times New Roman" w:eastAsia="Times New Roman" w:hAnsi="Times New Roman"/>
          <w:sz w:val="24"/>
          <w:szCs w:val="24"/>
        </w:rPr>
        <w:t xml:space="preserve">(6), 850–867. </w:t>
      </w:r>
      <w:r>
        <w:rPr/>
        <w:fldChar w:fldCharType="begin"/>
      </w:r>
      <w:r>
        <w:instrText xml:space="preserve"> HYPERLINK "https://doi.org/10.4239/wjd.v6.i6.850" </w:instrText>
      </w:r>
      <w:r>
        <w:rPr/>
        <w:fldChar w:fldCharType="separate"/>
      </w:r>
      <w:r>
        <w:rPr>
          <w:rFonts w:ascii="Times New Roman" w:cs="Times New Roman" w:eastAsia="Times New Roman" w:hAnsi="Times New Roman"/>
          <w:color w:val="0000ff"/>
          <w:sz w:val="24"/>
          <w:szCs w:val="24"/>
          <w:u w:val="single"/>
        </w:rPr>
        <w:t>https://doi.org/10.4239/wjd.v6.i6.850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Kurokawa</w:t>
      </w:r>
      <w:r>
        <w:rPr>
          <w:rFonts w:ascii="Times New Roman" w:cs="Times New Roman" w:eastAsia="Times New Roman" w:hAnsi="Times New Roman"/>
          <w:sz w:val="24"/>
          <w:szCs w:val="24"/>
        </w:rPr>
        <w:t xml:space="preserve">, M., </w:t>
      </w:r>
      <w:r>
        <w:rPr>
          <w:rFonts w:ascii="Times New Roman" w:cs="Times New Roman" w:eastAsia="Times New Roman" w:hAnsi="Times New Roman"/>
          <w:sz w:val="24"/>
          <w:szCs w:val="24"/>
        </w:rPr>
        <w:t>Hozumi</w:t>
      </w:r>
      <w:r>
        <w:rPr>
          <w:rFonts w:ascii="Times New Roman" w:cs="Times New Roman" w:eastAsia="Times New Roman" w:hAnsi="Times New Roman"/>
          <w:sz w:val="24"/>
          <w:szCs w:val="24"/>
        </w:rPr>
        <w:t xml:space="preserve">, T., Basnet, P., Nakano, M., </w:t>
      </w:r>
      <w:r>
        <w:rPr>
          <w:rFonts w:ascii="Times New Roman" w:cs="Times New Roman" w:eastAsia="Times New Roman" w:hAnsi="Times New Roman"/>
          <w:sz w:val="24"/>
          <w:szCs w:val="24"/>
        </w:rPr>
        <w:t>Kadota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Namba</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Purification and characterization of </w:t>
      </w:r>
      <w:r>
        <w:rPr>
          <w:rFonts w:ascii="Times New Roman" w:cs="Times New Roman" w:eastAsia="Times New Roman" w:hAnsi="Times New Roman"/>
          <w:sz w:val="24"/>
          <w:szCs w:val="24"/>
        </w:rPr>
        <w:t>eugeniin</w:t>
      </w:r>
      <w:r>
        <w:rPr>
          <w:rFonts w:ascii="Times New Roman" w:cs="Times New Roman" w:eastAsia="Times New Roman" w:hAnsi="Times New Roman"/>
          <w:sz w:val="24"/>
          <w:szCs w:val="24"/>
        </w:rPr>
        <w:t xml:space="preserve"> as an anti-herpesvirus compound from </w:t>
      </w:r>
      <w:r>
        <w:rPr>
          <w:rFonts w:ascii="Times New Roman" w:cs="Times New Roman" w:eastAsia="Times New Roman" w:hAnsi="Times New Roman"/>
          <w:i/>
          <w:iCs/>
          <w:sz w:val="24"/>
          <w:szCs w:val="24"/>
        </w:rPr>
        <w:t>Geum</w:t>
      </w:r>
      <w:r>
        <w:rPr>
          <w:rFonts w:ascii="Times New Roman" w:cs="Times New Roman" w:eastAsia="Times New Roman" w:hAnsi="Times New Roman"/>
          <w:i/>
          <w:iCs/>
          <w:sz w:val="24"/>
          <w:szCs w:val="24"/>
        </w:rPr>
        <w:t xml:space="preserve"> japonicum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Pharmacology and Experimental Therapeutics, 284</w:t>
      </w:r>
      <w:r>
        <w:rPr>
          <w:rFonts w:ascii="Times New Roman" w:cs="Times New Roman" w:eastAsia="Times New Roman" w:hAnsi="Times New Roman"/>
          <w:sz w:val="24"/>
          <w:szCs w:val="24"/>
        </w:rPr>
        <w:t>(2), 728–735.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H. Y., Lee, B. K., Kim, J. S., Jung, S. J., &amp; Oh, S. B. (2088). Eugenol inhibits ATP-induced P2X currents in trigeminal ganglion neurons. </w:t>
      </w:r>
      <w:r>
        <w:rPr>
          <w:rFonts w:ascii="Times New Roman" w:cs="Times New Roman" w:eastAsia="Times New Roman" w:hAnsi="Times New Roman"/>
          <w:i/>
          <w:iCs/>
          <w:sz w:val="24"/>
          <w:szCs w:val="24"/>
        </w:rPr>
        <w:t>Korean Journal of Physiology &amp; Pharmacology, 12</w:t>
      </w:r>
      <w:r>
        <w:rPr>
          <w:rFonts w:ascii="Times New Roman" w:cs="Times New Roman" w:eastAsia="Times New Roman" w:hAnsi="Times New Roman"/>
          <w:sz w:val="24"/>
          <w:szCs w:val="24"/>
        </w:rPr>
        <w:t>(6), 315–321.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W. J., </w:t>
      </w:r>
      <w:r>
        <w:rPr>
          <w:rFonts w:ascii="Times New Roman" w:cs="Times New Roman" w:eastAsia="Times New Roman" w:hAnsi="Times New Roman"/>
          <w:sz w:val="24"/>
          <w:szCs w:val="24"/>
        </w:rPr>
        <w:t>Nie</w:t>
      </w:r>
      <w:r>
        <w:rPr>
          <w:rFonts w:ascii="Times New Roman" w:cs="Times New Roman" w:eastAsia="Times New Roman" w:hAnsi="Times New Roman"/>
          <w:sz w:val="24"/>
          <w:szCs w:val="24"/>
        </w:rPr>
        <w:t xml:space="preserve">, S. P., Liu, X. Z., Zhang, H., Yang, Y., &amp; Yu, Q.,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Antimicrobial properties, antioxidant activity, and cytotoxicity of ethanol-soluble acidic components from </w:t>
      </w:r>
      <w:r>
        <w:rPr>
          <w:rFonts w:ascii="Times New Roman" w:cs="Times New Roman" w:eastAsia="Times New Roman" w:hAnsi="Times New Roman"/>
          <w:i/>
          <w:iCs/>
          <w:sz w:val="24"/>
          <w:szCs w:val="24"/>
        </w:rPr>
        <w:t>Ganoderma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atrum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689–694. </w:t>
      </w:r>
      <w:r>
        <w:rPr/>
        <w:fldChar w:fldCharType="begin"/>
      </w:r>
      <w:r>
        <w:instrText xml:space="preserve"> HYPERLINK "https://doi.org/10.1016/j.fct.2011.12.011" </w:instrText>
      </w:r>
      <w:r>
        <w:rPr/>
        <w:fldChar w:fldCharType="separate"/>
      </w:r>
      <w:r>
        <w:rPr>
          <w:rFonts w:ascii="Times New Roman" w:cs="Times New Roman" w:eastAsia="Times New Roman" w:hAnsi="Times New Roman"/>
          <w:color w:val="0000ff"/>
          <w:sz w:val="24"/>
          <w:szCs w:val="24"/>
          <w:u w:val="single"/>
        </w:rPr>
        <w:t>https://doi.org/10.1016/j.fct.2011.12.011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Lillioja</w:t>
      </w:r>
      <w:r>
        <w:rPr>
          <w:rFonts w:ascii="Times New Roman" w:cs="Times New Roman" w:eastAsia="Times New Roman" w:hAnsi="Times New Roman"/>
          <w:sz w:val="24"/>
          <w:szCs w:val="24"/>
        </w:rPr>
        <w:t xml:space="preserve">, S., Mott, D. M., </w:t>
      </w:r>
      <w:r>
        <w:rPr>
          <w:rFonts w:ascii="Times New Roman" w:cs="Times New Roman" w:eastAsia="Times New Roman" w:hAnsi="Times New Roman"/>
          <w:sz w:val="24"/>
          <w:szCs w:val="24"/>
        </w:rPr>
        <w:t>Spraul</w:t>
      </w:r>
      <w:r>
        <w:rPr>
          <w:rFonts w:ascii="Times New Roman" w:cs="Times New Roman" w:eastAsia="Times New Roman" w:hAnsi="Times New Roman"/>
          <w:sz w:val="24"/>
          <w:szCs w:val="24"/>
        </w:rPr>
        <w:t xml:space="preserve">, M., Ferraro, R., Foley, J. E., </w:t>
      </w:r>
      <w:r>
        <w:rPr>
          <w:rFonts w:ascii="Times New Roman" w:cs="Times New Roman" w:eastAsia="Times New Roman" w:hAnsi="Times New Roman"/>
          <w:sz w:val="24"/>
          <w:szCs w:val="24"/>
        </w:rPr>
        <w:t>Ravussin</w:t>
      </w:r>
      <w:r>
        <w:rPr>
          <w:rFonts w:ascii="Times New Roman" w:cs="Times New Roman" w:eastAsia="Times New Roman" w:hAnsi="Times New Roman"/>
          <w:sz w:val="24"/>
          <w:szCs w:val="24"/>
        </w:rPr>
        <w:t xml:space="preserve">, 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(2013). Insulin resistance and insulin secretory dysfunction as precursors of non–insulin–dependent diabetes. </w:t>
      </w:r>
      <w:r>
        <w:rPr>
          <w:rFonts w:ascii="Times New Roman" w:cs="Times New Roman" w:eastAsia="Times New Roman" w:hAnsi="Times New Roman"/>
          <w:i/>
          <w:iCs/>
          <w:sz w:val="24"/>
          <w:szCs w:val="24"/>
        </w:rPr>
        <w:t>The New England Journal of Medicine, 329,</w:t>
      </w:r>
      <w:r>
        <w:rPr>
          <w:rFonts w:ascii="Times New Roman" w:cs="Times New Roman" w:eastAsia="Times New Roman" w:hAnsi="Times New Roman"/>
          <w:sz w:val="24"/>
          <w:szCs w:val="24"/>
        </w:rPr>
        <w:t xml:space="preserve"> 1988–1992.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Matan, N., </w:t>
      </w:r>
      <w:r>
        <w:rPr>
          <w:rFonts w:ascii="Times New Roman" w:cs="Times New Roman" w:eastAsia="Times New Roman" w:hAnsi="Times New Roman"/>
          <w:sz w:val="24"/>
          <w:szCs w:val="24"/>
        </w:rPr>
        <w:t>Rimkeeree</w:t>
      </w:r>
      <w:r>
        <w:rPr>
          <w:rFonts w:ascii="Times New Roman" w:cs="Times New Roman" w:eastAsia="Times New Roman" w:hAnsi="Times New Roman"/>
          <w:sz w:val="24"/>
          <w:szCs w:val="24"/>
        </w:rPr>
        <w:t xml:space="preserve">, H., Mawson, A. J., </w:t>
      </w:r>
      <w:r>
        <w:rPr>
          <w:rFonts w:ascii="Times New Roman" w:cs="Times New Roman" w:eastAsia="Times New Roman" w:hAnsi="Times New Roman"/>
          <w:sz w:val="24"/>
          <w:szCs w:val="24"/>
        </w:rPr>
        <w:t>Chompreeda</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Haruthaithanasan</w:t>
      </w:r>
      <w:r>
        <w:rPr>
          <w:rFonts w:ascii="Times New Roman" w:cs="Times New Roman" w:eastAsia="Times New Roman" w:hAnsi="Times New Roman"/>
          <w:sz w:val="24"/>
          <w:szCs w:val="24"/>
        </w:rPr>
        <w:t xml:space="preserve">, V., &amp; Parker, M. (2016). Antimicrobial activity of cinnamon and clove oils under modified </w:t>
      </w:r>
      <w:r>
        <w:rPr>
          <w:rFonts w:ascii="Times New Roman" w:cs="Times New Roman" w:eastAsia="Times New Roman" w:hAnsi="Times New Roman"/>
          <w:sz w:val="24"/>
          <w:szCs w:val="24"/>
        </w:rPr>
        <w:t xml:space="preserve">atmosphere conditions. </w:t>
      </w:r>
      <w:r>
        <w:rPr>
          <w:rFonts w:ascii="Times New Roman" w:cs="Times New Roman" w:eastAsia="Times New Roman" w:hAnsi="Times New Roman"/>
          <w:i/>
          <w:iCs/>
          <w:sz w:val="24"/>
          <w:szCs w:val="24"/>
        </w:rPr>
        <w:t>International Journal of Food Microbiology, 107,</w:t>
      </w:r>
      <w:r>
        <w:rPr>
          <w:rFonts w:ascii="Times New Roman" w:cs="Times New Roman" w:eastAsia="Times New Roman" w:hAnsi="Times New Roman"/>
          <w:sz w:val="24"/>
          <w:szCs w:val="24"/>
        </w:rPr>
        <w:t xml:space="preserve"> 180–185. </w:t>
      </w:r>
      <w:r>
        <w:rPr/>
        <w:fldChar w:fldCharType="begin"/>
      </w:r>
      <w:r>
        <w:instrText xml:space="preserve"> HYPERLINK "https://doi.org/10.1016/j.ijfoodmicro.2005.07.007" </w:instrText>
      </w:r>
      <w:r>
        <w:rPr/>
        <w:fldChar w:fldCharType="separate"/>
      </w:r>
      <w:r>
        <w:rPr>
          <w:rFonts w:ascii="Times New Roman" w:cs="Times New Roman" w:eastAsia="Times New Roman" w:hAnsi="Times New Roman"/>
          <w:color w:val="0000ff"/>
          <w:sz w:val="24"/>
          <w:szCs w:val="24"/>
          <w:u w:val="single"/>
        </w:rPr>
        <w:t>https://doi.org/10.1016/j.ijfoodmicro.2005.07.007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Mehta, K. D., Garg, G. R., Mehta, A. K., Arora, T., Sharma, A. K., Khanna,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Reversal of propoxur-induced impairment of memory and oxidative stress by 4′-chlorodiazepam in rats. </w:t>
      </w:r>
      <w:r>
        <w:rPr>
          <w:rFonts w:ascii="Times New Roman" w:cs="Times New Roman" w:eastAsia="Times New Roman" w:hAnsi="Times New Roman"/>
          <w:i/>
          <w:iCs/>
          <w:sz w:val="24"/>
          <w:szCs w:val="24"/>
        </w:rPr>
        <w:t>Naunyn-Schmiedeberg's</w:t>
      </w:r>
      <w:r>
        <w:rPr>
          <w:rFonts w:ascii="Times New Roman" w:cs="Times New Roman" w:eastAsia="Times New Roman" w:hAnsi="Times New Roman"/>
          <w:i/>
          <w:iCs/>
          <w:sz w:val="24"/>
          <w:szCs w:val="24"/>
        </w:rPr>
        <w:t xml:space="preserve"> Archives of Pharmacology, 381</w:t>
      </w:r>
      <w:r>
        <w:rPr>
          <w:rFonts w:ascii="Times New Roman" w:cs="Times New Roman" w:eastAsia="Times New Roman" w:hAnsi="Times New Roman"/>
          <w:sz w:val="24"/>
          <w:szCs w:val="24"/>
        </w:rPr>
        <w:t>(1), 1–10.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Mohan, V., &amp; </w:t>
      </w:r>
      <w:r>
        <w:rPr>
          <w:rFonts w:ascii="Times New Roman" w:cs="Times New Roman" w:eastAsia="Times New Roman" w:hAnsi="Times New Roman"/>
          <w:sz w:val="24"/>
          <w:szCs w:val="24"/>
        </w:rPr>
        <w:t>Pradeepa</w:t>
      </w:r>
      <w:r>
        <w:rPr>
          <w:rFonts w:ascii="Times New Roman" w:cs="Times New Roman" w:eastAsia="Times New Roman" w:hAnsi="Times New Roman"/>
          <w:sz w:val="24"/>
          <w:szCs w:val="24"/>
        </w:rPr>
        <w:t xml:space="preserve">, R. (2019). Epidemiology of diabetes in different regions of India. </w:t>
      </w:r>
      <w:r>
        <w:rPr>
          <w:rFonts w:ascii="Times New Roman" w:cs="Times New Roman" w:eastAsia="Times New Roman" w:hAnsi="Times New Roman"/>
          <w:i/>
          <w:iCs/>
          <w:sz w:val="24"/>
          <w:szCs w:val="24"/>
        </w:rPr>
        <w:t>Diabetes Research and Clinical Practice, 22,</w:t>
      </w:r>
      <w:r>
        <w:rPr>
          <w:rFonts w:ascii="Times New Roman" w:cs="Times New Roman" w:eastAsia="Times New Roman" w:hAnsi="Times New Roman"/>
          <w:sz w:val="24"/>
          <w:szCs w:val="24"/>
        </w:rPr>
        <w:t xml:space="preserve"> 1–18.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Mooy</w:t>
      </w:r>
      <w:r>
        <w:rPr>
          <w:rFonts w:ascii="Times New Roman" w:cs="Times New Roman" w:eastAsia="Times New Roman" w:hAnsi="Times New Roman"/>
          <w:sz w:val="24"/>
          <w:szCs w:val="24"/>
        </w:rPr>
        <w:t xml:space="preserve">, J. M., </w:t>
      </w:r>
      <w:r>
        <w:rPr>
          <w:rFonts w:ascii="Times New Roman" w:cs="Times New Roman" w:eastAsia="Times New Roman" w:hAnsi="Times New Roman"/>
          <w:sz w:val="24"/>
          <w:szCs w:val="24"/>
        </w:rPr>
        <w:t>Grootenhuis</w:t>
      </w:r>
      <w:r>
        <w:rPr>
          <w:rFonts w:ascii="Times New Roman" w:cs="Times New Roman" w:eastAsia="Times New Roman" w:hAnsi="Times New Roman"/>
          <w:sz w:val="24"/>
          <w:szCs w:val="24"/>
        </w:rPr>
        <w:t xml:space="preserve">, P. A., de Vries, H., Valkenburg, H. A., </w:t>
      </w:r>
      <w:r>
        <w:rPr>
          <w:rFonts w:ascii="Times New Roman" w:cs="Times New Roman" w:eastAsia="Times New Roman" w:hAnsi="Times New Roman"/>
          <w:sz w:val="24"/>
          <w:szCs w:val="24"/>
        </w:rPr>
        <w:t>Bouter</w:t>
      </w:r>
      <w:r>
        <w:rPr>
          <w:rFonts w:ascii="Times New Roman" w:cs="Times New Roman" w:eastAsia="Times New Roman" w:hAnsi="Times New Roman"/>
          <w:sz w:val="24"/>
          <w:szCs w:val="24"/>
        </w:rPr>
        <w:t xml:space="preserve">, L. M., &amp; </w:t>
      </w:r>
      <w:r>
        <w:rPr>
          <w:rFonts w:ascii="Times New Roman" w:cs="Times New Roman" w:eastAsia="Times New Roman" w:hAnsi="Times New Roman"/>
          <w:sz w:val="24"/>
          <w:szCs w:val="24"/>
        </w:rPr>
        <w:t>Kostense</w:t>
      </w:r>
      <w:r>
        <w:rPr>
          <w:rFonts w:ascii="Times New Roman" w:cs="Times New Roman" w:eastAsia="Times New Roman" w:hAnsi="Times New Roman"/>
          <w:sz w:val="24"/>
          <w:szCs w:val="24"/>
        </w:rPr>
        <w:t xml:space="preserve">, P. J.,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Prevalence and determinants of glucose intolerance in a Dutch population. </w:t>
      </w:r>
      <w:r>
        <w:rPr>
          <w:rFonts w:ascii="Times New Roman" w:cs="Times New Roman" w:eastAsia="Times New Roman" w:hAnsi="Times New Roman"/>
          <w:i/>
          <w:iCs/>
          <w:sz w:val="24"/>
          <w:szCs w:val="24"/>
        </w:rPr>
        <w:t>Diabetes Care, 18,</w:t>
      </w:r>
      <w:r>
        <w:rPr>
          <w:rFonts w:ascii="Times New Roman" w:cs="Times New Roman" w:eastAsia="Times New Roman" w:hAnsi="Times New Roman"/>
          <w:sz w:val="24"/>
          <w:szCs w:val="24"/>
        </w:rPr>
        <w:t xml:space="preserve"> 1270–1273.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Muddapur</w:t>
      </w:r>
      <w:r>
        <w:rPr>
          <w:rFonts w:ascii="Times New Roman" w:cs="Times New Roman" w:eastAsia="Times New Roman" w:hAnsi="Times New Roman"/>
          <w:sz w:val="24"/>
          <w:szCs w:val="24"/>
        </w:rPr>
        <w:t xml:space="preserve">, U. M., Lava, M. B., &amp;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(2022). Evaluation of green synthesized gold nanoparticles from </w:t>
      </w:r>
      <w:r>
        <w:rPr>
          <w:rFonts w:ascii="Times New Roman" w:cs="Times New Roman" w:eastAsia="Times New Roman" w:hAnsi="Times New Roman"/>
          <w:i/>
          <w:iCs/>
          <w:sz w:val="24"/>
          <w:szCs w:val="24"/>
        </w:rPr>
        <w:t>Abrus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precatorius</w:t>
      </w:r>
      <w:r>
        <w:rPr>
          <w:rFonts w:ascii="Times New Roman" w:cs="Times New Roman" w:eastAsia="Times New Roman" w:hAnsi="Times New Roman"/>
          <w:sz w:val="24"/>
          <w:szCs w:val="24"/>
        </w:rPr>
        <w:t xml:space="preserve"> seeds for their antibacterial, anti-inflammatory, anti-proliferative, and antidiabetic properties. </w:t>
      </w:r>
      <w:r>
        <w:rPr>
          <w:rFonts w:ascii="Times New Roman" w:cs="Times New Roman" w:eastAsia="Times New Roman" w:hAnsi="Times New Roman"/>
          <w:i/>
          <w:iCs/>
          <w:sz w:val="24"/>
          <w:szCs w:val="24"/>
        </w:rPr>
        <w:t>Latin American Journal of Pharmacy, 41,</w:t>
      </w:r>
      <w:r>
        <w:rPr>
          <w:rFonts w:ascii="Times New Roman" w:cs="Times New Roman" w:eastAsia="Times New Roman" w:hAnsi="Times New Roman"/>
          <w:sz w:val="24"/>
          <w:szCs w:val="24"/>
        </w:rPr>
        <w:t xml:space="preserve"> 17–45.</w:t>
      </w:r>
    </w:p>
    <w:p>
      <w:pPr>
        <w:pStyle w:val="style94"/>
        <w:ind w:left="720" w:hanging="720"/>
        <w:jc w:val="both"/>
        <w:rPr/>
      </w:pPr>
      <w:r>
        <w:t>Nirwati</w:t>
      </w:r>
      <w:r>
        <w:t xml:space="preserve">, H., </w:t>
      </w:r>
      <w:r>
        <w:t>Sinanjung</w:t>
      </w:r>
      <w:r>
        <w:t xml:space="preserve">, K., </w:t>
      </w:r>
      <w:r>
        <w:t>Fahrunissa</w:t>
      </w:r>
      <w:r>
        <w:t xml:space="preserve">, F., </w:t>
      </w:r>
      <w:r>
        <w:t>Wahyuni</w:t>
      </w:r>
      <w:r>
        <w:t xml:space="preserve">, R. M., &amp; </w:t>
      </w:r>
      <w:r>
        <w:t>Sudarmono</w:t>
      </w:r>
      <w:r>
        <w:t xml:space="preserve">, P. (2022). Methicillin-resistant </w:t>
      </w:r>
      <w:r>
        <w:rPr>
          <w:rStyle w:val="style88"/>
        </w:rPr>
        <w:t>Staphylococcus aureus</w:t>
      </w:r>
      <w:r>
        <w:t xml:space="preserve"> in hospitals: Epidemiology and current treatment options. </w:t>
      </w:r>
      <w:r>
        <w:rPr>
          <w:rStyle w:val="style88"/>
        </w:rPr>
        <w:t>Microorganisms</w:t>
      </w:r>
      <w:r>
        <w:t xml:space="preserve">, 10(2), 354. </w:t>
      </w:r>
      <w:r>
        <w:rPr/>
        <w:fldChar w:fldCharType="begin"/>
      </w:r>
      <w:r>
        <w:instrText xml:space="preserve"> HYPERLINK "https://doi.org/10.3390/microorganisms10020354" </w:instrText>
      </w:r>
      <w:r>
        <w:rPr/>
        <w:fldChar w:fldCharType="separate"/>
      </w:r>
      <w:r>
        <w:rPr>
          <w:rStyle w:val="style85"/>
          <w:rFonts w:eastAsia="宋体"/>
        </w:rPr>
        <w:t>https://doi.org/10.3390/microorganisms10020354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Nuñez</w:t>
      </w:r>
      <w:r>
        <w:rPr>
          <w:rFonts w:ascii="Times New Roman" w:cs="Times New Roman" w:eastAsia="Times New Roman" w:hAnsi="Times New Roman"/>
          <w:sz w:val="24"/>
          <w:szCs w:val="24"/>
        </w:rPr>
        <w:t xml:space="preserve">, L., &amp; </w:t>
      </w:r>
      <w:r>
        <w:rPr>
          <w:rFonts w:ascii="Times New Roman" w:cs="Times New Roman" w:eastAsia="Times New Roman" w:hAnsi="Times New Roman"/>
          <w:sz w:val="24"/>
          <w:szCs w:val="24"/>
        </w:rPr>
        <w:t>D'Aquino</w:t>
      </w:r>
      <w:r>
        <w:rPr>
          <w:rFonts w:ascii="Times New Roman" w:cs="Times New Roman" w:eastAsia="Times New Roman" w:hAnsi="Times New Roman"/>
          <w:sz w:val="24"/>
          <w:szCs w:val="24"/>
        </w:rPr>
        <w:t>, M. (2012). Microbicide activity of clove essential oil (</w:t>
      </w:r>
      <w:r>
        <w:rPr>
          <w:rFonts w:ascii="Times New Roman" w:cs="Times New Roman" w:eastAsia="Times New Roman" w:hAnsi="Times New Roman"/>
          <w:i/>
          <w:iCs/>
          <w:sz w:val="24"/>
          <w:szCs w:val="24"/>
        </w:rPr>
        <w:t xml:space="preserve">Eugenia </w:t>
      </w:r>
      <w:r>
        <w:rPr>
          <w:rFonts w:ascii="Times New Roman" w:cs="Times New Roman" w:eastAsia="Times New Roman" w:hAnsi="Times New Roman"/>
          <w:i/>
          <w:iCs/>
          <w:sz w:val="24"/>
          <w:szCs w:val="24"/>
        </w:rPr>
        <w:t>caryophyllata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Brazilian Journal of Microbiology, 43,</w:t>
      </w:r>
      <w:r>
        <w:rPr>
          <w:rFonts w:ascii="Times New Roman" w:cs="Times New Roman" w:eastAsia="Times New Roman" w:hAnsi="Times New Roman"/>
          <w:sz w:val="24"/>
          <w:szCs w:val="24"/>
        </w:rPr>
        <w:t xml:space="preserve"> 1255–1260. </w:t>
      </w:r>
      <w:r>
        <w:rPr/>
        <w:fldChar w:fldCharType="begin"/>
      </w:r>
      <w:r>
        <w:instrText xml:space="preserve"> HYPERLINK "https://doi.org/10.1590/S1517-83822012000400003" </w:instrText>
      </w:r>
      <w:r>
        <w:rPr/>
        <w:fldChar w:fldCharType="separate"/>
      </w:r>
      <w:r>
        <w:rPr>
          <w:rFonts w:ascii="Times New Roman" w:cs="Times New Roman" w:eastAsia="Times New Roman" w:hAnsi="Times New Roman"/>
          <w:color w:val="0000ff"/>
          <w:sz w:val="24"/>
          <w:szCs w:val="24"/>
          <w:u w:val="single"/>
        </w:rPr>
        <w:t>https://doi.org/10.1590/S1517-83822012000400003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Ohkubo, T., &amp; Shibata, M. (2017). The selective capsaicin antagonist </w:t>
      </w:r>
      <w:r>
        <w:rPr>
          <w:rFonts w:ascii="Times New Roman" w:cs="Times New Roman" w:eastAsia="Times New Roman" w:hAnsi="Times New Roman"/>
          <w:sz w:val="24"/>
          <w:szCs w:val="24"/>
        </w:rPr>
        <w:t>capsazepine</w:t>
      </w:r>
      <w:r>
        <w:rPr>
          <w:rFonts w:ascii="Times New Roman" w:cs="Times New Roman" w:eastAsia="Times New Roman" w:hAnsi="Times New Roman"/>
          <w:sz w:val="24"/>
          <w:szCs w:val="24"/>
        </w:rPr>
        <w:t xml:space="preserve"> abolishes the antinociceptive action of eugenol and guaiacol. </w:t>
      </w:r>
      <w:r>
        <w:rPr>
          <w:rFonts w:ascii="Times New Roman" w:cs="Times New Roman" w:eastAsia="Times New Roman" w:hAnsi="Times New Roman"/>
          <w:i/>
          <w:iCs/>
          <w:sz w:val="24"/>
          <w:szCs w:val="24"/>
        </w:rPr>
        <w:t>Journal of Dental Research, 76</w:t>
      </w:r>
      <w:r>
        <w:rPr>
          <w:rFonts w:ascii="Times New Roman" w:cs="Times New Roman" w:eastAsia="Times New Roman" w:hAnsi="Times New Roman"/>
          <w:sz w:val="24"/>
          <w:szCs w:val="24"/>
        </w:rPr>
        <w:t>(4), 848–851.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Oliveira, R. A., Oliveira, F. F., &amp; Sacramento, C. K. (2017). [Essential oils: Prospects for agribusiness spices in Bahia]. </w:t>
      </w:r>
      <w:r>
        <w:rPr>
          <w:rFonts w:ascii="Times New Roman" w:cs="Times New Roman" w:eastAsia="Times New Roman" w:hAnsi="Times New Roman"/>
          <w:i/>
          <w:iCs/>
          <w:sz w:val="24"/>
          <w:szCs w:val="24"/>
        </w:rPr>
        <w:t>Bahia Agric, 8</w:t>
      </w:r>
      <w:r>
        <w:rPr>
          <w:rFonts w:ascii="Times New Roman" w:cs="Times New Roman" w:eastAsia="Times New Roman" w:hAnsi="Times New Roman"/>
          <w:sz w:val="24"/>
          <w:szCs w:val="24"/>
        </w:rPr>
        <w:t>(1), 46–48.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Park, M. J., </w:t>
      </w:r>
      <w:r>
        <w:rPr>
          <w:rFonts w:ascii="Times New Roman" w:cs="Times New Roman" w:eastAsia="Times New Roman" w:hAnsi="Times New Roman"/>
          <w:sz w:val="24"/>
          <w:szCs w:val="24"/>
        </w:rPr>
        <w:t>Gwak</w:t>
      </w:r>
      <w:r>
        <w:rPr>
          <w:rFonts w:ascii="Times New Roman" w:cs="Times New Roman" w:eastAsia="Times New Roman" w:hAnsi="Times New Roman"/>
          <w:sz w:val="24"/>
          <w:szCs w:val="24"/>
        </w:rPr>
        <w:t xml:space="preserve">, K. S., Yang, I., Choi, W. S., Jo, H. J., Chang, J. W.,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Antifungal activities of the essential oils in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Merr</w:t>
      </w:r>
      <w:r>
        <w:rPr>
          <w:rFonts w:ascii="Times New Roman" w:cs="Times New Roman" w:eastAsia="Times New Roman" w:hAnsi="Times New Roman"/>
          <w:sz w:val="24"/>
          <w:szCs w:val="24"/>
        </w:rPr>
        <w:t xml:space="preserve">. et Perry and </w:t>
      </w:r>
      <w:r>
        <w:rPr>
          <w:rFonts w:ascii="Times New Roman" w:cs="Times New Roman" w:eastAsia="Times New Roman" w:hAnsi="Times New Roman"/>
          <w:i/>
          <w:iCs/>
          <w:sz w:val="24"/>
          <w:szCs w:val="24"/>
        </w:rPr>
        <w:t xml:space="preserve">Leptospermum </w:t>
      </w:r>
      <w:r>
        <w:rPr>
          <w:rFonts w:ascii="Times New Roman" w:cs="Times New Roman" w:eastAsia="Times New Roman" w:hAnsi="Times New Roman"/>
          <w:i/>
          <w:iCs/>
          <w:sz w:val="24"/>
          <w:szCs w:val="24"/>
        </w:rPr>
        <w:t>petersonii</w:t>
      </w:r>
      <w:r>
        <w:rPr>
          <w:rFonts w:ascii="Times New Roman" w:cs="Times New Roman" w:eastAsia="Times New Roman" w:hAnsi="Times New Roman"/>
          <w:sz w:val="24"/>
          <w:szCs w:val="24"/>
        </w:rPr>
        <w:t xml:space="preserve"> Bailey and their constituents against various dermatophytes. </w:t>
      </w:r>
      <w:r>
        <w:rPr>
          <w:rFonts w:ascii="Times New Roman" w:cs="Times New Roman" w:eastAsia="Times New Roman" w:hAnsi="Times New Roman"/>
          <w:i/>
          <w:iCs/>
          <w:sz w:val="24"/>
          <w:szCs w:val="24"/>
        </w:rPr>
        <w:t>Journal of Microbiology, 45</w:t>
      </w:r>
      <w:r>
        <w:rPr>
          <w:rFonts w:ascii="Times New Roman" w:cs="Times New Roman" w:eastAsia="Times New Roman" w:hAnsi="Times New Roman"/>
          <w:sz w:val="24"/>
          <w:szCs w:val="24"/>
        </w:rPr>
        <w:t>(5), 460–465.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Pérez-Conesa, D., </w:t>
      </w:r>
      <w:r>
        <w:rPr>
          <w:rFonts w:ascii="Times New Roman" w:cs="Times New Roman" w:eastAsia="Times New Roman" w:hAnsi="Times New Roman"/>
          <w:sz w:val="24"/>
          <w:szCs w:val="24"/>
        </w:rPr>
        <w:t>McLandsborough</w:t>
      </w:r>
      <w:r>
        <w:rPr>
          <w:rFonts w:ascii="Times New Roman" w:cs="Times New Roman" w:eastAsia="Times New Roman" w:hAnsi="Times New Roman"/>
          <w:sz w:val="24"/>
          <w:szCs w:val="24"/>
        </w:rPr>
        <w:t xml:space="preserve">, L., &amp; Weiss, J. (2016). Inhibition and inactivation of </w:t>
      </w:r>
      <w:r>
        <w:rPr>
          <w:rFonts w:ascii="Times New Roman" w:cs="Times New Roman" w:eastAsia="Times New Roman" w:hAnsi="Times New Roman"/>
          <w:i/>
          <w:iCs/>
          <w:sz w:val="24"/>
          <w:szCs w:val="24"/>
        </w:rPr>
        <w:t>Listeria monocytogenes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colony biofilms by micellar-encapsulated eugenol and carvacrol. </w:t>
      </w:r>
      <w:r>
        <w:rPr>
          <w:rFonts w:ascii="Times New Roman" w:cs="Times New Roman" w:eastAsia="Times New Roman" w:hAnsi="Times New Roman"/>
          <w:i/>
          <w:iCs/>
          <w:sz w:val="24"/>
          <w:szCs w:val="24"/>
        </w:rPr>
        <w:t>Journal of Food Protection, 69</w:t>
      </w:r>
      <w:r>
        <w:rPr>
          <w:rFonts w:ascii="Times New Roman" w:cs="Times New Roman" w:eastAsia="Times New Roman" w:hAnsi="Times New Roman"/>
          <w:sz w:val="24"/>
          <w:szCs w:val="24"/>
        </w:rPr>
        <w:t>(12), 2947–2954.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Pérez-Jiménez, J., </w:t>
      </w:r>
      <w:r>
        <w:rPr>
          <w:rFonts w:ascii="Times New Roman" w:cs="Times New Roman" w:eastAsia="Times New Roman" w:hAnsi="Times New Roman"/>
          <w:sz w:val="24"/>
          <w:szCs w:val="24"/>
        </w:rPr>
        <w:t>Neveu</w:t>
      </w:r>
      <w:r>
        <w:rPr>
          <w:rFonts w:ascii="Times New Roman" w:cs="Times New Roman" w:eastAsia="Times New Roman" w:hAnsi="Times New Roman"/>
          <w:sz w:val="24"/>
          <w:szCs w:val="24"/>
        </w:rPr>
        <w:t xml:space="preserve">, V., Vos, F., &amp; </w:t>
      </w:r>
      <w:r>
        <w:rPr>
          <w:rFonts w:ascii="Times New Roman" w:cs="Times New Roman" w:eastAsia="Times New Roman" w:hAnsi="Times New Roman"/>
          <w:sz w:val="24"/>
          <w:szCs w:val="24"/>
        </w:rPr>
        <w:t>Scalbert</w:t>
      </w:r>
      <w:r>
        <w:rPr>
          <w:rFonts w:ascii="Times New Roman" w:cs="Times New Roman" w:eastAsia="Times New Roman" w:hAnsi="Times New Roman"/>
          <w:sz w:val="24"/>
          <w:szCs w:val="24"/>
        </w:rPr>
        <w:t xml:space="preserve">, A. (2010). Identification of the 100 richest dietary sources of polyphenols: An application of the phenol-explorer database. </w:t>
      </w:r>
      <w:r>
        <w:rPr>
          <w:rFonts w:ascii="Times New Roman" w:cs="Times New Roman" w:eastAsia="Times New Roman" w:hAnsi="Times New Roman"/>
          <w:i/>
          <w:iCs/>
          <w:sz w:val="24"/>
          <w:szCs w:val="24"/>
        </w:rPr>
        <w:t>European Journal of Clinical Nutrition, 64</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3), S112–S120.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Ramachandran, A., </w:t>
      </w:r>
      <w:r>
        <w:rPr>
          <w:rFonts w:ascii="Times New Roman" w:cs="Times New Roman" w:eastAsia="Times New Roman" w:hAnsi="Times New Roman"/>
          <w:sz w:val="24"/>
          <w:szCs w:val="24"/>
        </w:rPr>
        <w:t>Snehalatha</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Latha</w:t>
      </w:r>
      <w:r>
        <w:rPr>
          <w:rFonts w:ascii="Times New Roman" w:cs="Times New Roman" w:eastAsia="Times New Roman" w:hAnsi="Times New Roman"/>
          <w:sz w:val="24"/>
          <w:szCs w:val="24"/>
        </w:rPr>
        <w:t xml:space="preserve">, E., Vijay, V., &amp; Viswanathan, M. (2017). Rising prevalence of NIDDM in an urban population in India. </w:t>
      </w:r>
      <w:r>
        <w:rPr>
          <w:rFonts w:ascii="Times New Roman" w:cs="Times New Roman" w:eastAsia="Times New Roman" w:hAnsi="Times New Roman"/>
          <w:i/>
          <w:iCs/>
          <w:sz w:val="24"/>
          <w:szCs w:val="24"/>
        </w:rPr>
        <w:t>Diabetologia</w:t>
      </w:r>
      <w:r>
        <w:rPr>
          <w:rFonts w:ascii="Times New Roman" w:cs="Times New Roman" w:eastAsia="Times New Roman" w:hAnsi="Times New Roman"/>
          <w:i/>
          <w:iCs/>
          <w:sz w:val="24"/>
          <w:szCs w:val="24"/>
        </w:rPr>
        <w:t>, 40,</w:t>
      </w:r>
      <w:r>
        <w:rPr>
          <w:rFonts w:ascii="Times New Roman" w:cs="Times New Roman" w:eastAsia="Times New Roman" w:hAnsi="Times New Roman"/>
          <w:sz w:val="24"/>
          <w:szCs w:val="24"/>
        </w:rPr>
        <w:t xml:space="preserve"> 232–237.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Rana, I. S., Rana, A. S., &amp; </w:t>
      </w:r>
      <w:r>
        <w:rPr>
          <w:rFonts w:ascii="Times New Roman" w:cs="Times New Roman" w:eastAsia="Times New Roman" w:hAnsi="Times New Roman"/>
          <w:sz w:val="24"/>
          <w:szCs w:val="24"/>
        </w:rPr>
        <w:t>Rajak</w:t>
      </w:r>
      <w:r>
        <w:rPr>
          <w:rFonts w:ascii="Times New Roman" w:cs="Times New Roman" w:eastAsia="Times New Roman" w:hAnsi="Times New Roman"/>
          <w:sz w:val="24"/>
          <w:szCs w:val="24"/>
        </w:rPr>
        <w:t xml:space="preserve">, R. C. (2011). Evaluation of antifungal activity in essential oil of the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by extraction, purification, and analysis of its main component eugenol. </w:t>
      </w:r>
      <w:r>
        <w:rPr>
          <w:rFonts w:ascii="Times New Roman" w:cs="Times New Roman" w:eastAsia="Times New Roman" w:hAnsi="Times New Roman"/>
          <w:i/>
          <w:iCs/>
          <w:sz w:val="24"/>
          <w:szCs w:val="24"/>
        </w:rPr>
        <w:t>Brazilian Journal of Microbiology, 42</w:t>
      </w:r>
      <w:r>
        <w:rPr>
          <w:rFonts w:ascii="Times New Roman" w:cs="Times New Roman" w:eastAsia="Times New Roman" w:hAnsi="Times New Roman"/>
          <w:sz w:val="24"/>
          <w:szCs w:val="24"/>
        </w:rPr>
        <w:t>(4), 1269–1277.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Ribeiro-Santos, R., Andrade, M., Melo, N. R. de, &amp; </w:t>
      </w:r>
      <w:r>
        <w:rPr>
          <w:rFonts w:ascii="Times New Roman" w:cs="Times New Roman" w:eastAsia="Times New Roman" w:hAnsi="Times New Roman"/>
          <w:sz w:val="24"/>
          <w:szCs w:val="24"/>
        </w:rPr>
        <w:t>Sanches</w:t>
      </w:r>
      <w:r>
        <w:rPr>
          <w:rFonts w:ascii="Times New Roman" w:cs="Times New Roman" w:eastAsia="Times New Roman" w:hAnsi="Times New Roman"/>
          <w:sz w:val="24"/>
          <w:szCs w:val="24"/>
        </w:rPr>
        <w:t xml:space="preserve">-Silva, A. (2017). Use of essential oils in active food packaging: Recent advances and future trends. </w:t>
      </w:r>
      <w:r>
        <w:rPr>
          <w:rFonts w:ascii="Times New Roman" w:cs="Times New Roman" w:eastAsia="Times New Roman" w:hAnsi="Times New Roman"/>
          <w:i/>
          <w:iCs/>
          <w:sz w:val="24"/>
          <w:szCs w:val="24"/>
        </w:rPr>
        <w:t>Trends in Food Science &amp; Technology, 61,</w:t>
      </w:r>
      <w:r>
        <w:rPr>
          <w:rFonts w:ascii="Times New Roman" w:cs="Times New Roman" w:eastAsia="Times New Roman" w:hAnsi="Times New Roman"/>
          <w:sz w:val="24"/>
          <w:szCs w:val="24"/>
        </w:rPr>
        <w:t xml:space="preserve"> 132–140. </w:t>
      </w:r>
      <w:r>
        <w:rPr/>
        <w:fldChar w:fldCharType="begin"/>
      </w:r>
      <w:r>
        <w:instrText xml:space="preserve"> HYPERLINK "https://doi.org/10.1016/j.tifs.2016.11.021" </w:instrText>
      </w:r>
      <w:r>
        <w:rPr/>
        <w:fldChar w:fldCharType="separate"/>
      </w:r>
      <w:r>
        <w:rPr>
          <w:rFonts w:ascii="Times New Roman" w:cs="Times New Roman" w:eastAsia="Times New Roman" w:hAnsi="Times New Roman"/>
          <w:color w:val="0000ff"/>
          <w:sz w:val="24"/>
          <w:szCs w:val="24"/>
          <w:u w:val="single"/>
        </w:rPr>
        <w:t>https://doi.org/10.1016/j.tifs.2016.11.021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Ross, J., &amp; Wilson, A. (2010). </w:t>
      </w:r>
      <w:r>
        <w:rPr>
          <w:rFonts w:ascii="Times New Roman" w:cs="Times New Roman" w:eastAsia="Times New Roman" w:hAnsi="Times New Roman"/>
          <w:i/>
          <w:iCs/>
          <w:sz w:val="24"/>
          <w:szCs w:val="24"/>
        </w:rPr>
        <w:t>Anatomy and Pathophysiology in Health and Illness</w:t>
      </w:r>
      <w:r>
        <w:rPr>
          <w:rFonts w:ascii="Times New Roman" w:cs="Times New Roman" w:eastAsia="Times New Roman" w:hAnsi="Times New Roman"/>
          <w:sz w:val="24"/>
          <w:szCs w:val="24"/>
        </w:rPr>
        <w:t xml:space="preserve"> (11th ed., pp. 227–229). Churchill Livingstone Elsevier.</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Saeedi</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Petersohn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Salpea</w:t>
      </w:r>
      <w:r>
        <w:rPr>
          <w:rFonts w:ascii="Times New Roman" w:cs="Times New Roman" w:eastAsia="Times New Roman" w:hAnsi="Times New Roman"/>
          <w:sz w:val="24"/>
          <w:szCs w:val="24"/>
        </w:rPr>
        <w:t xml:space="preserve">, P., Malanda, B., </w:t>
      </w:r>
      <w:r>
        <w:rPr>
          <w:rFonts w:ascii="Times New Roman" w:cs="Times New Roman" w:eastAsia="Times New Roman" w:hAnsi="Times New Roman"/>
          <w:sz w:val="24"/>
          <w:szCs w:val="24"/>
        </w:rPr>
        <w:t>Karuranga</w:t>
      </w:r>
      <w:r>
        <w:rPr>
          <w:rFonts w:ascii="Times New Roman" w:cs="Times New Roman" w:eastAsia="Times New Roman" w:hAnsi="Times New Roman"/>
          <w:sz w:val="24"/>
          <w:szCs w:val="24"/>
        </w:rPr>
        <w:t xml:space="preserve">, S., Unwin,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cs="Times New Roman" w:eastAsia="Times New Roman" w:hAnsi="Times New Roman"/>
          <w:i/>
          <w:iCs/>
          <w:sz w:val="24"/>
          <w:szCs w:val="24"/>
        </w:rPr>
        <w:t>Diabetes Research and Clinical Practice, 157,</w:t>
      </w:r>
      <w:r>
        <w:rPr>
          <w:rFonts w:ascii="Times New Roman" w:cs="Times New Roman" w:eastAsia="Times New Roman" w:hAnsi="Times New Roman"/>
          <w:sz w:val="24"/>
          <w:szCs w:val="24"/>
        </w:rPr>
        <w:t xml:space="preserve"> 107843. </w:t>
      </w:r>
      <w:r>
        <w:rPr/>
        <w:fldChar w:fldCharType="begin"/>
      </w:r>
      <w:r>
        <w:instrText xml:space="preserve"> HYPERLINK "https://doi.org/10.1016/j.diabres.2019.107843" </w:instrText>
      </w:r>
      <w:r>
        <w:rPr/>
        <w:fldChar w:fldCharType="separate"/>
      </w:r>
      <w:r>
        <w:rPr>
          <w:rFonts w:ascii="Times New Roman" w:cs="Times New Roman" w:eastAsia="Times New Roman" w:hAnsi="Times New Roman"/>
          <w:color w:val="0000ff"/>
          <w:sz w:val="24"/>
          <w:szCs w:val="24"/>
          <w:u w:val="single"/>
        </w:rPr>
        <w:t>https://doi.org/10.1016/j.diabres.2019.107843</w:t>
      </w:r>
      <w:r>
        <w:rPr/>
        <w:fldChar w:fldCharType="end"/>
      </w:r>
    </w:p>
    <w:p>
      <w:pPr>
        <w:pStyle w:val="style94"/>
        <w:ind w:left="720" w:hanging="720"/>
        <w:jc w:val="both"/>
        <w:rPr/>
      </w:pPr>
      <w:r>
        <w:t xml:space="preserve">Saleh, F., Khan, A., </w:t>
      </w:r>
      <w:r>
        <w:t>Haque</w:t>
      </w:r>
      <w:r>
        <w:t xml:space="preserve">, M. M., &amp; Uddin, S. M. K. (2022). Comparative study of different solvents in extracting phytochemicals and antimicrobial compounds from clove. </w:t>
      </w:r>
      <w:r>
        <w:rPr>
          <w:rStyle w:val="style88"/>
        </w:rPr>
        <w:t>Scientific Reports</w:t>
      </w:r>
      <w:r>
        <w:t xml:space="preserve">, 12(1), 15904. </w:t>
      </w:r>
      <w:r>
        <w:rPr/>
        <w:fldChar w:fldCharType="begin"/>
      </w:r>
      <w:r>
        <w:instrText xml:space="preserve"> HYPERLINK "https://doi.org/10.1038/s41598-022-19944-0" </w:instrText>
      </w:r>
      <w:r>
        <w:rPr/>
        <w:fldChar w:fldCharType="separate"/>
      </w:r>
      <w:r>
        <w:rPr>
          <w:rStyle w:val="style85"/>
          <w:rFonts w:eastAsia="宋体"/>
        </w:rPr>
        <w:t>https://doi.org/10.1038/s41598-022-19944-0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Sapra</w:t>
      </w:r>
      <w:r>
        <w:rPr>
          <w:rFonts w:ascii="Times New Roman" w:cs="Times New Roman" w:eastAsia="Times New Roman" w:hAnsi="Times New Roman"/>
          <w:sz w:val="24"/>
          <w:szCs w:val="24"/>
        </w:rPr>
        <w:t xml:space="preserve">, A., &amp; Bhandari, P. (2022). Diabetes Mellitus. Treasure Island, FL: </w:t>
      </w:r>
      <w:r>
        <w:rPr>
          <w:rFonts w:ascii="Times New Roman" w:cs="Times New Roman" w:eastAsia="Times New Roman" w:hAnsi="Times New Roman"/>
          <w:sz w:val="24"/>
          <w:szCs w:val="24"/>
        </w:rPr>
        <w:t>StatPearls</w:t>
      </w:r>
      <w:r>
        <w:rPr>
          <w:rFonts w:ascii="Times New Roman" w:cs="Times New Roman" w:eastAsia="Times New Roman" w:hAnsi="Times New Roman"/>
          <w:sz w:val="24"/>
          <w:szCs w:val="24"/>
        </w:rPr>
        <w:t xml:space="preserve"> Publishing.</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Sebaaly</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Jraij</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Fessi</w:t>
      </w:r>
      <w:r>
        <w:rPr>
          <w:rFonts w:ascii="Times New Roman" w:cs="Times New Roman" w:eastAsia="Times New Roman" w:hAnsi="Times New Roman"/>
          <w:sz w:val="24"/>
          <w:szCs w:val="24"/>
        </w:rPr>
        <w:t xml:space="preserve">, H., </w:t>
      </w:r>
      <w:r>
        <w:rPr>
          <w:rFonts w:ascii="Times New Roman" w:cs="Times New Roman" w:eastAsia="Times New Roman" w:hAnsi="Times New Roman"/>
          <w:sz w:val="24"/>
          <w:szCs w:val="24"/>
        </w:rPr>
        <w:t>Charcosset</w:t>
      </w:r>
      <w:r>
        <w:rPr>
          <w:rFonts w:ascii="Times New Roman" w:cs="Times New Roman" w:eastAsia="Times New Roman" w:hAnsi="Times New Roman"/>
          <w:sz w:val="24"/>
          <w:szCs w:val="24"/>
        </w:rPr>
        <w:t>, C., &amp; Greige-</w:t>
      </w:r>
      <w:r>
        <w:rPr>
          <w:rFonts w:ascii="Times New Roman" w:cs="Times New Roman" w:eastAsia="Times New Roman" w:hAnsi="Times New Roman"/>
          <w:sz w:val="24"/>
          <w:szCs w:val="24"/>
        </w:rPr>
        <w:t>Gerges</w:t>
      </w:r>
      <w:r>
        <w:rPr>
          <w:rFonts w:ascii="Times New Roman" w:cs="Times New Roman" w:eastAsia="Times New Roman" w:hAnsi="Times New Roman"/>
          <w:sz w:val="24"/>
          <w:szCs w:val="24"/>
        </w:rPr>
        <w:t xml:space="preserve">, H. (2015). Preparation and characterization of clove essential oil-loaded liposomes. </w:t>
      </w:r>
      <w:r>
        <w:rPr>
          <w:rFonts w:ascii="Times New Roman" w:cs="Times New Roman" w:eastAsia="Times New Roman" w:hAnsi="Times New Roman"/>
          <w:i/>
          <w:iCs/>
          <w:sz w:val="24"/>
          <w:szCs w:val="24"/>
        </w:rPr>
        <w:t>Food Chemistry, 178,</w:t>
      </w:r>
      <w:r>
        <w:rPr>
          <w:rFonts w:ascii="Times New Roman" w:cs="Times New Roman" w:eastAsia="Times New Roman" w:hAnsi="Times New Roman"/>
          <w:sz w:val="24"/>
          <w:szCs w:val="24"/>
        </w:rPr>
        <w:t xml:space="preserve"> 52–62. </w:t>
      </w:r>
      <w:r>
        <w:rPr/>
        <w:fldChar w:fldCharType="begin"/>
      </w:r>
      <w:r>
        <w:instrText xml:space="preserve"> HYPERLINK "https://doi.org/10.1016/j.foodchem.2015.01.067" </w:instrText>
      </w:r>
      <w:r>
        <w:rPr/>
        <w:fldChar w:fldCharType="separate"/>
      </w:r>
      <w:r>
        <w:rPr>
          <w:rFonts w:ascii="Times New Roman" w:cs="Times New Roman" w:eastAsia="Times New Roman" w:hAnsi="Times New Roman"/>
          <w:color w:val="0000ff"/>
          <w:sz w:val="24"/>
          <w:szCs w:val="24"/>
          <w:u w:val="single"/>
        </w:rPr>
        <w:t>https://doi.org/10.1016/j.foodchem.2015.01.067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Shan, B., Cai, Y. Z., Sun, M., &amp; </w:t>
      </w:r>
      <w:r>
        <w:rPr>
          <w:rFonts w:ascii="Times New Roman" w:cs="Times New Roman" w:eastAsia="Times New Roman" w:hAnsi="Times New Roman"/>
          <w:sz w:val="24"/>
          <w:szCs w:val="24"/>
        </w:rPr>
        <w:t>Corke</w:t>
      </w:r>
      <w:r>
        <w:rPr>
          <w:rFonts w:ascii="Times New Roman" w:cs="Times New Roman" w:eastAsia="Times New Roman" w:hAnsi="Times New Roman"/>
          <w:sz w:val="24"/>
          <w:szCs w:val="24"/>
        </w:rPr>
        <w:t xml:space="preserve">, H. (2015). Antioxidant capacity of 26 spice extracts and characterization of their phenolic constituents. </w:t>
      </w:r>
      <w:r>
        <w:rPr>
          <w:rFonts w:ascii="Times New Roman" w:cs="Times New Roman" w:eastAsia="Times New Roman" w:hAnsi="Times New Roman"/>
          <w:i/>
          <w:iCs/>
          <w:sz w:val="24"/>
          <w:szCs w:val="24"/>
        </w:rPr>
        <w:t>Journal of Agricultural and Food Chemistry, 53</w:t>
      </w:r>
      <w:r>
        <w:rPr>
          <w:rFonts w:ascii="Times New Roman" w:cs="Times New Roman" w:eastAsia="Times New Roman" w:hAnsi="Times New Roman"/>
          <w:sz w:val="24"/>
          <w:szCs w:val="24"/>
        </w:rPr>
        <w:t>(20), 7749–7759.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 J.,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de </w:t>
      </w:r>
      <w:r>
        <w:rPr>
          <w:rFonts w:ascii="Times New Roman" w:cs="Times New Roman" w:eastAsia="Times New Roman" w:hAnsi="Times New Roman"/>
          <w:sz w:val="24"/>
          <w:szCs w:val="24"/>
        </w:rPr>
        <w:t>Courten</w:t>
      </w:r>
      <w:r>
        <w:rPr>
          <w:rFonts w:ascii="Times New Roman" w:cs="Times New Roman" w:eastAsia="Times New Roman" w:hAnsi="Times New Roman"/>
          <w:sz w:val="24"/>
          <w:szCs w:val="24"/>
        </w:rPr>
        <w:t xml:space="preserve">, M., Dowse, G., </w:t>
      </w:r>
      <w:r>
        <w:rPr>
          <w:rFonts w:ascii="Times New Roman" w:cs="Times New Roman" w:eastAsia="Times New Roman" w:hAnsi="Times New Roman"/>
          <w:sz w:val="24"/>
          <w:szCs w:val="24"/>
        </w:rPr>
        <w:t>Chitson</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Gareeboo</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Impaired fasting glucose or impaired glucose tolerance. </w:t>
      </w:r>
      <w:r>
        <w:rPr>
          <w:rFonts w:ascii="Times New Roman" w:cs="Times New Roman" w:eastAsia="Times New Roman" w:hAnsi="Times New Roman"/>
          <w:i/>
          <w:iCs/>
          <w:sz w:val="24"/>
          <w:szCs w:val="24"/>
        </w:rPr>
        <w:t>Diabetes Care, 22,</w:t>
      </w:r>
      <w:r>
        <w:rPr>
          <w:rFonts w:ascii="Times New Roman" w:cs="Times New Roman" w:eastAsia="Times New Roman" w:hAnsi="Times New Roman"/>
          <w:sz w:val="24"/>
          <w:szCs w:val="24"/>
        </w:rPr>
        <w:t xml:space="preserve"> 399–402.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Shaw, J.,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(2016). Diabetes and impaired glucose tolerance. </w:t>
      </w:r>
      <w:r>
        <w:rPr>
          <w:rFonts w:ascii="Times New Roman" w:cs="Times New Roman" w:eastAsia="Times New Roman" w:hAnsi="Times New Roman"/>
          <w:i/>
          <w:iCs/>
          <w:sz w:val="24"/>
          <w:szCs w:val="24"/>
        </w:rPr>
        <w:t>Diabetes Atlas International Diabetes Federation,</w:t>
      </w:r>
      <w:r>
        <w:rPr>
          <w:rFonts w:ascii="Times New Roman" w:cs="Times New Roman" w:eastAsia="Times New Roman" w:hAnsi="Times New Roman"/>
          <w:sz w:val="24"/>
          <w:szCs w:val="24"/>
        </w:rPr>
        <w:t xml:space="preserve"> 15–103.</w:t>
      </w:r>
    </w:p>
    <w:p>
      <w:pPr>
        <w:pStyle w:val="style94"/>
        <w:ind w:left="720" w:hanging="720"/>
        <w:jc w:val="both"/>
        <w:rPr/>
      </w:pPr>
      <w:r>
        <w:t>Singh, G., Sharma, R., &amp; Jain, A. (2021). Comparative phytochemical screening and antibacterial efficacy of clove (</w:t>
      </w:r>
      <w:r>
        <w:t>Syzygium</w:t>
      </w:r>
      <w:r>
        <w:t xml:space="preserve"> </w:t>
      </w:r>
      <w:r>
        <w:t>aromaticum</w:t>
      </w:r>
      <w:r>
        <w:t xml:space="preserve">) extracts against Gram-positive and Gram-negative bacteria. </w:t>
      </w:r>
      <w:r>
        <w:rPr>
          <w:rStyle w:val="style88"/>
        </w:rPr>
        <w:t>International Journal of Microbiology Research</w:t>
      </w:r>
      <w:r>
        <w:t>, 13(2), 45–52.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Sofia, P. K., Prasad, R., Vijay, V. K., &amp; Srivastava, A. K. (2017). Evaluation of antibacterial activity of Indian spices against common foodborne pathogens. </w:t>
      </w:r>
      <w:r>
        <w:rPr>
          <w:rFonts w:ascii="Times New Roman" w:cs="Times New Roman" w:eastAsia="Times New Roman" w:hAnsi="Times New Roman"/>
          <w:i/>
          <w:iCs/>
          <w:sz w:val="24"/>
          <w:szCs w:val="24"/>
        </w:rPr>
        <w:t>International Journal of Food Science and Technology, 42</w:t>
      </w:r>
      <w:r>
        <w:rPr>
          <w:rFonts w:ascii="Times New Roman" w:cs="Times New Roman" w:eastAsia="Times New Roman" w:hAnsi="Times New Roman"/>
          <w:sz w:val="24"/>
          <w:szCs w:val="24"/>
        </w:rPr>
        <w:t>(8), 910–915.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Sridhar, G. R., Rao, P. V., &amp; Ahuja, M. M. S. (2012). Epidemiology of diabetes and its complications. In: </w:t>
      </w:r>
      <w:r>
        <w:rPr>
          <w:rFonts w:ascii="Times New Roman" w:cs="Times New Roman" w:eastAsia="Times New Roman" w:hAnsi="Times New Roman"/>
          <w:i/>
          <w:iCs/>
          <w:sz w:val="24"/>
          <w:szCs w:val="24"/>
        </w:rPr>
        <w:t>RSSDI Textbook of Diabetes Mellitus</w:t>
      </w:r>
      <w:r>
        <w:rPr>
          <w:rFonts w:ascii="Times New Roman" w:cs="Times New Roman" w:eastAsia="Times New Roman" w:hAnsi="Times New Roman"/>
          <w:sz w:val="24"/>
          <w:szCs w:val="24"/>
        </w:rPr>
        <w:t xml:space="preserve"> (pp. 95–112).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Tahir, R. A., Sarfraz, A., Ashraf, A., &amp; Adil, S. (2016). Chemical composition and antidiabetic activity of essential oils obtained from two spices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Cuminum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cyminum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Food Properties, 19</w:t>
      </w:r>
      <w:r>
        <w:rPr>
          <w:rFonts w:ascii="Times New Roman" w:cs="Times New Roman" w:eastAsia="Times New Roman" w:hAnsi="Times New Roman"/>
          <w:sz w:val="24"/>
          <w:szCs w:val="24"/>
        </w:rPr>
        <w:t xml:space="preserve">(10), 2156–2164. </w:t>
      </w:r>
      <w:r>
        <w:rPr/>
        <w:fldChar w:fldCharType="begin"/>
      </w:r>
      <w:r>
        <w:instrText xml:space="preserve"> HYPERLINK "https://doi.org/10.1080/10942912.2015.1110166" </w:instrText>
      </w:r>
      <w:r>
        <w:rPr/>
        <w:fldChar w:fldCharType="separate"/>
      </w:r>
      <w:r>
        <w:rPr>
          <w:rFonts w:ascii="Times New Roman" w:cs="Times New Roman" w:eastAsia="Times New Roman" w:hAnsi="Times New Roman"/>
          <w:color w:val="0000ff"/>
          <w:sz w:val="24"/>
          <w:szCs w:val="24"/>
          <w:u w:val="single"/>
        </w:rPr>
        <w:t>https://doi.org/10.1080/10942912.2015.1110166</w:t>
      </w:r>
      <w:r>
        <w:rPr/>
        <w:fldChar w:fldCharType="end"/>
      </w:r>
    </w:p>
    <w:p>
      <w:pPr>
        <w:pStyle w:val="style94"/>
        <w:ind w:left="720" w:hanging="720"/>
        <w:jc w:val="both"/>
        <w:rPr/>
      </w:pPr>
      <w:r>
        <w:t>Tahsiri</w:t>
      </w:r>
      <w:r>
        <w:t xml:space="preserve">, M. R., </w:t>
      </w:r>
      <w:r>
        <w:t>Nikkhah</w:t>
      </w:r>
      <w:r>
        <w:t xml:space="preserve">, M., &amp; </w:t>
      </w:r>
      <w:r>
        <w:t>Khakbaz</w:t>
      </w:r>
      <w:r>
        <w:t xml:space="preserve"> </w:t>
      </w:r>
      <w:r>
        <w:t>Heshmati</w:t>
      </w:r>
      <w:r>
        <w:t xml:space="preserve">, G. (2023). Antibacterial and antioxidant activities of clove essential oil: A systematic review. </w:t>
      </w:r>
      <w:r>
        <w:rPr>
          <w:rStyle w:val="style88"/>
        </w:rPr>
        <w:t>Natural Product Research</w:t>
      </w:r>
      <w:r>
        <w:t xml:space="preserve">, 37(10), 1815–1823. </w:t>
      </w:r>
      <w:r>
        <w:rPr/>
        <w:fldChar w:fldCharType="begin"/>
      </w:r>
      <w:r>
        <w:instrText xml:space="preserve"> HYPERLINK "https://doi.org/10.1080/14786419.2022.2043527" </w:instrText>
      </w:r>
      <w:r>
        <w:rPr/>
        <w:fldChar w:fldCharType="separate"/>
      </w:r>
      <w:r>
        <w:rPr>
          <w:rStyle w:val="style85"/>
          <w:rFonts w:eastAsia="宋体"/>
        </w:rPr>
        <w:t>https://doi.org/10.1080/14786419.2022.2043527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Vahedikia</w:t>
      </w:r>
      <w:r>
        <w:rPr>
          <w:rFonts w:ascii="Times New Roman" w:cs="Times New Roman" w:eastAsia="Times New Roman" w:hAnsi="Times New Roman"/>
          <w:sz w:val="24"/>
          <w:szCs w:val="24"/>
        </w:rPr>
        <w:t xml:space="preserve">, N., </w:t>
      </w:r>
      <w:r>
        <w:rPr>
          <w:rFonts w:ascii="Times New Roman" w:cs="Times New Roman" w:eastAsia="Times New Roman" w:hAnsi="Times New Roman"/>
          <w:sz w:val="24"/>
          <w:szCs w:val="24"/>
        </w:rPr>
        <w:t>Garavand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Tajeddin</w:t>
      </w:r>
      <w:r>
        <w:rPr>
          <w:rFonts w:ascii="Times New Roman" w:cs="Times New Roman" w:eastAsia="Times New Roman" w:hAnsi="Times New Roman"/>
          <w:sz w:val="24"/>
          <w:szCs w:val="24"/>
        </w:rPr>
        <w:t xml:space="preserve">, B., Cacciotti, I., Jafari, S. M., &amp; </w:t>
      </w:r>
      <w:r>
        <w:rPr>
          <w:rFonts w:ascii="Times New Roman" w:cs="Times New Roman" w:eastAsia="Times New Roman" w:hAnsi="Times New Roman"/>
          <w:sz w:val="24"/>
          <w:szCs w:val="24"/>
        </w:rPr>
        <w:t>Omidi</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Biodegradable </w:t>
      </w:r>
      <w:r>
        <w:rPr>
          <w:rFonts w:ascii="Times New Roman" w:cs="Times New Roman" w:eastAsia="Times New Roman" w:hAnsi="Times New Roman"/>
          <w:sz w:val="24"/>
          <w:szCs w:val="24"/>
        </w:rPr>
        <w:t>zein</w:t>
      </w:r>
      <w:r>
        <w:rPr>
          <w:rFonts w:ascii="Times New Roman" w:cs="Times New Roman" w:eastAsia="Times New Roman" w:hAnsi="Times New Roman"/>
          <w:sz w:val="24"/>
          <w:szCs w:val="24"/>
        </w:rPr>
        <w:t xml:space="preserve"> film composites reinforced with chitosan nanoparticles and cinnamon essential oil: Physical, mechanical, structural, and antimicrobial attributes.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177,</w:t>
      </w:r>
      <w:r>
        <w:rPr>
          <w:rFonts w:ascii="Times New Roman" w:cs="Times New Roman" w:eastAsia="Times New Roman" w:hAnsi="Times New Roman"/>
          <w:sz w:val="24"/>
          <w:szCs w:val="24"/>
        </w:rPr>
        <w:t xml:space="preserve"> 25–32. </w:t>
      </w:r>
      <w:r>
        <w:rPr/>
        <w:fldChar w:fldCharType="begin"/>
      </w:r>
      <w:r>
        <w:instrText xml:space="preserve"> HYPERLINK "https://doi.org/10.1016/j.colsurfb.2019.01.045" </w:instrText>
      </w:r>
      <w:r>
        <w:rPr/>
        <w:fldChar w:fldCharType="separate"/>
      </w:r>
      <w:r>
        <w:rPr>
          <w:rFonts w:ascii="Times New Roman" w:cs="Times New Roman" w:eastAsia="Times New Roman" w:hAnsi="Times New Roman"/>
          <w:color w:val="0000ff"/>
          <w:sz w:val="24"/>
          <w:szCs w:val="24"/>
          <w:u w:val="single"/>
        </w:rPr>
        <w:t>https://doi.org/10.1016/j.colsurfb.2019.01.045</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Voon</w:t>
      </w:r>
      <w:r>
        <w:rPr>
          <w:rFonts w:ascii="Times New Roman" w:cs="Times New Roman" w:eastAsia="Times New Roman" w:hAnsi="Times New Roman"/>
          <w:sz w:val="24"/>
          <w:szCs w:val="24"/>
        </w:rPr>
        <w:t xml:space="preserve">, H. C., Bhat, R., &amp; </w:t>
      </w:r>
      <w:r>
        <w:rPr>
          <w:rFonts w:ascii="Times New Roman" w:cs="Times New Roman" w:eastAsia="Times New Roman" w:hAnsi="Times New Roman"/>
          <w:sz w:val="24"/>
          <w:szCs w:val="24"/>
        </w:rPr>
        <w:t>Rusul</w:t>
      </w:r>
      <w:r>
        <w:rPr>
          <w:rFonts w:ascii="Times New Roman" w:cs="Times New Roman" w:eastAsia="Times New Roman" w:hAnsi="Times New Roman"/>
          <w:sz w:val="24"/>
          <w:szCs w:val="24"/>
        </w:rPr>
        <w:t xml:space="preserve">, G. (2012). Flower extracts and their essential oils as potential antimicrobial agents for food uses and pharmaceutical applications. </w:t>
      </w:r>
      <w:r>
        <w:rPr>
          <w:rFonts w:ascii="Times New Roman" w:cs="Times New Roman" w:eastAsia="Times New Roman" w:hAnsi="Times New Roman"/>
          <w:i/>
          <w:iCs/>
          <w:sz w:val="24"/>
          <w:szCs w:val="24"/>
        </w:rPr>
        <w:t>Comprehensive Reviews in Food Science and Food Safety, 11,</w:t>
      </w:r>
      <w:r>
        <w:rPr>
          <w:rFonts w:ascii="Times New Roman" w:cs="Times New Roman" w:eastAsia="Times New Roman" w:hAnsi="Times New Roman"/>
          <w:sz w:val="24"/>
          <w:szCs w:val="24"/>
        </w:rPr>
        <w:t xml:space="preserve"> 34–55.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Wild, S., </w:t>
      </w:r>
      <w:r>
        <w:rPr>
          <w:rFonts w:ascii="Times New Roman" w:cs="Times New Roman" w:eastAsia="Times New Roman" w:hAnsi="Times New Roman"/>
          <w:sz w:val="24"/>
          <w:szCs w:val="24"/>
        </w:rPr>
        <w:t>Roglic</w:t>
      </w:r>
      <w:r>
        <w:rPr>
          <w:rFonts w:ascii="Times New Roman" w:cs="Times New Roman" w:eastAsia="Times New Roman" w:hAnsi="Times New Roman"/>
          <w:sz w:val="24"/>
          <w:szCs w:val="24"/>
        </w:rPr>
        <w:t xml:space="preserve">, G., Green, A., </w:t>
      </w: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&amp; King, H. (2017). Global prevalence of diabetes: Estimates for the year 2000 and projections for 2030. </w:t>
      </w:r>
      <w:r>
        <w:rPr>
          <w:rFonts w:ascii="Times New Roman" w:cs="Times New Roman" w:eastAsia="Times New Roman" w:hAnsi="Times New Roman"/>
          <w:i/>
          <w:iCs/>
          <w:sz w:val="24"/>
          <w:szCs w:val="24"/>
        </w:rPr>
        <w:t>Diabetes Care, 27,</w:t>
      </w:r>
      <w:r>
        <w:rPr>
          <w:rFonts w:ascii="Times New Roman" w:cs="Times New Roman" w:eastAsia="Times New Roman" w:hAnsi="Times New Roman"/>
          <w:sz w:val="24"/>
          <w:szCs w:val="24"/>
        </w:rPr>
        <w:t xml:space="preserve"> 1047–1053.</w:t>
      </w:r>
    </w:p>
    <w:p>
      <w:pPr>
        <w:pStyle w:val="style94"/>
        <w:ind w:left="720" w:hanging="720"/>
        <w:jc w:val="both"/>
        <w:rPr/>
      </w:pPr>
      <w:r>
        <w:t xml:space="preserve">World Health Organization (WHO). (2023). </w:t>
      </w:r>
      <w:r>
        <w:rPr>
          <w:rStyle w:val="style88"/>
        </w:rPr>
        <w:t>Global antimicrobial resistance and use surveillance system (GLASS) report 2023</w:t>
      </w:r>
      <w:r>
        <w:t xml:space="preserve">. World Health Organization. </w:t>
      </w:r>
      <w:r>
        <w:rPr/>
        <w:fldChar w:fldCharType="begin"/>
      </w:r>
      <w:r>
        <w:instrText xml:space="preserve"> HYPERLINK "https://www.who.int/publications/i/item/9789240070140" </w:instrText>
      </w:r>
      <w:r>
        <w:rPr/>
        <w:fldChar w:fldCharType="separate"/>
      </w:r>
      <w:r>
        <w:rPr>
          <w:rStyle w:val="style85"/>
          <w:rFonts w:eastAsia="宋体"/>
        </w:rPr>
        <w:t>https://www.who.int/publications/i/item/9789240070140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Yamazaki, D., </w:t>
      </w:r>
      <w:r>
        <w:rPr>
          <w:rFonts w:ascii="Times New Roman" w:cs="Times New Roman" w:eastAsia="Times New Roman" w:hAnsi="Times New Roman"/>
          <w:sz w:val="24"/>
          <w:szCs w:val="24"/>
        </w:rPr>
        <w:t>Hitomi</w:t>
      </w:r>
      <w:r>
        <w:rPr>
          <w:rFonts w:ascii="Times New Roman" w:cs="Times New Roman" w:eastAsia="Times New Roman" w:hAnsi="Times New Roman"/>
          <w:sz w:val="24"/>
          <w:szCs w:val="24"/>
        </w:rPr>
        <w:t xml:space="preserve">, H., &amp; Nishiyama, A. (2018). Hypertension with diabetes mellitus complications. </w:t>
      </w:r>
      <w:r>
        <w:rPr>
          <w:rFonts w:ascii="Times New Roman" w:cs="Times New Roman" w:eastAsia="Times New Roman" w:hAnsi="Times New Roman"/>
          <w:i/>
          <w:iCs/>
          <w:sz w:val="24"/>
          <w:szCs w:val="24"/>
        </w:rPr>
        <w:t>Hypertension Research, 41,</w:t>
      </w:r>
      <w:r>
        <w:rPr>
          <w:rFonts w:ascii="Times New Roman" w:cs="Times New Roman" w:eastAsia="Times New Roman" w:hAnsi="Times New Roman"/>
          <w:sz w:val="24"/>
          <w:szCs w:val="24"/>
        </w:rPr>
        <w:t xml:space="preserve"> 147–156. </w:t>
      </w:r>
      <w:r>
        <w:rPr/>
        <w:fldChar w:fldCharType="begin"/>
      </w:r>
      <w:r>
        <w:instrText xml:space="preserve"> HYPERLINK "https://doi.org/10.1038/s41440-017-0008-y" </w:instrText>
      </w:r>
      <w:r>
        <w:rPr/>
        <w:fldChar w:fldCharType="separate"/>
      </w:r>
      <w:r>
        <w:rPr>
          <w:rFonts w:ascii="Times New Roman" w:cs="Times New Roman" w:eastAsia="Times New Roman" w:hAnsi="Times New Roman"/>
          <w:color w:val="0000ff"/>
          <w:sz w:val="24"/>
          <w:szCs w:val="24"/>
          <w:u w:val="single"/>
        </w:rPr>
        <w:t>https://doi.org/10.1038/s41440-017-0008-y</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Zeller, M., </w:t>
      </w:r>
      <w:r>
        <w:rPr>
          <w:rFonts w:ascii="Times New Roman" w:cs="Times New Roman" w:eastAsia="Times New Roman" w:hAnsi="Times New Roman"/>
          <w:sz w:val="24"/>
          <w:szCs w:val="24"/>
        </w:rPr>
        <w:t>Danchin</w:t>
      </w:r>
      <w:r>
        <w:rPr>
          <w:rFonts w:ascii="Times New Roman" w:cs="Times New Roman" w:eastAsia="Times New Roman" w:hAnsi="Times New Roman"/>
          <w:sz w:val="24"/>
          <w:szCs w:val="24"/>
        </w:rPr>
        <w:t xml:space="preserve">, N., Simon, D., </w:t>
      </w:r>
      <w:r>
        <w:rPr>
          <w:rFonts w:ascii="Times New Roman" w:cs="Times New Roman" w:eastAsia="Times New Roman" w:hAnsi="Times New Roman"/>
          <w:sz w:val="24"/>
          <w:szCs w:val="24"/>
        </w:rPr>
        <w:t>Vahanian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Lorgis</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Cottin</w:t>
      </w:r>
      <w:r>
        <w:rPr>
          <w:rFonts w:ascii="Times New Roman" w:cs="Times New Roman" w:eastAsia="Times New Roman" w:hAnsi="Times New Roman"/>
          <w:sz w:val="24"/>
          <w:szCs w:val="24"/>
        </w:rPr>
        <w:t xml:space="preserve">, 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Impact of type of preadmission sulfonylureas on mortality and cardiovascular outcomes in diabetic patients with acute myocardial infarction. </w:t>
      </w:r>
      <w:r>
        <w:rPr>
          <w:rFonts w:ascii="Times New Roman" w:cs="Times New Roman" w:eastAsia="Times New Roman" w:hAnsi="Times New Roman"/>
          <w:i/>
          <w:iCs/>
          <w:sz w:val="24"/>
          <w:szCs w:val="24"/>
        </w:rPr>
        <w:t>The Journal of Clinical Endocrinology &amp; Metabolism, 95</w:t>
      </w:r>
      <w:r>
        <w:rPr>
          <w:rFonts w:ascii="Times New Roman" w:cs="Times New Roman" w:eastAsia="Times New Roman" w:hAnsi="Times New Roman"/>
          <w:sz w:val="24"/>
          <w:szCs w:val="24"/>
        </w:rPr>
        <w:t xml:space="preserve">(11), 4993–5002. </w:t>
      </w:r>
      <w:r>
        <w:rPr/>
        <w:fldChar w:fldCharType="begin"/>
      </w:r>
      <w:r>
        <w:instrText xml:space="preserve"> HYPERLINK "https://doi.org/10.1210/jc.2010-0449" </w:instrText>
      </w:r>
      <w:r>
        <w:rPr/>
        <w:fldChar w:fldCharType="separate"/>
      </w:r>
      <w:r>
        <w:rPr>
          <w:rFonts w:ascii="Times New Roman" w:cs="Times New Roman" w:eastAsia="Times New Roman" w:hAnsi="Times New Roman"/>
          <w:color w:val="0000ff"/>
          <w:sz w:val="24"/>
          <w:szCs w:val="24"/>
          <w:u w:val="single"/>
        </w:rPr>
        <w:t>https://doi.org/10.1210/jc.2010-0449</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Zhelyazkov</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Zsivanovits</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Stamenova</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Marudova</w:t>
      </w:r>
      <w:r>
        <w:rPr>
          <w:rFonts w:ascii="Times New Roman" w:cs="Times New Roman" w:eastAsia="Times New Roman" w:hAnsi="Times New Roman"/>
          <w:sz w:val="24"/>
          <w:szCs w:val="24"/>
        </w:rPr>
        <w:t xml:space="preserve">, M. (2022). Physical and barrier properties of clove essential oil-loaded potato starch edible films. </w:t>
      </w:r>
      <w:r>
        <w:rPr>
          <w:rFonts w:ascii="Times New Roman" w:cs="Times New Roman" w:eastAsia="Times New Roman" w:hAnsi="Times New Roman"/>
          <w:i/>
          <w:iCs/>
          <w:sz w:val="24"/>
          <w:szCs w:val="24"/>
        </w:rPr>
        <w:t>Biointerface</w:t>
      </w:r>
      <w:r>
        <w:rPr>
          <w:rFonts w:ascii="Times New Roman" w:cs="Times New Roman" w:eastAsia="Times New Roman" w:hAnsi="Times New Roman"/>
          <w:i/>
          <w:iCs/>
          <w:sz w:val="24"/>
          <w:szCs w:val="24"/>
        </w:rPr>
        <w:t xml:space="preserve"> Research in Applied Chemistry, 12,</w:t>
      </w:r>
      <w:r>
        <w:rPr>
          <w:rFonts w:ascii="Times New Roman" w:cs="Times New Roman" w:eastAsia="Times New Roman" w:hAnsi="Times New Roman"/>
          <w:sz w:val="24"/>
          <w:szCs w:val="24"/>
        </w:rPr>
        <w:t xml:space="preserve"> 4603–4612. </w:t>
      </w:r>
      <w:r>
        <w:rPr/>
        <w:fldChar w:fldCharType="begin"/>
      </w:r>
      <w:r>
        <w:instrText xml:space="preserve"> HYPERLINK "https://doi.org/10.33263/BRIAC124.46034612" </w:instrText>
      </w:r>
      <w:r>
        <w:rPr/>
        <w:fldChar w:fldCharType="separate"/>
      </w:r>
      <w:r>
        <w:rPr>
          <w:rFonts w:ascii="Times New Roman" w:cs="Times New Roman" w:eastAsia="Times New Roman" w:hAnsi="Times New Roman"/>
          <w:color w:val="0000ff"/>
          <w:sz w:val="24"/>
          <w:szCs w:val="24"/>
          <w:u w:val="single"/>
        </w:rPr>
        <w:t>https://doi.org/10.33263/BRIAC124.46034612</w:t>
      </w:r>
      <w:r>
        <w:rPr/>
        <w:fldChar w:fldCharType="end"/>
      </w:r>
    </w:p>
    <w:p>
      <w:pPr>
        <w:pStyle w:val="style0"/>
        <w:spacing w:lineRule="auto" w:line="480"/>
        <w:jc w:val="both"/>
        <w:rPr/>
      </w:pPr>
    </w:p>
    <w:sectPr>
      <w:pgSz w:w="11906" w:h="16838"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2AFF" w:usb1="4000ACFF" w:usb2="00000001" w:usb3="00000000" w:csb0="000001FF" w:csb1="00000000"/>
  </w:font>
  <w:font w:name="Calibri Light">
    <w:altName w:val="Calibri Light"/>
    <w:panose1 w:val="020f0302020000030204"/>
    <w:charset w:val="00"/>
    <w:family w:val="swiss"/>
    <w:pitch w:val="variable"/>
    <w:sig w:usb0="A0002AEF" w:usb1="4000207B" w:usb2="00000000"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MS Gothic">
    <w:altName w:val="ＭＳ ゴシック"/>
    <w:panose1 w:val="020b0609070000080204"/>
    <w:charset w:val="80"/>
    <w:family w:val="modern"/>
    <w:pitch w:val="fixed"/>
    <w:sig w:usb0="E00002FF" w:usb1="6AC7FDFB" w:usb2="08000012" w:usb3="00000000" w:csb0="0002009F" w:csb1="00000000"/>
  </w:font>
  <w:font w:name="宋体">
    <w:altName w:val="Wingdings 2"/>
    <w:panose1 w:val="05020102010000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9B051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87E61C1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C5F01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D026C39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B5CC027A"/>
    <w:lvl w:ilvl="0">
      <w:start w:val="1"/>
      <w:numFmt w:val="lowerRoman"/>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9BB889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11C041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CDE0C9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A442F6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E758D9EE"/>
    <w:lvl w:ilvl="0">
      <w:start w:val="1"/>
      <w:numFmt w:val="lowerRoman"/>
      <w:lvlText w:val="%1."/>
      <w:lvlJc w:val="left"/>
      <w:pPr>
        <w:ind w:left="720" w:hanging="360"/>
      </w:pPr>
      <w:rPr>
        <w:rFonts w:ascii="宋体" w:cs="宋体" w:eastAsia="宋体" w:hAnsi="宋体"/>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fals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000000A"/>
    <w:multiLevelType w:val="multilevel"/>
    <w:tmpl w:val="24D69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333CCB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05AE48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F5DEE6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EE48FAE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088FA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3EEEA78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406CE6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A1CE05B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4790B9B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F43427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1">
    <w:nsid w:val="00000015"/>
    <w:multiLevelType w:val="multilevel"/>
    <w:tmpl w:val="8BF831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9BC1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multilevel"/>
    <w:tmpl w:val="27A2DD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4">
    <w:nsid w:val="00000018"/>
    <w:multiLevelType w:val="multilevel"/>
    <w:tmpl w:val="D0225F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multilevel"/>
    <w:tmpl w:val="6D6E9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3F643A2E"/>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8">
    <w:nsid w:val="0000001C"/>
    <w:multiLevelType w:val="multilevel"/>
    <w:tmpl w:val="AD843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9">
    <w:nsid w:val="0000001D"/>
    <w:multiLevelType w:val="multilevel"/>
    <w:tmpl w:val="1A1E73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2"/>
  </w:num>
  <w:num w:numId="2">
    <w:abstractNumId w:val="26"/>
  </w:num>
  <w:num w:numId="3">
    <w:abstractNumId w:val="11"/>
  </w:num>
  <w:num w:numId="4">
    <w:abstractNumId w:val="10"/>
  </w:num>
  <w:num w:numId="5">
    <w:abstractNumId w:val="0"/>
  </w:num>
  <w:num w:numId="6">
    <w:abstractNumId w:val="6"/>
  </w:num>
  <w:num w:numId="7">
    <w:abstractNumId w:val="14"/>
  </w:num>
  <w:num w:numId="8">
    <w:abstractNumId w:val="9"/>
  </w:num>
  <w:num w:numId="9">
    <w:abstractNumId w:val="19"/>
  </w:num>
  <w:num w:numId="10">
    <w:abstractNumId w:val="17"/>
  </w:num>
  <w:num w:numId="11">
    <w:abstractNumId w:val="29"/>
  </w:num>
  <w:num w:numId="12">
    <w:abstractNumId w:val="7"/>
  </w:num>
  <w:num w:numId="13">
    <w:abstractNumId w:val="3"/>
  </w:num>
  <w:num w:numId="14">
    <w:abstractNumId w:val="20"/>
  </w:num>
  <w:num w:numId="15">
    <w:abstractNumId w:val="27"/>
  </w:num>
  <w:num w:numId="16">
    <w:abstractNumId w:val="18"/>
  </w:num>
  <w:num w:numId="17">
    <w:abstractNumId w:val="1"/>
  </w:num>
  <w:num w:numId="18">
    <w:abstractNumId w:val="5"/>
  </w:num>
  <w:num w:numId="19">
    <w:abstractNumId w:val="15"/>
  </w:num>
  <w:num w:numId="20">
    <w:abstractNumId w:val="28"/>
  </w:num>
  <w:num w:numId="21">
    <w:abstractNumId w:val="8"/>
  </w:num>
  <w:num w:numId="22">
    <w:abstractNumId w:val="13"/>
  </w:num>
  <w:num w:numId="23">
    <w:abstractNumId w:val="24"/>
  </w:num>
  <w:num w:numId="24">
    <w:abstractNumId w:val="25"/>
  </w:num>
  <w:num w:numId="25">
    <w:abstractNumId w:val="23"/>
  </w:num>
  <w:num w:numId="26">
    <w:abstractNumId w:val="4"/>
  </w:num>
  <w:num w:numId="27">
    <w:abstractNumId w:val="16"/>
  </w:num>
  <w:num w:numId="28">
    <w:abstractNumId w:val="21"/>
  </w:num>
  <w:num w:numId="29">
    <w:abstractNumId w:val="12"/>
  </w:num>
  <w:num w:numId="3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26c15f66-7641-416b-a8a3-31b3fa399cf3"/>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5240eac0-0ecf-40fb-8afb-38a193625fa3"/>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4 Char_a8e53554-d0dc-43b2-a5f6-940aa076afe9"/>
    <w:basedOn w:val="style65"/>
    <w:next w:val="style4099"/>
    <w:link w:val="style4"/>
    <w:uiPriority w:val="9"/>
    <w:rPr>
      <w:rFonts w:ascii="Calibri Light" w:cs="宋体" w:eastAsia="宋体" w:hAnsi="Calibri Light"/>
      <w:i/>
      <w:iCs/>
      <w:color w:val="2f5496"/>
    </w:rPr>
  </w:style>
  <w:style w:type="paragraph" w:styleId="style179">
    <w:name w:val="List Paragraph"/>
    <w:basedOn w:val="style0"/>
    <w:next w:val="style179"/>
    <w:qFormat/>
    <w:uiPriority w:val="34"/>
    <w:pPr>
      <w:ind w:left="720"/>
      <w:contextualSpacing/>
    </w:pPr>
    <w:rPr>
      <w:rFonts w:eastAsia="宋体"/>
      <w:lang w:val="en-GB" w:eastAsia="zh-CN"/>
    </w:rPr>
  </w:style>
  <w:style w:type="character" w:styleId="style85">
    <w:name w:val="Hyperlink"/>
    <w:basedOn w:val="style65"/>
    <w:next w:val="style85"/>
    <w:uiPriority w:val="99"/>
    <w:rPr>
      <w:color w:val="0000ff"/>
      <w:u w:val="single"/>
    </w:rPr>
  </w:style>
  <w:style w:type="character" w:customStyle="1" w:styleId="style4100">
    <w:name w:val="Heading 1 Char_3bd9f7c8-e520-41bb-be9c-4acdcdb5d00a"/>
    <w:basedOn w:val="style65"/>
    <w:next w:val="style4100"/>
    <w:link w:val="style1"/>
    <w:uiPriority w:val="9"/>
    <w:rPr>
      <w:rFonts w:ascii="Calibri Light" w:cs="宋体"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rFonts w:eastAsia="宋体"/>
      <w:lang w:val="en-GB" w:eastAsia="zh-CN"/>
    </w:rPr>
  </w:style>
  <w:style w:type="character" w:customStyle="1" w:styleId="style4101">
    <w:name w:val="Header Char_33ab72ae-b8a1-42dd-b715-b2dc2424a140"/>
    <w:basedOn w:val="style65"/>
    <w:next w:val="style4101"/>
    <w:link w:val="style31"/>
    <w:uiPriority w:val="99"/>
    <w:rPr>
      <w:rFonts w:eastAsia="宋体"/>
      <w:lang w:val="en-GB" w:eastAsia="zh-CN"/>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70c814a6-503b-4fe8-92b2-23466d43796f"/>
    <w:basedOn w:val="style65"/>
    <w:next w:val="style4102"/>
    <w:link w:val="style32"/>
    <w:uiPriority w:val="99"/>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fontTable" Target="fontTable.xml"/><Relationship Id="rId8" Type="http://schemas.openxmlformats.org/officeDocument/2006/relationships/customXml" Target="../customXml/item1.xml"/><Relationship Id="rId4" Type="http://schemas.openxmlformats.org/officeDocument/2006/relationships/styles" Target="styles.xml"/><Relationship Id="rId3" Type="http://schemas.openxmlformats.org/officeDocument/2006/relationships/footer" Target="footer1.xml"/><Relationship Id="rId6"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4551-F6C4-4DD0-AD13-285DB4C8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Words>9760</Words>
  <Pages>43</Pages>
  <Characters>59362</Characters>
  <Application>WPS Office</Application>
  <DocSecurity>0</DocSecurity>
  <Paragraphs>514</Paragraphs>
  <ScaleCrop>false</ScaleCrop>
  <LinksUpToDate>false</LinksUpToDate>
  <CharactersWithSpaces>69595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2025-07-06T03:26:00Z</dcterms:created>
  <dc:creator>Jibril</dc:creator>
  <lastModifiedBy>GIONEE S10</lastModifiedBy>
  <dcterms:modified xsi:type="dcterms:W3CDTF">2025-08-14T17:36:11Z</dcterms:modified>
  <revision>66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7809cbce1a104b79aa93aaa9fab1d606</vt:lpwstr>
  </property>
</Properties>
</file>