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SALAUDEEN ABDULAZEEZ AYINLA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HND/23/SLT/FT/0540</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ind w:right="27"/>
        <w:rPr>
          <w:rFonts w:ascii="Times New Roman" w:cs="Times New Roman" w:hAnsi="Times New Roman"/>
          <w:b/>
          <w:bCs/>
          <w:sz w:val="28"/>
          <w:szCs w:val="28"/>
        </w:rPr>
      </w:pPr>
    </w:p>
    <w:p>
      <w:pPr>
        <w:pStyle w:val="style0"/>
        <w:spacing w:after="0"/>
        <w:ind w:firstLine="284"/>
        <w:rPr>
          <w:rFonts w:ascii="Times New Roman" w:cs="Times New Roman" w:hAnsi="Times New Roman"/>
          <w:sz w:val="26"/>
          <w:szCs w:val="26"/>
        </w:rPr>
        <w:sectPr>
          <w:footerReference w:type="even" r:id="rId3"/>
          <w:footerReference w:type="default" r:id="rId4"/>
          <w:pgSz w:w="12240" w:h="15840" w:orient="portrait"/>
          <w:pgMar w:top="1440" w:right="1440" w:bottom="1440" w:left="1440" w:header="708" w:footer="708" w:gutter="0"/>
          <w:pgNumType w:fmt="lowerRoman" w:start="1"/>
          <w:cols w:space="708"/>
          <w:docGrid w:linePitch="360"/>
        </w:sectPr>
      </w:pPr>
    </w:p>
    <w:bookmarkStart w:id="0" w:name="_Toc203100985"/>
    <w:p>
      <w:pPr>
        <w:pStyle w:val="style0"/>
        <w:spacing w:after="202" w:lineRule="auto" w:line="265"/>
        <w:rPr/>
      </w:pPr>
      <w:r>
        <w:rPr>
          <w:noProof/>
        </w:rPr>
        <w:drawing>
          <wp:anchor distT="0" distB="0" distL="0" distR="0" simplePos="false" relativeHeight="6" behindDoc="false" locked="false" layoutInCell="true" allowOverlap="true">
            <wp:simplePos x="0" y="0"/>
            <wp:positionH relativeFrom="column">
              <wp:posOffset>-617220</wp:posOffset>
            </wp:positionH>
            <wp:positionV relativeFrom="paragraph">
              <wp:posOffset>0</wp:posOffset>
            </wp:positionV>
            <wp:extent cx="7300594" cy="8792210"/>
            <wp:effectExtent l="0" t="0" r="0" b="889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7300594" cy="8792210"/>
                    </a:xfrm>
                    <a:prstGeom prst="rect"/>
                  </pic:spPr>
                </pic:pic>
              </a:graphicData>
            </a:graphic>
            <wp14:sizeRelH relativeFrom="margin">
              <wp14:pctWidth>0</wp14:pctWidth>
            </wp14:sizeRelH>
            <wp14:sizeRelV relativeFrom="margin">
              <wp14:pctHeight>0</wp14:pctHeight>
            </wp14:sizeRelV>
          </wp:anchor>
        </w:drawing>
      </w:r>
    </w:p>
    <w:p>
      <w:pPr>
        <w:pStyle w:val="style0"/>
        <w:spacing w:after="202" w:lineRule="auto" w:line="265"/>
        <w:rPr/>
      </w:pPr>
    </w:p>
    <w:bookmarkStart w:id="1" w:name="_Toc203146281"/>
    <w:p>
      <w:pPr>
        <w:pStyle w:val="style1"/>
        <w:spacing w:lineRule="auto" w:line="480"/>
        <w:jc w:val="center"/>
        <w:rPr>
          <w:b w:val="false"/>
        </w:rPr>
      </w:pPr>
      <w:r>
        <w:rPr>
          <w:rFonts w:cs="Times New Roman" w:eastAsia="Times New Roman"/>
          <w:color w:val="auto"/>
          <w:szCs w:val="24"/>
        </w:rPr>
        <w:t>DEDICATION</w:t>
      </w:r>
      <w:bookmarkEnd w:id="0"/>
      <w:bookmarkEnd w:id="1"/>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p>
      <w:pPr>
        <w:pStyle w:val="style0"/>
        <w:rPr/>
      </w:pPr>
    </w:p>
    <w:bookmarkStart w:id="3" w:name="_Toc203146282"/>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2"/>
      <w:bookmarkEnd w:id="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for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rPr>
        <w:t>SALAUDEEN</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bookmarkStart w:id="4" w:name="_Toc203146283"/>
    <w:p>
      <w:pPr>
        <w:pStyle w:val="style1"/>
        <w:spacing w:lineRule="auto" w:line="480"/>
        <w:jc w:val="center"/>
        <w:rPr/>
      </w:pPr>
      <w:r>
        <w:t>ABSTRACT</w:t>
      </w:r>
      <w:bookmarkEnd w:id="4"/>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w:t>
      </w:r>
      <w:r>
        <w:rPr>
          <w:i/>
          <w:iCs/>
        </w:rPr>
        <w:t>globulus</w:t>
      </w:r>
      <w:r>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pgSz w:w="12240" w:h="15840" w:orient="portrait"/>
          <w:pgMar w:top="1440" w:right="1440" w:bottom="1440" w:left="1440" w:header="708" w:footer="708" w:gutter="0"/>
          <w:pgNumType w:fmt="lowerRoman" w:start="1"/>
          <w:cols w:space="708"/>
          <w:docGrid w:linePitch="360"/>
        </w:sectPr>
      </w:pPr>
    </w:p>
    <w:bookmarkStart w:id="5"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5"/>
    </w:p>
    <w:bookmarkStart w:id="6" w:name="_Toc203146285"/>
    <w:p>
      <w:pPr>
        <w:pStyle w:val="style1"/>
        <w:spacing w:lineRule="auto" w:line="480"/>
        <w:jc w:val="center"/>
        <w:rPr/>
      </w:pPr>
      <w:r>
        <w:t>INTRODUCTION</w:t>
      </w:r>
      <w:bookmarkEnd w:id="6"/>
    </w:p>
    <w:bookmarkStart w:id="7" w:name="_Toc203146286"/>
    <w:p>
      <w:pPr>
        <w:pStyle w:val="style2"/>
        <w:spacing w:lineRule="auto" w:line="480"/>
        <w:rPr/>
      </w:pPr>
      <w:r>
        <w:t>1.1</w:t>
      </w:r>
      <w:r>
        <w:tab/>
      </w:r>
      <w:r>
        <w:t>Background to the Study</w:t>
      </w:r>
      <w:bookmarkEnd w:id="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have been linked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such as 1,8-cineole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w:t>
      </w:r>
      <w:r>
        <w:rPr>
          <w:rFonts w:ascii="Times New Roman" w:cs="Times New Roman" w:eastAsia="Times New Roman" w:hAnsi="Times New Roman"/>
          <w:sz w:val="24"/>
          <w:szCs w:val="24"/>
        </w:rPr>
        <w:t xml:space="preserve">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Notably, 1,8-cineole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Moreover, essential oils are generally considered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w:t>
      </w:r>
      <w:r>
        <w:rPr>
          <w:rFonts w:ascii="Times New Roman" w:cs="Times New Roman" w:eastAsia="Times New Roman" w:hAnsi="Times New Roman"/>
          <w:sz w:val="24"/>
          <w:szCs w:val="24"/>
        </w:rPr>
        <w:t>relatively untapped reservoir of potential solutions to one of the most pressing medical challenges of the 21st century.</w:t>
      </w:r>
    </w:p>
    <w:bookmarkStart w:id="8"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9"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9"/>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The study could contribute valuable knowledge to the 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w:t>
      </w:r>
      <w:r>
        <w:rPr>
          <w:rFonts w:ascii="Times New Roman" w:cs="Times New Roman" w:eastAsia="Times New Roman" w:hAnsi="Times New Roman"/>
          <w:sz w:val="24"/>
          <w:szCs w:val="24"/>
        </w:rPr>
        <w:t>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0"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0"/>
      <w:r>
        <w:rPr>
          <w:rFonts w:eastAsia="Times New Roman"/>
        </w:rPr>
        <w:t xml:space="preserve"> </w:t>
      </w:r>
    </w:p>
    <w:bookmarkStart w:id="11"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2" w:name="_Toc203146291"/>
    <w:p>
      <w:pPr>
        <w:pStyle w:val="style3"/>
        <w:rPr>
          <w:bCs w:val="false"/>
          <w:szCs w:val="24"/>
        </w:rPr>
      </w:pPr>
      <w:r>
        <w:rPr>
          <w:bCs w:val="false"/>
          <w:szCs w:val="24"/>
        </w:rPr>
        <w:t>1.3.2</w:t>
      </w:r>
      <w:r>
        <w:rPr>
          <w:bCs w:val="false"/>
          <w:szCs w:val="24"/>
        </w:rPr>
        <w:tab/>
      </w:r>
      <w:r>
        <w:rPr>
          <w:bCs w:val="false"/>
          <w:szCs w:val="24"/>
        </w:rPr>
        <w:t>Specific Objectives</w:t>
      </w:r>
      <w:bookmarkEnd w:id="1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 the antibacterial activity</w:t>
      </w:r>
      <w:r>
        <w:rPr>
          <w:rFonts w:ascii="Times New Roman" w:cs="Times New Roman" w:eastAsia="Times New Roman" w:hAnsi="Times New Roman"/>
          <w:sz w:val="24"/>
          <w:szCs w:val="24"/>
        </w:rPr>
        <w:t xml:space="preserve"> of </w:t>
      </w:r>
      <w:bookmarkStart w:id="13"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3"/>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4" w:name="_Toc203146292"/>
    <w:p>
      <w:pPr>
        <w:pStyle w:val="style1"/>
        <w:spacing w:lineRule="auto" w:line="480"/>
        <w:jc w:val="center"/>
        <w:rPr/>
      </w:pPr>
      <w:r>
        <w:t>CHAPTER TWO</w:t>
      </w:r>
      <w:bookmarkEnd w:id="14"/>
    </w:p>
    <w:bookmarkStart w:id="15" w:name="_Toc203146293"/>
    <w:p>
      <w:pPr>
        <w:pStyle w:val="style1"/>
        <w:spacing w:lineRule="auto" w:line="480"/>
        <w:jc w:val="center"/>
        <w:rPr/>
      </w:pPr>
      <w:r>
        <w:t>LITERATURE REVIEW</w:t>
      </w:r>
      <w:bookmarkEnd w:id="15"/>
    </w:p>
    <w:bookmarkStart w:id="16" w:name="_Toc203146294"/>
    <w:p>
      <w:pPr>
        <w:pStyle w:val="style2"/>
        <w:spacing w:lineRule="auto" w:line="480"/>
        <w:rPr/>
      </w:pPr>
      <w:r>
        <w:t>2.1</w:t>
      </w:r>
      <w:r>
        <w:tab/>
      </w:r>
      <w:r>
        <w:t>Antibacterial Agents</w:t>
      </w:r>
      <w:bookmarkEnd w:id="1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contain essential oils and phytochemicals with 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These natural compounds offer the advantage </w:t>
      </w:r>
      <w:r>
        <w:rPr>
          <w:rFonts w:ascii="Times New Roman" w:cs="Times New Roman" w:hAnsi="Times New Roman"/>
          <w:bCs/>
          <w:sz w:val="24"/>
          <w:szCs w:val="24"/>
        </w:rPr>
        <w:t>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17"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1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are derived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 Natural compounds have been a cornerstone of antibiotic development, with many modern antibiotics still based on their natural origins. Plant-based antibacterial agents, such as </w:t>
      </w:r>
      <w:r>
        <w:rPr>
          <w:rFonts w:ascii="Times New Roman" w:cs="Times New Roman" w:hAnsi="Times New Roman"/>
          <w:bCs/>
          <w:sz w:val="24"/>
          <w:szCs w:val="24"/>
        </w:rPr>
        <w:t xml:space="preserve">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2015). The advantage of synthetic agents lies in their ability to be tailored for specific therapeutic needs, providing a wide range of options for clinicians.</w:t>
      </w:r>
    </w:p>
    <w:bookmarkStart w:id="18" w:name="_Toc203146296"/>
    <w:p>
      <w:pPr>
        <w:pStyle w:val="style3"/>
        <w:rPr>
          <w:bCs w:val="false"/>
          <w:szCs w:val="24"/>
        </w:rPr>
      </w:pPr>
      <w:r>
        <w:rPr>
          <w:bCs w:val="false"/>
          <w:szCs w:val="24"/>
        </w:rPr>
        <w:t>2.1.2</w:t>
      </w:r>
      <w:r>
        <w:rPr>
          <w:bCs w:val="false"/>
          <w:szCs w:val="24"/>
        </w:rPr>
        <w:tab/>
      </w:r>
      <w:r>
        <w:rPr>
          <w:bCs w:val="false"/>
          <w:szCs w:val="24"/>
        </w:rPr>
        <w:t>Spectrum of Activity</w:t>
      </w:r>
      <w:bookmarkEnd w:id="1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w:t>
      </w:r>
      <w:r>
        <w:rPr>
          <w:rFonts w:ascii="Times New Roman" w:cs="Times New Roman" w:hAnsi="Times New Roman"/>
          <w:bCs/>
          <w:sz w:val="24"/>
          <w:szCs w:val="24"/>
        </w:rPr>
        <w:t>fluoroquinolones</w:t>
      </w:r>
      <w:r>
        <w:rPr>
          <w:rFonts w:ascii="Times New Roman" w:cs="Times New Roman" w:hAnsi="Times New Roman"/>
          <w:bCs/>
          <w:sz w:val="24"/>
          <w:szCs w:val="24"/>
        </w:rPr>
        <w:t xml:space="preserve">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19" w:name="_Toc203146297"/>
    <w:p>
      <w:pPr>
        <w:pStyle w:val="style3"/>
        <w:rPr/>
      </w:pPr>
      <w:r>
        <w:t>2.1.3</w:t>
      </w:r>
      <w:r>
        <w:tab/>
      </w:r>
      <w:r>
        <w:t>Mechanisms of Action</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Fluoroquinolones such as ciprofloxacin and levofloxacin work by inhibiting the enzymes involved in DNA replication, such as DNA gyrase and topoisomerase. These enzymes are necessary for </w:t>
      </w:r>
      <w:r>
        <w:rPr>
          <w:rFonts w:ascii="Times New Roman" w:cs="Times New Roman" w:hAnsi="Times New Roman"/>
          <w:bCs/>
          <w:sz w:val="24"/>
          <w:szCs w:val="24"/>
        </w:rPr>
        <w:t>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are often reserved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0" w:name="_Toc203146298"/>
    <w:p>
      <w:pPr>
        <w:pStyle w:val="style3"/>
        <w:rPr/>
      </w:pPr>
      <w:r>
        <w:t>2.1.4</w:t>
      </w:r>
      <w:r>
        <w:tab/>
      </w:r>
      <w:r>
        <w:t>Combination Therapy</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2020). For example, combining β-lactams with β-lactamase inhibitors can restore the effectiveness of the former against bacteria that produce β-lactamase, an enzyme that degrades penicillin and related drugs.</w:t>
      </w:r>
    </w:p>
    <w:bookmarkStart w:id="21" w:name="_Toc203146299"/>
    <w:p>
      <w:pPr>
        <w:pStyle w:val="style2"/>
        <w:rPr/>
      </w:pPr>
      <w:r>
        <w:t>2.2</w:t>
      </w:r>
      <w:r>
        <w:tab/>
      </w:r>
      <w:r>
        <w:t xml:space="preserve">Overview of Eucalyptus </w:t>
      </w:r>
      <w:r>
        <w:t>globulus</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commonly known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w:t>
      </w:r>
      <w:r>
        <w:rPr>
          <w:rFonts w:ascii="Times New Roman" w:cs="Times New Roman" w:hAnsi="Times New Roman"/>
          <w:bCs/>
          <w:sz w:val="24"/>
          <w:szCs w:val="24"/>
        </w:rPr>
        <w:t xml:space="preserve">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2" w:name="_Toc203146300"/>
    <w:p>
      <w:pPr>
        <w:pStyle w:val="style2"/>
        <w:spacing w:lineRule="auto" w:line="480"/>
        <w:rPr/>
      </w:pPr>
      <w:r>
        <w:t>2.3</w:t>
      </w:r>
      <w:r>
        <w:tab/>
      </w:r>
      <w:r>
        <w:t xml:space="preserve">Methicillin -Resistant Staphylococcus </w:t>
      </w:r>
      <w:r>
        <w:rPr>
          <w:i/>
        </w:rPr>
        <w:t>aureus</w:t>
      </w:r>
      <w:r>
        <w:t xml:space="preserve"> (MRSA)</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3" w:name="_Toc203146301"/>
    <w:p>
      <w:pPr>
        <w:pStyle w:val="style3"/>
        <w:rPr/>
      </w:pPr>
      <w:r>
        <w:t>2.3.1</w:t>
      </w:r>
      <w:r>
        <w:tab/>
      </w:r>
      <w:r>
        <w:t>Mechanisms of Resistance</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4" w:name="_Toc203146302"/>
    <w:p>
      <w:pPr>
        <w:pStyle w:val="style3"/>
        <w:rPr/>
      </w:pPr>
      <w:r>
        <w:t>2.3.2</w:t>
      </w:r>
      <w:r>
        <w:tab/>
      </w:r>
      <w:r>
        <w:t>Epidemiology and Clinical Impact</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w:t>
      </w:r>
      <w:r>
        <w:rPr>
          <w:rFonts w:ascii="Times New Roman" w:cs="Times New Roman" w:hAnsi="Times New Roman"/>
          <w:bCs/>
          <w:sz w:val="24"/>
          <w:szCs w:val="24"/>
        </w:rPr>
        <w:t xml:space="preserve">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5" w:name="_Toc203146303"/>
    <w:p>
      <w:pPr>
        <w:pStyle w:val="style2"/>
        <w:spacing w:lineRule="auto" w:line="480"/>
        <w:rPr/>
      </w:pPr>
      <w:r>
        <w:t>2.4</w:t>
      </w:r>
      <w:r>
        <w:tab/>
      </w:r>
      <w:r>
        <w:rPr>
          <w:i/>
        </w:rPr>
        <w:t>Escherichia coli</w:t>
      </w:r>
      <w:r>
        <w:t xml:space="preserve"> Infections and Resistance</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6" w:name="_Toc203146304"/>
    <w:p>
      <w:pPr>
        <w:pStyle w:val="style3"/>
        <w:rPr/>
      </w:pPr>
      <w:r>
        <w:t>2.4.1</w:t>
      </w:r>
      <w:r>
        <w:tab/>
      </w:r>
      <w:r>
        <w:t xml:space="preserve">Pathogenic Strains of </w:t>
      </w:r>
      <w:r>
        <w:rPr>
          <w:i/>
          <w:iCs/>
        </w:rPr>
        <w:t>Escherichia coli</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are caused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has been linked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27" w:name="_Toc203146305"/>
    <w:p>
      <w:pPr>
        <w:pStyle w:val="style3"/>
        <w:rPr/>
      </w:pPr>
    </w:p>
    <w:p>
      <w:pPr>
        <w:pStyle w:val="style3"/>
        <w:rPr/>
      </w:pPr>
      <w:r>
        <w:t>2.4.2</w:t>
      </w:r>
      <w:r>
        <w:tab/>
      </w:r>
      <w:r>
        <w:t xml:space="preserve">Mechanisms of Antibiotic Resistance in </w:t>
      </w:r>
      <w:r>
        <w:rPr>
          <w:i/>
          <w:iCs/>
        </w:rPr>
        <w:t>Escherichia coli</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are often used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are considered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8" w:name="_Toc203146306"/>
    <w:p>
      <w:pPr>
        <w:pStyle w:val="style3"/>
        <w:rPr/>
      </w:pPr>
    </w:p>
    <w:p>
      <w:pPr>
        <w:pStyle w:val="style3"/>
        <w:rPr/>
      </w:pPr>
      <w:r>
        <w:t>2.4.3</w:t>
      </w:r>
      <w:r>
        <w:tab/>
      </w:r>
      <w:r>
        <w:t xml:space="preserve">Clinical Impact of </w:t>
      </w:r>
      <w:r>
        <w:rPr>
          <w:i/>
          <w:iCs/>
        </w:rPr>
        <w:t>E. coli</w:t>
      </w:r>
      <w:r>
        <w:rPr>
          <w:i/>
          <w:iCs/>
        </w:rPr>
        <w:t xml:space="preserve"> </w:t>
      </w:r>
      <w:r>
        <w:t>Resistance</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w:t>
      </w:r>
      <w:r>
        <w:rPr>
          <w:rFonts w:ascii="Times New Roman" w:cs="Times New Roman" w:hAnsi="Times New Roman"/>
          <w:bCs/>
          <w:sz w:val="24"/>
          <w:szCs w:val="24"/>
        </w:rPr>
        <w:t xml:space="preserve">bacterial pathways are being explored,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29" w:name="_Toc203146307"/>
    <w:p>
      <w:pPr>
        <w:pStyle w:val="style1"/>
        <w:jc w:val="center"/>
        <w:rPr/>
      </w:pPr>
    </w:p>
    <w:p>
      <w:pPr>
        <w:pStyle w:val="style0"/>
        <w:rPr/>
      </w:pPr>
    </w:p>
    <w:p>
      <w:pPr>
        <w:pStyle w:val="style0"/>
        <w:rPr/>
      </w:pPr>
    </w:p>
    <w:p>
      <w:pPr>
        <w:pStyle w:val="style0"/>
        <w:rPr/>
      </w:pPr>
    </w:p>
    <w:p>
      <w:pPr>
        <w:pStyle w:val="style1"/>
        <w:jc w:val="center"/>
        <w:rPr/>
      </w:pPr>
    </w:p>
    <w:p>
      <w:pPr>
        <w:pStyle w:val="style1"/>
        <w:jc w:val="center"/>
        <w:rPr/>
      </w:pPr>
      <w:r>
        <w:t>CHAPTER THREE</w:t>
      </w:r>
      <w:bookmarkEnd w:id="29"/>
    </w:p>
    <w:bookmarkStart w:id="30" w:name="_Toc203146308"/>
    <w:p>
      <w:pPr>
        <w:pStyle w:val="style1"/>
        <w:spacing w:lineRule="auto" w:line="480"/>
        <w:jc w:val="center"/>
        <w:rPr/>
      </w:pPr>
      <w:r>
        <w:t>MATERIALS AND METHODS</w:t>
      </w:r>
      <w:bookmarkEnd w:id="30"/>
    </w:p>
    <w:bookmarkStart w:id="31"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was conducted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were obtained from the University of Ilorin Teaching Hospital (UITH), Ilorin, Kwara State. These isolates were selected for their clinical significance and resistance patterns.</w:t>
      </w:r>
    </w:p>
    <w:bookmarkStart w:id="32" w:name="_Toc203146310"/>
    <w:p>
      <w:pPr>
        <w:pStyle w:val="style2"/>
        <w:rPr/>
      </w:pPr>
      <w:r>
        <w:t>3.2</w:t>
      </w:r>
      <w:r>
        <w:tab/>
      </w:r>
      <w:r>
        <w:t>Collection and Preparation of Plant Material</w:t>
      </w:r>
      <w:bookmarkEnd w:id="32"/>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t xml:space="preserve"> and pestle. </w:t>
      </w:r>
    </w:p>
    <w:bookmarkStart w:id="33" w:name="_Toc203146311"/>
    <w:p>
      <w:pPr>
        <w:pStyle w:val="style2"/>
        <w:rPr/>
      </w:pPr>
      <w:r>
        <w:t>3.3</w:t>
      </w:r>
      <w:r>
        <w:tab/>
      </w:r>
      <w:r>
        <w:t>Preparation of Plant Extracts</w:t>
      </w:r>
      <w:bookmarkEnd w:id="33"/>
    </w:p>
    <w:bookmarkStart w:id="34" w:name="_Toc203146312"/>
    <w:p>
      <w:pPr>
        <w:pStyle w:val="style3"/>
        <w:rPr>
          <w:rFonts w:eastAsia="Calibri"/>
        </w:rPr>
      </w:pPr>
      <w:r>
        <w:rPr>
          <w:rFonts w:eastAsia="Calibri"/>
        </w:rPr>
        <w:t>3.3.1</w:t>
      </w:r>
      <w:r>
        <w:rPr>
          <w:rFonts w:eastAsia="Calibri"/>
        </w:rPr>
        <w:tab/>
      </w:r>
      <w:r>
        <w:rPr>
          <w:rFonts w:eastAsia="Calibri"/>
        </w:rPr>
        <w:t>Ethanol Extraction</w:t>
      </w:r>
      <w:bookmarkEnd w:id="34"/>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was placed in a shaking incubator at 42 °C and 80 rpm for 7 days. After extraction, the solution was filtered using </w:t>
      </w:r>
      <w:r>
        <w:t>Whatman</w:t>
      </w:r>
      <w:r>
        <w:t xml:space="preserve"> No.1 filter paper. The filtrate was concentrated by evaporation in a water bath at 40 °C to remove residual ethanol and then stored in sterile bottles at 4 °C for further analysis. </w:t>
      </w:r>
    </w:p>
    <w:p>
      <w:pPr>
        <w:pStyle w:val="style3"/>
        <w:spacing w:before="0"/>
        <w:rPr>
          <w:bCs w:val="false"/>
          <w:szCs w:val="24"/>
        </w:rPr>
      </w:pPr>
    </w:p>
    <w:bookmarkStart w:id="35" w:name="_Toc203146313"/>
    <w:p>
      <w:pPr>
        <w:pStyle w:val="style2"/>
        <w:rPr>
          <w:bCs/>
        </w:rPr>
      </w:pPr>
      <w:r>
        <w:t>3.4</w:t>
      </w:r>
      <w:r>
        <w:tab/>
      </w:r>
      <w:r>
        <w:t>Phytochemical Screening</w:t>
      </w:r>
      <w:bookmarkEnd w:id="35"/>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were performed using standard qualitative methods described by </w:t>
      </w:r>
      <w:r>
        <w:t>Yakubu</w:t>
      </w:r>
      <w:r>
        <w:t xml:space="preserve"> </w:t>
      </w:r>
      <w:r>
        <w:rPr>
          <w:i/>
        </w:rPr>
        <w:t>et al</w:t>
      </w:r>
      <w:r>
        <w:t>. (2020). Each test is detailed below.</w:t>
      </w:r>
    </w:p>
    <w:bookmarkStart w:id="36" w:name="_Toc203146314"/>
    <w:p>
      <w:pPr>
        <w:pStyle w:val="style3"/>
        <w:rPr/>
      </w:pPr>
      <w:r>
        <w:t>3.</w:t>
      </w:r>
      <w:r>
        <w:t>4</w:t>
      </w:r>
      <w:r>
        <w:t>.</w:t>
      </w:r>
      <w:r>
        <w:t>1</w:t>
      </w:r>
      <w:r>
        <w:tab/>
      </w:r>
      <w:r>
        <w:t>Test for Alkaloids</w:t>
      </w:r>
      <w:bookmarkEnd w:id="36"/>
    </w:p>
    <w:p>
      <w:pPr>
        <w:pStyle w:val="style94"/>
        <w:spacing w:before="0" w:beforeAutospacing="false" w:lineRule="auto" w:line="480"/>
        <w:jc w:val="both"/>
        <w:rPr/>
      </w:pPr>
      <w:r>
        <w:t>Two drops of Mayer’s reagent were added</w:t>
      </w:r>
      <w:r>
        <w:t xml:space="preserve"> to</w:t>
      </w:r>
      <w:r>
        <w:t xml:space="preserve"> 2 ml of each extract . The formation of a cream-colored precipitate indicated the presence of alkaloids in the extract.</w:t>
      </w:r>
    </w:p>
    <w:bookmarkStart w:id="37" w:name="_Toc203146315"/>
    <w:p>
      <w:pPr>
        <w:pStyle w:val="style3"/>
        <w:rPr/>
      </w:pPr>
      <w:r>
        <w:t>3.4.2</w:t>
      </w:r>
      <w:r>
        <w:tab/>
      </w:r>
      <w:r>
        <w:t>Test for Flavonoids</w:t>
      </w:r>
      <w:bookmarkEnd w:id="37"/>
    </w:p>
    <w:p>
      <w:pPr>
        <w:pStyle w:val="style94"/>
        <w:spacing w:before="0" w:beforeAutospacing="false" w:lineRule="auto" w:line="480"/>
        <w:jc w:val="both"/>
        <w:rPr/>
      </w:pPr>
      <w:r>
        <w:t xml:space="preserve">One </w:t>
      </w:r>
      <w:r>
        <w:t>millilitre</w:t>
      </w:r>
      <w:r>
        <w:t xml:space="preserve"> of the extract was mixed with a few drops of dilute sodium hydroxide solution. An intense yellow color appeared, which became colorless upon the addition of dilute hydrochloric acid. This color change confirmed the presence of flavonoids.</w:t>
      </w:r>
    </w:p>
    <w:bookmarkStart w:id="38" w:name="_Toc203146316"/>
    <w:p>
      <w:pPr>
        <w:pStyle w:val="style3"/>
        <w:rPr/>
      </w:pPr>
      <w:r>
        <w:t>3.4.3</w:t>
      </w:r>
      <w:r>
        <w:tab/>
      </w:r>
      <w:r>
        <w:t>Test for Tannins</w:t>
      </w:r>
      <w:bookmarkEnd w:id="38"/>
    </w:p>
    <w:p>
      <w:pPr>
        <w:pStyle w:val="style94"/>
        <w:spacing w:before="0" w:beforeAutospacing="false" w:lineRule="auto" w:line="480"/>
        <w:jc w:val="both"/>
        <w:rPr/>
      </w:pPr>
      <w:r>
        <w:t>A few drops of 0.1% ferric chloride solution were added to 2ml of the extracts. The formation of a blue-black or greenish-black coloration indicated the presence of tannins.</w:t>
      </w:r>
    </w:p>
    <w:bookmarkStart w:id="39" w:name="_Toc203146317"/>
    <w:p>
      <w:pPr>
        <w:pStyle w:val="style3"/>
        <w:rPr/>
      </w:pPr>
      <w:r>
        <w:t>3.4.4</w:t>
      </w:r>
      <w:r>
        <w:tab/>
      </w:r>
      <w:r>
        <w:t xml:space="preserve">Test for </w:t>
      </w:r>
      <w:r>
        <w:t>Saponins</w:t>
      </w:r>
      <w:bookmarkEnd w:id="39"/>
    </w:p>
    <w:p>
      <w:pPr>
        <w:pStyle w:val="style94"/>
        <w:spacing w:before="0" w:beforeAutospacing="false" w:lineRule="auto" w:line="480"/>
        <w:jc w:val="both"/>
        <w:rPr/>
      </w:pPr>
      <w:r>
        <w:t xml:space="preserve">About 5 ml of the extract was mixed with 5 ml of distilled water in a test tube. The mixture was vigorously shaken for 30 seconds and allowed to stand for 10 minutes. The presence of persistent frothing (foam layer) indicated the presence of </w:t>
      </w:r>
      <w:r>
        <w:t>saponins</w:t>
      </w:r>
      <w:r>
        <w:t>.</w:t>
      </w:r>
    </w:p>
    <w:bookmarkStart w:id="40" w:name="_Toc203146318"/>
    <w:p>
      <w:pPr>
        <w:pStyle w:val="style3"/>
        <w:rPr/>
      </w:pPr>
      <w:r>
        <w:t>3.4.5</w:t>
      </w:r>
      <w:r>
        <w:tab/>
      </w:r>
      <w:r>
        <w:t>Test for Phenolic Compounds</w:t>
      </w:r>
      <w:bookmarkEnd w:id="40"/>
    </w:p>
    <w:p>
      <w:pPr>
        <w:pStyle w:val="style94"/>
        <w:spacing w:before="0" w:beforeAutospacing="false" w:after="0" w:afterAutospacing="false" w:lineRule="auto" w:line="480"/>
        <w:jc w:val="both"/>
        <w:rPr/>
      </w:pPr>
      <w:r>
        <w:t xml:space="preserve">Two </w:t>
      </w:r>
      <w:r>
        <w:t>millilitres</w:t>
      </w:r>
      <w:r>
        <w:t xml:space="preserve"> of the extract were treated with a few drops of 5% ferric chloride solution. The appearance of a deep blue or dark green coloration confirmed the presence of phenolic compounds. </w:t>
      </w:r>
    </w:p>
    <w:bookmarkStart w:id="41" w:name="_Toc203146319"/>
    <w:p>
      <w:pPr>
        <w:pStyle w:val="style2"/>
        <w:spacing w:lineRule="auto" w:line="480"/>
        <w:rPr/>
      </w:pPr>
      <w:r>
        <w:t>3.5</w:t>
      </w:r>
      <w:r>
        <w:tab/>
      </w:r>
      <w:r>
        <w:t>Standardization of Bacterial Inoculum</w:t>
      </w:r>
      <w:bookmarkEnd w:id="41"/>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2" w:name="_Toc203146320"/>
    <w:p>
      <w:pPr>
        <w:pStyle w:val="style2"/>
        <w:spacing w:lineRule="auto" w:line="480"/>
        <w:rPr/>
      </w:pPr>
      <w:r>
        <w:t>3.6</w:t>
      </w:r>
      <w:r>
        <w:tab/>
      </w:r>
      <w:r>
        <w:t>Antibacterial Susceptibility Testing</w:t>
      </w:r>
      <w:bookmarkEnd w:id="42"/>
    </w:p>
    <w:bookmarkStart w:id="43"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3"/>
    </w:p>
    <w:p>
      <w:pPr>
        <w:pStyle w:val="style94"/>
        <w:spacing w:before="0" w:beforeAutospacing="false" w:after="0" w:afterAutospacing="false" w:lineRule="auto" w:line="480"/>
        <w:jc w:val="both"/>
        <w:rPr/>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w:t>
      </w:r>
      <w:r>
        <w:t>μl</w:t>
      </w:r>
      <w:r>
        <w:t xml:space="preserve">, 200 </w:t>
      </w:r>
      <w:r>
        <w:t>μl</w:t>
      </w:r>
      <w:r>
        <w:t xml:space="preserve">, and 300 </w:t>
      </w:r>
      <w:r>
        <w:t>μl</w:t>
      </w:r>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bookmarkStart w:id="44"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4"/>
    </w:p>
    <w:p>
      <w:pPr>
        <w:pStyle w:val="style94"/>
        <w:spacing w:lineRule="auto" w:line="480"/>
        <w:jc w:val="both"/>
        <w:rPr/>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pPr>
        <w:pStyle w:val="style0"/>
        <w:rPr>
          <w:rFonts w:ascii="Times New Roman" w:cs="Times New Roman" w:eastAsia="Times New Roman" w:hAnsi="Times New Roman"/>
          <w:sz w:val="24"/>
          <w:szCs w:val="24"/>
        </w:rPr>
      </w:pPr>
      <w:r>
        <w:br w:type="page"/>
      </w:r>
    </w:p>
    <w:bookmarkStart w:id="45" w:name="_Toc203146323"/>
    <w:p>
      <w:pPr>
        <w:pStyle w:val="style1"/>
        <w:spacing w:lineRule="auto" w:line="480"/>
        <w:jc w:val="center"/>
        <w:rPr>
          <w:rFonts w:eastAsia="Times New Roman"/>
          <w:szCs w:val="24"/>
        </w:rPr>
      </w:pPr>
      <w:r>
        <w:t>CHAPTER FOUR</w:t>
      </w:r>
      <w:bookmarkEnd w:id="45"/>
    </w:p>
    <w:bookmarkStart w:id="46" w:name="_Toc203146324"/>
    <w:p>
      <w:pPr>
        <w:pStyle w:val="style1"/>
        <w:spacing w:lineRule="auto" w:line="480"/>
        <w:jc w:val="center"/>
        <w:rPr/>
      </w:pPr>
      <w:r>
        <w:t>RESULTS</w:t>
      </w:r>
      <w:bookmarkEnd w:id="46"/>
    </w:p>
    <w:bookmarkStart w:id="47" w:name="_Toc203146325"/>
    <w:p>
      <w:pPr>
        <w:pStyle w:val="style2"/>
        <w:rPr/>
      </w:pPr>
      <w:r>
        <w:t>4.1</w:t>
      </w:r>
      <w:r>
        <w:tab/>
      </w:r>
      <w:r>
        <w:t xml:space="preserve">Phytochemical Screening of Eucalyptus </w:t>
      </w:r>
      <w:r>
        <w:t>globulus</w:t>
      </w:r>
      <w:r>
        <w:t xml:space="preserve"> Leaf Extracts</w:t>
      </w:r>
      <w:bookmarkEnd w:id="47"/>
    </w:p>
    <w:p>
      <w:pPr>
        <w:pStyle w:val="style94"/>
        <w:spacing w:lineRule="auto" w:line="480"/>
        <w:jc w:val="both"/>
        <w:rPr/>
      </w:pPr>
      <w:r>
        <w:t xml:space="preserve">The phytochemical analysis of  ethanol extracts of </w:t>
      </w:r>
      <w:r>
        <w:rPr>
          <w:rStyle w:val="style88"/>
        </w:rPr>
        <w:t xml:space="preserve">Eucalyptus </w:t>
      </w:r>
      <w:r>
        <w:rPr>
          <w:rStyle w:val="style88"/>
        </w:rPr>
        <w:t>globulus</w:t>
      </w:r>
      <w:r>
        <w:t xml:space="preserve"> revealed the presence of several bioactive compounds known for their antimicrobial properties. The results are summarized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48" w:name="_Toc203146326"/>
    <w:p>
      <w:pPr>
        <w:pStyle w:val="style2"/>
        <w:rPr/>
      </w:pPr>
      <w:r>
        <w:t>4.2</w:t>
      </w:r>
      <w:r>
        <w:tab/>
      </w:r>
      <w:r>
        <w:t xml:space="preserve">Antibacterial Activity of Eucalyptus </w:t>
      </w:r>
      <w:r>
        <w:t>globulus</w:t>
      </w:r>
      <w:r>
        <w:t xml:space="preserve"> Extracts Using Agar Well Diffusion Method</w:t>
      </w:r>
      <w:bookmarkEnd w:id="48"/>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were evaluated against MRSA and </w:t>
      </w:r>
      <w:r>
        <w:rPr>
          <w:rStyle w:val="style8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Against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49" w:name="_Toc203146327"/>
    <w:p>
      <w:pPr>
        <w:pStyle w:val="style2"/>
        <w:spacing w:lineRule="auto" w:line="480"/>
        <w:rPr/>
      </w:pPr>
      <w:r>
        <w:t>4.3</w:t>
      </w:r>
      <w:r>
        <w:tab/>
      </w:r>
      <w:r>
        <w:t>Minimum Inhibitory Concentration (MIC) Determination of Ethanol Extract</w:t>
      </w:r>
      <w:bookmarkEnd w:id="49"/>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0" w:name="_Toc203146328"/>
    <w:p>
      <w:pPr>
        <w:pStyle w:val="style2"/>
        <w:spacing w:lineRule="auto" w:line="480"/>
        <w:rPr/>
      </w:pPr>
      <w:r>
        <w:t>4.5</w:t>
      </w:r>
      <w:r>
        <w:tab/>
      </w:r>
      <w:r>
        <w:t>Discussion</w:t>
      </w:r>
      <w:bookmarkEnd w:id="50"/>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 xml:space="preserve">Phytochemical screening of the extracts revealed the presence of several important secondary metabolites, including flavonoids, tannins,  and phenolic compounds but </w:t>
      </w:r>
      <w:r>
        <w:t>alkanoids</w:t>
      </w:r>
      <w:r>
        <w:t xml:space="preserve"> and </w:t>
      </w:r>
      <w:r>
        <w:t>saponin</w:t>
      </w:r>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demonstrates a dose-dependent relationship. At 300 µl, the ethanol extract produced a zone of </w:t>
      </w:r>
      <w:r>
        <w:t xml:space="preserve">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style8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pPr>
        <w:pStyle w:val="style0"/>
        <w:rPr/>
      </w:pPr>
    </w:p>
    <w:bookmarkStart w:id="51" w:name="_Toc203146329"/>
    <w:p>
      <w:pPr>
        <w:pStyle w:val="style1"/>
        <w:jc w:val="center"/>
        <w:rPr/>
      </w:pPr>
      <w:r>
        <w:t>CHAPTER FIVE</w:t>
      </w:r>
      <w:bookmarkEnd w:id="51"/>
    </w:p>
    <w:bookmarkStart w:id="52" w:name="_Toc203146330"/>
    <w:p>
      <w:pPr>
        <w:pStyle w:val="style1"/>
        <w:spacing w:lineRule="auto" w:line="480"/>
        <w:jc w:val="center"/>
        <w:rPr/>
      </w:pPr>
      <w:r>
        <w:t>SUMMARY, CONCLUSION AND RECOMMENDATION</w:t>
      </w:r>
      <w:bookmarkEnd w:id="52"/>
    </w:p>
    <w:bookmarkStart w:id="53"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3"/>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were obtained from the University of Ilorin Teaching Hospital and confirmed using standard microbiological and biochemical methods. Preliminary phytochemical screening revealed  </w:t>
      </w:r>
      <w:r>
        <w:t xml:space="preserve">no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4" w:name="_Toc203146332"/>
    <w:p>
      <w:pPr>
        <w:pStyle w:val="style2"/>
        <w:spacing w:lineRule="auto" w:line="480"/>
        <w:rPr/>
      </w:pPr>
      <w:r>
        <w:t>5.2</w:t>
      </w:r>
      <w:r>
        <w:tab/>
      </w:r>
      <w:r>
        <w:t>Conclusion</w:t>
      </w:r>
      <w:bookmarkEnd w:id="54"/>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5" w:name="_Toc203146333"/>
    <w:p>
      <w:pPr>
        <w:pStyle w:val="style2"/>
        <w:spacing w:lineRule="auto" w:line="480"/>
        <w:rPr/>
      </w:pPr>
      <w:r>
        <w:t>5.3</w:t>
      </w:r>
      <w:r>
        <w:tab/>
      </w:r>
      <w:r>
        <w:t>Recommendations</w:t>
      </w:r>
      <w:bookmarkEnd w:id="55"/>
    </w:p>
    <w:p>
      <w:pPr>
        <w:pStyle w:val="style94"/>
        <w:spacing w:before="0" w:beforeAutospacing="false" w:lineRule="auto" w:line="480"/>
        <w:jc w:val="both"/>
        <w:rPr/>
      </w:pPr>
      <w:r>
        <w:t>Based on the findings of this study, the following recommendations are made:</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6" w:name="_Toc203146334"/>
    <w:p>
      <w:pPr>
        <w:pStyle w:val="style1"/>
        <w:rPr/>
      </w:pPr>
      <w:r>
        <w:t>REFERENCES</w:t>
      </w:r>
      <w:bookmarkEnd w:id="56"/>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 xml:space="preserve">Taiwo,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bookmarkStart w:id="57" w:name="_Toc203146335"/>
    <w:p>
      <w:pPr>
        <w:pStyle w:val="style1"/>
        <w:jc w:val="center"/>
        <w:rPr/>
      </w:pPr>
      <w:r>
        <w:t>APPENDIX</w:t>
      </w:r>
      <w:bookmarkEnd w:id="57"/>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3" behindDoc="false" locked="false" layoutInCell="true" allowOverlap="true">
            <wp:simplePos x="0" y="0"/>
            <wp:positionH relativeFrom="column">
              <wp:posOffset>0</wp:posOffset>
            </wp:positionH>
            <wp:positionV relativeFrom="paragraph">
              <wp:posOffset>165735</wp:posOffset>
            </wp:positionV>
            <wp:extent cx="1683385" cy="1903730"/>
            <wp:effectExtent l="0" t="0" r="0" b="1270"/>
            <wp:wrapSquare wrapText="bothSides"/>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srcRect l="0" t="0" r="0" b="0"/>
                    <a:stretch/>
                  </pic:blipFill>
                  <pic:spPr>
                    <a:xfrm rot="0">
                      <a:off x="0" y="0"/>
                      <a:ext cx="1683385" cy="190373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0"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a:tailEnd/>
                        </a:ln>
                      </wps:spPr>
                      <wps:txbx id="1030">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white" stroked="t" style="position:absolute;margin-left:-8.25pt;margin-top:8.85pt;width:189.0pt;height:34.5pt;z-index: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1879240" cy="1894114"/>
            <wp:effectExtent l="0" t="0" r="6985" b="0"/>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0" t="0" r="0" b="0"/>
                    <a:stretch/>
                  </pic:blipFill>
                  <pic:spPr>
                    <a:xfrm rot="0">
                      <a:off x="0" y="0"/>
                      <a:ext cx="1879240" cy="1894114"/>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noProof/>
        </w:rPr>
        <w:drawing>
          <wp:anchor distT="0" distB="0" distL="0" distR="0" simplePos="false" relativeHeight="4" behindDoc="false" locked="false" layoutInCell="true" allowOverlap="true">
            <wp:simplePos x="0" y="0"/>
            <wp:positionH relativeFrom="column">
              <wp:posOffset>224790</wp:posOffset>
            </wp:positionH>
            <wp:positionV relativeFrom="paragraph">
              <wp:posOffset>403225</wp:posOffset>
            </wp:positionV>
            <wp:extent cx="1653540" cy="1858010"/>
            <wp:effectExtent l="0" t="0" r="3810" b="8890"/>
            <wp:wrapTopAndBottom/>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srcRect l="0" t="0" r="0" b="0"/>
                    <a:stretch/>
                  </pic:blipFill>
                  <pic:spPr>
                    <a:xfrm rot="0">
                      <a:off x="0" y="0"/>
                      <a:ext cx="1653540" cy="1858010"/>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sz w:val="24"/>
          <w:szCs w:val="24"/>
        </w:rPr>
        <w:t>PLATE 3: MIC result of MRSA at 0.15</w:t>
      </w:r>
      <w:r>
        <w:rPr>
          <w:rFonts w:ascii="Times New Roman" w:cs="Times New Roman" w:hAnsi="Times New Roman"/>
          <w:sz w:val="24"/>
          <w:szCs w:val="24"/>
        </w:rPr>
        <w:t xml:space="preserve"> </w:t>
      </w:r>
      <w:r>
        <w:rPr>
          <w:rFonts w:ascii="Times New Roman" w:cs="Times New Roman" w:hAnsi="Times New Roman"/>
          <w:sz w:val="24"/>
          <w:szCs w:val="24"/>
        </w:rPr>
        <w:t>concentration</w:t>
      </w:r>
    </w:p>
    <w:p>
      <w:pPr>
        <w:pStyle w:val="style0"/>
        <w:spacing w:before="240"/>
        <w:rPr>
          <w:rFonts w:ascii="Times New Roman" w:cs="Times New Roman" w:hAnsi="Times New Roman"/>
          <w:sz w:val="24"/>
          <w:szCs w:val="24"/>
        </w:rPr>
      </w:pPr>
      <w:r>
        <w:rPr>
          <w:rFonts w:ascii="Times New Roman" w:cs="Times New Roman" w:hAnsi="Times New Roman"/>
          <w:sz w:val="24"/>
          <w:szCs w:val="24"/>
        </w:rPr>
        <w:t xml:space="preserve">PLATE 4: MIC </w:t>
      </w:r>
      <w:r>
        <w:rPr>
          <w:rFonts w:ascii="Times New Roman" w:cs="Times New Roman" w:hAnsi="Times New Roman"/>
          <w:sz w:val="24"/>
          <w:szCs w:val="24"/>
        </w:rPr>
        <w:t>result of MRSA at 0.2</w:t>
      </w:r>
      <w:r>
        <w:rPr>
          <w:rFonts w:ascii="Times New Roman" w:cs="Times New Roman" w:hAnsi="Times New Roman"/>
          <w:sz w:val="24"/>
          <w:szCs w:val="24"/>
        </w:rPr>
        <w:t xml:space="preserve"> concentration </w:t>
      </w:r>
    </w:p>
    <w:p>
      <w:pPr>
        <w:pStyle w:val="style0"/>
        <w:spacing w:before="240"/>
        <w:jc w:val="center"/>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5" behindDoc="false" locked="false" layoutInCell="true" allowOverlap="true">
            <wp:simplePos x="0" y="0"/>
            <wp:positionH relativeFrom="column">
              <wp:posOffset>0</wp:posOffset>
            </wp:positionH>
            <wp:positionV relativeFrom="paragraph">
              <wp:posOffset>0</wp:posOffset>
            </wp:positionV>
            <wp:extent cx="5943600" cy="7924800"/>
            <wp:effectExtent l="0" t="0" r="0" b="0"/>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0" cstate="print"/>
                    <a:srcRect l="0" t="0" r="0" b="0"/>
                    <a:stretch/>
                  </pic:blipFill>
                  <pic:spPr>
                    <a:xfrm rot="0">
                      <a:off x="0" y="0"/>
                      <a:ext cx="5943600" cy="7924800"/>
                    </a:xfrm>
                    <a:prstGeom prst="rect"/>
                  </pic:spPr>
                </pic:pic>
              </a:graphicData>
            </a:graphic>
          </wp:anchor>
        </w:drawing>
      </w:r>
    </w:p>
    <w:p>
      <w:pPr>
        <w:pStyle w:val="style0"/>
        <w:rPr>
          <w:rFonts w:ascii="Times New Roman" w:cs="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23ef84ea-0839-4861-ae95-c4e6f8770a5b"/>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534c4df0-eb71-4e37-947d-8cf1f4b19170"/>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4b72c1ff-df48-4abf-b94a-e8020e4c8862"/>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b51aa56d-970e-4d5d-8394-4e21821081cf"/>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1b9dca59-1447-497b-b0d2-7d6e07784fb1"/>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d019366a-8071-420b-aa03-fae6c7e7915c"/>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7.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image" Target="media/image6.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7796</Words>
  <Pages>38</Pages>
  <Characters>48228</Characters>
  <Application>WPS Office</Application>
  <DocSecurity>0</DocSecurity>
  <Paragraphs>468</Paragraphs>
  <ScaleCrop>false</ScaleCrop>
  <LinksUpToDate>false</LinksUpToDate>
  <CharactersWithSpaces>55966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2025-07-12T10:24:00Z</dcterms:created>
  <dc:creator>Hassan Musa</dc:creator>
  <lastModifiedBy>TECNO KH6</lastModifiedBy>
  <dcterms:modified xsi:type="dcterms:W3CDTF">2025-08-15T15:49:38Z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6758d4bc973d4c78aaa2275f9ddf47a2</vt:lpwstr>
  </property>
</Properties>
</file>