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ASSOCIATED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PETROCHEMICAL SOILS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</w:pPr>
      <w:r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>BY</w:t>
      </w:r>
    </w:p>
    <w:p>
      <w:pPr>
        <w:pStyle w:val="style94"/>
        <w:snapToGrid w:val="false"/>
        <w:spacing w:before="0" w:beforeAutospacing="false" w:after="0" w:afterAutospacing="false" w:lineRule="auto" w:line="240"/>
        <w:textAlignment w:val="baseline"/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</w:pP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</w:p>
    <w:p>
      <w:pPr>
        <w:pStyle w:val="style94"/>
        <w:snapToGrid w:val="false"/>
        <w:spacing w:before="0" w:beforeAutospacing="false" w:after="0" w:afterAutospacing="false" w:lineRule="auto" w:line="240"/>
        <w:textAlignment w:val="baseline"/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</w:pP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cs="宋体" w:eastAsia="Calibri"/>
          <w:b/>
          <w:i w:val="false"/>
          <w:caps w:val="false"/>
          <w:color w:val="000000"/>
          <w:spacing w:val="0"/>
          <w:w w:val="100"/>
          <w:sz w:val="32"/>
        </w:rPr>
      </w:pP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>OLUSANYA</w:t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>ANUOLUWAPO</w:t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>O.</w:t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>HND/</w:t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>23/FT/SLT/0403</w:t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</w:p>
    <w:p>
      <w:pPr>
        <w:pStyle w:val="style94"/>
        <w:snapToGrid w:val="false"/>
        <w:spacing w:before="0" w:beforeAutospacing="false" w:after="0" w:afterAutospacing="false" w:lineRule="auto" w:line="240"/>
        <w:textAlignment w:val="baseline"/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</w:pP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  <w:r>
        <w:rPr>
          <w:rFonts w:cs="宋体" w:eastAsia="Calibri"/>
          <w:b/>
          <w:bCs/>
          <w:i w:val="false"/>
          <w:caps w:val="false"/>
          <w:color w:val="000000"/>
          <w:spacing w:val="0"/>
          <w:w w:val="100"/>
          <w:sz w:val="32"/>
          <w:szCs w:val="32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PROJECT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SUBMITTED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DEPARTMENT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SCIENCE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LABORATORY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TECHNOLOGY,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INSTITUTE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APPLIED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SCIENCES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(IAS),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KWARA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STATE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POLYTECHNIC,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ILORIN,</w:t>
      </w:r>
    </w:p>
    <w:p>
      <w:pPr>
        <w:pStyle w:val="style94"/>
        <w:snapToGrid w:val="false"/>
        <w:spacing w:before="0" w:beforeAutospacing="false" w:after="150" w:afterAutospacing="false" w:lineRule="atLeast" w:line="21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PARTIAL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FULFILMENT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REQUIREMENTS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AWARD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HIGHER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NATIONAL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DIPLOMA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(HND)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SCIENCE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TECHNOLOGY,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INSTITUTE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APPLIED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SCIENCES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(IAS),MICROBIOLOGY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UNIT</w:t>
      </w:r>
    </w:p>
    <w:p>
      <w:pPr>
        <w:pStyle w:val="style94"/>
        <w:snapToGrid w:val="false"/>
        <w:spacing w:before="0" w:beforeAutospacing="false" w:after="150" w:afterAutospacing="false" w:lineRule="atLeast" w:line="21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KWARA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STATE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POLYTECHNIC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ILORIN</w:t>
      </w:r>
    </w:p>
    <w:p>
      <w:pPr>
        <w:pStyle w:val="style94"/>
        <w:snapToGrid w:val="false"/>
        <w:spacing w:before="0" w:beforeAutospacing="false" w:after="150" w:afterAutospacing="false" w:lineRule="atLeast" w:line="21"/>
        <w:jc w:val="center"/>
        <w:textAlignment w:val="baseline"/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 </w:t>
      </w:r>
    </w:p>
    <w:p>
      <w:pPr>
        <w:pStyle w:val="style94"/>
        <w:snapToGrid w:val="false"/>
        <w:spacing w:before="0" w:beforeAutospacing="false" w:after="150" w:afterAutospacing="false" w:lineRule="atLeast" w:line="21"/>
        <w:jc w:val="center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6"/>
          <w:szCs w:val="26"/>
        </w:rPr>
      </w:pPr>
      <w:r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 </w:t>
      </w:r>
      <w:r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cs="-webkit-standard" w:eastAsia="-webkit-standard" w:hAnsi="-webkit-standard"/>
          <w:b/>
          <w:i w:val="false"/>
          <w:caps w:val="false"/>
          <w:color w:val="000000"/>
          <w:spacing w:val="0"/>
          <w:w w:val="100"/>
          <w:sz w:val="28"/>
          <w:szCs w:val="28"/>
        </w:rPr>
        <w:t>JULY</w:t>
      </w:r>
      <w:r>
        <w:rPr>
          <w:rFonts w:eastAsia="-webkit-standard"/>
          <w:b/>
          <w:i w:val="false"/>
          <w:caps w:val="false"/>
          <w:color w:val="000000"/>
          <w:spacing w:val="0"/>
          <w:w w:val="100"/>
          <w:sz w:val="28"/>
          <w:szCs w:val="28"/>
        </w:rPr>
        <w:t>,2025</w:t>
      </w:r>
      <w:r>
        <w:rPr>
          <w:rFonts w:eastAsia="-webkit-standard"/>
          <w:b/>
          <w:i w:val="false"/>
          <w:caps w:val="false"/>
          <w:color w:val="000000"/>
          <w:spacing w:val="0"/>
          <w:w w:val="100"/>
          <w:sz w:val="28"/>
          <w:szCs w:val="28"/>
        </w:rPr>
        <w:t>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26"/>
          <w:szCs w:val="26"/>
        </w:rPr>
      </w:pPr>
    </w:p>
    <w:p>
      <w:pPr>
        <w:pStyle w:val="style0"/>
        <w:snapToGrid w:val="false"/>
        <w:spacing w:before="0" w:beforeAutospacing="false" w:after="160" w:afterAutospacing="false" w:lineRule="auto" w:line="259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259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/>
        <w:drawing>
          <wp:inline distL="114300" distT="0" distB="0" distR="114300">
            <wp:extent cx="5853781" cy="687607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53781" cy="68760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napToGrid w:val="false"/>
        <w:spacing w:before="0" w:beforeAutospacing="false" w:after="160" w:afterAutospacing="false" w:lineRule="auto" w:line="259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259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259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259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259"/>
        <w:jc w:val="center"/>
        <w:textAlignment w:val="baseline"/>
        <w:rPr>
          <w:rFonts w:ascii="Times New Roman" w:hAnsi="Times New Roman"/>
          <w:b/>
          <w:i w:val="false"/>
          <w:caps w:val="false"/>
          <w:color w:val="000000"/>
          <w:spacing w:val="0"/>
          <w:w w:val="10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DEDICATION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irst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foremost,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Almighty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God,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whose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mercy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never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failed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even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when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my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strength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did.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His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grace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carried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through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every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late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night,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every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stacle,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every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breakthrough.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my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dearest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parents,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Mr.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Mrs.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OLUSANYA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T.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owe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foundation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my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success.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Your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sacrifices,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love,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unwavering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belief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have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been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my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ligh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through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every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academic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storm.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special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heartfelt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dedication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goes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my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elder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sister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Mrs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ENIOLA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AUSTIN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whose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constant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support,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wise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counsel,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quiet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strength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pillar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leaned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difficult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times.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You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deeply</w:t>
      </w:r>
      <w:r>
        <w:rPr>
          <w:rFonts w:ascii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appreciated.</w:t>
      </w:r>
    </w:p>
    <w:p>
      <w:pPr>
        <w:pStyle w:val="style0"/>
        <w:snapToGrid w:val="false"/>
        <w:spacing w:before="0" w:beforeAutospacing="false" w:after="0" w:afterAutospacing="false" w:lineRule="auto" w:line="480"/>
        <w:textAlignment w:val="baseline"/>
        <w:rPr>
          <w:rFonts w:ascii="Times New Roman" w:hAnsi="Times New Roman"/>
          <w:b/>
          <w:i w:val="false"/>
          <w:caps w:val="false"/>
          <w:color w:val="000000"/>
          <w:spacing w:val="0"/>
          <w:w w:val="100"/>
          <w:sz w:val="26"/>
          <w:szCs w:val="26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textAlignment w:val="baseline"/>
        <w:rPr>
          <w:rFonts w:ascii="Times New Roman" w:hAnsi="Times New Roman"/>
          <w:b/>
          <w:i w:val="false"/>
          <w:caps w:val="false"/>
          <w:color w:val="000000"/>
          <w:spacing w:val="0"/>
          <w:w w:val="100"/>
          <w:sz w:val="26"/>
          <w:szCs w:val="26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textAlignment w:val="baseline"/>
        <w:rPr>
          <w:rFonts w:ascii="Times New Roman" w:hAnsi="Times New Roman"/>
          <w:b/>
          <w:i w:val="false"/>
          <w:caps w:val="false"/>
          <w:color w:val="000000"/>
          <w:spacing w:val="0"/>
          <w:w w:val="100"/>
          <w:sz w:val="26"/>
          <w:szCs w:val="26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textAlignment w:val="baseline"/>
        <w:rPr>
          <w:rFonts w:ascii="Times New Roman" w:hAnsi="Times New Roman"/>
          <w:b/>
          <w:i w:val="false"/>
          <w:caps w:val="false"/>
          <w:color w:val="000000"/>
          <w:spacing w:val="0"/>
          <w:w w:val="100"/>
          <w:sz w:val="26"/>
          <w:szCs w:val="26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26"/>
          <w:szCs w:val="26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26"/>
          <w:szCs w:val="26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26"/>
          <w:szCs w:val="26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26"/>
          <w:szCs w:val="26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textAlignment w:val="baseline"/>
        <w:rPr>
          <w:rFonts w:ascii="Times New Roman" w:hAnsi="Times New Roman"/>
          <w:b/>
          <w:bCs/>
          <w:i w:val="false"/>
          <w:caps w:val="false"/>
          <w:color w:val="000000"/>
          <w:spacing w:val="0"/>
          <w:w w:val="100"/>
          <w:sz w:val="26"/>
          <w:szCs w:val="26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ACKNOWLEDGEMENT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immensely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grateful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God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Almighty,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giver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knowledge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sustainer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purpose,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granting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health,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wisdom,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endurance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esearch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conclusion.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deepest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appreciation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goes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supervisor,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Mrs.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Abdullahi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J,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insightful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guidance,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patience,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constructive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feedback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greatly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anced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quality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work.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wish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sincerely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acknowledge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Dr.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Usman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Department,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Ahmed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Unit,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Department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Microbiology,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exemplary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supportive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atmosphere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contributed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immensely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success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project.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heartfelt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thanks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parents,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Mr.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Mrs.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OLUSANYA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T.for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greatest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cheerleaders.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relentless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prayers,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emotional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LOLA,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strength,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hav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milestone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possible.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ecognize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wonderful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siblings: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OLUWATOBILOBA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Mrs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ENIOLA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AUSTIN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encouragement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belief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every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step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journey.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amazing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Sister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VICTORIA,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OLUWAMAYOMIWA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/>
        </w:rPr>
        <w:t>OLUWADAMILOLA(wealth)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thank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walking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laughs,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advice,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shared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struggles.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presence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meant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than words can say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br w:type="page"/>
      </w:r>
    </w:p>
    <w:p>
      <w:pPr>
        <w:pStyle w:val="style266"/>
        <w:snapToGrid w:val="false"/>
        <w:spacing w:before="240" w:beforeAutospacing="false" w:after="0" w:afterAutospacing="false" w:lineRule="auto" w:line="259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TABLE</w:t>
      </w: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CONTENTS</w:t>
      </w:r>
    </w:p>
    <w:p>
      <w:pPr>
        <w:pStyle w:val="style0"/>
        <w:snapToGrid w:val="false"/>
        <w:spacing w:before="0" w:beforeAutospacing="false" w:after="16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TITLE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PAGE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</w:t>
      </w:r>
    </w:p>
    <w:p>
      <w:pPr>
        <w:pStyle w:val="style0"/>
        <w:snapToGrid w:val="false"/>
        <w:spacing w:before="0" w:beforeAutospacing="false" w:after="16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CERTIFICATION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ii</w:t>
      </w:r>
    </w:p>
    <w:p>
      <w:pPr>
        <w:pStyle w:val="style0"/>
        <w:snapToGrid w:val="false"/>
        <w:spacing w:before="0" w:beforeAutospacing="false" w:after="16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DEDICATION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iii</w:t>
      </w:r>
    </w:p>
    <w:p>
      <w:pPr>
        <w:pStyle w:val="style0"/>
        <w:snapToGrid w:val="false"/>
        <w:spacing w:before="0" w:beforeAutospacing="false" w:after="16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ACKNOWLEDGEMENTS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iv</w:t>
      </w:r>
    </w:p>
    <w:p>
      <w:pPr>
        <w:pStyle w:val="style0"/>
        <w:snapToGrid w:val="false"/>
        <w:spacing w:before="0" w:beforeAutospacing="false" w:after="16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v-vi</w:t>
      </w:r>
    </w:p>
    <w:p>
      <w:pPr>
        <w:pStyle w:val="style0"/>
        <w:snapToGrid w:val="false"/>
        <w:spacing w:before="0" w:beforeAutospacing="false" w:after="16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LIST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vii</w:t>
      </w:r>
    </w:p>
    <w:p>
      <w:pPr>
        <w:pStyle w:val="style0"/>
        <w:snapToGrid w:val="false"/>
        <w:spacing w:before="0" w:beforeAutospacing="false" w:after="160" w:afterAutospacing="false" w:lineRule="auto" w:line="276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ABSTRACT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viii</w:t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CHAPTER</w:t>
      </w:r>
      <w:r>
        <w:rPr>
          <w:rStyle w:val="style85"/>
          <w:rFonts w:ascii="Times New Roman" w:cs="Times New Roman" w:eastAsia="Times New Roman" w:hAnsi="Times New Roman"/>
          <w:b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ONE</w:t>
      </w:r>
      <w:r>
        <w:rPr/>
        <w:fldChar w:fldCharType="begin"/>
      </w:r>
      <w:r>
        <w:instrText xml:space="preserve"> TOC \o "1-3" \h \z \u </w:instrText>
      </w:r>
      <w:r>
        <w:rPr/>
        <w:fldChar w:fldCharType="separate"/>
      </w:r>
      <w:r>
        <w:rPr/>
        <w:fldChar w:fldCharType="begin"/>
      </w:r>
      <w:r>
        <w:instrText xml:space="preserve"> HYPERLINK \l "_Toc202123479"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_Toc202123479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1.0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INTRODUCTION</w:t>
      </w:r>
      <w:r>
        <w:rPr/>
        <w:fldChar w:fldCharType="begin"/>
      </w:r>
      <w:r>
        <w:instrText xml:space="preserve"> HYPERLINK \l "_Toc202123480"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_Toc202123480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1.2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Literature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Review</w:t>
      </w:r>
      <w:r>
        <w:rPr/>
        <w:fldChar w:fldCharType="begin"/>
      </w:r>
      <w:r>
        <w:instrText xml:space="preserve"> HYPERLINK \l "_Toc202123481"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_Toc202123481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11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1.3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Statement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of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Problem</w:t>
      </w:r>
      <w:r>
        <w:rPr/>
        <w:fldChar w:fldCharType="begin"/>
      </w:r>
      <w:r>
        <w:instrText xml:space="preserve"> HYPERLINK \l "_Toc202123482"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_Toc202123482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13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1.4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Aim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and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Objectives</w:t>
      </w:r>
      <w:r>
        <w:rPr/>
        <w:fldChar w:fldCharType="begin"/>
      </w:r>
      <w:r>
        <w:instrText xml:space="preserve"> HYPERLINK \l "_Toc202123483"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_Toc202123483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13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CHAPTER</w:t>
      </w:r>
      <w:r>
        <w:rPr>
          <w:rStyle w:val="style85"/>
          <w:rFonts w:ascii="Times New Roman" w:cs="Times New Roman" w:eastAsia="Times New Roman" w:hAnsi="Times New Roman"/>
          <w:b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TWO</w:t>
      </w:r>
      <w:r>
        <w:rPr/>
        <w:fldChar w:fldCharType="begin"/>
      </w:r>
      <w:r>
        <w:instrText xml:space="preserve"> HYPERLINK \l "_Toc202123484"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_Toc202123484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14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2.0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MATERIALS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AND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METHODS</w:t>
      </w:r>
      <w:r>
        <w:rPr/>
        <w:fldChar w:fldCharType="begin"/>
      </w:r>
      <w:r>
        <w:instrText xml:space="preserve"> HYPERLINK \l "_Toc202123485"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_Toc202123485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14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2.1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Materials</w:t>
      </w:r>
      <w:r>
        <w:rPr/>
        <w:fldChar w:fldCharType="begin"/>
      </w:r>
      <w:r>
        <w:instrText xml:space="preserve"> HYPERLINK \l "_Toc202123486"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_Toc202123486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14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2.2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Sterilization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of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Glasswares</w:t>
      </w:r>
      <w:r>
        <w:rPr/>
        <w:fldChar w:fldCharType="begin"/>
      </w:r>
      <w:r>
        <w:instrText xml:space="preserve"> HYPERLINK \l "_Toc202123487"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_Toc202123487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15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2.3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Media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Preparation</w:t>
      </w:r>
      <w:r>
        <w:rPr/>
        <w:fldChar w:fldCharType="begin"/>
      </w:r>
      <w:r>
        <w:instrText xml:space="preserve"> HYPERLINK \l "_Toc202123488"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_Toc202123488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15</w:t>
      </w:r>
      <w:r>
        <w:rPr/>
        <w:fldChar w:fldCharType="end"/>
      </w:r>
      <w:r>
        <w:rPr/>
        <w:fldChar w:fldCharType="end"/>
      </w:r>
    </w:p>
    <w:p>
      <w:pPr>
        <w:pStyle w:val="style20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ind w:left="220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2.3.1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Nutrient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Agar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(NA)</w:t>
      </w:r>
      <w:r>
        <w:rPr/>
        <w:fldChar w:fldCharType="begin"/>
      </w:r>
      <w:r>
        <w:instrText xml:space="preserve"> HYPERLINK \l "_Toc202123489"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_Toc202123489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15</w:t>
      </w:r>
      <w:r>
        <w:rPr/>
        <w:fldChar w:fldCharType="end"/>
      </w:r>
      <w:r>
        <w:rPr/>
        <w:fldChar w:fldCharType="end"/>
      </w:r>
    </w:p>
    <w:p>
      <w:pPr>
        <w:pStyle w:val="style20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ind w:left="220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2.3.2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Sabouraud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Dextrose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Agar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(SDA)</w:t>
      </w:r>
      <w:r>
        <w:rPr/>
        <w:fldChar w:fldCharType="begin"/>
      </w:r>
      <w:r>
        <w:instrText xml:space="preserve"> HYPERLINK \l "_Toc202123490"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_Toc202123490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16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2.4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Sample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Collection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and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Preparation</w:t>
      </w:r>
      <w:r>
        <w:rPr/>
        <w:fldChar w:fldCharType="begin"/>
      </w:r>
      <w:r>
        <w:instrText xml:space="preserve"> HYPERLINK \l "_Toc202123491"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_Toc202123491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16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2.5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Inoculation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and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Incubation</w:t>
      </w:r>
      <w:r>
        <w:rPr/>
        <w:fldChar w:fldCharType="begin"/>
      </w:r>
      <w:r>
        <w:instrText xml:space="preserve"> HYPERLINK \l "_Toc202123492"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_Toc202123492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16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2.6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Gram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Staining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Procedure</w:t>
      </w:r>
      <w:r>
        <w:rPr/>
        <w:fldChar w:fldCharType="begin"/>
      </w:r>
      <w:r>
        <w:instrText xml:space="preserve"> HYPERLINK \l "_Toc202123493"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_Toc202123493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17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2.7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Physicochemical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Analysis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of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Soil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Samples</w:t>
      </w:r>
      <w:r>
        <w:rPr/>
        <w:fldChar w:fldCharType="begin"/>
      </w:r>
      <w:r>
        <w:instrText xml:space="preserve"> HYPERLINK \l "_Toc202123494"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_Toc202123494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17</w:t>
      </w:r>
      <w:r>
        <w:rPr/>
        <w:fldChar w:fldCharType="end"/>
      </w:r>
      <w:r>
        <w:rPr/>
        <w:fldChar w:fldCharType="end"/>
      </w:r>
    </w:p>
    <w:p>
      <w:pPr>
        <w:pStyle w:val="style20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ind w:left="220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2.7.1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Temperature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Measurement</w:t>
      </w:r>
      <w:r>
        <w:rPr/>
        <w:fldChar w:fldCharType="begin"/>
      </w:r>
      <w:r>
        <w:instrText xml:space="preserve"> HYPERLINK \l "_Toc202123495"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_Toc202123495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17</w:t>
      </w:r>
      <w:r>
        <w:rPr/>
        <w:fldChar w:fldCharType="end"/>
      </w:r>
      <w:r>
        <w:rPr/>
        <w:fldChar w:fldCharType="end"/>
      </w:r>
    </w:p>
    <w:p>
      <w:pPr>
        <w:pStyle w:val="style20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ind w:left="220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2.7.2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pH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and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Electrical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Conductivity</w:t>
      </w:r>
      <w:r>
        <w:rPr/>
        <w:fldChar w:fldCharType="begin"/>
      </w:r>
      <w:r>
        <w:instrText xml:space="preserve"> HYPERLINK \l "_Toc202123496"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_Toc202123496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17</w:t>
      </w:r>
      <w:r>
        <w:rPr/>
        <w:fldChar w:fldCharType="end"/>
      </w:r>
      <w:r>
        <w:rPr/>
        <w:fldChar w:fldCharType="end"/>
      </w:r>
    </w:p>
    <w:p>
      <w:pPr>
        <w:pStyle w:val="style20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ind w:left="220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2.7.3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Nitrate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and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Phosphate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Determination</w:t>
      </w:r>
      <w:r>
        <w:rPr/>
        <w:fldChar w:fldCharType="begin"/>
      </w:r>
      <w:r>
        <w:instrText xml:space="preserve"> HYPERLINK \l "_Toc202123497"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_Toc202123497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18</w:t>
      </w:r>
      <w:r>
        <w:rPr/>
        <w:fldChar w:fldCharType="end"/>
      </w:r>
      <w:r>
        <w:rPr/>
        <w:fldChar w:fldCharType="end"/>
      </w:r>
    </w:p>
    <w:p>
      <w:pPr>
        <w:pStyle w:val="style20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ind w:left="220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2.7.4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Sulphate</w:t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Determination</w:t>
      </w:r>
      <w:r>
        <w:rPr/>
        <w:fldChar w:fldCharType="begin"/>
      </w:r>
      <w:r>
        <w:instrText xml:space="preserve"> HYPERLINK \l "_Toc202123498"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_Toc202123498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18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CHAPTER</w:t>
      </w:r>
      <w:r>
        <w:rPr>
          <w:rStyle w:val="style85"/>
          <w:rFonts w:ascii="Times New Roman" w:cs="Times New Roman" w:eastAsia="Times New Roman" w:hAnsi="Times New Roman"/>
          <w:b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THREE</w:t>
      </w:r>
      <w:r>
        <w:rPr/>
        <w:fldChar w:fldCharType="begin"/>
      </w:r>
      <w:r>
        <w:instrText xml:space="preserve"> HYPERLINK \l "_Toc202123499"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_Toc202123499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19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3.0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RESULTS</w:t>
      </w:r>
      <w:r>
        <w:rPr/>
        <w:fldChar w:fldCharType="begin"/>
      </w:r>
      <w:r>
        <w:instrText xml:space="preserve"> HYPERLINK \l "_Toc202123500"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_Toc202123500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19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3.1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Microbial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Growth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Observation</w:t>
      </w:r>
      <w:r>
        <w:rPr/>
        <w:fldChar w:fldCharType="begin"/>
      </w:r>
      <w:r>
        <w:instrText xml:space="preserve"> HYPERLINK \l "_Toc202123501"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_Toc202123501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19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3.2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Gram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Staining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Results</w:t>
      </w:r>
      <w:r>
        <w:rPr/>
        <w:fldChar w:fldCharType="begin"/>
      </w:r>
      <w:r>
        <w:instrText xml:space="preserve"> HYPERLINK \l "_Toc202123511"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_Toc202123511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21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3.3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Physicochemical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Properties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of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Soil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Samples</w:t>
      </w:r>
      <w:r>
        <w:rPr/>
        <w:fldChar w:fldCharType="begin"/>
      </w:r>
      <w:r>
        <w:instrText xml:space="preserve"> HYPERLINK \l "_Toc202123515"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_Toc202123515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21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CHAPTER</w:t>
      </w:r>
      <w:r>
        <w:rPr>
          <w:rStyle w:val="style85"/>
          <w:rFonts w:ascii="Times New Roman" w:cs="Times New Roman" w:eastAsia="Times New Roman" w:hAnsi="Times New Roman"/>
          <w:b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FOUR</w:t>
      </w:r>
      <w:r>
        <w:rPr/>
        <w:fldChar w:fldCharType="begin"/>
      </w:r>
      <w:r>
        <w:instrText xml:space="preserve"> HYPERLINK \l "_Toc202123516"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_Toc202123516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23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4.0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DISCUSSION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AND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CONCLUSION</w:t>
      </w:r>
      <w:r>
        <w:rPr/>
        <w:fldChar w:fldCharType="begin"/>
      </w:r>
      <w:r>
        <w:instrText xml:space="preserve"> HYPERLINK \l "_Toc202123517"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_Toc202123517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23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4.1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DISCUSSION</w:t>
      </w:r>
      <w:r>
        <w:rPr/>
        <w:fldChar w:fldCharType="begin"/>
      </w:r>
      <w:r>
        <w:instrText xml:space="preserve"> HYPERLINK \l "_Toc202123518"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_Toc202123518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23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4.2</w:t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CONCLUSION</w:t>
      </w:r>
      <w:r>
        <w:rPr/>
        <w:fldChar w:fldCharType="begin"/>
      </w:r>
      <w:r>
        <w:instrText xml:space="preserve"> HYPERLINK \l "_Toc202123519"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_Toc202123519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26</w:t>
      </w:r>
      <w:r>
        <w:rPr/>
        <w:fldChar w:fldCharType="end"/>
      </w:r>
      <w:r>
        <w:rPr/>
        <w:fldChar w:fldCharType="end"/>
      </w:r>
    </w:p>
    <w:p>
      <w:pPr>
        <w:pStyle w:val="style19"/>
        <w:tabs>
          <w:tab w:val="right" w:leader="dot" w:pos="9350"/>
        </w:tabs>
        <w:snapToGrid w:val="false"/>
        <w:spacing w:before="0" w:beforeAutospacing="false" w:after="10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</w:pPr>
      <w:r>
        <w:rPr/>
        <w:fldChar w:fldCharType="begin"/>
      </w:r>
      <w:r>
        <w:instrText xml:space="preserve"> HYPERLINK \l "_Toc202123520"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  <w:u w:val="single" w:color="000000"/>
        </w:rPr>
        <w:t>REFERENCES</w:t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ab/>
      </w:r>
      <w:r>
        <w:rPr/>
        <w:fldChar w:fldCharType="begin"/>
      </w:r>
      <w:r>
        <w:instrText xml:space="preserve"> PAGEREF _Toc202123520 \h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i w:val="false"/>
          <w:caps w:val="false"/>
          <w:noProof/>
          <w:color w:val="000000"/>
          <w:spacing w:val="0"/>
          <w:w w:val="100"/>
          <w:sz w:val="28"/>
          <w:szCs w:val="28"/>
        </w:rPr>
        <w:t>27</w:t>
      </w:r>
      <w:r>
        <w:rPr/>
        <w:fldChar w:fldCharType="end"/>
      </w:r>
      <w:r>
        <w:rPr/>
        <w:fldChar w:fldCharType="end"/>
      </w:r>
    </w:p>
    <w:p>
      <w:pPr>
        <w:pStyle w:val="style0"/>
        <w:snapToGrid w:val="false"/>
        <w:spacing w:before="0" w:beforeAutospacing="false" w:after="16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/>
        <w:fldChar w:fldCharType="end"/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259"/>
        <w:textAlignment w:val="baseline"/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br w:type="page"/>
      </w: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LIST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TABLES</w:t>
      </w:r>
    </w:p>
    <w:p>
      <w:pPr>
        <w:pStyle w:val="style0"/>
        <w:snapToGrid w:val="false"/>
        <w:spacing w:before="312" w:beforeAutospacing="true" w:after="312" w:afterAutospacing="tru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Table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1: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Macroscopic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observation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……………………..25</w:t>
      </w:r>
    </w:p>
    <w:p>
      <w:pPr>
        <w:pStyle w:val="style0"/>
        <w:snapToGrid w:val="false"/>
        <w:spacing w:before="0" w:beforeAutospacing="false" w:after="16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Table</w:t>
      </w:r>
      <w:r>
        <w:rPr>
          <w:rStyle w:val="style4102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</w:t>
      </w:r>
      <w:r>
        <w:rPr>
          <w:rStyle w:val="style4102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Microscopic</w:t>
      </w:r>
      <w:r>
        <w:rPr>
          <w:rStyle w:val="style4102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Observation</w:t>
      </w:r>
      <w:r>
        <w:rPr>
          <w:rStyle w:val="style4102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Style w:val="style4102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Style w:val="style4102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  <w:r>
        <w:rPr>
          <w:rStyle w:val="style4102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……………………..26</w:t>
      </w:r>
    </w:p>
    <w:p>
      <w:pPr>
        <w:pStyle w:val="style0"/>
        <w:snapToGrid w:val="false"/>
        <w:spacing w:before="0" w:beforeAutospacing="false" w:after="16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3: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Morphological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observation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Sabouraoud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dextrose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……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26</w:t>
      </w:r>
    </w:p>
    <w:p>
      <w:pPr>
        <w:pStyle w:val="style0"/>
        <w:snapToGrid w:val="false"/>
        <w:spacing w:before="312" w:beforeAutospacing="true" w:after="312" w:afterAutospacing="tru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Table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4: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Gram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Staining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Microscopy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Observation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…………………….27</w:t>
      </w:r>
    </w:p>
    <w:p>
      <w:pPr>
        <w:pStyle w:val="style0"/>
        <w:snapToGrid w:val="false"/>
        <w:spacing w:before="312" w:beforeAutospacing="true" w:after="312" w:afterAutospacing="tru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Table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5: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Result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Physicochemical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Parameters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color w:val="000000"/>
          <w:spacing w:val="0"/>
          <w:w w:val="100"/>
          <w:sz w:val="28"/>
          <w:szCs w:val="28"/>
        </w:rPr>
        <w:t>………….28</w:t>
      </w:r>
    </w:p>
    <w:p>
      <w:pPr>
        <w:pStyle w:val="style0"/>
        <w:snapToGrid w:val="false"/>
        <w:spacing w:before="0" w:beforeAutospacing="false" w:after="160" w:afterAutospacing="false" w:lineRule="auto" w:line="259"/>
        <w:textAlignment w:val="baseline"/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br w:type="page"/>
      </w:r>
    </w:p>
    <w:p>
      <w:pPr>
        <w:pStyle w:val="style0"/>
        <w:snapToGrid w:val="false"/>
        <w:spacing w:before="0" w:beforeAutospacing="false" w:after="160" w:afterAutospacing="false" w:lineRule="auto" w:line="259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ABSTRACT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sectPr>
          <w:footerReference w:type="default" r:id="rId3"/>
          <w:pgSz w:w="11520" w:h="14400" w:orient="portrait" w:code="1"/>
          <w:pgMar w:top="1440" w:right="1440" w:bottom="1440" w:left="1440" w:header="706" w:footer="706" w:gutter="0"/>
          <w:pgNumType w:fmt="lowerRoman" w:start="1"/>
          <w:cols w:space="708"/>
          <w:docGrid w:linePitch="360"/>
        </w:sectPr>
      </w:pP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industries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sources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diverse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communities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due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complex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chemical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compositions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effluents.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aimed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isolate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characterize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effluents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assess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diversity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impact.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Samples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collected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effluent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discharge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points,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performed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selective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media.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Morphological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biochemical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tests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employed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preliminary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identification,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supplemented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molecular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techniques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like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PCR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sequencing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detailed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taxonomy.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results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revealed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rich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diversity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bacteria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fungi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adapted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harsh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conditions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waste.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Bacterial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isolates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predominantly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belonged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genera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hydrocarbon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degradation,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Pseudomonas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Bacillus,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indicating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bioremediation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capabilities.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species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identified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included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Penicillium,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hydrocarbon-utilizing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abilities.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Antimicrobial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susceptibility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testing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showed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resistance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profiles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common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antibiotics,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suggesting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adaptation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pollutants.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underscores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importance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monitoring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populations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environments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management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biotechnological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applications.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Understanding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diversity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functional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capabilities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crucial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developing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effective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strategies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remediation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mitigating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ecological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risks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associated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contamination.</w:t>
      </w:r>
    </w:p>
    <w:p>
      <w:pPr>
        <w:pStyle w:val="style0"/>
        <w:snapToGrid w:val="false"/>
        <w:spacing w:before="0" w:beforeAutospacing="false" w:after="160" w:afterAutospacing="false" w:lineRule="auto" w:line="259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ONE</w:t>
      </w:r>
    </w:p>
    <w:p>
      <w:pPr>
        <w:pStyle w:val="style1"/>
        <w:snapToGrid w:val="false"/>
        <w:spacing w:before="240" w:beforeAutospacing="false" w:after="0" w:afterAutospacing="false" w:lineRule="auto" w:line="4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1.0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INTRODUCTION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modern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development,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producing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chemicals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derived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petroleum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natural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serve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raw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materials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manufacturing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plastics,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fertilizers,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detergents,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more.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However,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refining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synthesis,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large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quantities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discharged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toxic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compounds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heavy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metals,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organic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solvents,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public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health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risks.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released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bodies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proper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treatment,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disrupt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balance,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drinking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water,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affect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aquatic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life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(Biswas</w:t>
      </w:r>
      <w:r>
        <w:rPr>
          <w:rFonts w:ascii="Times New Roman" w:cs="Times New Roman" w:eastAsia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et</w:t>
      </w:r>
      <w:r>
        <w:rPr>
          <w:rFonts w:ascii="Times New Roman" w:cs="Times New Roman" w:eastAsia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2022)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persistence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resistance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natural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Over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time,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lead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bioaccumulation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biomagnification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chains.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makes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monitoring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essential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concern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science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microbiology.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need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explore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sustainable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eco-friendly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methods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managing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promising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approach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involves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bioremediation.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facilitate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important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naturally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occur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petrochemical-polluted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Karray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et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2020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fungi,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actinomycetes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play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roles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evolved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mechanisms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allow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tolerate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metabolize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complex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compounds.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possess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unique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enzymatic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systems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break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detoxify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harmful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substances.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presence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usually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result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natural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selection,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capable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surviving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utilizing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compounds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thrive.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metabolic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diversity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adaptability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excellent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candidates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clean-up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processes.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Bioremediation,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detoxify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remove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gained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popularity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low-cost,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eco-friendly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alternative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conventional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methods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treatments.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successful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bioremediation,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first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efficient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sites.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because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indigenous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usually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better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adapted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local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conditions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Thus,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understanding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types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characteristics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crucial.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helps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designing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bioremediation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strategies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tailor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specific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types.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typically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characterized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high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oxygen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demand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(COD),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oxygen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demand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(BOD),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presence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oil,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grease,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phenols,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hazardous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substances.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factors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inhospitable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life,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yet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certain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flourish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conditions.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extremophiles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possess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adaptive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traits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allow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endure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toxic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carbon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energy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sources,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facilitating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breakdown.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population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includes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genera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like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Pseudomonas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Bacillus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Penicillium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among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others.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presence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contribute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gradual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detoxification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involves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effluent-contaminated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water,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culturing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selective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media,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performing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molecular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techniques.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crucial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selecting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field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biodegradation.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helps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researchers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understand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Ultimately,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contributes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development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consortia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enhanced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Pandey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et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2025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increasing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awareness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adverse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heightened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interest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solutions.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despite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economic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contributions,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scrutiny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contribution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Governments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agencies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enforce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stricter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regulations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control.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result,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exploring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ways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reduce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footprint,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including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adopting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biotechnological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interventions.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offers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eco-friendly,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cost-effective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alternative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Moreover,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reduces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reliance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hazardous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chemicals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could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secondary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methods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depends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largely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types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involved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potential.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Hence,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characterizing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necessary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implementing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systems.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biotechnology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holds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promise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remediation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recovering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valuable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resources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projects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undertaken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here.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Understanding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microorganisms’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roles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essential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advancements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sustainability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Dankaka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et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2023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involves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step-by-step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process.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begins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collection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discharge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points,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bodies,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surrounding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processed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aseptic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conditions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avoid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external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cultures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typically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selective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differential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media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designed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hydrocarbon-degrading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organisms.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Incubation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conditions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(aerobic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anaerobic)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allows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diverse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communities.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obtained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sub-culturing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tested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compounds.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Further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analysis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includes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tests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catalase,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oxidase,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hydrolysis,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modern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molecular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methods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16S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rRNA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sequencing.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analyses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help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determine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cases,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researchers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evaluate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enzymatic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understand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provides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foundation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identified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pilot-scale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bioremediation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studies.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opens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avenues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bioengineering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enhanced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capabilities.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types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depending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location,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conditions.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aquatic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dominant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differ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differences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oxygen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availability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levels.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Common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include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Pseudomonas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Alcaligenes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Mycobacterium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Rhodococcus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potential.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genera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Penicillium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frequently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encountered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enzymatic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systems.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exhibit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different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mechanisms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detoxifying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oxidation,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hydroxylation,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dehalogenation.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possess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plasmids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encode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hydrocarbon-degrading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enzymes,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transferred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between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organisms,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enhancing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adaptability.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diversity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reflects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extent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history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site.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Studying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contributes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deeper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understanding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adaptation,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evolution,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resilience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Moreover,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allows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development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consortia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tailored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break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complex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mixtures.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diversity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valuable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resource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fight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pollution.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significance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provide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sustainable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solutions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management.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regulations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tighten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globally,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compelled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adopt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cleaner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technologies.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identifying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capable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contributes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body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bioremediation.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emphasizes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nature-based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solutions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address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human-made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challenges.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Furthermore,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serve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models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further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genetic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metabolic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studies.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Understanding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survive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toxic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substances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help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developing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engineered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improved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capabilities.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findings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contribute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creation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bioaugmentation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products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plants.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Ultimately,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bridges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gap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between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science,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offering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practical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applications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management.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encourages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interdisciplinary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collaboration,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involving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microbiologists,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environmentalists,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engineers.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research,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life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positioned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threat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restoration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Samimi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Shahriari-Moghadam,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2025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however,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challenges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associated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field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conditions,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factors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temperature,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concentration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affect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activity.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presence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mixed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inhibit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Moreover,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maintaining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viability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during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requires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careful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management.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Genetic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mutation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horizontal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gene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transfer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affect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behavior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unpredictably.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Therefore,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rigorous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testing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optimization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required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before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full-scale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application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strategies.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Another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challenge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slow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natural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biodegradation,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suitable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emergency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responses.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overcome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issues,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scientists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explore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genetic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modification,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consortia,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optimization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techniques.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Despite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challenges,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remediation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remains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promising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methods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long-term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sustainability.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careful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selection,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testing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robust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capable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thriving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Goveas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et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2020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project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timely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relevant,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considering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challenges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industrialization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increasing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focusing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value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scientific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toward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cleaner,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greener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planet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Deng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et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2020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project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involves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field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sampling,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culture,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identification,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assessment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highlights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resilience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adaptability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extreme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Furthermore,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contributes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biodiversity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ecosystems,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important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conservation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monitoring.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outcomes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could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inform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policy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practices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treatment.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could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stimulate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further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biotechnology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biotransformation.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project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ultimately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underscores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importance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integrating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protection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strategies.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tapping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natural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closer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achieving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sustainable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Lang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et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2020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associated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crucial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biotechnology.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provides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insight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adaptation,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biodegradation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processes.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project,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valuable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identified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possibly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harnessed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bioremediation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applications.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help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mitigate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restoration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balance.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aligns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global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goals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sustainable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development,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particularly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clean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water,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innovation,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climate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emphasizes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dual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both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bioindicators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recovery.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importance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growing,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especially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regions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activities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protection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must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balanced.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Ultimately,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contributes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broader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scientific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understanding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interact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man-made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lays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groundwork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innovative,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nature-based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approaches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control.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holds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promise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transforming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practices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Mikhak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et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2019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</w:t>
      </w:r>
    </w:p>
    <w:p>
      <w:pPr>
        <w:pStyle w:val="style1"/>
        <w:snapToGrid w:val="false"/>
        <w:spacing w:before="240" w:beforeAutospacing="false" w:after="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1.2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Literature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Review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demonstrated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remarkable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ability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adapt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harsh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rich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toxic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organic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compounds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phenols,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heavy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metals.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physicochemical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properties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receiving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ecosystems,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selective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pressure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favors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resistant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communities.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Recent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shown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certain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Style w:val="style88"/>
          <w:rFonts w:ascii="Times New Roman" w:cs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Pseudomonas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Bacillus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Acinetobacter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thrive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hydrocarbon-rich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possession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catabolic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genes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(Akinola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2022).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survive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play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roles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bioremediation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petrochemical-contaminated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sites.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diverse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include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fungi,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actinomycetes.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differ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metabolic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capabilities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pathways.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Alcaligenes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Mycobacterium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Rhodococcus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refinery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wastewaters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ability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polycyclic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aromatic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(PAHs).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Penicillium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identified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ligninolytic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enzymes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breaking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down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complex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(Khan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2021).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diversity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depends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largely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nature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conditions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discharge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microbiological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molecular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employed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identification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culture-dependent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involve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serial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dilution,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enrichment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culture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minimal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salt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medium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substrates,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biochemical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characterization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culture-independent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16S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rRNA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gene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sequencing,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metagenomics,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polymerase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reaction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(PCR)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essential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recent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years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detect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unculturable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rare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(Obayori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2023).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modern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comprehensive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diversity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functional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genes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degradation.</w:t>
      </w:r>
    </w:p>
    <w:p>
      <w:pPr>
        <w:pStyle w:val="style1"/>
        <w:snapToGrid w:val="false"/>
        <w:spacing w:before="240" w:beforeAutospacing="false" w:after="0" w:afterAutospacing="false" w:lineRule="auto" w:line="48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1.3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Problem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Ecological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Damage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Knowledge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Indigenous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Bioremediation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Potential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Hazards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Safety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Risks</w:t>
      </w:r>
    </w:p>
    <w:p>
      <w:pPr>
        <w:pStyle w:val="style1"/>
        <w:snapToGrid w:val="false"/>
        <w:spacing w:before="240" w:beforeAutospacing="false" w:after="0" w:afterAutospacing="false" w:lineRule="auto" w:line="48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1.4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Aim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Objectives</w:t>
      </w:r>
    </w:p>
    <w:p>
      <w:pPr>
        <w:pStyle w:val="style179"/>
        <w:numPr>
          <w:ilvl w:val="0"/>
          <w:numId w:val="2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Identify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</w:p>
    <w:p>
      <w:pPr>
        <w:pStyle w:val="style179"/>
        <w:numPr>
          <w:ilvl w:val="0"/>
          <w:numId w:val="2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Tolerance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Adaptation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Mechanisms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Pollutants</w:t>
      </w:r>
    </w:p>
    <w:p>
      <w:pPr>
        <w:pStyle w:val="style179"/>
        <w:numPr>
          <w:ilvl w:val="0"/>
          <w:numId w:val="2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Evaluate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Bioremediation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Pollutants</w:t>
      </w:r>
    </w:p>
    <w:p>
      <w:pPr>
        <w:pStyle w:val="style0"/>
        <w:snapToGrid w:val="false"/>
        <w:spacing w:before="0" w:beforeAutospacing="false" w:after="160" w:afterAutospacing="false" w:lineRule="auto" w:line="48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br w:type="page"/>
      </w:r>
    </w:p>
    <w:p>
      <w:pPr>
        <w:pStyle w:val="style1"/>
        <w:snapToGrid w:val="false"/>
        <w:spacing w:before="240" w:beforeAutospacing="false" w:after="0" w:afterAutospacing="false" w:lineRule="auto" w:line="259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TWO</w:t>
      </w:r>
    </w:p>
    <w:p>
      <w:pPr>
        <w:pStyle w:val="style1"/>
        <w:snapToGrid w:val="false"/>
        <w:spacing w:before="240" w:beforeAutospacing="false" w:after="0" w:afterAutospacing="false" w:lineRule="auto" w:line="259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2.0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MATERIALS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METHODS</w:t>
      </w:r>
    </w:p>
    <w:p>
      <w:pPr>
        <w:pStyle w:val="style1"/>
        <w:snapToGrid w:val="false"/>
        <w:spacing w:before="240" w:beforeAutospacing="false" w:after="0" w:afterAutospacing="false" w:lineRule="auto" w:line="259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2.1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Materials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materials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microorganisms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physicochemical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analysis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included: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flasks,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tubes,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measuring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cylinders,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weighing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balance,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stirrer,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spatula,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microscope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slides,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dishes,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distilled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water,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stopwatch,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crystal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violet,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safranin,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iodine,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ethyl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alcohol,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cotton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wool,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swabs,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aluminium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foil,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tissue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paper,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spirit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lamp,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lighter,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inoculating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loop,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(NA),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Sabouraud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Dextrose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(SDA),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antibiotics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(amoxicillin).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Two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utilized: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(Petrol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P.S.S)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(Mechanical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Village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M.V.S).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Additionally,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materials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physicochemical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analysis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included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mercury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alcohol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thermometers,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conductivity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portable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900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multiparameter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spectrophotometer,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barium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chloride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solution,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ammonium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hydroxide,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potassium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chromate,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silver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nitrate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solution.</w:t>
      </w:r>
    </w:p>
    <w:p>
      <w:pPr>
        <w:pStyle w:val="style1"/>
        <w:snapToGrid w:val="false"/>
        <w:spacing w:before="240" w:beforeAutospacing="false" w:after="0" w:afterAutospacing="false" w:lineRule="auto" w:line="259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2.2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Sterilization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Glasswares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Glassware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oven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temperature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160⁰c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30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minutes.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washed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Glassware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drained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allowed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dried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before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wrapped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papers,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everything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arranged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inside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oven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subjected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Sterilization.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After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Sterilization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oven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left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30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minutes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before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Glasswares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taken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out.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Work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surfaces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disinfected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70%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ethanol,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spirit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lamp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kept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throughout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procedure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minimize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contamination.</w:t>
      </w:r>
    </w:p>
    <w:p>
      <w:pPr>
        <w:pStyle w:val="style1"/>
        <w:snapToGrid w:val="false"/>
        <w:spacing w:before="240" w:beforeAutospacing="false" w:after="0" w:afterAutospacing="false" w:lineRule="auto" w:line="259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2.3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Media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Preparation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Two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types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culture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media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prepared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isolation:</w:t>
      </w:r>
    </w:p>
    <w:p>
      <w:pPr>
        <w:pStyle w:val="style2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2.3.1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(NA)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28g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powder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dissolved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distilled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water,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gently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stirring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until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dissolved,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autoclaved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121°C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minutes.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medium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allowed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45°C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poured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aseptically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dishes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culture.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</w:p>
    <w:p>
      <w:pPr>
        <w:pStyle w:val="style2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2.3.2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Sabouraud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Dextrose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(SDA)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65g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SDA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powder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dissolved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distilled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dissolve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completely.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After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sterilization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121°C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minutes,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amoxicillin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dissolved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distilled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suppress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promote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growth.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medium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poured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dishes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allowed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solidify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inverted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position.</w:t>
      </w:r>
    </w:p>
    <w:p>
      <w:pPr>
        <w:pStyle w:val="style1"/>
        <w:snapToGrid w:val="false"/>
        <w:spacing w:before="240" w:beforeAutospacing="false" w:after="0" w:afterAutospacing="false" w:lineRule="auto" w:line="259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2.4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Sample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Collection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Preparation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collected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spatulas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plastic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bottles,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labelled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appropriately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P.S.S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M.V.S.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immediately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transported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chemistry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physicochemical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analysis.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work,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small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quantity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transferred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distilled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tubes,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shaken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vigorously,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inoculation.</w:t>
      </w:r>
    </w:p>
    <w:p>
      <w:pPr>
        <w:pStyle w:val="style1"/>
        <w:snapToGrid w:val="false"/>
        <w:spacing w:before="240" w:beforeAutospacing="false" w:after="0" w:afterAutospacing="false" w:lineRule="auto" w:line="259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2.5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Inoculation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Incubation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Sterile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SDA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plates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inoculated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both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sprinkled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raw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0.5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suspensions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solutions.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Inoculations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carried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aseptic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conditions.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Plates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incubated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37°C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24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hours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room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temperature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days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growth.</w:t>
      </w:r>
    </w:p>
    <w:p>
      <w:pPr>
        <w:pStyle w:val="style1"/>
        <w:snapToGrid w:val="false"/>
        <w:spacing w:before="240" w:beforeAutospacing="false" w:after="0" w:afterAutospacing="false" w:lineRule="auto" w:line="259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2.6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Gram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Staining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Procedure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Following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incubation,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gram-stained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microscopic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identification.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loopful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culture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smeared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clean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slide,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air-dried,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heat-fixed.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smear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stained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crystal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violet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minute,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rinsed,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followed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iodine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30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seconds.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decolorization,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safranin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counterstaining.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stained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slides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viewed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microscope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×40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magnification.</w:t>
      </w:r>
    </w:p>
    <w:p>
      <w:pPr>
        <w:pStyle w:val="style1"/>
        <w:snapToGrid w:val="false"/>
        <w:spacing w:before="240" w:beforeAutospacing="false" w:after="0" w:afterAutospacing="false" w:lineRule="auto" w:line="259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2.7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Physicochemical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Analysis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</w:p>
    <w:p>
      <w:pPr>
        <w:pStyle w:val="style0"/>
        <w:snapToGrid w:val="false"/>
        <w:spacing w:before="312" w:beforeAutospacing="true" w:after="312" w:afterAutospacing="tru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air-dried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72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hours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room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temperature,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sieved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2.0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mesh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prior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analysis.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analyses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carried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Chemistry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Science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Technology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Department,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Polytechnic,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Ilorin.</w:t>
      </w:r>
    </w:p>
    <w:p>
      <w:pPr>
        <w:pStyle w:val="style2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2.7.1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Temperature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Measurement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temperature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measured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situ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inserting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mercury/alcohol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thermometer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5–10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deep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soil.</w:t>
      </w:r>
    </w:p>
    <w:p>
      <w:pPr>
        <w:pStyle w:val="style2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2.7.2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pH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Electrical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Conductivity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electrical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conductivity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measured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aqueous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suspension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method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(ISO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10390:2005)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following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procedure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(2015).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1:5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soil-to-water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ratio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suspension.</w:t>
      </w:r>
    </w:p>
    <w:p>
      <w:pPr>
        <w:pStyle w:val="style2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2.7.3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Nitrate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Phosphate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Determination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air-dried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mixed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50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deionized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allowed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minutes.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mixture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analyzed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nitrate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phosphate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concentrations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Portable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900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multiparameter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spectrophotometer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304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880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wavelengths,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respectively.</w:t>
      </w:r>
    </w:p>
    <w:p>
      <w:pPr>
        <w:pStyle w:val="style2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2.7.4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Sulphate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Determination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suspension,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transferred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flask.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Concentrated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hydrochloric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acid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acidify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solution,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followed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boiling.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Barium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chloride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solution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slight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(volume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V1)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mixture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neutralized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ammonium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hydroxide.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barium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chloride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(V2)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titrated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potassium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chromate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silver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nitrate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external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indicator.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brick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precipitate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indicated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endpoint.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sulphate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calculated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formula: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Total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sulphate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=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0.0117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×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100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×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(V1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-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V2)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THREE</w:t>
      </w:r>
    </w:p>
    <w:p>
      <w:pPr>
        <w:pStyle w:val="style1"/>
        <w:snapToGrid w:val="false"/>
        <w:spacing w:before="240" w:beforeAutospacing="false" w:after="0" w:afterAutospacing="false" w:lineRule="auto" w:line="4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3.0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RESULTS</w:t>
      </w:r>
    </w:p>
    <w:p>
      <w:pPr>
        <w:pStyle w:val="style1"/>
        <w:snapToGrid w:val="false"/>
        <w:spacing w:before="240" w:beforeAutospacing="false" w:after="0" w:afterAutospacing="false" w:lineRule="auto" w:line="4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3.1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Growth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Observation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observed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after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24-hour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incubation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cultures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after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days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cultures.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Sabouraud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dextrose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supported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visible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colony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formation.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Table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1: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Macroscopic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observation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68"/>
        <w:gridCol w:w="5648"/>
      </w:tblGrid>
      <w:tr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Sample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Growth</w:t>
            </w: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Description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PS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Creamy,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mucoid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bacterial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colonies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observed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MS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Yellowish,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circular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bacterial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colonies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observed</w:t>
            </w:r>
          </w:p>
        </w:tc>
      </w:tr>
    </w:tbl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Keyword: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PS=Petrol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station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MS=Mechanic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station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259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Table</w:t>
      </w:r>
      <w:r>
        <w:rPr>
          <w:rStyle w:val="style4102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</w:t>
      </w:r>
      <w:r>
        <w:rPr>
          <w:rStyle w:val="style4102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Microscopic</w:t>
      </w:r>
      <w:r>
        <w:rPr>
          <w:rStyle w:val="style4102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Observation</w:t>
      </w:r>
      <w:r>
        <w:rPr>
          <w:rStyle w:val="style4102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Style w:val="style4102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Style w:val="style4102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68"/>
        <w:gridCol w:w="3075"/>
        <w:gridCol w:w="2742"/>
      </w:tblGrid>
      <w:tr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Sample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Observation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Inference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PS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+ve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cocci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in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cluster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  <w:t>Staphylococcus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Spp.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MS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–ve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short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rod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  <w:t>Escherichia</w:t>
            </w:r>
            <w:r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  <w:t>coli</w:t>
            </w:r>
          </w:p>
        </w:tc>
      </w:tr>
    </w:tbl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Keyword: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PS=Petrol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station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MS=Mechanic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station</w:t>
      </w:r>
    </w:p>
    <w:p>
      <w:pPr>
        <w:pStyle w:val="style0"/>
        <w:snapToGrid w:val="false"/>
        <w:spacing w:before="0" w:beforeAutospacing="false" w:after="160" w:afterAutospacing="false" w:lineRule="auto" w:line="259"/>
        <w:textAlignment w:val="baseline"/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Table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3:</w:t>
      </w: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Morphological</w:t>
      </w: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observation</w:t>
      </w: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Sabouraoud</w:t>
      </w: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dextrose</w:t>
      </w: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2"/>
        <w:gridCol w:w="3360"/>
        <w:gridCol w:w="4327"/>
      </w:tblGrid>
      <w:tr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Sample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Observation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Inference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PS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Whitish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colony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fungal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growth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  <w:t>Sc</w:t>
            </w:r>
            <w:r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  <w:t>lerotina</w:t>
            </w:r>
            <w:r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  <w:t>spp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MS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Greyish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filamentous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fungal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growth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  <w:t>Aspergillus</w:t>
            </w:r>
            <w:r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  <w:t>spp,</w:t>
            </w:r>
            <w:r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  <w:t>penicillum</w:t>
            </w:r>
            <w:r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  <w:t>spp,</w:t>
            </w:r>
            <w:r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  <w:t>Fusarium</w:t>
            </w:r>
            <w:r>
              <w:rPr>
                <w:rFonts w:ascii="Times New Roman" w:cs="Times New Roman" w:eastAsia="Times New Roman" w:hAnsi="Times New Roman"/>
                <w:b w:val="false"/>
                <w:i/>
                <w:caps w:val="false"/>
                <w:color w:val="000000"/>
                <w:spacing w:val="0"/>
                <w:w w:val="100"/>
                <w:sz w:val="28"/>
                <w:szCs w:val="28"/>
              </w:rPr>
              <w:t>spp</w:t>
            </w:r>
          </w:p>
        </w:tc>
      </w:tr>
    </w:tbl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Keyword:</w:t>
      </w:r>
    </w:p>
    <w:p>
      <w:pPr>
        <w:pStyle w:val="style0"/>
        <w:snapToGrid w:val="false"/>
        <w:spacing w:before="312" w:beforeAutospacing="true" w:after="312" w:afterAutospacing="true" w:lineRule="auto" w:line="24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PS=Petrol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station</w:t>
      </w:r>
    </w:p>
    <w:p>
      <w:pPr>
        <w:pStyle w:val="style0"/>
        <w:snapToGrid w:val="false"/>
        <w:spacing w:before="312" w:beforeAutospacing="true" w:after="312" w:afterAutospacing="true" w:lineRule="auto" w:line="24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MS=Mechanic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station</w:t>
      </w:r>
    </w:p>
    <w:p>
      <w:pPr>
        <w:pStyle w:val="style1"/>
        <w:snapToGrid w:val="false"/>
        <w:spacing w:before="240" w:beforeAutospacing="false" w:after="0" w:afterAutospacing="false" w:lineRule="auto" w:line="259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3.2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Gram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Staining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Results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Following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incubation,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staining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carried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out.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Observations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revealed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both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Gram-positive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Gram-negative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morphology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differing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between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Table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4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Gram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Staining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Microscopy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Observation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51"/>
        <w:gridCol w:w="3170"/>
        <w:gridCol w:w="1993"/>
        <w:gridCol w:w="2323"/>
      </w:tblGrid>
      <w:tr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Sample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Microscopy</w:t>
            </w: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Observation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Reaction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Morphology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PS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Purple-stained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cocci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Gram-positive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Spherical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clusters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MS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Pink-stained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rods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Gram-negative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Rod-shaped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bacilli</w:t>
            </w:r>
          </w:p>
        </w:tc>
      </w:tr>
    </w:tbl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Keyword: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PS=Petrol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station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MS=Mechanic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station</w:t>
      </w:r>
    </w:p>
    <w:p>
      <w:pPr>
        <w:pStyle w:val="style1"/>
        <w:snapToGrid w:val="false"/>
        <w:spacing w:before="240" w:beforeAutospacing="false" w:after="0" w:afterAutospacing="false" w:lineRule="auto" w:line="259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3.3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Physicochemical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Properties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3.1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presents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comparative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analysis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physicochemical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parameters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measured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results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show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variation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temperature,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among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(PS),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mechanized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farm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(MS),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Table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5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Result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Physicochemical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Parameters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520"/>
        <w:gridCol w:w="2473"/>
        <w:gridCol w:w="2850"/>
        <w:gridCol w:w="795"/>
      </w:tblGrid>
      <w:tr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Parameter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Sample</w:t>
            </w: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PS</w:t>
            </w: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(Petrol</w:t>
            </w: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Station</w:t>
            </w: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Soil)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Sample</w:t>
            </w: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MS</w:t>
            </w: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(Mechanized</w:t>
            </w: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Farm</w:t>
            </w: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Soil)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Control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Temperature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(°C)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33.0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36.0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29.0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pH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7.4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6.7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8.3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Electrical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Conductivity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(µS/cm)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113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124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100.4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Nitrate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(mg/L)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17.00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22.00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15.50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Phosphate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(mg/L)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28.50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39.00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19.00</w:t>
            </w:r>
          </w:p>
        </w:tc>
      </w:tr>
      <w:tr>
        <w:tblPrEx/>
        <w:trPr/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Sulphate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(mg/L)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30.00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44.60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snapToGrid w:val="false"/>
              <w:spacing w:before="0" w:beforeAutospacing="false" w:after="0" w:afterAutospacing="false" w:lineRule="auto" w:line="480"/>
              <w:jc w:val="both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8"/>
                <w:szCs w:val="28"/>
              </w:rPr>
              <w:t>8.50</w:t>
            </w:r>
          </w:p>
        </w:tc>
      </w:tr>
    </w:tbl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br w:type="page"/>
      </w:r>
    </w:p>
    <w:p>
      <w:pPr>
        <w:pStyle w:val="style1"/>
        <w:snapToGrid w:val="false"/>
        <w:spacing w:before="240" w:beforeAutospacing="false" w:after="0" w:afterAutospacing="false" w:lineRule="auto" w:line="480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FOUR</w:t>
      </w:r>
    </w:p>
    <w:p>
      <w:pPr>
        <w:pStyle w:val="style1"/>
        <w:snapToGrid w:val="false"/>
        <w:spacing w:before="240" w:beforeAutospacing="false" w:after="0" w:afterAutospacing="false" w:lineRule="auto" w:line="4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4.0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DISCUSSION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CONCLUSION</w:t>
      </w:r>
    </w:p>
    <w:p>
      <w:pPr>
        <w:pStyle w:val="style1"/>
        <w:snapToGrid w:val="false"/>
        <w:spacing w:before="240" w:beforeAutospacing="false" w:after="0" w:afterAutospacing="false" w:lineRule="auto" w:line="4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4.1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DISCUSSION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observed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collected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(PS)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mechanized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farm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(MS)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clearly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indicates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variation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abundance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diversity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conditions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(NA)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Sabouraud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Dextrose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(SDA)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supported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distinct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colony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patterns.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yielded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creamy,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mucoid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colonies,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suggestive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hydrocarbon-adapted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Staphylococcus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spp.,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presented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yellowish,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circular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colonies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typical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Escherichia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coli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commonly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associated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nutrient-rich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findings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align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Adeoye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(2021),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reported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oil-contaminated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harbor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specialized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communities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capable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utilizing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petroleum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compounds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carbon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source.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Microscopic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analysis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staining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further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supported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observations.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presence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Gram-positive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cocci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clusters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points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towards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Staphylococcus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resilient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dominate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(Ishaq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2020).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contrast,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Gram-negative,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rod-shaped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E.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coli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reflects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influence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organic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matter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manure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typically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cultivated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promoting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enteric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Similar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patterns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documented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Akintokun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(2022),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observed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profiles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shift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significantly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type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anthropogenic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input.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morphology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revealed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distinct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patterns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between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two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showed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whitish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colonies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identified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Sclerotinia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spp.,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surviving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stressful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conditions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including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petroleum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contrast,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showed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greyish,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filamentous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colonies,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morphologically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consistent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genera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Penicillium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Fusarium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decomposers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thrive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organic-rich,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minimally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According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Nwachukwu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Chukwuocha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(2020),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fungi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involved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cycling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organic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matter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breakdown,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indicating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healthy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farm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soils.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staining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results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further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highlighted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differences.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While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Staphylococcus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(Gram-positive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cocci)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suggests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selection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stress-resistant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residues,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E.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coli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(Gram-negative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bacilli)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represents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typical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indicator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enriched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organic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fertilizers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faecal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matter.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morphological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distinctions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findings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Emoghene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(2021),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observed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correlation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between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morphology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usage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type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different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settings.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physicochemical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properties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further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explain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patterns.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exhibited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higher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temperature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(36°C),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nitrate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(22.00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mg/L),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phosphate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(39.00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mg/L),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sulphate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(44.60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mg/L)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levels,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indicative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fertile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conditions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suitable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diverse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growth.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Conversely,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slightly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alkaline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(7.4)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lower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values,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likely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influenced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presence,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inhibits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diversity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selectively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supports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tolerant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species.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(2020)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reported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petroleum-contaminated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exhibit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altered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depletion,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affecting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dynamics.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Overall,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observed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differences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morphology,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reaction,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growth,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conjunction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varying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physicochemical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parameters,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emphasize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shaping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ecosystems.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findings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reaffirm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populations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reflect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current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habitats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serve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indicators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health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levels.</w:t>
      </w:r>
    </w:p>
    <w:p>
      <w:pPr>
        <w:pStyle w:val="style1"/>
        <w:snapToGrid w:val="false"/>
        <w:spacing w:before="240" w:beforeAutospacing="false" w:after="0" w:afterAutospacing="false" w:lineRule="auto" w:line="259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4.2</w:t>
      </w:r>
      <w:r>
        <w:rPr>
          <w:rFonts w:ascii="Times New Roman" w:cs="Times New Roman" w:eastAsia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CONCLUSION</w:t>
      </w:r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highlights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differences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physicochemical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characteristics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between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farm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reinforcing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need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remediation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practices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environments.</w:t>
      </w:r>
    </w:p>
    <w:p>
      <w:pPr>
        <w:pStyle w:val="style1"/>
        <w:snapToGrid w:val="false"/>
        <w:spacing w:before="240" w:beforeAutospacing="false" w:after="0" w:afterAutospacing="false" w:lineRule="auto" w:line="259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br w:type="page"/>
      </w:r>
    </w:p>
    <w:bookmarkStart w:id="0" w:name="_Toc202123520"/>
    <w:p>
      <w:pPr>
        <w:pStyle w:val="style0"/>
        <w:snapToGrid w:val="false"/>
        <w:spacing w:before="240" w:beforeAutospacing="false" w:after="0" w:afterAutospacing="false" w:lineRule="auto" w:line="259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</w:rPr>
      </w:pP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REFERENCE</w:t>
      </w:r>
      <w:r>
        <w:rPr>
          <w:rFonts w:ascii="Times New Roman" w:cs="Times New Roman" w:hAnsi="Times New Roman"/>
          <w:b/>
          <w:i w:val="false"/>
          <w:caps w:val="false"/>
          <w:color w:val="000000"/>
          <w:spacing w:val="0"/>
          <w:w w:val="100"/>
          <w:sz w:val="28"/>
          <w:szCs w:val="28"/>
        </w:rPr>
        <w:t>S</w:t>
      </w:r>
      <w:bookmarkEnd w:id="0"/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Adeoye,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Olaniyan,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Akinlabi,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(2021).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analysis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hydrocarbon-polluted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selected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mechanic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workshops.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Journal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Microbiology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Toxicology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5(2),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33–41.</w:t>
      </w:r>
    </w:p>
    <w:p>
      <w:pPr>
        <w:pStyle w:val="style0"/>
        <w:snapToGrid w:val="false"/>
        <w:spacing w:before="0" w:beforeAutospacing="false" w:after="160" w:afterAutospacing="false" w:lineRule="auto" w:line="48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Akinola,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Adeniji,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Ayeni,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(2022).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petroleum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overview.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Technology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Innovation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27,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102491.</w:t>
      </w:r>
      <w:r>
        <w:rPr/>
        <w:fldChar w:fldCharType="begin"/>
      </w:r>
      <w:r>
        <w:instrText xml:space="preserve"> HYPERLINK "https://doi.org/10.1016/j.eti.2022.102491"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u w:val="single" w:color="000000"/>
        </w:rPr>
        <w:t>https://doi.org/10.1016/j.eti.2022.102491</w:t>
      </w:r>
      <w:r>
        <w:rPr/>
        <w:fldChar w:fldCharType="end"/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Akintokun,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Ajayi,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Bamidele,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(2022).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composition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nutrient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cycling.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African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Journal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Science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10(3),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44–52.</w:t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Biswas,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Banerjee,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Saha,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Bhattacharya,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Chanda,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Gantayet,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...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Chaudhuri,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(2022).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consortium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treatment: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industrial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treatment.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Advances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7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100132.</w:t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Dankaka,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Muhammad,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J.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Usman,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Jagaba,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Abdullahi,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(2023).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Phenol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biodegradation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Acinetobacter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baumanii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Citrobacter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sedlakii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petroleum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products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contaminated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environment.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Case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Chemical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Engineering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8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100468.</w:t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Deng,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Z.,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Jiang,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Y.,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Chen,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K.,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Li,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J.,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Zheng,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C.,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Gao,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F.,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Liu,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X.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(2020).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biosurfactant-producing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bacteria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Achromobacter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sp.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A-8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microbial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enhanced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oil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recovery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bioremediation. </w:t>
      </w:r>
      <w:r>
        <w:rPr>
          <w:rFonts w:ascii="Times New Roman" w:cs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Frontiers</w:t>
      </w:r>
      <w:r>
        <w:rPr>
          <w:rFonts w:ascii="Times New Roman" w:cs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in</w:t>
      </w:r>
      <w:r>
        <w:rPr>
          <w:rFonts w:ascii="Times New Roman" w:cs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microbiology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, </w:t>
      </w:r>
      <w:r>
        <w:rPr>
          <w:rFonts w:ascii="Times New Roman" w:cs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11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shd w:val="clear" w:color="auto" w:fill="ffffff"/>
        </w:rPr>
        <w:t>247.</w:t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Emoghene,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Emoghene,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Orhue,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(2021).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Comparative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evaluation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petroleum-contaminated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Delta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State,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Nigeria.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Nigerian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Journal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Microbiology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35(1),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121–128.</w:t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Goveas,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Krishna,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Salian,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Menezes,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J.,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Alva,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Basavapattan,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Sajankila,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(2020).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characterization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refinery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petroleum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crude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seawater.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Journal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Pure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Applied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Microbiology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14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(1),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473-484.</w:t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Ishaq,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Abdu,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Shettima,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(2020).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Resistance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patterns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Gram-positive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cocci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hydrocarbon-impacted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soil.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Health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Journal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14(1),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76–83.</w:t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Karray,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Aloui,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Jemli,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Mhiri,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Loukil,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Bouhdida,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...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Sayadi,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(2020).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Pilot-scale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petroleum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refinery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wastewaters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systems: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performance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communities’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analysis.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Process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Safety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Protection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141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73-82.</w:t>
      </w:r>
    </w:p>
    <w:p>
      <w:pPr>
        <w:pStyle w:val="style0"/>
        <w:snapToGrid w:val="false"/>
        <w:spacing w:before="0" w:beforeAutospacing="false" w:after="160" w:afterAutospacing="false" w:lineRule="auto" w:line="480"/>
        <w:ind w:left="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Khan,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Afzal,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Iqbal,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Khan,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Q.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(2021).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characterization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hydrocarbon-degrading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petroleum-contaminated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sites.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Saudi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Journal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Biological</w:t>
      </w:r>
      <w:r>
        <w:rPr>
          <w:rStyle w:val="style88"/>
          <w:rFonts w:ascii="Times New Roman" w:cs="Times New Roman" w:hAnsi="Times New Roman"/>
          <w:b w:val="false"/>
          <w:i/>
          <w:caps w:val="false"/>
          <w:color w:val="000000"/>
          <w:spacing w:val="0"/>
          <w:w w:val="100"/>
          <w:sz w:val="28"/>
          <w:szCs w:val="28"/>
        </w:rPr>
        <w:t>Sciences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28(1),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736–743.</w:t>
      </w:r>
      <w:r>
        <w:rPr/>
        <w:fldChar w:fldCharType="begin"/>
      </w:r>
      <w:r>
        <w:instrText xml:space="preserve"> HYPERLINK "https://doi.org/10.1016/j.sjbs.2020.10.011"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u w:val="single" w:color="000000"/>
        </w:rPr>
        <w:t>https://doi.org/10.1016/j.sjbs.2020.10.011</w:t>
      </w:r>
      <w:r>
        <w:rPr/>
        <w:fldChar w:fldCharType="end"/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Lang,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X.,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Li,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Q.,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Ji,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Yan,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Guo,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(2020).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niche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characteristics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simultaneous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nitrification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denitrification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application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aerobic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denitrifier,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Acinetobacter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sp.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YS2.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Bioresource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Technology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302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122799.</w:t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Mikhak,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Y.,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Torabi,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Fouladitajar,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(2019).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Refinery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treatment.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Sustainable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water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wastewater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processing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 (pp.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55-91).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Elsevier.</w:t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Nwachukwu,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Chukwuocha,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(2020).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characterization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fungi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soils.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International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Journal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Ecology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11(1),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21–29.</w:t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Obayori,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Ilori,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Amund,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(2023).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Advances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molecular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techniques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assessing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communities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polluted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environments.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Biotechnology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Reports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37,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e00734.</w:t>
      </w:r>
      <w:r>
        <w:rPr/>
        <w:fldChar w:fldCharType="begin"/>
      </w:r>
      <w:r>
        <w:instrText xml:space="preserve"> HYPERLINK "https://doi.org/10.1016/j.btre.2023.e00734"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  <w:u w:val="single" w:color="000000"/>
        </w:rPr>
        <w:t>https://doi.org/10.1016/j.btre.2023.e00734</w:t>
      </w:r>
      <w:r>
        <w:rPr/>
        <w:fldChar w:fldCharType="end"/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Pandey,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Krishnamurthy,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Sharma,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Rathee,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Kohli,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K.,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Batish,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Singh,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(2025).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characterization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novel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bacterial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Cytobacillus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firmus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RP5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degradation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petroleum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hydrocarbons.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International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journal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Science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Technology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22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(3),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1849-1864.</w:t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Samimi,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Shahriari-Moghadam,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(2025).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Efficient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biodegradation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crude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novel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Pseudomonas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aeruginosa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strain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isolated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wastewater: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identification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optimization.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Petroleum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Science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Technology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 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43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(11),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1182-1199.</w:t>
      </w:r>
    </w:p>
    <w:p>
      <w:pPr>
        <w:pStyle w:val="style0"/>
        <w:snapToGrid w:val="false"/>
        <w:spacing w:before="312" w:beforeAutospacing="true" w:after="312" w:afterAutospacing="true" w:lineRule="auto" w:line="480"/>
        <w:ind w:left="720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Useh,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M.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U.,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Abah,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J.,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Ojo,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(2020).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petrochemical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effluent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physicochemical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propert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soil.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Journal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Chemistry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color w:val="000000"/>
          <w:spacing w:val="0"/>
          <w:w w:val="100"/>
          <w:sz w:val="28"/>
          <w:szCs w:val="28"/>
        </w:rPr>
        <w:t>Ecotoxicology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12(4),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  <w:t>57–63.</w:t>
      </w:r>
      <w:bookmarkStart w:id="1" w:name="_GoBack"/>
      <w:bookmarkEnd w:id="1"/>
    </w:p>
    <w:p>
      <w:pPr>
        <w:pStyle w:val="style0"/>
        <w:snapToGrid w:val="false"/>
        <w:spacing w:before="312" w:beforeAutospacing="true" w:after="312" w:afterAutospacing="tru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sz w:val="28"/>
          <w:szCs w:val="28"/>
        </w:rPr>
      </w:pPr>
    </w:p>
    <w:sectPr>
      <w:pgSz w:w="11520" w:h="14400" w:orient="portrait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57E2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60F4EBB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BEF8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C4DE32C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1DD014A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2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paragraph" w:styleId="style2">
    <w:name w:val="heading 2"/>
    <w:basedOn w:val="style0"/>
    <w:next w:val="style2"/>
    <w:link w:val="style4099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style3">
    <w:name w:val="heading 3"/>
    <w:basedOn w:val="style0"/>
    <w:next w:val="style3"/>
    <w:link w:val="style4100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</w:rPr>
  </w:style>
  <w:style w:type="paragraph" w:styleId="style4">
    <w:name w:val="heading 4"/>
    <w:basedOn w:val="style0"/>
    <w:next w:val="style4"/>
    <w:link w:val="style4101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484f76fa-6a37-4580-bfde-7d743d68e85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ca1587b6-ba4f-49a6-ba58-b989d797870a"/>
    <w:basedOn w:val="style65"/>
    <w:next w:val="style4098"/>
    <w:link w:val="style32"/>
    <w:uiPriority w:val="99"/>
  </w:style>
  <w:style w:type="character" w:customStyle="1" w:styleId="style4099">
    <w:name w:val="Heading 2 Char_f81f9552-c0eb-4d87-a1a9-31f5a4884d74"/>
    <w:basedOn w:val="style65"/>
    <w:next w:val="style4099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character" w:customStyle="1" w:styleId="style4100">
    <w:name w:val="Heading 3 Char_31f24930-74c1-446c-8f58-c50cf09e05ad"/>
    <w:basedOn w:val="style65"/>
    <w:next w:val="style4100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character" w:customStyle="1" w:styleId="style4101">
    <w:name w:val="Heading 4 Char_177c1dfe-b8bd-476e-8662-98633757e2de"/>
    <w:basedOn w:val="style65"/>
    <w:next w:val="style4101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2">
    <w:name w:val="Heading 1 Char_c6c48ce4-90ff-4b9e-90e2-479ad70d1d41"/>
    <w:basedOn w:val="style65"/>
    <w:next w:val="style4102"/>
    <w:link w:val="style1"/>
    <w:uiPriority w:val="9"/>
    <w:rPr>
      <w:rFonts w:ascii="Calibri Light" w:cs="宋体" w:eastAsia="宋体" w:hAnsi="Calibri Light"/>
      <w:color w:val="2e74b5"/>
      <w:sz w:val="32"/>
      <w:szCs w:val="32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440"/>
    </w:pPr>
    <w:rPr/>
  </w:style>
  <w:style w:type="paragraph" w:styleId="style153">
    <w:name w:val="Balloon Text"/>
    <w:basedOn w:val="style0"/>
    <w:next w:val="style153"/>
    <w:link w:val="style4103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3">
    <w:name w:val="Balloon Text Char"/>
    <w:basedOn w:val="style65"/>
    <w:next w:val="style4103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D3E6C-E000-4A71-8915-6C0FC354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303</Words>
  <Pages>39</Pages>
  <Characters>31204</Characters>
  <Application>WPS Office</Application>
  <DocSecurity>0</DocSecurity>
  <Paragraphs>289</Paragraphs>
  <ScaleCrop>false</ScaleCrop>
  <LinksUpToDate>false</LinksUpToDate>
  <CharactersWithSpaces>31360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2025-07-09T09:33:00Z</dcterms:created>
  <dc:creator>Microsoft account</dc:creator>
  <lastModifiedBy>Infinix X6817</lastModifiedBy>
  <lastPrinted>2025-07-09T09:32:00Z</lastPrinted>
  <dcterms:modified xsi:type="dcterms:W3CDTF">2025-08-15T15:09:11Z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8ed89a9b2bd34cb1b43177491a088cdc</vt:lpwstr>
  </property>
</Properties>
</file>