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037B15">
        <w:rPr>
          <w:b/>
          <w:bCs/>
          <w:szCs w:val="32"/>
        </w:rPr>
        <w:t>[</w:t>
      </w:r>
      <w:r w:rsidRPr="00F21989">
        <w:rPr>
          <w:b/>
          <w:bCs/>
          <w:caps/>
          <w:szCs w:val="32"/>
        </w:rPr>
        <w:t>Ibrahim rasheedat opeyemi</w:t>
      </w:r>
      <w:r>
        <w:rPr>
          <w:b/>
          <w:bCs/>
          <w:szCs w:val="32"/>
        </w:rPr>
        <w:t xml:space="preserve"> </w:t>
      </w:r>
      <w:r w:rsidRPr="00037B15">
        <w:rPr>
          <w:b/>
          <w:bCs/>
          <w:szCs w:val="32"/>
        </w:rPr>
        <w:t>]</w:t>
      </w:r>
      <w:r w:rsidRPr="00037B15">
        <w:rPr>
          <w:szCs w:val="32"/>
        </w:rPr>
        <w:br/>
      </w:r>
      <w:r>
        <w:rPr>
          <w:b/>
          <w:bCs/>
          <w:szCs w:val="32"/>
        </w:rPr>
        <w:t xml:space="preserve">  [ ND/23/ETM/PT/0009</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CC3732">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CC3732">
      <w:pPr>
        <w:spacing w:line="480" w:lineRule="auto"/>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 </w:t>
      </w:r>
      <w:r w:rsidR="00FA196C">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2B503F" w:rsidRPr="00F7510F" w:rsidRDefault="002B503F" w:rsidP="00CC3732">
      <w:pPr>
        <w:spacing w:after="0" w:line="240" w:lineRule="auto"/>
        <w:rPr>
          <w:rFonts w:ascii="Times New Roman" w:hAnsi="Times New Roman" w:cs="Times New Roman"/>
          <w:sz w:val="24"/>
          <w:szCs w:val="24"/>
        </w:rPr>
      </w:pPr>
    </w:p>
    <w:p w:rsidR="00F21989" w:rsidRPr="006A47EB" w:rsidRDefault="00A31F21" w:rsidP="00CC3732">
      <w:pPr>
        <w:spacing w:after="0" w:line="240" w:lineRule="auto"/>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CC3732">
      <w:pPr>
        <w:spacing w:after="0" w:line="240" w:lineRule="auto"/>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2B503F" w:rsidRPr="00F7510F" w:rsidRDefault="002B503F" w:rsidP="00CC3732">
      <w:pPr>
        <w:spacing w:after="0" w:line="240" w:lineRule="auto"/>
        <w:rPr>
          <w:rFonts w:ascii="Times New Roman" w:hAnsi="Times New Roman" w:cs="Times New Roman"/>
          <w:sz w:val="24"/>
          <w:szCs w:val="24"/>
        </w:rPr>
      </w:pPr>
    </w:p>
    <w:p w:rsidR="00F21989" w:rsidRDefault="00F21989" w:rsidP="00CC3732">
      <w:pPr>
        <w:spacing w:after="0" w:line="240" w:lineRule="auto"/>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CC3732">
      <w:pPr>
        <w:spacing w:after="0" w:line="240" w:lineRule="auto"/>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sz w:val="24"/>
          <w:szCs w:val="24"/>
        </w:rPr>
        <w:t>___________________</w:t>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sidRPr="00F7510F">
        <w:rPr>
          <w:rFonts w:ascii="Times New Roman" w:hAnsi="Times New Roman" w:cs="Times New Roman"/>
          <w:sz w:val="24"/>
          <w:szCs w:val="24"/>
        </w:rPr>
        <w:t>_______________</w:t>
      </w:r>
      <w:r w:rsidR="00F21989">
        <w:rPr>
          <w:rFonts w:ascii="Times New Roman" w:hAnsi="Times New Roman" w:cs="Times New Roman"/>
          <w:sz w:val="24"/>
          <w:szCs w:val="24"/>
        </w:rPr>
        <w:t>____</w:t>
      </w:r>
    </w:p>
    <w:p w:rsidR="002B503F" w:rsidRPr="00D67CAB" w:rsidRDefault="002B503F" w:rsidP="00CC3732">
      <w:pPr>
        <w:spacing w:after="0" w:line="240" w:lineRule="auto"/>
        <w:rPr>
          <w:rFonts w:ascii="Times New Roman" w:hAnsi="Times New Roman" w:cs="Times New Roman"/>
          <w:b/>
          <w:sz w:val="24"/>
          <w:szCs w:val="24"/>
        </w:rPr>
      </w:pPr>
    </w:p>
    <w:p w:rsidR="00F21989" w:rsidRPr="005752E3" w:rsidRDefault="00F21989" w:rsidP="00CC3732">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CC3732">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F21989">
        <w:rPr>
          <w:rFonts w:ascii="Times New Roman" w:hAnsi="Times New Roman" w:cs="Times New Roman"/>
          <w:bCs/>
          <w:caps/>
          <w:sz w:val="24"/>
          <w:szCs w:val="24"/>
        </w:rPr>
        <w:t>__________________</w:t>
      </w:r>
    </w:p>
    <w:p w:rsidR="002B503F" w:rsidRPr="0074637B"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p>
    <w:p w:rsidR="00F21989" w:rsidRPr="003D6652"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 xml:space="preserve"> </w:t>
      </w:r>
      <w:r w:rsidR="00CC3732">
        <w:rPr>
          <w:rFonts w:ascii="Times New Roman" w:hAnsi="Times New Roman" w:cs="Times New Roman"/>
          <w:sz w:val="24"/>
          <w:szCs w:val="24"/>
        </w:rPr>
        <w:t xml:space="preserve"> </w:t>
      </w:r>
      <w:r w:rsidRPr="00F7510F">
        <w:rPr>
          <w:rFonts w:ascii="Times New Roman" w:hAnsi="Times New Roman" w:cs="Times New Roman"/>
          <w:sz w:val="24"/>
          <w:szCs w:val="24"/>
        </w:rPr>
        <w:t>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2B503F" w:rsidRPr="00F7510F"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CC3732">
      <w:pPr>
        <w:spacing w:after="0" w:line="480" w:lineRule="auto"/>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CC3732">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916" w:rsidRDefault="00CB4916" w:rsidP="00F21989">
      <w:pPr>
        <w:spacing w:after="0" w:line="240" w:lineRule="auto"/>
      </w:pPr>
      <w:r>
        <w:separator/>
      </w:r>
    </w:p>
  </w:endnote>
  <w:endnote w:type="continuationSeparator" w:id="1">
    <w:p w:rsidR="00CB4916" w:rsidRDefault="00CB4916"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916" w:rsidRDefault="00CB4916" w:rsidP="00F21989">
      <w:pPr>
        <w:spacing w:after="0" w:line="240" w:lineRule="auto"/>
      </w:pPr>
      <w:r>
        <w:separator/>
      </w:r>
    </w:p>
  </w:footnote>
  <w:footnote w:type="continuationSeparator" w:id="1">
    <w:p w:rsidR="00CB4916" w:rsidRDefault="00CB4916"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125622"/>
    <w:rsid w:val="002B503F"/>
    <w:rsid w:val="00301AC5"/>
    <w:rsid w:val="00331BDB"/>
    <w:rsid w:val="00747953"/>
    <w:rsid w:val="00832DE6"/>
    <w:rsid w:val="008853B8"/>
    <w:rsid w:val="009F0BE0"/>
    <w:rsid w:val="00A31F21"/>
    <w:rsid w:val="00BA2E94"/>
    <w:rsid w:val="00BA6D97"/>
    <w:rsid w:val="00BD0BC8"/>
    <w:rsid w:val="00CB4916"/>
    <w:rsid w:val="00CC3732"/>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31</Pages>
  <Words>8380</Words>
  <Characters>47767</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19</cp:revision>
  <dcterms:created xsi:type="dcterms:W3CDTF">2025-07-22T17:36:00Z</dcterms:created>
  <dcterms:modified xsi:type="dcterms:W3CDTF">2025-07-22T18:17:00Z</dcterms:modified>
</cp:coreProperties>
</file>