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ind w:firstLine="720"/>
        <w:jc w:val="center"/>
        <w:rPr>
          <w:rFonts w:ascii="Times New Roman" w:cs="Times New Roman" w:hAnsi="Times New Roman"/>
          <w:b/>
          <w:bCs/>
          <w:color w:val="000000"/>
          <w:sz w:val="28"/>
          <w:szCs w:val="28"/>
          <w:lang w:val="en-GB"/>
        </w:rPr>
      </w:pPr>
      <w:bookmarkStart w:id="0" w:name="_Hlk142380218"/>
      <w:r>
        <w:rPr>
          <w:rFonts w:ascii="Times New Roman" w:cs="Times New Roman" w:hAnsi="Times New Roman"/>
          <w:b/>
          <w:bCs/>
          <w:color w:val="000000"/>
          <w:sz w:val="28"/>
          <w:szCs w:val="28"/>
          <w:lang w:val="en-GB"/>
        </w:rPr>
        <w:t>INTERPRETATION OF AEROMAGNETIC DATA OF ILORIN, NORTHCENTRAL NIGERIA</w:t>
      </w: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Monotype Corsiva" w:hAnsi="Monotype Corsiva"/>
          <w:b/>
          <w:color w:val="000000"/>
          <w:sz w:val="32"/>
          <w:szCs w:val="32"/>
        </w:rPr>
      </w:pPr>
    </w:p>
    <w:p>
      <w:pPr>
        <w:pStyle w:val="style0"/>
        <w:spacing w:after="0" w:lineRule="auto" w:line="360"/>
        <w:ind w:firstLine="720"/>
        <w:jc w:val="center"/>
        <w:rPr>
          <w:rFonts w:ascii="Monotype Corsiva" w:hAnsi="Monotype Corsiva"/>
          <w:b/>
          <w:color w:val="000000"/>
          <w:sz w:val="40"/>
          <w:szCs w:val="40"/>
        </w:rPr>
      </w:pPr>
      <w:r>
        <w:rPr>
          <w:rFonts w:ascii="Monotype Corsiva" w:hAnsi="Monotype Corsiva"/>
          <w:b/>
          <w:color w:val="000000"/>
          <w:sz w:val="40"/>
          <w:szCs w:val="40"/>
        </w:rPr>
        <w:t>BY:</w:t>
      </w:r>
    </w:p>
    <w:p>
      <w:pPr>
        <w:pStyle w:val="style0"/>
        <w:spacing w:after="0" w:lineRule="auto" w:line="360"/>
        <w:ind w:firstLine="720"/>
        <w:jc w:val="center"/>
        <w:rPr>
          <w:rFonts w:ascii="Monotype Corsiva" w:hAnsi="Monotype Corsiva"/>
          <w:b/>
          <w:color w:val="000000"/>
        </w:rPr>
      </w:pPr>
    </w:p>
    <w:p>
      <w:pPr>
        <w:pStyle w:val="style0"/>
        <w:spacing w:after="0" w:lineRule="auto" w:line="360"/>
        <w:ind w:firstLine="720"/>
        <w:jc w:val="center"/>
        <w:rPr>
          <w:rFonts w:ascii="Monotype Corsiva" w:hAnsi="Monotype Corsiva"/>
          <w:b/>
          <w:color w:val="000000"/>
        </w:rPr>
      </w:pPr>
    </w:p>
    <w:p>
      <w:pPr>
        <w:pStyle w:val="style0"/>
        <w:spacing w:after="0" w:lineRule="auto" w:line="360"/>
        <w:ind w:firstLine="720"/>
        <w:jc w:val="center"/>
        <w:rPr>
          <w:rFonts w:ascii="Monotype Corsiva" w:hAnsi="Monotype Corsiva"/>
          <w:b/>
          <w:color w:val="000000"/>
        </w:rPr>
      </w:pPr>
    </w:p>
    <w:p>
      <w:pPr>
        <w:pStyle w:val="style0"/>
        <w:spacing w:after="0" w:lineRule="auto" w:line="360"/>
        <w:jc w:val="left"/>
        <w:rPr>
          <w:rFonts w:ascii="Times New Roman" w:cs="Times New Roman" w:hAnsi="Times New Roman"/>
          <w:b/>
          <w:bCs/>
          <w:iCs/>
          <w:color w:val="000000"/>
          <w:sz w:val="28"/>
          <w:szCs w:val="28"/>
        </w:rPr>
      </w:pPr>
      <w:r>
        <w:rPr>
          <w:rFonts w:ascii="Times New Roman" w:cs="Times New Roman" w:hAnsi="Times New Roman"/>
          <w:b/>
          <w:bCs/>
          <w:iCs/>
          <w:color w:val="000000"/>
          <w:sz w:val="28"/>
          <w:szCs w:val="28"/>
          <w:lang w:val="en-US"/>
        </w:rPr>
        <w:t>ABUBAKAR MUTIAT TITILAYO</w:t>
      </w:r>
    </w:p>
    <w:p>
      <w:pPr>
        <w:pStyle w:val="style0"/>
        <w:spacing w:after="0" w:lineRule="auto" w:line="360"/>
        <w:jc w:val="center"/>
        <w:rPr>
          <w:rFonts w:ascii="Times New Roman" w:cs="Times New Roman" w:hAnsi="Times New Roman"/>
          <w:b/>
          <w:bCs/>
          <w:iCs/>
          <w:color w:val="000000"/>
          <w:sz w:val="28"/>
          <w:szCs w:val="28"/>
          <w:lang w:val="en-US"/>
        </w:rPr>
      </w:pPr>
      <w:r>
        <w:rPr>
          <w:rFonts w:ascii="Times New Roman" w:cs="Times New Roman" w:hAnsi="Times New Roman"/>
          <w:b/>
          <w:bCs/>
          <w:iCs/>
          <w:color w:val="000000"/>
          <w:sz w:val="28"/>
          <w:szCs w:val="28"/>
        </w:rPr>
        <w:t>ND/23/SLT/PT/06</w:t>
      </w:r>
      <w:r>
        <w:rPr>
          <w:rFonts w:ascii="Times New Roman" w:cs="Times New Roman" w:hAnsi="Times New Roman"/>
          <w:b/>
          <w:bCs/>
          <w:iCs/>
          <w:color w:val="000000"/>
          <w:sz w:val="28"/>
          <w:szCs w:val="28"/>
          <w:lang w:val="en-US"/>
        </w:rPr>
        <w:t>59</w:t>
      </w:r>
    </w:p>
    <w:tbl>
      <w:tblPr>
        <w:tblW w:w="0" w:type="auto"/>
        <w:shd w:val="clear" w:color="auto" w:fill="ffffff"/>
        <w:tblCellMar>
          <w:left w:w="0" w:type="dxa"/>
          <w:right w:w="0" w:type="dxa"/>
        </w:tblCellMar>
        <w:tblLook w:val="04A0" w:firstRow="1" w:lastRow="0" w:firstColumn="1" w:lastColumn="0" w:noHBand="0" w:noVBand="1"/>
      </w:tblPr>
      <w:tblGrid>
        <w:gridCol w:w="156"/>
      </w:tblGrid>
      <w:tr>
        <w:trPr/>
        <w:tc>
          <w:tcPr>
            <w:tcW w:w="0" w:type="auto"/>
            <w:tcBorders/>
            <w:shd w:val="clear" w:color="auto" w:fill="ffffff"/>
            <w:tcMar>
              <w:top w:w="78" w:type="dxa"/>
              <w:left w:w="78" w:type="dxa"/>
              <w:bottom w:w="78" w:type="dxa"/>
              <w:right w:w="78" w:type="dxa"/>
            </w:tcMar>
            <w:hideMark/>
          </w:tcPr>
          <w:p>
            <w:pPr>
              <w:pStyle w:val="style0"/>
              <w:spacing w:after="0" w:lineRule="auto" w:line="240"/>
              <w:rPr>
                <w:rFonts w:ascii="Times New Roman" w:cs="Times New Roman" w:hAnsi="Times New Roman"/>
                <w:b/>
                <w:bCs/>
                <w:iCs/>
                <w:color w:val="000000"/>
                <w:sz w:val="28"/>
                <w:szCs w:val="28"/>
                <w:lang w:val="en-US"/>
              </w:rPr>
            </w:pPr>
          </w:p>
        </w:tc>
      </w:tr>
      <w:tr>
        <w:tblPrEx/>
        <w:trPr/>
        <w:tc>
          <w:tcPr>
            <w:tcW w:w="0" w:type="auto"/>
            <w:tcBorders/>
            <w:shd w:val="clear" w:color="auto" w:fill="ffffff"/>
            <w:tcMar>
              <w:top w:w="78" w:type="dxa"/>
              <w:left w:w="78" w:type="dxa"/>
              <w:bottom w:w="78" w:type="dxa"/>
              <w:right w:w="78" w:type="dxa"/>
            </w:tcMar>
            <w:hideMark/>
          </w:tcPr>
          <w:p>
            <w:pPr>
              <w:pStyle w:val="style0"/>
              <w:spacing w:after="0" w:lineRule="auto" w:line="240"/>
              <w:jc w:val="center"/>
              <w:rPr>
                <w:rFonts w:ascii="Times New Roman" w:cs="Times New Roman" w:hAnsi="Times New Roman"/>
                <w:b/>
                <w:bCs/>
                <w:i/>
                <w:iCs/>
                <w:color w:val="000000"/>
                <w:sz w:val="28"/>
                <w:szCs w:val="28"/>
                <w:lang w:val="en-US"/>
              </w:rPr>
            </w:pPr>
          </w:p>
        </w:tc>
      </w:tr>
    </w:tbl>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Eras Light ITC" w:hAnsi="Eras Light ITC"/>
          <w:b/>
          <w:color w:val="000000"/>
          <w:sz w:val="24"/>
          <w:szCs w:val="24"/>
        </w:rPr>
      </w:pPr>
    </w:p>
    <w:p>
      <w:pPr>
        <w:pStyle w:val="style0"/>
        <w:spacing w:after="0" w:lineRule="auto" w:line="240"/>
        <w:jc w:val="center"/>
        <w:rPr>
          <w:rFonts w:ascii="Eras Light ITC" w:hAnsi="Eras Light ITC"/>
          <w:b/>
          <w:color w:val="000000"/>
          <w:sz w:val="24"/>
          <w:szCs w:val="24"/>
        </w:rPr>
      </w:pPr>
    </w:p>
    <w:p>
      <w:pPr>
        <w:pStyle w:val="style157"/>
        <w:spacing w:lineRule="auto" w:line="276"/>
        <w:jc w:val="center"/>
        <w:rPr>
          <w:rFonts w:ascii="Algerian" w:hAnsi="Algerian"/>
          <w:b/>
          <w:color w:val="000000"/>
          <w:sz w:val="26"/>
          <w:szCs w:val="28"/>
        </w:rPr>
      </w:pPr>
      <w:r>
        <w:rPr>
          <w:rFonts w:ascii="Algerian" w:hAnsi="Algerian"/>
          <w:b/>
          <w:color w:val="000000"/>
          <w:sz w:val="26"/>
          <w:szCs w:val="28"/>
        </w:rPr>
        <w:t>BEING A PROJECT REPORT SUBMITTED TO THE DEPARTMENT OF SCIENCE LABORATORY TECHNOLOGY (PHYSICS/ELECTRONIC UNIT), INSTITUTE OF APPLIED SCIENCES, KWARA STATE POLYTECHNIC ILORIN</w:t>
      </w:r>
    </w:p>
    <w:p>
      <w:pPr>
        <w:pStyle w:val="style157"/>
        <w:spacing w:lineRule="auto" w:line="276"/>
        <w:jc w:val="center"/>
        <w:rPr>
          <w:rFonts w:ascii="Algerian" w:hAnsi="Algerian"/>
          <w:b/>
          <w:color w:val="000000"/>
          <w:sz w:val="26"/>
          <w:szCs w:val="28"/>
        </w:rPr>
      </w:pPr>
    </w:p>
    <w:p>
      <w:pPr>
        <w:pStyle w:val="style0"/>
        <w:spacing w:after="0" w:lineRule="auto" w:line="276"/>
        <w:ind w:left="720"/>
        <w:jc w:val="center"/>
        <w:rPr>
          <w:rFonts w:ascii="Tahoma" w:cs="Tahoma" w:hAnsi="Tahoma"/>
          <w:b/>
          <w:i/>
          <w:color w:val="000000"/>
          <w:sz w:val="26"/>
          <w:szCs w:val="28"/>
        </w:rPr>
      </w:pPr>
      <w:r>
        <w:rPr>
          <w:rFonts w:ascii="Algerian" w:cs="Tahoma" w:hAnsi="Algerian"/>
          <w:b/>
          <w:i/>
          <w:color w:val="000000"/>
          <w:sz w:val="26"/>
          <w:szCs w:val="28"/>
        </w:rPr>
        <w:t>IN PARTIAL FULFILMENT OF THE REQUIREMENTS FOR THE AWARD OF NATIONAL DIPLOMA (ND) IN SCIENCE LABORATORY TECHNOLOGY (SLT), KWARA STATE POLYTECHNC, ILORIN, KWARA STATE</w:t>
      </w:r>
    </w:p>
    <w:p>
      <w:pPr>
        <w:pStyle w:val="style0"/>
        <w:spacing w:after="0" w:lineRule="auto" w:line="276"/>
        <w:rPr>
          <w:rFonts w:ascii="Monotype Corsiva" w:cs="Tahoma" w:hAnsi="Monotype Corsiva"/>
          <w:b/>
          <w:color w:val="000000"/>
          <w:sz w:val="2"/>
        </w:rPr>
      </w:pPr>
    </w:p>
    <w:p>
      <w:pPr>
        <w:pStyle w:val="style0"/>
        <w:spacing w:after="0" w:lineRule="auto" w:line="276"/>
        <w:ind w:firstLine="720"/>
        <w:jc w:val="center"/>
        <w:rPr>
          <w:rFonts w:ascii="Monotype Corsiva" w:cs="Tahoma" w:hAnsi="Monotype Corsiva"/>
          <w:color w:val="000000"/>
          <w:sz w:val="36"/>
        </w:rPr>
      </w:pPr>
    </w:p>
    <w:p>
      <w:pPr>
        <w:pStyle w:val="style0"/>
        <w:spacing w:after="0" w:lineRule="auto" w:line="276"/>
        <w:ind w:firstLine="720"/>
        <w:jc w:val="right"/>
        <w:rPr>
          <w:rFonts w:ascii="Bookman Old Style" w:cs="Tahoma" w:hAnsi="Bookman Old Style"/>
          <w:b/>
          <w:color w:val="000000"/>
          <w:sz w:val="32"/>
          <w:szCs w:val="32"/>
        </w:rPr>
      </w:pPr>
      <w:r>
        <w:rPr>
          <w:rFonts w:ascii="Monotype Corsiva" w:cs="Tahoma" w:hAnsi="Monotype Corsiva"/>
          <w:b/>
          <w:color w:val="000000"/>
          <w:sz w:val="30"/>
        </w:rPr>
        <w:t>JUNE, 2025</w:t>
      </w:r>
    </w:p>
    <w:p>
      <w:pPr>
        <w:pStyle w:val="style0"/>
        <w:spacing w:after="0" w:lineRule="auto" w:line="276"/>
        <w:jc w:val="center"/>
        <w:rPr>
          <w:rFonts w:ascii="Times New Roman" w:cs="Times New Roman" w:hAnsi="Times New Roman"/>
          <w:b/>
          <w:color w:val="000000"/>
          <w:sz w:val="24"/>
          <w:szCs w:val="24"/>
        </w:rPr>
      </w:pPr>
    </w:p>
    <w:p>
      <w:pPr>
        <w:pStyle w:val="style0"/>
        <w:spacing w:after="0" w:lineRule="auto" w:line="276"/>
        <w:jc w:val="center"/>
        <w:rPr>
          <w:rFonts w:ascii="Times New Roman" w:cs="Times New Roman" w:hAnsi="Times New Roman"/>
          <w:b/>
          <w:color w:val="000000"/>
          <w:sz w:val="24"/>
          <w:szCs w:val="24"/>
        </w:rPr>
      </w:pPr>
    </w:p>
    <w:p>
      <w:pPr>
        <w:pStyle w:val="style0"/>
        <w:spacing w:after="0" w:lineRule="auto" w:line="276"/>
        <w:jc w:val="center"/>
        <w:rPr>
          <w:rFonts w:ascii="Times New Roman" w:cs="Times New Roman" w:hAnsi="Times New Roman"/>
          <w:b/>
          <w:color w:val="000000"/>
          <w:sz w:val="24"/>
          <w:szCs w:val="24"/>
        </w:rPr>
      </w:pPr>
      <w:r>
        <w:rPr>
          <w:rFonts w:ascii="Times New Roman" w:cs="Times New Roman" w:hAnsi="Times New Roman"/>
          <w:b/>
          <w:color w:val="000000"/>
          <w:sz w:val="24"/>
          <w:szCs w:val="24"/>
        </w:rPr>
        <w:t>CERTIFICATION</w:t>
      </w:r>
    </w:p>
    <w:p>
      <w:pPr>
        <w:pStyle w:val="style0"/>
        <w:spacing w:after="0" w:lineRule="auto" w:line="36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This is to certify that this project was carried out by</w:t>
      </w:r>
      <w:r>
        <w:rPr>
          <w:rFonts w:ascii="Times New Roman" w:cs="Times New Roman" w:hAnsi="Times New Roman"/>
          <w:color w:val="000000"/>
          <w:sz w:val="24"/>
          <w:szCs w:val="24"/>
        </w:rPr>
        <w:t xml:space="preserve"> above name and</w:t>
      </w:r>
      <w:r>
        <w:rPr>
          <w:rFonts w:ascii="Times New Roman" w:cs="Times New Roman" w:hAnsi="Times New Roman"/>
          <w:color w:val="000000"/>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i/>
          <w:iCs/>
          <w:color w:val="000000"/>
          <w:sz w:val="24"/>
          <w:szCs w:val="24"/>
        </w:rPr>
      </w:pPr>
      <w:r>
        <w:rPr>
          <w:rFonts w:ascii="Times New Roman" w:cs="Times New Roman" w:hAnsi="Times New Roman"/>
          <w:b/>
          <w:color w:val="000000"/>
          <w:sz w:val="24"/>
          <w:szCs w:val="24"/>
        </w:rPr>
        <w:t>Mr. Surajudeen Shittu</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360"/>
        <w:rPr>
          <w:rFonts w:ascii="Times New Roman" w:cs="Times New Roman" w:hAnsi="Times New Roman"/>
          <w:i/>
          <w:color w:val="000000"/>
          <w:sz w:val="24"/>
          <w:szCs w:val="24"/>
        </w:rPr>
      </w:pPr>
      <w:r>
        <w:rPr>
          <w:rFonts w:ascii="Times New Roman" w:cs="Times New Roman" w:hAnsi="Times New Roman"/>
          <w:i/>
          <w:color w:val="000000"/>
          <w:sz w:val="24"/>
          <w:szCs w:val="24"/>
        </w:rPr>
        <w:t>Project Supervisor</w:t>
      </w: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b/>
          <w:color w:val="000000"/>
          <w:sz w:val="24"/>
          <w:szCs w:val="24"/>
        </w:rPr>
      </w:pPr>
    </w:p>
    <w:p>
      <w:pPr>
        <w:pStyle w:val="style0"/>
        <w:spacing w:after="0" w:lineRule="auto" w:line="360"/>
        <w:rPr>
          <w:rFonts w:ascii="Times New Roman" w:cs="Times New Roman" w:hAnsi="Times New Roman"/>
          <w:b/>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Mr. Lukman I. A. </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bCs/>
          <w:i/>
          <w:color w:val="000000"/>
          <w:sz w:val="24"/>
          <w:szCs w:val="24"/>
        </w:rPr>
        <w:t>SLT PT Coordinator</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Dr. Abdulkareem Usman</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360"/>
        <w:rPr>
          <w:rFonts w:ascii="Times New Roman" w:cs="Times New Roman" w:hAnsi="Times New Roman"/>
          <w:i/>
          <w:color w:val="000000"/>
          <w:sz w:val="24"/>
          <w:szCs w:val="24"/>
        </w:rPr>
      </w:pPr>
      <w:r>
        <w:rPr>
          <w:rFonts w:ascii="Times New Roman" w:cs="Times New Roman" w:hAnsi="Times New Roman"/>
          <w:i/>
          <w:color w:val="000000"/>
          <w:sz w:val="24"/>
          <w:szCs w:val="24"/>
        </w:rPr>
        <w:t>Head of Department</w:t>
      </w: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External Examiner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360"/>
        <w:rPr>
          <w:rFonts w:ascii="Times New Roman" w:cs="Times New Roman" w:hAnsi="Times New Roman"/>
          <w:b/>
          <w:bCs/>
          <w:color w:val="000000"/>
          <w:sz w:val="24"/>
          <w:szCs w:val="24"/>
        </w:rPr>
      </w:pPr>
      <w:r>
        <w:rPr>
          <w:rFonts w:ascii="Times New Roman" w:cs="Times New Roman" w:hAnsi="Times New Roman"/>
          <w:b/>
          <w:bCs/>
          <w:color w:val="000000"/>
          <w:sz w:val="24"/>
          <w:szCs w:val="24"/>
        </w:rPr>
        <w:br w:type="page"/>
      </w: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DEDICATION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This project is dedicated to Almighty </w:t>
      </w:r>
      <w:r>
        <w:rPr>
          <w:rFonts w:ascii="Times New Roman" w:cs="Times New Roman" w:hAnsi="Times New Roman"/>
          <w:color w:val="000000"/>
          <w:sz w:val="24"/>
          <w:szCs w:val="24"/>
        </w:rPr>
        <w:t>God</w:t>
      </w:r>
      <w:r>
        <w:rPr>
          <w:rFonts w:ascii="Times New Roman" w:cs="Times New Roman" w:hAnsi="Times New Roman"/>
          <w:color w:val="000000"/>
          <w:sz w:val="24"/>
          <w:szCs w:val="24"/>
        </w:rPr>
        <w:t>, the provider and sustainer of life, whose grace has made this journey of my National Diploma (ND) possible. It i</w:t>
      </w:r>
      <w:r>
        <w:rPr>
          <w:rFonts w:ascii="Times New Roman" w:cs="Times New Roman" w:hAnsi="Times New Roman"/>
          <w:color w:val="000000"/>
          <w:sz w:val="24"/>
          <w:szCs w:val="24"/>
        </w:rPr>
        <w:t>s also dedicated to my parents</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my pillar of support. May </w:t>
      </w:r>
      <w:r>
        <w:rPr>
          <w:rFonts w:ascii="Times New Roman" w:cs="Times New Roman" w:hAnsi="Times New Roman"/>
          <w:color w:val="000000"/>
          <w:sz w:val="24"/>
          <w:szCs w:val="24"/>
        </w:rPr>
        <w:t>God</w:t>
      </w:r>
      <w:r>
        <w:rPr>
          <w:rFonts w:ascii="Times New Roman" w:cs="Times New Roman" w:hAnsi="Times New Roman"/>
          <w:color w:val="000000"/>
          <w:sz w:val="24"/>
          <w:szCs w:val="24"/>
        </w:rPr>
        <w:t xml:space="preserve"> continue to bless and protect you.</w:t>
      </w: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ACKNOWLEDGEMENT</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I'm grateful for the opportunity to learn and grown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providing me with the resources and support I needed to succeed.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Thank god for your guidance and support blessings and favor. I'm thankful for Your presence in my academic journey.”</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 would like to extend my sincere gratitude to my project supervisor. Mr. Surajudeen Shittu for their invaluable guidance, support, and expertise throughout.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TABLE OF CONTENTS</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TITLE PAGE</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CERTIFICATION</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DEDICATION</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ACKNOWLEDGMENT</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TABLE OF CONTENT</w:t>
      </w:r>
    </w:p>
    <w:p>
      <w:pPr>
        <w:pStyle w:val="style0"/>
        <w:spacing w:after="0" w:lineRule="auto" w:line="360"/>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r>
        <w:rPr>
          <w:rFonts w:ascii="Times New Roman" w:cs="Times New Roman" w:hAnsi="Times New Roman"/>
          <w:b/>
          <w:bCs/>
          <w:color w:val="000000"/>
          <w:sz w:val="24"/>
          <w:szCs w:val="24"/>
          <w:lang w:val="en-US"/>
        </w:rPr>
        <w:t xml:space="preserve">: </w:t>
      </w:r>
      <w:r>
        <w:rPr>
          <w:rFonts w:ascii="Times New Roman" w:cs="Times New Roman" w:hAnsi="Times New Roman"/>
          <w:b/>
          <w:bCs/>
          <w:color w:val="000000"/>
          <w:sz w:val="24"/>
          <w:szCs w:val="24"/>
          <w:lang w:val="en-GB"/>
        </w:rPr>
        <w:t>INTRODUCTION</w:t>
      </w:r>
    </w:p>
    <w:p>
      <w:pPr>
        <w:pStyle w:val="style0"/>
        <w:numPr>
          <w:ilvl w:val="0"/>
          <w:numId w:val="1"/>
        </w:numPr>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PREAMBLE</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FUNDAMENTALS OF AEROMAGNETIC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GEOMAGNETIC FIELD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STATEMENT OF THE PROBLEM</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AIM AND OBJECTIVES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SIGNIFICANCE OF THE STUDY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1.6</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GEOGRAPHY OF THE STUDY AREA</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1.7</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GEOLOGY OF THE STUDY AREA</w:t>
      </w:r>
    </w:p>
    <w:p>
      <w:pPr>
        <w:pStyle w:val="style0"/>
        <w:spacing w:after="0" w:lineRule="auto" w:line="360"/>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TWO</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LITERATURE REVIEW</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OVERVIEW OF GEOPHYSICAL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GRAVITY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ELECTRICAL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RADIOMETRIC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SEISMIC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EARTH’S MAIN FIELD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PROPERTIES OF ROCKS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SUSCEPTIBILITIES OF ROCKS AND MINERALS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GROUND 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MARINE (SEA-BORNE) 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AEROMAGNETIC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REDUCTION/CORRECTION OF MAGNETIC OBSERVATIONS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INTERNATIONAL GEOMAGNETIC REFERENCE FIELD (IGRF)</w:t>
      </w:r>
      <w:r>
        <w:rPr>
          <w:rFonts w:ascii="Times New Roman" w:cs="Times New Roman" w:hAnsi="Times New Roman"/>
          <w:bCs/>
          <w:color w:val="000000"/>
          <w:sz w:val="24"/>
          <w:szCs w:val="24"/>
          <w:lang w:val="en-GB"/>
        </w:rPr>
        <w:tab/>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CORRECTION OF DIURNAL VARIATION </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REDUCTION TO THE POLE</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UPWARD AND DOWNWARD CONTINUATION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ELEVATION AND TERRAIN CORRECTIONS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METHODS OF INTERPRETING MAGNETIC DATA</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QUALITATIVE ANALYSIS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QUANTITATIVE ANALYSIS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SURVEYING INSTRUMENTS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FLUXGATE MAGNETOMETER</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PROTON MAGNETOMETER</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GRADIOMETERS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2.2.7</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ADVANTAGES OF AEROMAGNETIC METHOD</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PREVIOUS WORKS ON INTERPRETATION OF AEROMAGNETIC DATA</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CHAPTER THREE</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METHODOLOGY</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ACQUISITION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3.0.1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 SPECIFICATIONS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ANALYSIS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PROCESSING AND INTERPRETATION METHOD</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STATISTICAL SPECTRAL INTERPRETATION</w:t>
      </w:r>
    </w:p>
    <w:p>
      <w:pPr>
        <w:pStyle w:val="style0"/>
        <w:spacing w:after="0" w:lineRule="auto" w:line="276"/>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FOUR</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RESULTS AND DISCUSSION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DEPTH ESTIMATION FROM STATISTICAL SPECTRAL ANALYSIS</w:t>
      </w:r>
    </w:p>
    <w:p>
      <w:pPr>
        <w:pStyle w:val="style0"/>
        <w:spacing w:after="0" w:lineRule="auto" w:line="276"/>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FIVE</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CONCLUSION AND RECOMMENDATION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CONCLUSION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RECOMMENDATION</w:t>
      </w:r>
    </w:p>
    <w:p>
      <w:pPr>
        <w:pStyle w:val="style0"/>
        <w:spacing w:after="0" w:lineRule="auto" w:line="360"/>
        <w:ind w:firstLine="720"/>
        <w:rPr>
          <w:rFonts w:ascii="Times New Roman" w:cs="Times New Roman" w:hAnsi="Times New Roman"/>
          <w:bCs/>
          <w:color w:val="000000"/>
          <w:sz w:val="24"/>
          <w:szCs w:val="24"/>
        </w:rPr>
      </w:pPr>
      <w:r>
        <w:rPr>
          <w:rFonts w:ascii="Times New Roman" w:cs="Times New Roman" w:hAnsi="Times New Roman"/>
          <w:bCs/>
          <w:color w:val="000000"/>
          <w:sz w:val="24"/>
          <w:szCs w:val="24"/>
          <w:lang w:val="en-US"/>
        </w:rPr>
        <w:t>BIBLIOGRAPHY</w:t>
      </w:r>
    </w:p>
    <w:p>
      <w:pPr>
        <w:pStyle w:val="style0"/>
        <w:spacing w:after="0" w:lineRule="auto" w:line="360"/>
        <w:ind w:left="720"/>
        <w:jc w:val="both"/>
        <w:rPr>
          <w:rFonts w:ascii="Times New Roman" w:cs="Times New Roman" w:hAnsi="Times New Roman"/>
          <w:b/>
          <w:color w:val="000000"/>
          <w:sz w:val="24"/>
          <w:szCs w:val="24"/>
        </w:rPr>
        <w:sectPr>
          <w:footerReference w:type="default" r:id="rId2"/>
          <w:pgSz w:w="12240" w:h="15840" w:orient="portrait"/>
          <w:pgMar w:top="1440" w:right="1440" w:bottom="1440" w:left="1440" w:header="720" w:footer="2160" w:gutter="0"/>
          <w:pgNumType w:fmt="lowerRoman"/>
          <w:cols w:space="720"/>
          <w:docGrid w:linePitch="360"/>
        </w:sectPr>
      </w:pPr>
    </w:p>
    <w:p>
      <w:pPr>
        <w:pStyle w:val="style0"/>
        <w:spacing w:after="0" w:lineRule="auto" w:line="276"/>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p>
    <w:bookmarkStart w:id="1" w:name="_GoBack"/>
    <w:bookmarkEnd w:id="0"/>
    <w:bookmarkEnd w:id="1"/>
    <w:p>
      <w:pPr>
        <w:pStyle w:val="style0"/>
        <w:spacing w:after="0" w:lineRule="auto" w:line="276"/>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INTRODUCTION</w:t>
      </w:r>
    </w:p>
    <w:p>
      <w:pPr>
        <w:pStyle w:val="style0"/>
        <w:numPr>
          <w:ilvl w:val="0"/>
          <w:numId w:val="1"/>
        </w:numPr>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Preamble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exploration methods (also referred to as geophysical surveying)discussed in this book, measurements within</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geographically restricted areas are used to determine the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 xml:space="preserve">distributions of physical properties at depths that reflect the local subsurface geology. (Kearey,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An alternative method of investigating subsurface geology is, of course, by drilling boreholes, but these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are expensive and provide information only at discretelocations. Geophysical surveying, although sometime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Pr>
          <w:rFonts w:ascii="Times New Roman" w:cs="Times New Roman" w:hAnsi="Times New Roman"/>
          <w:bCs/>
          <w:color w:val="000000"/>
          <w:sz w:val="24"/>
          <w:szCs w:val="24"/>
          <w:lang w:val="en-GB"/>
        </w:rPr>
        <w:t>or construction sites. Research geophysicists study the internal structure and evolution of the earth, earthquakes, the ocean and other physical features using these methods.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Fundamentals of aeromagnetic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4229384" cy="3618230"/>
            <wp:effectExtent l="0" t="0" r="0" b="127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4229384" cy="3618230"/>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w:t>
      </w:r>
      <w:r>
        <w:rPr>
          <w:rFonts w:ascii="Times New Roman" w:cs="Times New Roman" w:hAnsi="Times New Roman"/>
          <w:bCs/>
          <w:color w:val="000000"/>
          <w:sz w:val="24"/>
          <w:szCs w:val="24"/>
          <w:lang w:val="en-GB"/>
        </w:rPr>
        <w:t>: The main divisions of the Earth’s volume (after Reeves, 2005)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Magnetic field in SI units is defined in terms of the flow of electric current needed in a coil to generate that field. As a consequence, units of measurement are volt-seconds per square metre or Weber/m</w:t>
      </w:r>
      <w:r>
        <w:rPr>
          <w:rFonts w:ascii="Times New Roman" w:cs="Times New Roman" w:hAnsi="Times New Roman"/>
          <w:bCs/>
          <w:color w:val="000000"/>
          <w:sz w:val="24"/>
          <w:szCs w:val="24"/>
          <w:vertAlign w:val="superscript"/>
          <w:lang w:val="en-GB"/>
        </w:rPr>
        <w:t>2</w:t>
      </w:r>
      <w:r>
        <w:rPr>
          <w:rFonts w:ascii="Times New Roman" w:cs="Times New Roman" w:hAnsi="Times New Roman"/>
          <w:bCs/>
          <w:color w:val="000000"/>
          <w:sz w:val="24"/>
          <w:szCs w:val="24"/>
          <w:lang w:val="en-GB"/>
        </w:rPr>
        <w:t xml:space="preserve"> or Teslas (T). Since the magnitude of the earth's magnetic field is only about 5 x 10</w:t>
      </w:r>
      <w:r>
        <w:rPr>
          <w:rFonts w:ascii="Times New Roman" w:cs="Times New Roman" w:hAnsi="Times New Roman"/>
          <w:bCs/>
          <w:color w:val="000000"/>
          <w:sz w:val="24"/>
          <w:szCs w:val="24"/>
          <w:vertAlign w:val="superscript"/>
          <w:lang w:val="en-GB"/>
        </w:rPr>
        <w:t>-5</w:t>
      </w:r>
      <w:r>
        <w:rPr>
          <w:rFonts w:ascii="Times New Roman" w:cs="Times New Roman" w:hAnsi="Times New Roman"/>
          <w:bCs/>
          <w:color w:val="000000"/>
          <w:sz w:val="24"/>
          <w:szCs w:val="24"/>
          <w:lang w:val="en-GB"/>
        </w:rPr>
        <w:t xml:space="preserve"> T, a more convenient SI unit of measurement in geophysics is the nanoTesla (nT = 10</w:t>
      </w:r>
      <w:r>
        <w:rPr>
          <w:rFonts w:ascii="Times New Roman" w:cs="Times New Roman" w:hAnsi="Times New Roman"/>
          <w:bCs/>
          <w:color w:val="000000"/>
          <w:sz w:val="24"/>
          <w:szCs w:val="24"/>
          <w:vertAlign w:val="superscript"/>
          <w:lang w:val="en-GB"/>
        </w:rPr>
        <w:t>-9</w:t>
      </w:r>
      <w:r>
        <w:rPr>
          <w:rFonts w:ascii="Times New Roman" w:cs="Times New Roman" w:hAnsi="Times New Roman"/>
          <w:bCs/>
          <w:color w:val="000000"/>
          <w:sz w:val="24"/>
          <w:szCs w:val="24"/>
          <w:lang w:val="en-GB"/>
        </w:rPr>
        <w:t xml:space="preserve"> T). The geomagnetic field then has a value of about 50 000 nT.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anomalies as small as about 0.1 nT can be measured in conventional aeromagnetic surveys and may be of geological significance. Commonly recorded magnetic anomalies have </w:t>
      </w:r>
      <w:r>
        <w:rPr>
          <w:rFonts w:ascii="Times New Roman" w:cs="Times New Roman" w:hAnsi="Times New Roman"/>
          <w:bCs/>
          <w:color w:val="000000"/>
          <w:sz w:val="24"/>
          <w:szCs w:val="24"/>
          <w:lang w:val="en-GB"/>
        </w:rPr>
        <w:t>amplitudes of tens, hundreds and (less often) thousands of nT. One nT is numerically equivalent to the gamma (γ) which is an old (cgs) unit of magnetic field. The gamma still has some common currency but should, strictly speaking, now be replaced by the nT.</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geomagnetic field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2286000" cy="2732868"/>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2286000" cy="2732868"/>
                    </a:xfrm>
                    <a:prstGeom prst="rect"/>
                    <a:ln>
                      <a:noFill/>
                    </a:ln>
                  </pic:spPr>
                </pic:pic>
              </a:graphicData>
            </a:graphic>
          </wp:inline>
        </w:drawing>
      </w:r>
      <w:r>
        <w:rPr>
          <w:rFonts w:ascii="Times New Roman" w:cs="Times New Roman" w:hAnsi="Times New Roman"/>
          <w:bCs/>
          <w:noProof/>
          <w:color w:val="000000"/>
          <w:sz w:val="24"/>
          <w:szCs w:val="24"/>
          <w:lang w:val="en-US"/>
        </w:rPr>
        <w:drawing>
          <wp:inline distL="0" distT="0" distB="0" distR="0">
            <wp:extent cx="2743200" cy="3209925"/>
            <wp:effectExtent l="0" t="0" r="0" b="9525"/>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5" cstate="print"/>
                    <a:srcRect l="0" t="0" r="0" b="0"/>
                    <a:stretch/>
                  </pic:blipFill>
                  <pic:spPr>
                    <a:xfrm rot="0">
                      <a:off x="0" y="0"/>
                      <a:ext cx="2743200" cy="3209925"/>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1.2:</w:t>
      </w:r>
      <w:r>
        <w:rPr>
          <w:rFonts w:ascii="Times New Roman" w:cs="Times New Roman" w:hAnsi="Times New Roman"/>
          <w:bCs/>
          <w:color w:val="000000"/>
          <w:sz w:val="24"/>
          <w:szCs w:val="24"/>
          <w:lang w:val="en-GB"/>
        </w:rPr>
        <w:t xml:space="preserve"> The Earth’s dipolar magnetic field and the inclination of the field at varying latitudes.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Pr>
          <w:rFonts w:ascii="Times New Roman" w:cs="Times New Roman" w:hAnsi="Times New Roman"/>
          <w:bCs/>
          <w:color w:val="000000"/>
          <w:sz w:val="24"/>
          <w:szCs w:val="24"/>
          <w:lang w:val="en-GB"/>
        </w:rPr>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6089515" cy="3025775"/>
            <wp:effectExtent l="0" t="0" r="6985" b="3175"/>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6" cstate="print"/>
                    <a:srcRect l="0" t="0" r="0" b="0"/>
                    <a:stretch/>
                  </pic:blipFill>
                  <pic:spPr>
                    <a:xfrm rot="0">
                      <a:off x="0" y="0"/>
                      <a:ext cx="6089515" cy="3025775"/>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1.3</w:t>
      </w:r>
      <w:r>
        <w:rPr>
          <w:rFonts w:ascii="Times New Roman" w:cs="Times New Roman" w:hAnsi="Times New Roman"/>
          <w:bCs/>
          <w:color w:val="000000"/>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STATEMENT OF THE PROBLEM</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AIM AND OBJECTIVES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aim of this study is to estimate the depths to the basement rock in the study area by interpreting the aeromagnetic data over the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objectives of the study are: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To determine depth to basement (magnetic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Categorize the magnetic sources (deeper and shallower).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Ascertain thickness of overburden layer.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Lithology delineation of the subsurface.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Determine depth of shallow magnetic sources resulting from outcrops of lateritic bodies and intrusion of magnetic rocks in the sedimentary formation within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SIGNIFICANCE OF THE STUDY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2009), aeromagnetic method is unequivocally suitable to determine the basement depth and map out the fractured zone in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GEOGRAPHY OF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Topography and Drainage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Climate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two types of seasons of Nigerian climate; wet and dry seasons.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i/>
          <w:color w:val="000000"/>
          <w:sz w:val="24"/>
          <w:szCs w:val="24"/>
          <w:lang w:val="en-GB"/>
        </w:rPr>
        <w:t>Wet season</w:t>
      </w:r>
      <w:r>
        <w:rPr>
          <w:rFonts w:ascii="Times New Roman" w:cs="Times New Roman" w:hAnsi="Times New Roman"/>
          <w:bCs/>
          <w:color w:val="000000"/>
          <w:sz w:val="24"/>
          <w:szCs w:val="24"/>
          <w:lang w:val="en-GB"/>
        </w:rPr>
        <w:t>: This occur between March and October, the humidity in the state is moderately distributed with average annual rainfall of 1145mm.</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i/>
          <w:color w:val="000000"/>
          <w:sz w:val="24"/>
          <w:szCs w:val="24"/>
          <w:lang w:val="en-GB"/>
        </w:rPr>
        <w:t>Dry season</w:t>
      </w:r>
      <w:r>
        <w:rPr>
          <w:rFonts w:ascii="Times New Roman" w:cs="Times New Roman" w:hAnsi="Times New Roman"/>
          <w:bCs/>
          <w:color w:val="000000"/>
          <w:sz w:val="24"/>
          <w:szCs w:val="24"/>
          <w:lang w:val="en-GB"/>
        </w:rPr>
        <w:t>: These spans from November to late February/March. The precipitation is very low during this period and crop production is crippled except where irrigation facilities are being used.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 December and January are usually cold dry months and heaviest rainfall occurs between June and early August with a short drought between August and September (august break).</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2" behindDoc="false" locked="false" layoutInCell="true" allowOverlap="true">
            <wp:simplePos x="0" y="0"/>
            <wp:positionH relativeFrom="margin">
              <wp:align>left</wp:align>
            </wp:positionH>
            <wp:positionV relativeFrom="paragraph">
              <wp:posOffset>270510</wp:posOffset>
            </wp:positionV>
            <wp:extent cx="5505450" cy="3667124"/>
            <wp:effectExtent l="19050" t="0" r="0" b="0"/>
            <wp:wrapTopAndBottom/>
            <wp:docPr id="1030" name="Image1" descr="C:\Users\Abdulfatah\OneDrive\impulse project\latex form\top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3436" r="0" b="1546"/>
                    <a:stretch/>
                  </pic:blipFill>
                  <pic:spPr>
                    <a:xfrm rot="0">
                      <a:off x="0" y="0"/>
                      <a:ext cx="5505450" cy="3667124"/>
                    </a:xfrm>
                    <a:prstGeom prst="rect"/>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1.4</w:t>
      </w:r>
      <w:r>
        <w:rPr>
          <w:rFonts w:ascii="Times New Roman" w:cs="Times New Roman" w:hAnsi="Times New Roman"/>
          <w:bCs/>
          <w:color w:val="000000"/>
          <w:sz w:val="24"/>
          <w:szCs w:val="24"/>
          <w:lang w:val="en-GB"/>
        </w:rPr>
        <w:t>: Topography of Part of Kwara State</w:t>
      </w: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Vegetation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2004).</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1.7</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GEOLOGY OF THE STUDY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Geologically, the study area longitude 4</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 5</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E and latitude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00’ –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 xml:space="preserve">30’ N (part of Kwara State) lies in the Precambrian Basement complex of southwestern Nigeria and is </w:t>
      </w:r>
      <w:r>
        <w:rPr>
          <w:rFonts w:ascii="Times New Roman" w:cs="Times New Roman" w:hAnsi="Times New Roman"/>
          <w:bCs/>
          <w:color w:val="000000"/>
          <w:sz w:val="24"/>
          <w:szCs w:val="24"/>
          <w:lang w:val="en-GB"/>
        </w:rPr>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Five major groups of rocks had been recognized in the basement complex of southern Nigeria (Rahman, 1973).</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These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Migmatite- Gneiss complex which comprises gneisses, quartzite, calcium silicates rocks, biotite hornblende, schist and amphiboles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Slightly migmatised to unmigmatised para-schists and meta-igneous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Charnockitic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Older granites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Unmetamorphosed dolerite dykes, which comprises pegmatite, quartz veins and doleritic dykes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3" behindDoc="false" locked="false" layoutInCell="true" allowOverlap="true">
            <wp:simplePos x="0" y="0"/>
            <wp:positionH relativeFrom="margin">
              <wp:posOffset>0</wp:posOffset>
            </wp:positionH>
            <wp:positionV relativeFrom="paragraph">
              <wp:posOffset>407670</wp:posOffset>
            </wp:positionV>
            <wp:extent cx="5391150" cy="5133975"/>
            <wp:effectExtent l="0" t="0" r="0" b="9525"/>
            <wp:wrapTopAndBottom/>
            <wp:docPr id="1031" name="Image1" descr="C:\Users\Abdulfatah\Desktop\geonigeria.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391150" cy="5133975"/>
                    </a:xfrm>
                    <a:prstGeom prst="rect"/>
                  </pic:spPr>
                </pic:pic>
              </a:graphicData>
            </a:graphic>
          </wp:anchor>
        </w:drawing>
      </w:r>
    </w:p>
    <w:p>
      <w:pPr>
        <w:pStyle w:val="style0"/>
        <w:spacing w:after="0" w:lineRule="auto" w:line="276"/>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1.5:</w:t>
      </w:r>
      <w:r>
        <w:rPr>
          <w:rFonts w:ascii="Times New Roman" w:cs="Times New Roman" w:hAnsi="Times New Roman"/>
          <w:bCs/>
          <w:color w:val="000000"/>
          <w:sz w:val="24"/>
          <w:szCs w:val="24"/>
          <w:lang w:val="en-GB"/>
        </w:rPr>
        <w:t xml:space="preserve"> Geological map of Nigeria showing the study area, after (modified after Obaje, 2007).</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TWO</w:t>
      </w: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LITERATURE REVIEW</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OVERVIEW OF GEOPHYSICAL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 these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Density – mass per unit volume. The gravity method detects lateral variations in density. Both lateral and vertical density variations are important in the gravity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Magnetic susceptibility – the amount of magnetization in a substance exposed to a magnetic field. The magnetic method detects horizontal variations in susceptibility.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Propagation velocity – the rate at which sound or seismic waves are transmitted in the earth. It is these variations, horizontal and vertical, that make the seismic method applicable to petroleum exploration.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Self-Potential - ability to generate an electrical voltage. Electrical methods also measure this over a surface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Electromagnetic wave reflectivity and transmissivity: reflection and transmission of electromagnetic radiation, such as radar, radio waves and infrared radiation, is the basis of electromagnetic methods etc.</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Gravity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Electrical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many methods of electrical surveying. Some makes use of fields within the Earth while others require the introduction of artificially-generated currents into the ground. These methods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Direct current resistivity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Electromagnetic</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Mise-a-la-masse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Induced polarization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Self-potential</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1975).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Pr>
          <w:rFonts w:ascii="Times New Roman" w:cs="Times New Roman" w:hAnsi="Times New Roman"/>
          <w:bCs/>
          <w:color w:val="000000"/>
          <w:sz w:val="24"/>
          <w:szCs w:val="24"/>
          <w:lang w:val="en-GB"/>
        </w:rPr>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1984).</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Radiometric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Seismic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1995).</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Earth’s Main Field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Earth’s main magnetic field originates in electric currents circulating in the liquid outer core (geo-dynamo), but can be largely modeled by a dipole source at the Earth’s center. </w:t>
      </w:r>
      <w:r>
        <w:rPr>
          <w:rFonts w:ascii="Times New Roman" w:cs="Times New Roman" w:hAnsi="Times New Roman"/>
          <w:bCs/>
          <w:color w:val="000000"/>
          <w:sz w:val="24"/>
          <w:szCs w:val="24"/>
          <w:lang w:val="en-GB"/>
        </w:rPr>
        <w:t xml:space="preserve">Distortions in the dipole field extending over regions thousands of kilometers across can be thought of as caused by a relatively small number of subsidiary dipoles at the core-mantle boundary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Properties of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Susceptibilities of Rocks and Minerals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Pr>
          <w:rFonts w:ascii="Times New Roman" w:cs="Times New Roman" w:hAnsi="Times New Roman"/>
          <w:bCs/>
          <w:color w:val="000000"/>
          <w:sz w:val="24"/>
          <w:szCs w:val="24"/>
          <w:lang w:val="en-GB"/>
        </w:rPr>
        <w:t>pyrrhotite (Clarke, 1997). The three methods of acquiring magnetics data are discussed as follows.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Ground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Marine (sea-borne)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Aeromagnetic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Various corrections are necessary to be done on the acquired data for accurate geophysical extrapolations to be made, these corrections are discussed below.</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Reduction/Correction of Magnetic Observations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reduction of magnetic data is necessary to remove all causes of magnetic variation from the observations other than those arising from the magnetic effects of the subsurface.</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International Geomagnetic Reference Field (IGRF)</w:t>
      </w:r>
      <w:r>
        <w:rPr>
          <w:rFonts w:ascii="Times New Roman" w:cs="Times New Roman" w:hAnsi="Times New Roman"/>
          <w:b/>
          <w:bCs/>
          <w:color w:val="000000"/>
          <w:sz w:val="24"/>
          <w:szCs w:val="24"/>
          <w:lang w:val="en-GB"/>
        </w:rPr>
        <w:tab/>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xml:space="preserve">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2011).</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 xml:space="preserve">Correction of Diurnal Variation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Reduction to the Pole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Upward and Downward Continuation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Elevation and Terrain Corrections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Methods of Interpreting Magnetic Data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basically two main methods of data interpretation in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Qualitative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Quantitative Interpretation</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Qualitative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Much qualitative information may be derived from a magnetic contour map. This applies especially to aeromagnetic maps which often provide major clues as to the geology and structure </w:t>
      </w:r>
      <w:r>
        <w:rPr>
          <w:rFonts w:ascii="Times New Roman" w:cs="Times New Roman" w:hAnsi="Times New Roman"/>
          <w:bCs/>
          <w:color w:val="000000"/>
          <w:sz w:val="24"/>
          <w:szCs w:val="24"/>
          <w:lang w:val="en-GB"/>
        </w:rPr>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xml:space="preserve"> 2002).</w:t>
      </w:r>
      <w:r>
        <w:rPr>
          <w:rFonts w:ascii="Times New Roman" w:cs="Times New Roman" w:hAnsi="Times New Roman"/>
          <w:bCs/>
          <w:color w:val="000000"/>
          <w:sz w:val="24"/>
          <w:szCs w:val="24"/>
          <w:lang w:val="en-GB"/>
        </w:rPr>
        <w:tab/>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Quantitative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various methods of interpreting magnetic data quantitatively amongst these methods are;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Euler deconvolution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Wavelet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Spectral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Pal’s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Centroid method and so 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Spectral Analysis Method of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1970).</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1970). </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Surveying Instruments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Fluxgate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Proton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Pr>
          <w:rFonts w:ascii="Times New Roman" w:cs="Times New Roman" w:hAnsi="Times New Roman"/>
          <w:bCs/>
          <w:color w:val="000000"/>
          <w:sz w:val="24"/>
          <w:szCs w:val="24"/>
          <w:lang w:val="en-GB"/>
        </w:rPr>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Gradiometers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2.2.7</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Advantages of Aeromagnetic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2012).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Some of its other advantages are highlighted below;</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It covers large region in little time compared to land and sea borne surveys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Airborne geophysics also contribute to tectonic reconstruction, groundwater resource management, petroleum and mineral exploration, mining and environmental protection application (Churchill,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It covers areas of barrier that would not have been possible in land and sea borne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Modern high-resolution magnetometers are able to collect data with an accuracy of 0.001nT (Rajaram,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2009)</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obtained could be interpreted in diverse ways like hydrocarbon prospecting, determination of curie depth, depth of magnetic basement, fractures amongst others.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PREVIOUS WORKS ON INTERPRETATION OF AEROMAGNETIC DATA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 Interpreted the aeromagnetic data over Maiduguri-Dikwa Depression using Fourier transform to deduce the magnetic source depth (both shallower and deeper) and also to delineate the fracture condition of the study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2013).</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THREE</w:t>
      </w:r>
    </w:p>
    <w:p>
      <w:pPr>
        <w:pStyle w:val="style0"/>
        <w:spacing w:after="0" w:lineRule="auto" w:line="276"/>
        <w:ind w:firstLine="360"/>
        <w:jc w:val="center"/>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METHODOLOGY</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Acquisition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High Resolution Aeromagnetic data covering the study area (Parts of Kwara State </w:t>
      </w:r>
      <w:r>
        <w:rPr>
          <w:rFonts w:ascii="Times New Roman" w:cs="Times New Roman" w:hAnsi="Times New Roman"/>
          <w:bCs/>
          <w:color w:val="000000"/>
          <w:sz w:val="24"/>
          <w:szCs w:val="24"/>
          <w:lang w:val="en-US"/>
        </w:rPr>
        <w:t>bounded by longitude 4</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-5</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and latitude 8</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-8</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w:t>
      </w:r>
      <w:r>
        <w:rPr>
          <w:rFonts w:ascii="Times New Roman" w:cs="Times New Roman" w:hAnsi="Times New Roman"/>
          <w:bCs/>
          <w:color w:val="000000"/>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pPr>
        <w:pStyle w:val="style0"/>
        <w:spacing w:after="0" w:lineRule="auto" w:line="276"/>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3.0.1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 Specifications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Data Recording Interval                         0.1 seconds or less (~7m)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Sensor Mean Terrain Clearance                  80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Flight Line Spacing                                       500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Tie Line Spacing                                           5000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Flight Line Trend                                           135 degrees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Tie Line Trend                                                 45 degrees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EQUIPMENT SPECIFICATIONS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Magnetometers                     3 x Scintrex CS3 Caesium Vapour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Data Acquisition System              FASDAS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Counter                          FASDAS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Radar Altimeter                                      KING KR405/KING KR405B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Barometric Altimeter                      ENVIRO BARO/DIGIQUARTZ</w:t>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Cs/>
          <w:color w:val="000000"/>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Pr>
          <w:rFonts w:ascii="Times New Roman" w:cs="Times New Roman" w:hAnsi="Times New Roman"/>
          <w:bCs/>
          <w:color w:val="000000"/>
          <w:sz w:val="24"/>
          <w:szCs w:val="24"/>
          <w:lang w:val="en-US"/>
        </w:rPr>
        <w:t>(NGSA).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High Resolution Aeromagnetic data covering the study area (Part of Kwara State bounded by longitude 4</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 5</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and latitude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4" behindDoc="false" locked="false" layoutInCell="true" allowOverlap="true">
            <wp:simplePos x="0" y="0"/>
            <wp:positionH relativeFrom="column">
              <wp:posOffset>57353</wp:posOffset>
            </wp:positionH>
            <wp:positionV relativeFrom="paragraph">
              <wp:posOffset>417829</wp:posOffset>
            </wp:positionV>
            <wp:extent cx="5048250" cy="3105150"/>
            <wp:effectExtent l="0" t="0" r="0" b="0"/>
            <wp:wrapTopAndBottom/>
            <wp:docPr id="1032" name="Picture 17" descr="C:\Users\Abdulfatah\OneDrive\impulse project\airomag data of Parts of Kwara\study area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7"/>
                    <pic:cNvPicPr/>
                  </pic:nvPicPr>
                  <pic:blipFill>
                    <a:blip r:embed="rId9" cstate="print"/>
                    <a:srcRect l="0" t="0" r="0" b="4460"/>
                    <a:stretch/>
                  </pic:blipFill>
                  <pic:spPr>
                    <a:xfrm rot="0">
                      <a:off x="0" y="0"/>
                      <a:ext cx="5048250" cy="31051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Fig 3.1: Contour map of total intensity of the study area</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5" behindDoc="false" locked="false" layoutInCell="true" allowOverlap="true">
            <wp:simplePos x="0" y="0"/>
            <wp:positionH relativeFrom="column">
              <wp:posOffset>0</wp:posOffset>
            </wp:positionH>
            <wp:positionV relativeFrom="paragraph">
              <wp:posOffset>407670</wp:posOffset>
            </wp:positionV>
            <wp:extent cx="5038725" cy="3962400"/>
            <wp:effectExtent l="0" t="0" r="9525" b="0"/>
            <wp:wrapTopAndBottom/>
            <wp:docPr id="1033" name="Picture 18" descr="C:\Users\Abdulfatah\OneDrive\impulse project\airomag data of Parts of Kwara\mapgri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8"/>
                    <pic:cNvPicPr/>
                  </pic:nvPicPr>
                  <pic:blipFill>
                    <a:blip r:embed="rId10" cstate="print"/>
                    <a:srcRect l="0" t="2243" r="813" b="883"/>
                    <a:stretch/>
                  </pic:blipFill>
                  <pic:spPr>
                    <a:xfrm rot="0">
                      <a:off x="0" y="0"/>
                      <a:ext cx="5038725" cy="396240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Fig 3.2: Gridded total intensity map of the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PROCESSING AND INTERPRETATION METHOD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Statistical Spectral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Pr>
          <w:rFonts w:ascii="Times New Roman" w:cs="Times New Roman" w:hAnsi="Times New Roman"/>
          <w:bCs/>
          <w:color w:val="000000"/>
          <w:sz w:val="24"/>
          <w:szCs w:val="24"/>
          <w:lang w:val="en-US"/>
        </w:rPr>
        <w:t xml:space="preserve">(Salako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2013)</w:t>
      </w:r>
      <w:r>
        <w:rPr>
          <w:rFonts w:ascii="Times New Roman" w:cs="Times New Roman" w:hAnsi="Times New Roman"/>
          <w:bCs/>
          <w:color w:val="000000"/>
          <w:sz w:val="24"/>
          <w:szCs w:val="24"/>
          <w:lang w:val="en-GB"/>
        </w:rPr>
        <w:t xml:space="preserve">.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Fourier transform of the potential field due to a prismatic body has a broad spectrum whose peak location is a function of the depth to the top and bottom surfaces and whose amplitude is determined by its density or magnetization. The peak wave number (</w:t>
      </w:r>
      <w:r>
        <w:rPr>
          <w:rFonts w:ascii="Times New Roman" w:cs="Times New Roman" w:hAnsi="Times New Roman"/>
          <w:bCs/>
          <w:i/>
          <w:color w:val="000000"/>
          <w:sz w:val="24"/>
          <w:szCs w:val="24"/>
          <w:lang w:val="en-GB"/>
        </w:rPr>
        <w:t>ω</w:t>
      </w:r>
      <w:r>
        <w:rPr>
          <w:rFonts w:ascii="Times New Roman" w:cs="Times New Roman" w:hAnsi="Times New Roman"/>
          <w:bCs/>
          <w:i/>
          <w:color w:val="000000"/>
          <w:sz w:val="24"/>
          <w:szCs w:val="24"/>
          <w:vertAlign w:val="superscript"/>
          <w:lang w:val="en-GB"/>
        </w:rPr>
        <w:t>i</w:t>
      </w:r>
      <w:r>
        <w:rPr>
          <w:rFonts w:ascii="Times New Roman" w:cs="Times New Roman" w:hAnsi="Times New Roman"/>
          <w:bCs/>
          <w:color w:val="000000"/>
          <w:sz w:val="24"/>
          <w:szCs w:val="24"/>
          <w:lang w:val="en-GB"/>
        </w:rPr>
        <w:t>) can be related to the geometry of the body according to the following expression</w:t>
      </w:r>
    </w:p>
    <w:p>
      <w:pPr>
        <w:pStyle w:val="style0"/>
        <w:spacing w:after="0" w:lineRule="auto" w:line="276"/>
        <w:ind w:firstLine="360"/>
        <w:jc w:val="both"/>
        <w:rPr>
          <w:rFonts w:ascii="Times New Roman" w:cs="Times New Roman" w:hAnsi="Times New Roman"/>
          <w:bCs/>
          <w:color w:val="000000"/>
          <w:sz w:val="24"/>
          <w:szCs w:val="24"/>
          <w:lang w:val="en-GB"/>
        </w:rPr>
      </w:pPr>
      <m:oMathPara>
        <m:oMath>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ω</m:t>
              </m:r>
            </m:e>
            <m:sup>
              <m:r>
                <w:rPr>
                  <w:rFonts w:ascii="Cambria Math" w:cs="Times New Roman" w:hAnsi="Cambria Math"/>
                  <w:color w:val="000000"/>
                  <w:sz w:val="24"/>
                  <w:szCs w:val="24"/>
                  <w:lang w:val="en-GB"/>
                </w:rPr>
                <m:t>i</m:t>
              </m:r>
            </m:sup>
          </m:sSup>
          <m:r>
            <w:rPr>
              <w:rFonts w:ascii="Cambria Math" w:cs="Times New Roman" w:hAnsi="Cambria Math"/>
              <w:color w:val="000000"/>
              <w:sz w:val="24"/>
              <w:szCs w:val="24"/>
              <w:lang w:val="en-GB"/>
            </w:rPr>
            <m:t>=</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Hn(</m:t>
              </m:r>
              <m:f>
                <m:fPr>
                  <m:type m:val="skw"/>
                  <m:ctrlPr>
                    <w:rPr>
                      <w:rFonts w:ascii="Cambria Math" w:cs="Times New Roman" w:hAnsi="Cambria Math"/>
                      <w:bCs/>
                      <w:i/>
                      <w:color w:val="000000"/>
                      <w:sz w:val="24"/>
                      <w:szCs w:val="24"/>
                      <w:lang w:val="en-GB"/>
                    </w:rPr>
                  </m:ctrlPr>
                </m:fPr>
                <m:num>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num>
                <m:den>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den>
              </m:f>
              <m:r>
                <w:rPr>
                  <w:rFonts w:ascii="Cambria Math" w:cs="Times New Roman" w:hAnsi="Cambria Math"/>
                  <w:color w:val="000000"/>
                  <w:sz w:val="24"/>
                  <w:szCs w:val="24"/>
                  <w:lang w:val="en-GB"/>
                </w:rPr>
                <m:t>)</m:t>
              </m:r>
            </m:num>
            <m:den>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den>
          </m:f>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i/>
          <w:color w:val="000000"/>
          <w:sz w:val="24"/>
          <w:szCs w:val="24"/>
          <w:lang w:val="en-GB"/>
        </w:rPr>
        <w:t>ω</w:t>
      </w:r>
      <w:r>
        <w:rPr>
          <w:rFonts w:ascii="Times New Roman" w:cs="Times New Roman" w:hAnsi="Times New Roman"/>
          <w:bCs/>
          <w:i/>
          <w:color w:val="000000"/>
          <w:sz w:val="24"/>
          <w:szCs w:val="24"/>
          <w:vertAlign w:val="superscript"/>
          <w:lang w:val="en-GB"/>
        </w:rPr>
        <w:t>i</w:t>
      </w:r>
      <w:r>
        <w:rPr>
          <w:rFonts w:ascii="Times New Roman" w:cs="Times New Roman" w:hAnsi="Times New Roman"/>
          <w:bCs/>
          <w:color w:val="000000"/>
          <w:sz w:val="24"/>
          <w:szCs w:val="24"/>
          <w:lang w:val="en-GB"/>
        </w:rPr>
        <w:t xml:space="preserve"> is the peak wave number in radian /ground – unit, h</w:t>
      </w:r>
      <w:r>
        <w:rPr>
          <w:rFonts w:ascii="Times New Roman" w:cs="Times New Roman" w:hAnsi="Times New Roman"/>
          <w:bCs/>
          <w:color w:val="000000"/>
          <w:sz w:val="24"/>
          <w:szCs w:val="24"/>
          <w:vertAlign w:val="subscript"/>
          <w:lang w:val="en-GB"/>
        </w:rPr>
        <w:t>t</w:t>
      </w:r>
      <w:r>
        <w:rPr>
          <w:rFonts w:ascii="Times New Roman" w:cs="Times New Roman" w:hAnsi="Times New Roman"/>
          <w:bCs/>
          <w:color w:val="000000"/>
          <w:sz w:val="24"/>
          <w:szCs w:val="24"/>
          <w:lang w:val="en-GB"/>
        </w:rPr>
        <w:t xml:space="preserve"> is the depth to the top and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b</w:t>
      </w:r>
      <w:r>
        <w:rPr>
          <w:rFonts w:ascii="Times New Roman" w:cs="Times New Roman" w:hAnsi="Times New Roman"/>
          <w:bCs/>
          <w:color w:val="000000"/>
          <w:sz w:val="24"/>
          <w:szCs w:val="24"/>
          <w:lang w:val="en-GB"/>
        </w:rPr>
        <w:t xml:space="preserve"> is the depth to the bottom </w:t>
      </w:r>
      <w:r>
        <w:rPr>
          <w:rFonts w:ascii="Times New Roman" w:cs="Times New Roman" w:hAnsi="Times New Roman"/>
          <w:bCs/>
          <w:color w:val="000000"/>
          <w:sz w:val="24"/>
          <w:szCs w:val="24"/>
          <w:lang w:val="en-US"/>
        </w:rPr>
        <w:t>(K. A. Salako &amp; Udensi, 2013)</w:t>
      </w:r>
      <w:r>
        <w:rPr>
          <w:rFonts w:ascii="Times New Roman" w:cs="Times New Roman" w:hAnsi="Times New Roman"/>
          <w:bCs/>
          <w:color w:val="000000"/>
          <w:sz w:val="24"/>
          <w:szCs w:val="24"/>
          <w:lang w:val="en-GB"/>
        </w:rPr>
        <w:t>.</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f</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ω</m:t>
              </m:r>
            </m:e>
          </m:d>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hω</m:t>
              </m:r>
            </m:sup>
          </m:sSup>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ω</w:t>
      </w:r>
      <w:r>
        <w:rPr>
          <w:rFonts w:ascii="Times New Roman" w:cs="Times New Roman" w:hAnsi="Times New Roman"/>
          <w:bCs/>
          <w:color w:val="000000"/>
          <w:sz w:val="24"/>
          <w:szCs w:val="24"/>
          <w:lang w:val="en-GB"/>
        </w:rPr>
        <w:t xml:space="preserve"> is the angular wave number in radians/ground –unit and h is the depth to the top of the prism. For a prism with top and bottom surface, the spectrum is:</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f</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ω</m:t>
              </m:r>
            </m:e>
          </m:d>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r>
                <w:rPr>
                  <w:rFonts w:ascii="Cambria Math" w:cs="Times New Roman" w:hAnsi="Cambria Math"/>
                  <w:color w:val="000000"/>
                  <w:sz w:val="24"/>
                  <w:szCs w:val="24"/>
                  <w:lang w:val="en-GB"/>
                </w:rPr>
                <m:t>w</m:t>
              </m:r>
            </m:sup>
          </m:sSup>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r>
                <w:rPr>
                  <w:rFonts w:ascii="Cambria Math" w:cs="Times New Roman" w:hAnsi="Cambria Math"/>
                  <w:color w:val="000000"/>
                  <w:sz w:val="24"/>
                  <w:szCs w:val="24"/>
                  <w:lang w:val="en-GB"/>
                </w:rPr>
                <m:t>w</m:t>
              </m:r>
            </m:sup>
          </m:sSup>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t</w:t>
      </w:r>
      <w:r>
        <w:rPr>
          <w:rFonts w:ascii="Times New Roman" w:cs="Times New Roman" w:hAnsi="Times New Roman"/>
          <w:bCs/>
          <w:color w:val="000000"/>
          <w:sz w:val="24"/>
          <w:szCs w:val="24"/>
          <w:lang w:val="en-GB"/>
        </w:rPr>
        <w:t xml:space="preserve"> and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b</w:t>
      </w:r>
      <w:r>
        <w:rPr>
          <w:rFonts w:ascii="Times New Roman" w:cs="Times New Roman" w:hAnsi="Times New Roman"/>
          <w:bCs/>
          <w:color w:val="000000"/>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LogE</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k</m:t>
              </m:r>
            </m:e>
          </m:d>
          <m:r>
            <w:rPr>
              <w:rFonts w:ascii="Cambria Math" w:cs="Times New Roman" w:hAnsi="Cambria Math"/>
              <w:color w:val="000000"/>
              <w:sz w:val="24"/>
              <w:szCs w:val="24"/>
              <w:lang w:val="en-GB"/>
            </w:rPr>
            <m:t>=4πhk</m:t>
          </m:r>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h</w:t>
      </w:r>
      <w:r>
        <w:rPr>
          <w:rFonts w:ascii="Times New Roman" w:cs="Times New Roman" w:hAnsi="Times New Roman"/>
          <w:bCs/>
          <w:color w:val="000000"/>
          <w:sz w:val="24"/>
          <w:szCs w:val="24"/>
          <w:lang w:val="en-GB"/>
        </w:rPr>
        <w:t xml:space="preserve"> is the depth in ground – units and </w:t>
      </w:r>
      <w:r>
        <w:rPr>
          <w:rFonts w:ascii="Times New Roman" w:cs="Times New Roman" w:hAnsi="Times New Roman"/>
          <w:bCs/>
          <w:i/>
          <w:color w:val="000000"/>
          <w:sz w:val="24"/>
          <w:szCs w:val="24"/>
          <w:lang w:val="en-GB"/>
        </w:rPr>
        <w:t>k</w:t>
      </w:r>
      <w:r>
        <w:rPr>
          <w:rFonts w:ascii="Times New Roman" w:cs="Times New Roman" w:hAnsi="Times New Roman"/>
          <w:bCs/>
          <w:color w:val="000000"/>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Pr>
          <w:rFonts w:ascii="Times New Roman" w:cs="Times New Roman" w:hAnsi="Times New Roman"/>
          <w:bCs/>
          <w:color w:val="000000"/>
          <w:sz w:val="24"/>
          <w:szCs w:val="24"/>
          <w:lang w:val="en-US"/>
        </w:rPr>
        <w:t>(K. A. Salako &amp; Udensi, 2013)</w:t>
      </w:r>
      <w:r>
        <w:rPr>
          <w:rFonts w:ascii="Times New Roman" w:cs="Times New Roman" w:hAnsi="Times New Roman"/>
          <w:bCs/>
          <w:color w:val="000000"/>
          <w:sz w:val="24"/>
          <w:szCs w:val="24"/>
          <w:lang w:val="en-GB"/>
        </w:rPr>
        <w: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FOUR</w:t>
      </w: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RESULTS AND DISCUSSION</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DEPTH ESTIMATION FROM STATISTICAL SPECTRAL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6" behindDoc="false" locked="false" layoutInCell="true" allowOverlap="true">
            <wp:simplePos x="0" y="0"/>
            <wp:positionH relativeFrom="margin">
              <wp:posOffset>295275</wp:posOffset>
            </wp:positionH>
            <wp:positionV relativeFrom="paragraph">
              <wp:posOffset>333375</wp:posOffset>
            </wp:positionV>
            <wp:extent cx="2790825" cy="2962275"/>
            <wp:effectExtent l="0" t="0" r="9525" b="9525"/>
            <wp:wrapTopAndBottom/>
            <wp:docPr id="1034" name="Picture 19" descr="C:\Users\Abdulfatah\OneDrive\impulse project\airomag data of Parts of Kwara\Spectral view\block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11" cstate="print"/>
                    <a:srcRect l="0" t="0" r="0" b="0"/>
                    <a:stretch/>
                  </pic:blipFill>
                  <pic:spPr>
                    <a:xfrm rot="0">
                      <a:off x="0" y="0"/>
                      <a:ext cx="2790825" cy="296227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9" behindDoc="false" locked="false" layoutInCell="true" allowOverlap="true">
            <wp:simplePos x="0" y="0"/>
            <wp:positionH relativeFrom="margin">
              <wp:posOffset>3067050</wp:posOffset>
            </wp:positionH>
            <wp:positionV relativeFrom="paragraph">
              <wp:posOffset>285750</wp:posOffset>
            </wp:positionV>
            <wp:extent cx="2924175" cy="3009900"/>
            <wp:effectExtent l="0" t="0" r="9525" b="0"/>
            <wp:wrapTopAndBottom/>
            <wp:docPr id="1035" name="Picture 20" descr="C:\Users\Abdulfatah\OneDrive\impulse project\airomag data of Parts of Kwara\Spectral view\Block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0"/>
                    <pic:cNvPicPr/>
                  </pic:nvPicPr>
                  <pic:blipFill>
                    <a:blip r:embed="rId12" cstate="print"/>
                    <a:srcRect l="0" t="0" r="0" b="0"/>
                    <a:stretch/>
                  </pic:blipFill>
                  <pic:spPr>
                    <a:xfrm rot="0">
                      <a:off x="0" y="0"/>
                      <a:ext cx="2924175" cy="3009900"/>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8" behindDoc="false" locked="false" layoutInCell="true" allowOverlap="true">
            <wp:simplePos x="0" y="0"/>
            <wp:positionH relativeFrom="margin">
              <wp:posOffset>3086100</wp:posOffset>
            </wp:positionH>
            <wp:positionV relativeFrom="paragraph">
              <wp:posOffset>3314700</wp:posOffset>
            </wp:positionV>
            <wp:extent cx="2914650" cy="2914650"/>
            <wp:effectExtent l="0" t="0" r="0" b="0"/>
            <wp:wrapTopAndBottom/>
            <wp:docPr id="1036" name="Picture 22" descr="C:\Users\Abdulfatah\OneDrive\impulse project\airomag data of Parts of Kwara\Spectral view\block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2"/>
                    <pic:cNvPicPr/>
                  </pic:nvPicPr>
                  <pic:blipFill>
                    <a:blip r:embed="rId13" cstate="print"/>
                    <a:srcRect l="0" t="0" r="0" b="0"/>
                    <a:stretch/>
                  </pic:blipFill>
                  <pic:spPr>
                    <a:xfrm rot="0">
                      <a:off x="0" y="0"/>
                      <a:ext cx="2914650" cy="2914650"/>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7" behindDoc="false" locked="false" layoutInCell="true" allowOverlap="true">
            <wp:simplePos x="0" y="0"/>
            <wp:positionH relativeFrom="margin">
              <wp:posOffset>47625</wp:posOffset>
            </wp:positionH>
            <wp:positionV relativeFrom="paragraph">
              <wp:posOffset>3312795</wp:posOffset>
            </wp:positionV>
            <wp:extent cx="3038475" cy="2914650"/>
            <wp:effectExtent l="0" t="0" r="9525" b="0"/>
            <wp:wrapTopAndBottom/>
            <wp:docPr id="1037" name="Picture 21" descr="C:\Users\Abdulfatah\OneDrive\impulse project\airomag data of Parts of Kwara\Spectral view\block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1"/>
                    <pic:cNvPicPr/>
                  </pic:nvPicPr>
                  <pic:blipFill>
                    <a:blip r:embed="rId14" cstate="print"/>
                    <a:srcRect l="0" t="0" r="0" b="0"/>
                    <a:stretch/>
                  </pic:blipFill>
                  <pic:spPr>
                    <a:xfrm rot="0">
                      <a:off x="0" y="0"/>
                      <a:ext cx="3038475" cy="29146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0" behindDoc="false" locked="false" layoutInCell="true" allowOverlap="true">
            <wp:simplePos x="0" y="0"/>
            <wp:positionH relativeFrom="margin">
              <wp:align>right</wp:align>
            </wp:positionH>
            <wp:positionV relativeFrom="paragraph">
              <wp:posOffset>19050</wp:posOffset>
            </wp:positionV>
            <wp:extent cx="2914650" cy="2943225"/>
            <wp:effectExtent l="0" t="0" r="0" b="0"/>
            <wp:wrapTopAndBottom/>
            <wp:docPr id="1038" name="Picture 28" descr="C:\Users\Abdulfatah\OneDrive\impulse project\airomag data of Parts of Kwara\Spectral view\block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8"/>
                    <pic:cNvPicPr/>
                  </pic:nvPicPr>
                  <pic:blipFill>
                    <a:blip r:embed="rId15" cstate="print"/>
                    <a:srcRect l="0" t="0" r="0" b="0"/>
                    <a:stretch/>
                  </pic:blipFill>
                  <pic:spPr>
                    <a:xfrm rot="0">
                      <a:off x="0" y="0"/>
                      <a:ext cx="2914650" cy="294322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9" behindDoc="false" locked="false" layoutInCell="true" allowOverlap="true">
            <wp:simplePos x="0" y="0"/>
            <wp:positionH relativeFrom="margin">
              <wp:align>left</wp:align>
            </wp:positionH>
            <wp:positionV relativeFrom="paragraph">
              <wp:posOffset>0</wp:posOffset>
            </wp:positionV>
            <wp:extent cx="3048000" cy="2962275"/>
            <wp:effectExtent l="0" t="0" r="0" b="0"/>
            <wp:wrapTopAndBottom/>
            <wp:docPr id="1039" name="Picture 25" descr="C:\Users\Abdulfatah\OneDrive\impulse project\airomag data of Parts of Kwara\Spectral view\block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5"/>
                    <pic:cNvPicPr/>
                  </pic:nvPicPr>
                  <pic:blipFill>
                    <a:blip r:embed="rId16" cstate="print"/>
                    <a:srcRect l="0" t="0" r="0" b="0"/>
                    <a:stretch/>
                  </pic:blipFill>
                  <pic:spPr>
                    <a:xfrm rot="0">
                      <a:off x="0" y="0"/>
                      <a:ext cx="3048000" cy="2962275"/>
                    </a:xfrm>
                    <a:prstGeom prst="rect"/>
                    <a:ln>
                      <a:noFill/>
                    </a:ln>
                  </pic:spPr>
                </pic:pic>
              </a:graphicData>
            </a:graphic>
          </wp:anchor>
        </w:drawing>
      </w:r>
      <w:r>
        <w:rPr>
          <w:rFonts w:ascii="Times New Roman" w:cs="Times New Roman" w:hAnsi="Times New Roman"/>
          <w:b/>
          <w:bCs/>
          <w:color w:val="000000"/>
          <w:sz w:val="24"/>
          <w:szCs w:val="24"/>
          <w:lang w:val="en-GB"/>
        </w:rPr>
        <w:t>Fig 3.3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Power Spectrum Plot of some of the Blocks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3" behindDoc="false" locked="false" layoutInCell="true" allowOverlap="true">
            <wp:simplePos x="0" y="0"/>
            <wp:positionH relativeFrom="margin">
              <wp:posOffset>3057525</wp:posOffset>
            </wp:positionH>
            <wp:positionV relativeFrom="paragraph">
              <wp:posOffset>291465</wp:posOffset>
            </wp:positionV>
            <wp:extent cx="2886075" cy="2638425"/>
            <wp:effectExtent l="0" t="0" r="0" b="0"/>
            <wp:wrapTopAndBottom/>
            <wp:docPr id="1040" name="Picture 36" descr="C:\Users\Abdulfatah\OneDrive\impulse project\airomag data of Parts of Kwara\matlab view\Window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6"/>
                    <pic:cNvPicPr/>
                  </pic:nvPicPr>
                  <pic:blipFill>
                    <a:blip r:embed="rId17" cstate="print"/>
                    <a:srcRect l="0" t="0" r="0" b="0"/>
                    <a:stretch/>
                  </pic:blipFill>
                  <pic:spPr>
                    <a:xfrm rot="0">
                      <a:off x="0" y="0"/>
                      <a:ext cx="2886075" cy="263842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2" behindDoc="false" locked="false" layoutInCell="true" allowOverlap="true">
            <wp:simplePos x="0" y="0"/>
            <wp:positionH relativeFrom="margin">
              <wp:align>left</wp:align>
            </wp:positionH>
            <wp:positionV relativeFrom="paragraph">
              <wp:posOffset>211454</wp:posOffset>
            </wp:positionV>
            <wp:extent cx="3562350" cy="2762250"/>
            <wp:effectExtent l="0" t="0" r="0" b="0"/>
            <wp:wrapTopAndBottom/>
            <wp:docPr id="1041" name="Picture 35" descr="C:\Users\Abdulfatah\OneDrive\impulse project\airomag data of Parts of Kwara\matlab view\Window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5"/>
                    <pic:cNvPicPr/>
                  </pic:nvPicPr>
                  <pic:blipFill>
                    <a:blip r:embed="rId18" cstate="print"/>
                    <a:srcRect l="0" t="0" r="0" b="0"/>
                    <a:stretch/>
                  </pic:blipFill>
                  <pic:spPr>
                    <a:xfrm rot="0">
                      <a:off x="0" y="0"/>
                      <a:ext cx="3562350" cy="27622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4" behindDoc="false" locked="false" layoutInCell="true" allowOverlap="true">
            <wp:simplePos x="0" y="0"/>
            <wp:positionH relativeFrom="column">
              <wp:posOffset>501015</wp:posOffset>
            </wp:positionH>
            <wp:positionV relativeFrom="paragraph">
              <wp:posOffset>422908</wp:posOffset>
            </wp:positionV>
            <wp:extent cx="4924425" cy="3419475"/>
            <wp:effectExtent l="0" t="0" r="0" b="0"/>
            <wp:wrapTopAndBottom/>
            <wp:docPr id="1042" name="Picture 37" descr="C:\Users\Abdulfatah\OneDrive\impulse project\airomag data of Parts of Kwara\matlab view\Window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4924425" cy="3419475"/>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5" behindDoc="false" locked="false" layoutInCell="true" allowOverlap="true">
            <wp:simplePos x="0" y="0"/>
            <wp:positionH relativeFrom="column">
              <wp:posOffset>169545</wp:posOffset>
            </wp:positionH>
            <wp:positionV relativeFrom="paragraph">
              <wp:posOffset>10160</wp:posOffset>
            </wp:positionV>
            <wp:extent cx="4962525" cy="4095749"/>
            <wp:effectExtent l="0" t="0" r="0" b="0"/>
            <wp:wrapTopAndBottom/>
            <wp:docPr id="1043" name="Picture 38" descr="C:\Users\Abdulfatah\OneDrive\impulse project\airomag data of Parts of Kwara\matlab view\Window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8"/>
                    <pic:cNvPicPr/>
                  </pic:nvPicPr>
                  <pic:blipFill>
                    <a:blip r:embed="rId20" cstate="print"/>
                    <a:srcRect l="0" t="0" r="0" b="0"/>
                    <a:stretch/>
                  </pic:blipFill>
                  <pic:spPr>
                    <a:xfrm rot="0">
                      <a:off x="0" y="0"/>
                      <a:ext cx="4962525" cy="4095749"/>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6" behindDoc="false" locked="false" layoutInCell="true" allowOverlap="true">
            <wp:simplePos x="0" y="0"/>
            <wp:positionH relativeFrom="margin">
              <wp:posOffset>139065</wp:posOffset>
            </wp:positionH>
            <wp:positionV relativeFrom="paragraph">
              <wp:posOffset>4847590</wp:posOffset>
            </wp:positionV>
            <wp:extent cx="5362575" cy="3373755"/>
            <wp:effectExtent l="0" t="0" r="0" b="0"/>
            <wp:wrapTopAndBottom/>
            <wp:docPr id="1044" name="Picture 40" descr="C:\Users\Abdulfatah\OneDrive\impulse project\airomag data of Parts of Kwara\matlab view\Window1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0"/>
                    <pic:cNvPicPr/>
                  </pic:nvPicPr>
                  <pic:blipFill>
                    <a:blip r:embed="rId21" cstate="print"/>
                    <a:srcRect l="0" t="0" r="0" b="0"/>
                    <a:stretch/>
                  </pic:blipFill>
                  <pic:spPr>
                    <a:xfrm rot="0">
                      <a:off x="0" y="0"/>
                      <a:ext cx="5362575" cy="3373755"/>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7" behindDoc="false" locked="false" layoutInCell="true" allowOverlap="true">
            <wp:simplePos x="0" y="0"/>
            <wp:positionH relativeFrom="column">
              <wp:posOffset>491490</wp:posOffset>
            </wp:positionH>
            <wp:positionV relativeFrom="paragraph">
              <wp:posOffset>-3175</wp:posOffset>
            </wp:positionV>
            <wp:extent cx="4943475" cy="3829050"/>
            <wp:effectExtent l="0" t="0" r="0" b="0"/>
            <wp:wrapTopAndBottom/>
            <wp:docPr id="1045" name="Picture 41" descr="C:\Users\Abdulfatah\OneDrive\impulse project\airomag data of Parts of Kwara\matlab view\Window1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1"/>
                    <pic:cNvPicPr/>
                  </pic:nvPicPr>
                  <pic:blipFill>
                    <a:blip r:embed="rId22" cstate="print"/>
                    <a:srcRect l="0" t="0" r="0" b="0"/>
                    <a:stretch/>
                  </pic:blipFill>
                  <pic:spPr>
                    <a:xfrm rot="0">
                      <a:off x="0" y="0"/>
                      <a:ext cx="4943475" cy="3829050"/>
                    </a:xfrm>
                    <a:prstGeom prst="rect"/>
                    <a:ln>
                      <a:noFill/>
                    </a:ln>
                  </pic:spPr>
                </pic:pic>
              </a:graphicData>
            </a:graphic>
          </wp:anchor>
        </w:drawing>
      </w:r>
      <w:r>
        <w:rPr>
          <w:rFonts w:ascii="Times New Roman" w:cs="Times New Roman" w:hAnsi="Times New Roman"/>
          <w:b/>
          <w:bCs/>
          <w:color w:val="000000"/>
          <w:sz w:val="24"/>
          <w:szCs w:val="24"/>
          <w:lang w:val="en-GB"/>
        </w:rPr>
        <w:t>Fig 3.4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Plot of Ln(power) against Wavenumber of selected Windows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slope obtained was used to calculate the depth to causative body as</w:t>
      </w:r>
    </w:p>
    <w:p>
      <w:pPr>
        <w:pStyle w:val="style0"/>
        <w:spacing w:after="0" w:lineRule="auto" w:line="276"/>
        <w:ind w:firstLine="360"/>
        <w:jc w:val="both"/>
        <w:rPr>
          <w:rFonts w:ascii="Times New Roman" w:cs="Times New Roman" w:hAnsi="Times New Roman"/>
          <w:bCs/>
          <w:color w:val="000000"/>
          <w:sz w:val="24"/>
          <w:szCs w:val="24"/>
          <w:lang w:val="en-GB"/>
        </w:rPr>
      </w:pPr>
      <m:oMath>
        <m:r>
          <w:rPr>
            <w:rFonts w:ascii="Cambria Math" w:cs="Times New Roman" w:hAnsi="Cambria Math"/>
            <w:color w:val="000000"/>
            <w:sz w:val="24"/>
            <w:szCs w:val="24"/>
            <w:lang w:val="en-GB"/>
          </w:rPr>
          <m:t>D1=-</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m1</m:t>
            </m:r>
          </m:num>
          <m:den>
            <m:r>
              <w:rPr>
                <w:rFonts w:ascii="Cambria Math" w:cs="Times New Roman" w:hAnsi="Cambria Math"/>
                <w:color w:val="000000"/>
                <w:sz w:val="24"/>
                <w:szCs w:val="24"/>
                <w:lang w:val="en-GB"/>
              </w:rPr>
              <m:t>4π</m:t>
            </m:r>
          </m:den>
        </m:f>
      </m:oMath>
      <w:r>
        <w:rPr>
          <w:rFonts w:ascii="Times New Roman" w:cs="Times New Roman" w:hAnsi="Times New Roman"/>
          <w:bCs/>
          <w:color w:val="000000"/>
          <w:sz w:val="24"/>
          <w:szCs w:val="24"/>
          <w:lang w:val="en-GB"/>
        </w:rPr>
        <w:tab/>
      </w:r>
      <m:oMath>
        <m:r>
          <w:rPr>
            <w:rFonts w:ascii="Cambria Math" w:cs="Times New Roman" w:hAnsi="Cambria Math"/>
            <w:color w:val="000000"/>
            <w:sz w:val="24"/>
            <w:szCs w:val="24"/>
            <w:lang w:val="en-GB"/>
          </w:rPr>
          <m:t>D2=-</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m2</m:t>
            </m:r>
          </m:num>
          <m:den>
            <m:r>
              <w:rPr>
                <w:rFonts w:ascii="Cambria Math" w:cs="Times New Roman" w:hAnsi="Cambria Math"/>
                <w:color w:val="000000"/>
                <w:sz w:val="24"/>
                <w:szCs w:val="24"/>
                <w:lang w:val="en-GB"/>
              </w:rPr>
              <m:t>4π</m:t>
            </m:r>
          </m:den>
        </m:f>
      </m:oMath>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Where m</w:t>
      </w:r>
      <w:r>
        <w:rPr>
          <w:rFonts w:ascii="Times New Roman" w:cs="Times New Roman" w:hAnsi="Times New Roman"/>
          <w:bCs/>
          <w:color w:val="000000"/>
          <w:sz w:val="24"/>
          <w:szCs w:val="24"/>
          <w:vertAlign w:val="subscript"/>
          <w:lang w:val="en-GB"/>
        </w:rPr>
        <w:t>1</w:t>
      </w:r>
      <w:r>
        <w:rPr>
          <w:rFonts w:ascii="Times New Roman" w:cs="Times New Roman" w:hAnsi="Times New Roman"/>
          <w:bCs/>
          <w:color w:val="000000"/>
          <w:sz w:val="24"/>
          <w:szCs w:val="24"/>
          <w:lang w:val="en-GB"/>
        </w:rPr>
        <w:t>= slope of the deeper source, m</w:t>
      </w:r>
      <w:r>
        <w:rPr>
          <w:rFonts w:ascii="Times New Roman" w:cs="Times New Roman" w:hAnsi="Times New Roman"/>
          <w:bCs/>
          <w:color w:val="000000"/>
          <w:sz w:val="24"/>
          <w:szCs w:val="24"/>
          <w:vertAlign w:val="subscript"/>
          <w:lang w:val="en-GB"/>
        </w:rPr>
        <w:t>2</w:t>
      </w:r>
      <w:r>
        <w:rPr>
          <w:rFonts w:ascii="Times New Roman" w:cs="Times New Roman" w:hAnsi="Times New Roman"/>
          <w:bCs/>
          <w:color w:val="000000"/>
          <w:sz w:val="24"/>
          <w:szCs w:val="24"/>
          <w:lang w:val="en-GB"/>
        </w:rPr>
        <w:t>= slope of shallow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w:t>
      </w:r>
      <w:r>
        <w:rPr>
          <w:rFonts w:ascii="Times New Roman" w:cs="Times New Roman" w:hAnsi="Times New Roman"/>
          <w:bCs/>
          <w:color w:val="000000"/>
          <w:sz w:val="24"/>
          <w:szCs w:val="24"/>
          <w:vertAlign w:val="subscript"/>
          <w:lang w:val="en-GB"/>
        </w:rPr>
        <w:t>1</w:t>
      </w:r>
      <w:r>
        <w:rPr>
          <w:rFonts w:ascii="Times New Roman" w:cs="Times New Roman" w:hAnsi="Times New Roman"/>
          <w:bCs/>
          <w:color w:val="000000"/>
          <w:sz w:val="24"/>
          <w:szCs w:val="24"/>
          <w:lang w:val="en-GB"/>
        </w:rPr>
        <w:t>= depth to deeper source, D</w:t>
      </w:r>
      <w:r>
        <w:rPr>
          <w:rFonts w:ascii="Times New Roman" w:cs="Times New Roman" w:hAnsi="Times New Roman"/>
          <w:bCs/>
          <w:color w:val="000000"/>
          <w:sz w:val="24"/>
          <w:szCs w:val="24"/>
          <w:vertAlign w:val="subscript"/>
          <w:lang w:val="en-GB"/>
        </w:rPr>
        <w:t>2</w:t>
      </w:r>
      <w:r>
        <w:rPr>
          <w:rFonts w:ascii="Times New Roman" w:cs="Times New Roman" w:hAnsi="Times New Roman"/>
          <w:bCs/>
          <w:color w:val="000000"/>
          <w:sz w:val="24"/>
          <w:szCs w:val="24"/>
          <w:lang w:val="en-GB"/>
        </w:rPr>
        <w:t>= depth to shallow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maximum depth that can be probed in this research work is about 2.39k given by </w:t>
      </w:r>
      <w:r>
        <w:rPr>
          <w:rFonts w:ascii="Times New Roman" w:cs="Times New Roman" w:hAnsi="Times New Roman"/>
          <w:bCs/>
          <w:color w:val="000000"/>
          <w:sz w:val="24"/>
          <w:szCs w:val="24"/>
          <w:lang w:val="en-GB"/>
        </w:rPr>
        <w:br/>
      </w:r>
      <m:oMathPara>
        <m:oMath>
          <m:r>
            <w:rPr>
              <w:rFonts w:ascii="Cambria Math" w:cs="Times New Roman" w:hAnsi="Cambria Math"/>
              <w:color w:val="000000"/>
              <w:sz w:val="24"/>
              <w:szCs w:val="24"/>
              <w:lang w:val="en-GB"/>
            </w:rPr>
            <m:t>D=</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L</m:t>
              </m:r>
            </m:num>
            <m:den>
              <m:r>
                <w:rPr>
                  <w:rFonts w:ascii="Cambria Math" w:cs="Times New Roman" w:hAnsi="Cambria Math"/>
                  <w:color w:val="000000"/>
                  <w:sz w:val="24"/>
                  <w:szCs w:val="24"/>
                  <w:lang w:val="en-GB"/>
                </w:rPr>
                <m:t>2π</m:t>
              </m:r>
            </m:den>
          </m:f>
          <m:r>
            <m:rPr>
              <m:sty m:val="p"/>
            </m:rPr>
            <w:rPr>
              <w:rFonts w:ascii="Cambria Math" w:cs="Times New Roman" w:hAnsi="Cambria Math"/>
              <w:color w:val="000000"/>
              <w:sz w:val="24"/>
              <w:szCs w:val="24"/>
              <w:lang w:val="en-GB"/>
            </w:rPr>
            <w:br/>
          </m:r>
        </m:oMath>
      </m:oMathPara>
      <w:r>
        <w:rPr>
          <w:rFonts w:ascii="Times New Roman" w:cs="Times New Roman" w:hAnsi="Times New Roman"/>
          <w:bCs/>
          <w:color w:val="000000"/>
          <w:sz w:val="24"/>
          <w:szCs w:val="24"/>
          <w:lang w:val="en-GB"/>
        </w:rPr>
        <w:t xml:space="preserve">according to </w:t>
      </w:r>
      <w:r>
        <w:rPr>
          <w:rFonts w:ascii="Times New Roman" w:cs="Times New Roman" w:hAnsi="Times New Roman"/>
          <w:bCs/>
          <w:color w:val="000000"/>
          <w:sz w:val="24"/>
          <w:szCs w:val="24"/>
          <w:lang w:val="en-US"/>
        </w:rPr>
        <w:t>(R.T. Shuey, et al., 1977)</w:t>
      </w:r>
      <w:r>
        <w:rPr>
          <w:rFonts w:ascii="Times New Roman" w:cs="Times New Roman" w:hAnsi="Times New Roman"/>
          <w:bCs/>
          <w:color w:val="000000"/>
          <w:sz w:val="24"/>
          <w:szCs w:val="24"/>
          <w:lang w:val="en-GB"/>
        </w:rPr>
        <w:t>, where L is window length (15km in this case).</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RESULTS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1" behindDoc="false" locked="false" layoutInCell="true" allowOverlap="true">
            <wp:simplePos x="0" y="0"/>
            <wp:positionH relativeFrom="column">
              <wp:posOffset>314325</wp:posOffset>
            </wp:positionH>
            <wp:positionV relativeFrom="paragraph">
              <wp:posOffset>1901190</wp:posOffset>
            </wp:positionV>
            <wp:extent cx="5400675" cy="4038597"/>
            <wp:effectExtent l="0" t="0" r="9525" b="0"/>
            <wp:wrapTopAndBottom/>
            <wp:docPr id="1046"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9"/>
                    <pic:cNvPicPr/>
                  </pic:nvPicPr>
                  <pic:blipFill>
                    <a:blip r:embed="rId23" cstate="print"/>
                    <a:srcRect l="0" t="0" r="0" b="0"/>
                    <a:stretch/>
                  </pic:blipFill>
                  <pic:spPr>
                    <a:xfrm rot="0">
                      <a:off x="0" y="0"/>
                      <a:ext cx="5400675" cy="4038597"/>
                    </a:xfrm>
                    <a:prstGeom prst="rect"/>
                    <a:ln>
                      <a:noFill/>
                    </a:ln>
                  </pic:spPr>
                </pic:pic>
              </a:graphicData>
            </a:graphic>
          </wp:anchor>
        </w:drawing>
      </w:r>
      <w:r>
        <w:rPr>
          <w:rFonts w:ascii="Times New Roman" w:cs="Times New Roman" w:hAnsi="Times New Roman"/>
          <w:bCs/>
          <w:color w:val="000000"/>
          <w:sz w:val="24"/>
          <w:szCs w:val="24"/>
          <w:lang w:val="en-GB"/>
        </w:rPr>
        <w:t>The relationship between the depth (D) to the basement and the decay slopes (m) of the energy spectrum as proved in previous section is</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D=-</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m:t>
              </m:r>
            </m:num>
            <m:den>
              <m:r>
                <w:rPr>
                  <w:rFonts w:ascii="Cambria Math" w:cs="Times New Roman" w:hAnsi="Cambria Math"/>
                  <w:color w:val="000000"/>
                  <w:sz w:val="24"/>
                  <w:szCs w:val="24"/>
                  <w:lang w:val="en-GB"/>
                </w:rPr>
                <m:t>4π</m:t>
              </m:r>
            </m:den>
          </m:f>
          <m:r>
            <m:rPr>
              <m:sty m:val="p"/>
            </m:rPr>
            <w:rPr>
              <w:rFonts w:ascii="Cambria Math" w:cs="Times New Roman" w:hAnsi="Cambria Math"/>
              <w:color w:val="000000"/>
              <w:sz w:val="24"/>
              <w:szCs w:val="24"/>
              <w:lang w:val="en-GB"/>
            </w:rPr>
            <w:br/>
          </m:r>
        </m:oMath>
      </m:oMathPara>
      <w:r>
        <w:rPr>
          <w:rFonts w:ascii="Times New Roman" w:cs="Times New Roman" w:hAnsi="Times New Roman"/>
          <w:bCs/>
          <w:color w:val="000000"/>
          <w:sz w:val="24"/>
          <w:szCs w:val="24"/>
          <w:lang w:val="en-GB"/>
        </w:rPr>
        <w:t xml:space="preserve">Table 4.1 below shows the estimated magnetic sources for both the shallow source (D2) and deeper sources (D1). </w:t>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Table 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Result of Depth Estimate from Spectral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primary sources that account for the first layer depth derived from the statistical spectral analysis are the magnetic rocks that intrude the sedimentary formation.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20" behindDoc="false" locked="false" layoutInCell="true" allowOverlap="true">
            <wp:simplePos x="0" y="0"/>
            <wp:positionH relativeFrom="margin">
              <wp:posOffset>809625</wp:posOffset>
            </wp:positionH>
            <wp:positionV relativeFrom="paragraph">
              <wp:posOffset>123825</wp:posOffset>
            </wp:positionV>
            <wp:extent cx="4665980" cy="4109720"/>
            <wp:effectExtent l="0" t="0" r="1270" b="5080"/>
            <wp:wrapTopAndBottom/>
            <wp:docPr id="1047" name="Picture 30" descr="C:\Users\Abdulfatah\OneDrive\impulse project\airomag data of Parts of Kwara\shallow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0"/>
                    <pic:cNvPicPr/>
                  </pic:nvPicPr>
                  <pic:blipFill>
                    <a:blip r:embed="rId24" cstate="print"/>
                    <a:srcRect l="0" t="0" r="0" b="0"/>
                    <a:stretch/>
                  </pic:blipFill>
                  <pic:spPr>
                    <a:xfrm rot="0">
                      <a:off x="0" y="0"/>
                      <a:ext cx="4665980" cy="4109720"/>
                    </a:xfrm>
                    <a:prstGeom prst="rect"/>
                    <a:ln>
                      <a:noFill/>
                    </a:ln>
                  </pic:spPr>
                </pic:pic>
              </a:graphicData>
            </a:graphic>
          </wp:anchor>
        </w:drawing>
      </w:r>
      <w:r>
        <w:rPr>
          <w:rFonts w:ascii="Times New Roman" w:cs="Times New Roman" w:hAnsi="Times New Roman"/>
          <w:b/>
          <w:bCs/>
          <w:color w:val="000000"/>
          <w:sz w:val="24"/>
          <w:szCs w:val="24"/>
          <w:lang w:val="en-US"/>
        </w:rPr>
        <w:pict>
          <v:shapetype id="_x0000_t202" coordsize="21600,21600" o:spt="202" path="m,l,21600r21600,l21600,xe">
            <v:stroke joinstyle="miter"/>
            <v:path gradientshapeok="t" o:connecttype="rect"/>
          </v:shapetype>
          <v:shape id="1049" type="#_x0000_t202" stroked="f" style="position:absolute;margin-left:2935.4pt;margin-top:335.25pt;width:367.4pt;height:26.25pt;z-index:23;mso-position-horizontal:right;mso-position-horizontal-relative:margin;mso-position-vertical-relative:text;mso-width-relative:page;mso-height-relative:margin;mso-wrap-distance-left:0.0pt;mso-wrap-distance-right:0.0pt;visibility:visible;">
            <v:stroke on="f" joinstyle="miter"/>
            <w10:wrap type="topAndBottom"/>
            <v:fill/>
            <v:path o:connecttype="rect" gradientshapeok="t"/>
            <v:textbox inset="0.0pt,0.0pt,0.0pt,0.0pt">
              <w:txbxContent>
                <w:p>
                  <w:pPr>
                    <w:pStyle w:val="style0"/>
                    <w:tabs>
                      <w:tab w:val="left" w:leader="none" w:pos="720"/>
                    </w:tabs>
                    <w:autoSpaceDE w:val="false"/>
                    <w:autoSpaceDN w:val="false"/>
                    <w:adjustRightInd w:val="false"/>
                    <w:spacing w:after="0" w:lineRule="auto" w:line="480"/>
                    <w:ind w:left="720" w:firstLine="720"/>
                    <w:rPr>
                      <w:rFonts w:ascii="Times New Roman" w:eastAsia="Times New Roman" w:hAnsi="Times New Roman"/>
                      <w:snapToGrid w:val="false"/>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Pr>
                      <w:b/>
                    </w:rPr>
                    <w:t>Contour Map of Shallow Source</w:t>
                  </w:r>
                </w:p>
                <w:p>
                  <w:pPr>
                    <w:pStyle w:val="style34"/>
                    <w:rPr>
                      <w:rFonts w:ascii="Times New Roman" w:eastAsia="Times New Roman" w:hAnsi="Times New Roman"/>
                      <w:noProof/>
                      <w:color w:val="000000"/>
                      <w:sz w:val="24"/>
                      <w:szCs w:val="24"/>
                      <w:u w:color="000000"/>
                    </w:rPr>
                  </w:pPr>
                </w:p>
              </w:txbxContent>
            </v:textbox>
          </v:shape>
        </w:pict>
      </w:r>
      <w:r>
        <w:rPr>
          <w:rFonts w:ascii="Times New Roman" w:cs="Times New Roman" w:hAnsi="Times New Roman"/>
          <w:b/>
          <w:bCs/>
          <w:color w:val="000000"/>
          <w:sz w:val="24"/>
          <w:szCs w:val="24"/>
          <w:lang w:val="en-US"/>
        </w:rPr>
        <w:pict>
          <v:shape id="1050" type="#_x0000_t202" stroked="f" style="position:absolute;margin-left:96.75pt;margin-top:631.15pt;width:309.0pt;height:21.0pt;z-index:24;mso-position-horizontal-relative:text;mso-position-vertical-relative:text;mso-width-relative:page;mso-height-relative:margin;mso-wrap-distance-left:0.0pt;mso-wrap-distance-right:0.0pt;visibility:visible;">
            <v:stroke on="f" joinstyle="miter"/>
            <w10:wrap type="topAndBottom"/>
            <v:fill/>
            <v:path o:connecttype="rect" gradientshapeok="t"/>
            <v:textbox inset="0.0pt,0.0pt,0.0pt,0.0pt">
              <w:txbxContent>
                <w:p>
                  <w:pPr>
                    <w:pStyle w:val="style0"/>
                    <w:tabs>
                      <w:tab w:val="left" w:leader="none" w:pos="720"/>
                    </w:tabs>
                    <w:autoSpaceDE w:val="false"/>
                    <w:autoSpaceDN w:val="false"/>
                    <w:adjustRightInd w:val="false"/>
                    <w:spacing w:after="0" w:lineRule="auto" w:line="48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Fig4.3</w:t>
                  </w:r>
                  <w:r>
                    <w:rPr>
                      <w:rFonts w:ascii="Times New Roman" w:hAnsi="Times New Roman"/>
                      <w:b/>
                      <w:sz w:val="24"/>
                      <w:szCs w:val="24"/>
                    </w:rPr>
                    <w:tab/>
                  </w:r>
                  <w:r>
                    <w:rPr>
                      <w:rFonts w:ascii="Times New Roman" w:hAnsi="Times New Roman"/>
                      <w:b/>
                      <w:sz w:val="24"/>
                      <w:szCs w:val="24"/>
                    </w:rPr>
                    <w:t>Surface Map of the Shallow Surface</w:t>
                  </w:r>
                </w:p>
                <w:p>
                  <w:pPr>
                    <w:pStyle w:val="style34"/>
                    <w:rPr>
                      <w:noProof/>
                    </w:rPr>
                  </w:pPr>
                </w:p>
              </w:txbxContent>
            </v:textbox>
          </v:shape>
        </w:pict>
      </w:r>
      <w:r>
        <w:rPr>
          <w:rFonts w:ascii="Times New Roman" w:cs="Times New Roman" w:hAnsi="Times New Roman"/>
          <w:b/>
          <w:bCs/>
          <w:noProof/>
          <w:color w:val="000000"/>
          <w:sz w:val="24"/>
          <w:szCs w:val="24"/>
          <w:lang w:val="en-US"/>
        </w:rPr>
        <w:drawing>
          <wp:anchor distT="0" distB="0" distL="0" distR="0" simplePos="false" relativeHeight="18" behindDoc="false" locked="false" layoutInCell="true" allowOverlap="true">
            <wp:simplePos x="0" y="0"/>
            <wp:positionH relativeFrom="margin">
              <wp:posOffset>1228725</wp:posOffset>
            </wp:positionH>
            <wp:positionV relativeFrom="paragraph">
              <wp:posOffset>4899025</wp:posOffset>
            </wp:positionV>
            <wp:extent cx="3924299" cy="3282950"/>
            <wp:effectExtent l="0" t="0" r="0" b="0"/>
            <wp:wrapTopAndBottom/>
            <wp:docPr id="1051" name="Picture 31" descr="C:\Users\Abdulfatah\OneDrive\impulse project\airomag data of Parts of Kwara\shallow surfa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31"/>
                    <pic:cNvPicPr/>
                  </pic:nvPicPr>
                  <pic:blipFill>
                    <a:blip r:embed="rId25" cstate="print"/>
                    <a:srcRect l="0" t="0" r="0" b="0"/>
                    <a:stretch/>
                  </pic:blipFill>
                  <pic:spPr>
                    <a:xfrm rot="0">
                      <a:off x="0" y="0"/>
                      <a:ext cx="3924299" cy="3282950"/>
                    </a:xfrm>
                    <a:prstGeom prst="rect"/>
                    <a:ln>
                      <a:noFill/>
                    </a:ln>
                  </pic:spPr>
                </pic:pic>
              </a:graphicData>
            </a:graphic>
          </wp:anchor>
        </w:drawing>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color w:val="000000"/>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This depth to top of the underlying magnetic basement estimated from the statistical analysis using FFT ranges as discussed above.  </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second layer depth invariably represents the average sedimentary thickness (1.3049km) of the study area, that is, the depth to the underlying basement complex rocks.</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contour map and 3D surface map below (Fig 4.4 and 4.5) are that of the second layer depth representing the depth to magnetic basement rock. This depth approximation correlates previous works and geology of the study area (</w:t>
      </w:r>
      <w:r>
        <w:rPr>
          <w:rFonts w:ascii="Times New Roman" w:cs="Times New Roman" w:hAnsi="Times New Roman"/>
          <w:bCs/>
          <w:color w:val="000000"/>
          <w:sz w:val="24"/>
          <w:szCs w:val="24"/>
          <w:lang w:val="en-US"/>
        </w:rPr>
        <w:t>Part of Kwara State bounded by longitude 4</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w:t>
      </w:r>
      <w:r>
        <w:rPr>
          <w:rFonts w:ascii="Times New Roman" w:cs="Times New Roman" w:hAnsi="Times New Roman"/>
          <w:bCs/>
          <w:color w:val="000000"/>
          <w:sz w:val="24"/>
          <w:szCs w:val="24"/>
          <w:lang w:val="en-US"/>
        </w:rPr>
        <w:t>- 5</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E and latitude 8</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 xml:space="preserve"> - 8</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N</w:t>
      </w:r>
      <w:r>
        <w:rPr>
          <w:rFonts w:ascii="Times New Roman" w:cs="Times New Roman" w:hAnsi="Times New Roman"/>
          <w:bCs/>
          <w:color w:val="000000"/>
          <w:sz w:val="24"/>
          <w:szCs w:val="24"/>
          <w:lang w:val="en-GB"/>
        </w:rPr>
        <w:t>) which is a basement complex, the depth to magnetic source is expected to be small and shallow in the study area.</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21" behindDoc="false" locked="false" layoutInCell="true" allowOverlap="true">
            <wp:simplePos x="0" y="0"/>
            <wp:positionH relativeFrom="margin">
              <wp:posOffset>1066800</wp:posOffset>
            </wp:positionH>
            <wp:positionV relativeFrom="paragraph">
              <wp:posOffset>0</wp:posOffset>
            </wp:positionV>
            <wp:extent cx="3952874" cy="3400425"/>
            <wp:effectExtent l="0" t="0" r="9525" b="9525"/>
            <wp:wrapTopAndBottom/>
            <wp:docPr id="1052" name="Picture 32" descr="C:\Users\Abdulfatah\OneDrive\impulse project\airomag data of Parts of Kwara\deeper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32"/>
                    <pic:cNvPicPr/>
                  </pic:nvPicPr>
                  <pic:blipFill>
                    <a:blip r:embed="rId26" cstate="print"/>
                    <a:srcRect l="0" t="0" r="0" b="0"/>
                    <a:stretch/>
                  </pic:blipFill>
                  <pic:spPr>
                    <a:xfrm rot="0">
                      <a:off x="0" y="0"/>
                      <a:ext cx="3952874" cy="3400425"/>
                    </a:xfrm>
                    <a:prstGeom prst="rect"/>
                    <a:ln>
                      <a:noFill/>
                    </a:ln>
                  </pic:spPr>
                </pic:pic>
              </a:graphicData>
            </a:graphic>
          </wp:anchor>
        </w:drawing>
      </w:r>
      <w:r>
        <w:rPr>
          <w:rFonts w:ascii="Times New Roman" w:cs="Times New Roman" w:hAnsi="Times New Roman"/>
          <w:b/>
          <w:bCs/>
          <w:color w:val="000000"/>
          <w:sz w:val="24"/>
          <w:szCs w:val="24"/>
          <w:lang w:val="en-US"/>
        </w:rPr>
        <w:t>Fig 4.4</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GB"/>
        </w:rPr>
        <w:t>Contour Map of Deeper Source</w:t>
      </w:r>
    </w:p>
    <w:p>
      <w:pPr>
        <w:pStyle w:val="style0"/>
        <w:spacing w:after="0" w:lineRule="auto" w:line="360"/>
        <w:ind w:firstLine="360"/>
        <w:jc w:val="both"/>
        <w:rPr>
          <w:rFonts w:ascii="Times New Roman" w:cs="Times New Roman" w:hAnsi="Times New Roman"/>
          <w:b/>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114300" distR="114300" simplePos="false" relativeHeight="22" behindDoc="true" locked="false" layoutInCell="true" allowOverlap="true">
            <wp:simplePos x="0" y="0"/>
            <wp:positionH relativeFrom="margin">
              <wp:posOffset>979803</wp:posOffset>
            </wp:positionH>
            <wp:positionV relativeFrom="paragraph">
              <wp:posOffset>11430</wp:posOffset>
            </wp:positionV>
            <wp:extent cx="4114800" cy="2995295"/>
            <wp:effectExtent l="0" t="0" r="0" b="0"/>
            <wp:wrapTight wrapText="bothSides">
              <wp:wrapPolygon edited="false">
                <wp:start x="0" y="0"/>
                <wp:lineTo x="0" y="21431"/>
                <wp:lineTo x="21500" y="21431"/>
                <wp:lineTo x="21500" y="0"/>
                <wp:lineTo x="0" y="0"/>
              </wp:wrapPolygon>
            </wp:wrapTight>
            <wp:docPr id="1053" name="Picture 33" descr="C:\Users\Abdulfatah\OneDrive\impulse project\airomag data of Parts of Kwara\deeper surfa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33"/>
                    <pic:cNvPicPr/>
                  </pic:nvPicPr>
                  <pic:blipFill>
                    <a:blip r:embed="rId27" cstate="print"/>
                    <a:srcRect l="0" t="0" r="0" b="0"/>
                    <a:stretch/>
                  </pic:blipFill>
                  <pic:spPr>
                    <a:xfrm rot="0">
                      <a:off x="0" y="0"/>
                      <a:ext cx="4114800" cy="2995295"/>
                    </a:xfrm>
                    <a:prstGeom prst="rect"/>
                    <a:ln>
                      <a:noFill/>
                    </a:ln>
                  </pic:spPr>
                </pic:pic>
              </a:graphicData>
            </a:graphic>
          </wp:anchor>
        </w:drawing>
      </w:r>
    </w:p>
    <w:p>
      <w:pPr>
        <w:pStyle w:val="style0"/>
        <w:spacing w:after="0" w:lineRule="auto" w:line="360"/>
        <w:ind w:firstLine="360"/>
        <w:jc w:val="both"/>
        <w:rPr>
          <w:rFonts w:ascii="Times New Roman" w:cs="Times New Roman" w:hAnsi="Times New Roman"/>
          <w:b/>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US"/>
        </w:rPr>
        <w:t>Fig 4.4</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GB"/>
        </w:rPr>
        <w:t>Surface Map of Deeper Source</w:t>
      </w:r>
    </w:p>
    <w:p>
      <w:pPr>
        <w:pStyle w:val="style0"/>
        <w:spacing w:after="0" w:lineRule="auto" w:line="360"/>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FIVE</w:t>
      </w:r>
    </w:p>
    <w:p>
      <w:pPr>
        <w:pStyle w:val="style0"/>
        <w:spacing w:after="0" w:lineRule="auto" w:line="360"/>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CONCLUSION AND RECOMMENDATION</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This chapter is concerned with the summary, conclusion and recommendation drawn from this research project.</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CONCLUSION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RECOMMENDATION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Bibliography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fldChar w:fldCharType="begin"/>
      </w:r>
      <w:r>
        <w:rPr>
          <w:rFonts w:ascii="Times New Roman" w:cs="Times New Roman" w:hAnsi="Times New Roman"/>
          <w:bCs/>
          <w:color w:val="000000"/>
          <w:sz w:val="24"/>
          <w:szCs w:val="24"/>
          <w:lang w:val="en-US"/>
        </w:rPr>
        <w:instrText xml:space="preserve"> BIBLIOGRAPHY </w:instrText>
      </w:r>
      <w:r>
        <w:rPr>
          <w:rFonts w:ascii="Times New Roman" w:cs="Times New Roman" w:hAnsi="Times New Roman"/>
          <w:bCs/>
          <w:color w:val="000000"/>
          <w:sz w:val="24"/>
          <w:szCs w:val="24"/>
          <w:lang w:val="en-US"/>
        </w:rPr>
        <w:fldChar w:fldCharType="separate"/>
      </w:r>
      <w:r>
        <w:rPr>
          <w:rFonts w:ascii="Times New Roman" w:cs="Times New Roman" w:hAnsi="Times New Roman"/>
          <w:bCs/>
          <w:color w:val="000000"/>
          <w:sz w:val="24"/>
          <w:szCs w:val="24"/>
          <w:lang w:val="en-US"/>
        </w:rPr>
        <w:t xml:space="preserve">Ajibade, L. (2008). </w:t>
      </w:r>
      <w:r>
        <w:rPr>
          <w:rFonts w:ascii="Times New Roman" w:cs="Times New Roman" w:hAnsi="Times New Roman"/>
          <w:bCs/>
          <w:i/>
          <w:iCs/>
          <w:color w:val="000000"/>
          <w:sz w:val="24"/>
          <w:szCs w:val="24"/>
          <w:lang w:val="en-US"/>
        </w:rPr>
        <w:t>Waste Ergonomics Optimization in Ilorin, Nigeria.</w:t>
      </w:r>
      <w:r>
        <w:rPr>
          <w:rFonts w:ascii="Times New Roman" w:cs="Times New Roman" w:hAnsi="Times New Roman"/>
          <w:bCs/>
          <w:color w:val="000000"/>
          <w:sz w:val="24"/>
          <w:szCs w:val="24"/>
          <w:lang w:val="en-US"/>
        </w:rPr>
        <w:t xml:space="preserve"> Ethiopian Journal of Environmental Studies and Management Vol.1 No.2.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Ajibade, L., &amp; A. O. (2004). </w:t>
      </w:r>
      <w:r>
        <w:rPr>
          <w:rFonts w:ascii="Times New Roman" w:cs="Times New Roman" w:hAnsi="Times New Roman"/>
          <w:bCs/>
          <w:i/>
          <w:iCs/>
          <w:color w:val="000000"/>
          <w:sz w:val="24"/>
          <w:szCs w:val="24"/>
          <w:lang w:val="en-US"/>
        </w:rPr>
        <w:t>Effects of automobile mechanics activities of soils in ilorin nigeria.</w:t>
      </w:r>
      <w:r>
        <w:rPr>
          <w:rFonts w:ascii="Times New Roman" w:cs="Times New Roman" w:hAnsi="Times New Roman"/>
          <w:bCs/>
          <w:color w:val="000000"/>
          <w:sz w:val="24"/>
          <w:szCs w:val="24"/>
          <w:lang w:val="en-US"/>
        </w:rPr>
        <w:t xml:space="preserve"> Geo-Studies Forum an International Journal of Environmental and Policy Issues, 18-27.</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Al-Chalabi, M. (1972). </w:t>
      </w:r>
      <w:r>
        <w:rPr>
          <w:rFonts w:ascii="Times New Roman" w:cs="Times New Roman" w:hAnsi="Times New Roman"/>
          <w:bCs/>
          <w:i/>
          <w:iCs/>
          <w:color w:val="000000"/>
          <w:sz w:val="24"/>
          <w:szCs w:val="24"/>
          <w:lang w:val="en-US"/>
        </w:rPr>
        <w:t>Interpretation of gravity anomalies by non-linear optimisation.</w:t>
      </w:r>
      <w:r>
        <w:rPr>
          <w:rFonts w:ascii="Times New Roman" w:cs="Times New Roman" w:hAnsi="Times New Roman"/>
          <w:bCs/>
          <w:color w:val="000000"/>
          <w:sz w:val="24"/>
          <w:szCs w:val="24"/>
          <w:lang w:val="en-US"/>
        </w:rPr>
        <w:t xml:space="preserve"> Geophys. Prosp., 20, 1–16.</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Anakwuba, E., A. O., &amp; N. L. (2011). </w:t>
      </w:r>
      <w:r>
        <w:rPr>
          <w:rFonts w:ascii="Times New Roman" w:cs="Times New Roman" w:hAnsi="Times New Roman"/>
          <w:bCs/>
          <w:i/>
          <w:iCs/>
          <w:color w:val="000000"/>
          <w:sz w:val="24"/>
          <w:szCs w:val="24"/>
          <w:lang w:val="en-US"/>
        </w:rPr>
        <w:t>The interpretation of aeromagnetic anomalies over Maiduguri-Dikwa depression, Chad basin Nigeria: A structural view.</w:t>
      </w:r>
      <w:r>
        <w:rPr>
          <w:rFonts w:ascii="Times New Roman" w:cs="Times New Roman" w:hAnsi="Times New Roman"/>
          <w:bCs/>
          <w:color w:val="000000"/>
          <w:sz w:val="24"/>
          <w:szCs w:val="24"/>
          <w:lang w:val="en-US"/>
        </w:rPr>
        <w:t xml:space="preserve"> Scolars Research Library, Archieves of Applied Science Research, 499-508.</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Aspinall, A., &amp; A. W. (1975). </w:t>
      </w:r>
      <w:r>
        <w:rPr>
          <w:rFonts w:ascii="Times New Roman" w:cs="Times New Roman" w:hAnsi="Times New Roman"/>
          <w:bCs/>
          <w:i/>
          <w:iCs/>
          <w:color w:val="000000"/>
          <w:sz w:val="24"/>
          <w:szCs w:val="24"/>
          <w:lang w:val="en-US"/>
        </w:rPr>
        <w:t>The earth resistivity instrument and its application to shallow earth surveys. .</w:t>
      </w:r>
      <w:r>
        <w:rPr>
          <w:rFonts w:ascii="Times New Roman" w:cs="Times New Roman" w:hAnsi="Times New Roman"/>
          <w:bCs/>
          <w:color w:val="000000"/>
          <w:sz w:val="24"/>
          <w:szCs w:val="24"/>
          <w:lang w:val="en-US"/>
        </w:rPr>
        <w:t xml:space="preserve"> Underground Services, 3, 12–15.</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Atlas. (1982). Ilorin, Nigeria: Geography department university press.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Brodie, R. C. (2002). </w:t>
      </w:r>
      <w:r>
        <w:rPr>
          <w:rFonts w:ascii="Times New Roman" w:cs="Times New Roman" w:hAnsi="Times New Roman"/>
          <w:bCs/>
          <w:i/>
          <w:iCs/>
          <w:color w:val="000000"/>
          <w:sz w:val="24"/>
          <w:szCs w:val="24"/>
          <w:lang w:val="en-US"/>
        </w:rPr>
        <w:t>Airborne and Ground Magnetics</w:t>
      </w:r>
      <w:r>
        <w:rPr>
          <w:rFonts w:ascii="Times New Roman" w:cs="Times New Roman" w:hAnsi="Times New Roman"/>
          <w:bCs/>
          <w:color w:val="000000"/>
          <w:sz w:val="24"/>
          <w:szCs w:val="24"/>
          <w:lang w:val="en-US"/>
        </w:rPr>
        <w:t xml:space="preserve"> (Vol. ACT 2601). Geoscience Australia. PO Box 378, Camberra.</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Churchill, O., A. O., &amp; E. A. (2012). </w:t>
      </w:r>
      <w:r>
        <w:rPr>
          <w:rFonts w:ascii="Times New Roman" w:cs="Times New Roman" w:hAnsi="Times New Roman"/>
          <w:bCs/>
          <w:i/>
          <w:iCs/>
          <w:color w:val="000000"/>
          <w:sz w:val="24"/>
          <w:szCs w:val="24"/>
          <w:lang w:val="en-US"/>
        </w:rPr>
        <w:t>Aeromagnetic Interpretation over Maiduguri and Environs of Southern Chad Basin,Nigeria</w:t>
      </w:r>
      <w:r>
        <w:rPr>
          <w:rFonts w:ascii="Times New Roman" w:cs="Times New Roman" w:hAnsi="Times New Roman"/>
          <w:bCs/>
          <w:color w:val="000000"/>
          <w:sz w:val="24"/>
          <w:szCs w:val="24"/>
          <w:lang w:val="en-US"/>
        </w:rPr>
        <w:t xml:space="preserve"> (Vols. Vol 2, no. 3, 77-93). Journal of Earth Sciences and Geotechnical Engineering.</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Clarke, D. (1997). </w:t>
      </w:r>
      <w:r>
        <w:rPr>
          <w:rFonts w:ascii="Times New Roman" w:cs="Times New Roman" w:hAnsi="Times New Roman"/>
          <w:bCs/>
          <w:i/>
          <w:iCs/>
          <w:color w:val="000000"/>
          <w:sz w:val="24"/>
          <w:szCs w:val="24"/>
          <w:lang w:val="en-US"/>
        </w:rPr>
        <w:t>Magnetic petrophysics and magnetic petrology: aids to geological interpretation of magnetic surveys.</w:t>
      </w:r>
      <w:r>
        <w:rPr>
          <w:rFonts w:ascii="Times New Roman" w:cs="Times New Roman" w:hAnsi="Times New Roman"/>
          <w:bCs/>
          <w:color w:val="000000"/>
          <w:sz w:val="24"/>
          <w:szCs w:val="24"/>
          <w:lang w:val="en-US"/>
        </w:rPr>
        <w:t xml:space="preserve"> AGSO Journal of Geology and Geophysics 17: 83-103.</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Corry, C. (1985). </w:t>
      </w:r>
      <w:r>
        <w:rPr>
          <w:rFonts w:ascii="Times New Roman" w:cs="Times New Roman" w:hAnsi="Times New Roman"/>
          <w:bCs/>
          <w:i/>
          <w:iCs/>
          <w:color w:val="000000"/>
          <w:sz w:val="24"/>
          <w:szCs w:val="24"/>
          <w:lang w:val="en-US"/>
        </w:rPr>
        <w:t>Spontaneous polarization associated with porphyry sulfide mineralization. .</w:t>
      </w:r>
      <w:r>
        <w:rPr>
          <w:rFonts w:ascii="Times New Roman" w:cs="Times New Roman" w:hAnsi="Times New Roman"/>
          <w:bCs/>
          <w:color w:val="000000"/>
          <w:sz w:val="24"/>
          <w:szCs w:val="24"/>
          <w:lang w:val="en-US"/>
        </w:rPr>
        <w:t xml:space="preserve"> Geophysics, 50, 1020–34.</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David, I. I., &amp; M. N. (2013). </w:t>
      </w:r>
      <w:r>
        <w:rPr>
          <w:rFonts w:ascii="Times New Roman" w:cs="Times New Roman" w:hAnsi="Times New Roman"/>
          <w:bCs/>
          <w:i/>
          <w:iCs/>
          <w:color w:val="000000"/>
          <w:sz w:val="24"/>
          <w:szCs w:val="24"/>
          <w:lang w:val="en-US"/>
        </w:rPr>
        <w:t>Interpretation of Aeromagnetic anomalies over some parts of lower Benue trough using spectral analysis technique</w:t>
      </w:r>
      <w:r>
        <w:rPr>
          <w:rFonts w:ascii="Times New Roman" w:cs="Times New Roman" w:hAnsi="Times New Roman"/>
          <w:bCs/>
          <w:color w:val="000000"/>
          <w:sz w:val="24"/>
          <w:szCs w:val="24"/>
          <w:lang w:val="en-US"/>
        </w:rPr>
        <w:t xml:space="preserve"> (Vols. vol. 2, issue 8). International journal of Scientific &amp; technology research.</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Gadallah, M., &amp; R. F. (2009). </w:t>
      </w:r>
      <w:r>
        <w:rPr>
          <w:rFonts w:ascii="Times New Roman" w:cs="Times New Roman" w:hAnsi="Times New Roman"/>
          <w:bCs/>
          <w:i/>
          <w:iCs/>
          <w:color w:val="000000"/>
          <w:sz w:val="24"/>
          <w:szCs w:val="24"/>
          <w:lang w:val="en-US"/>
        </w:rPr>
        <w:t>Exploration Geophysics.</w:t>
      </w:r>
      <w:r>
        <w:rPr>
          <w:rFonts w:ascii="Times New Roman" w:cs="Times New Roman" w:hAnsi="Times New Roman"/>
          <w:bCs/>
          <w:color w:val="000000"/>
          <w:sz w:val="24"/>
          <w:szCs w:val="24"/>
          <w:lang w:val="en-US"/>
        </w:rPr>
        <w:t xml:space="preserve"> ,XXII,266p. 110 illus. in color., Hardcover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Gunn, P. (1998 ). </w:t>
      </w:r>
      <w:r>
        <w:rPr>
          <w:rFonts w:ascii="Times New Roman" w:cs="Times New Roman" w:hAnsi="Times New Roman"/>
          <w:bCs/>
          <w:i/>
          <w:iCs/>
          <w:color w:val="000000"/>
          <w:sz w:val="24"/>
          <w:szCs w:val="24"/>
          <w:lang w:val="en-US"/>
        </w:rPr>
        <w:t xml:space="preserve">Aeromagnetics locates prospective areas and prospects. </w:t>
      </w:r>
      <w:r>
        <w:rPr>
          <w:rFonts w:ascii="Times New Roman" w:cs="Times New Roman" w:hAnsi="Times New Roman"/>
          <w:bCs/>
          <w:color w:val="000000"/>
          <w:sz w:val="24"/>
          <w:szCs w:val="24"/>
          <w:lang w:val="en-US"/>
        </w:rPr>
        <w:t>(Vols. 17, 67–9.). The Leading Edge,.</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Horsfall, K. (1997). </w:t>
      </w:r>
      <w:r>
        <w:rPr>
          <w:rFonts w:ascii="Times New Roman" w:cs="Times New Roman" w:hAnsi="Times New Roman"/>
          <w:bCs/>
          <w:i/>
          <w:iCs/>
          <w:color w:val="000000"/>
          <w:sz w:val="24"/>
          <w:szCs w:val="24"/>
          <w:lang w:val="en-US"/>
        </w:rPr>
        <w:t>Airborne magnetic and gamma-ray data acquisition.</w:t>
      </w:r>
      <w:r>
        <w:rPr>
          <w:rFonts w:ascii="Times New Roman" w:cs="Times New Roman" w:hAnsi="Times New Roman"/>
          <w:bCs/>
          <w:color w:val="000000"/>
          <w:sz w:val="24"/>
          <w:szCs w:val="24"/>
          <w:lang w:val="en-US"/>
        </w:rPr>
        <w:t xml:space="preserve"> AGSO journal of Geology and Geophysics 17:23-30.</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 A. Salako, &amp; Udensi, E. E. (2013). Spectral Depth Analysis of Parts of Upper Benue Trough and Borno Basin, North-East Nigeria, Using Aeromagnetic Data. </w:t>
      </w:r>
      <w:r>
        <w:rPr>
          <w:rFonts w:ascii="Times New Roman" w:cs="Times New Roman" w:hAnsi="Times New Roman"/>
          <w:bCs/>
          <w:i/>
          <w:iCs/>
          <w:color w:val="000000"/>
          <w:sz w:val="24"/>
          <w:szCs w:val="24"/>
          <w:lang w:val="en-US"/>
        </w:rPr>
        <w:t xml:space="preserve">International Journal of Science and Research (IJSR), India </w:t>
      </w:r>
      <w:r>
        <w:rPr>
          <w:rFonts w:ascii="Times New Roman" w:cs="Times New Roman" w:hAnsi="Times New Roman"/>
          <w:bCs/>
          <w:color w:val="000000"/>
          <w:sz w:val="24"/>
          <w:szCs w:val="24"/>
          <w:lang w:val="en-US"/>
        </w:rPr>
        <w:t>, Online ISSN: 2319-7064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Keary, P., M. B., &amp; I. H. ( 2002). </w:t>
      </w:r>
      <w:r>
        <w:rPr>
          <w:rFonts w:ascii="Times New Roman" w:cs="Times New Roman" w:hAnsi="Times New Roman"/>
          <w:bCs/>
          <w:i/>
          <w:iCs/>
          <w:color w:val="000000"/>
          <w:sz w:val="24"/>
          <w:szCs w:val="24"/>
          <w:lang w:val="en-US"/>
        </w:rPr>
        <w:t>An Introduction to Geophysical Exploration.</w:t>
      </w:r>
      <w:r>
        <w:rPr>
          <w:rFonts w:ascii="Times New Roman" w:cs="Times New Roman" w:hAnsi="Times New Roman"/>
          <w:bCs/>
          <w:color w:val="000000"/>
          <w:sz w:val="24"/>
          <w:szCs w:val="24"/>
          <w:lang w:val="en-US"/>
        </w:rPr>
        <w:t xml:space="preserve"> Blackwell Science. Third Edition.</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Lowrie, W. (2007). </w:t>
      </w:r>
      <w:r>
        <w:rPr>
          <w:rFonts w:ascii="Times New Roman" w:cs="Times New Roman" w:hAnsi="Times New Roman"/>
          <w:bCs/>
          <w:i/>
          <w:iCs/>
          <w:color w:val="000000"/>
          <w:sz w:val="24"/>
          <w:szCs w:val="24"/>
          <w:lang w:val="en-US"/>
        </w:rPr>
        <w:t>Fundamentals of Geophysics</w:t>
      </w:r>
      <w:r>
        <w:rPr>
          <w:rFonts w:ascii="Times New Roman" w:cs="Times New Roman" w:hAnsi="Times New Roman"/>
          <w:bCs/>
          <w:color w:val="000000"/>
          <w:sz w:val="24"/>
          <w:szCs w:val="24"/>
          <w:lang w:val="en-US"/>
        </w:rPr>
        <w:t xml:space="preserve"> (Vol. 2nd edition). Zurich: Swiss Federal University.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Luqman, T. O., L. S., L. N., &amp; S. A. (2012). </w:t>
      </w:r>
      <w:r>
        <w:rPr>
          <w:rFonts w:ascii="Times New Roman" w:cs="Times New Roman" w:hAnsi="Times New Roman"/>
          <w:bCs/>
          <w:i/>
          <w:iCs/>
          <w:color w:val="000000"/>
          <w:sz w:val="24"/>
          <w:szCs w:val="24"/>
          <w:lang w:val="en-US"/>
        </w:rPr>
        <w:t>Interpretation of aeromagnetic data over the younger granite complex of Northern Nigeria.</w:t>
      </w:r>
      <w:r>
        <w:rPr>
          <w:rFonts w:ascii="Times New Roman" w:cs="Times New Roman" w:hAnsi="Times New Roman"/>
          <w:bCs/>
          <w:color w:val="000000"/>
          <w:sz w:val="24"/>
          <w:szCs w:val="24"/>
          <w:lang w:val="en-US"/>
        </w:rPr>
        <w:t xml:space="preserve"> Blackwell educational books.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Mariitia, N. (2007). The Magnetic Method. </w:t>
      </w:r>
      <w:r>
        <w:rPr>
          <w:rFonts w:ascii="Times New Roman" w:cs="Times New Roman" w:hAnsi="Times New Roman"/>
          <w:bCs/>
          <w:i/>
          <w:iCs/>
          <w:color w:val="000000"/>
          <w:sz w:val="24"/>
          <w:szCs w:val="24"/>
          <w:lang w:val="en-US"/>
        </w:rPr>
        <w:t>2</w:t>
      </w:r>
      <w:r>
        <w:rPr>
          <w:rFonts w:ascii="Times New Roman" w:cs="Times New Roman" w:hAnsi="Times New Roman"/>
          <w:bCs/>
          <w:color w:val="000000"/>
          <w:sz w:val="24"/>
          <w:szCs w:val="24"/>
          <w:lang w:val="en-US"/>
        </w:rPr>
        <w:t>(17).</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Milsom, J., &amp; A. E. (2011). </w:t>
      </w:r>
      <w:r>
        <w:rPr>
          <w:rFonts w:ascii="Times New Roman" w:cs="Times New Roman" w:hAnsi="Times New Roman"/>
          <w:bCs/>
          <w:i/>
          <w:iCs/>
          <w:color w:val="000000"/>
          <w:sz w:val="24"/>
          <w:szCs w:val="24"/>
          <w:lang w:val="en-US"/>
        </w:rPr>
        <w:t>Field Geophysics</w:t>
      </w:r>
      <w:r>
        <w:rPr>
          <w:rFonts w:ascii="Times New Roman" w:cs="Times New Roman" w:hAnsi="Times New Roman"/>
          <w:bCs/>
          <w:color w:val="000000"/>
          <w:sz w:val="24"/>
          <w:szCs w:val="24"/>
          <w:lang w:val="en-US"/>
        </w:rPr>
        <w:t xml:space="preserve"> (Vol. 4). Wiley and Sons Ltd., Publication.</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Muhibbu-Din, O., &amp; Ajibade. (2011). </w:t>
      </w:r>
      <w:r>
        <w:rPr>
          <w:rFonts w:ascii="Times New Roman" w:cs="Times New Roman" w:hAnsi="Times New Roman"/>
          <w:bCs/>
          <w:i/>
          <w:iCs/>
          <w:color w:val="000000"/>
          <w:sz w:val="24"/>
          <w:szCs w:val="24"/>
          <w:lang w:val="en-US"/>
        </w:rPr>
        <w:t>Study of physiochemical parameter of E_uent Impacted Stream.</w:t>
      </w:r>
      <w:r>
        <w:rPr>
          <w:rFonts w:ascii="Times New Roman" w:cs="Times New Roman" w:hAnsi="Times New Roman"/>
          <w:bCs/>
          <w:color w:val="000000"/>
          <w:sz w:val="24"/>
          <w:szCs w:val="24"/>
          <w:lang w:val="en-US"/>
        </w:rPr>
        <w:t xml:space="preserve"> Obafemi Awolowo University, Ile-Ife Nigeria (unpublished).</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NGSA. (n.d.). </w:t>
      </w:r>
      <w:r>
        <w:rPr>
          <w:rFonts w:ascii="Times New Roman" w:cs="Times New Roman" w:hAnsi="Times New Roman"/>
          <w:bCs/>
          <w:i/>
          <w:iCs/>
          <w:color w:val="000000"/>
          <w:sz w:val="24"/>
          <w:szCs w:val="24"/>
          <w:lang w:val="en-US"/>
        </w:rPr>
        <w:t>http://www.ngsa-nig.org/content/airborne-geophysical-data</w:t>
      </w:r>
      <w:r>
        <w:rPr>
          <w:rFonts w:ascii="Times New Roman" w:cs="Times New Roman" w:hAnsi="Times New Roman"/>
          <w:bCs/>
          <w:color w:val="000000"/>
          <w:sz w:val="24"/>
          <w:szCs w:val="24"/>
          <w:lang w:val="en-US"/>
        </w:rPr>
        <w:t>. (Nigeria Geological Survey Agency) Retrieved November 3, 2016, from http://www.ngsa-nig.org: www.ngsa-nig.org</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Obaje, N. G. (2007). </w:t>
      </w:r>
      <w:r>
        <w:rPr>
          <w:rFonts w:ascii="Times New Roman" w:cs="Times New Roman" w:hAnsi="Times New Roman"/>
          <w:bCs/>
          <w:i/>
          <w:iCs/>
          <w:color w:val="000000"/>
          <w:sz w:val="24"/>
          <w:szCs w:val="24"/>
          <w:lang w:val="en-US"/>
        </w:rPr>
        <w:t>Geology and Mineral Resources of Nigeria.</w:t>
      </w:r>
      <w:r>
        <w:rPr>
          <w:rFonts w:ascii="Times New Roman" w:cs="Times New Roman" w:hAnsi="Times New Roman"/>
          <w:bCs/>
          <w:color w:val="000000"/>
          <w:sz w:val="24"/>
          <w:szCs w:val="24"/>
          <w:lang w:val="en-US"/>
        </w:rPr>
        <w:t xml:space="preserve"> Springer Dordrecht Heidelberg London New York.</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Olawuyi, A. (2015). </w:t>
      </w:r>
      <w:r>
        <w:rPr>
          <w:rFonts w:ascii="Times New Roman" w:cs="Times New Roman" w:hAnsi="Times New Roman"/>
          <w:bCs/>
          <w:i/>
          <w:iCs/>
          <w:color w:val="000000"/>
          <w:sz w:val="24"/>
          <w:szCs w:val="24"/>
          <w:lang w:val="en-US"/>
        </w:rPr>
        <w:t>Lineaments mapping for Hydrogeological study using Aeromagnetic and pseudogravity Data: A case study of Lafiagi, Southwestern nigeria</w:t>
      </w:r>
      <w:r>
        <w:rPr>
          <w:rFonts w:ascii="Times New Roman" w:cs="Times New Roman" w:hAnsi="Times New Roman"/>
          <w:bCs/>
          <w:color w:val="000000"/>
          <w:sz w:val="24"/>
          <w:szCs w:val="24"/>
          <w:lang w:val="en-US"/>
        </w:rPr>
        <w:t xml:space="preserve"> (Vol. vol. 10). Zimbabwe journal of Science and Technology.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R., O. (1985). The use and waste of water in third world city.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R.T. Shuey, D.K. Schellinger, A.C. Tripp, &amp; Alley, L. (1977). Curie depth determination from aeromagnetic spectra. (50, 75-101.).</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Raab, P., &amp; F.C. Frischnecht. (1984). </w:t>
      </w:r>
      <w:r>
        <w:rPr>
          <w:rFonts w:ascii="Times New Roman" w:cs="Times New Roman" w:hAnsi="Times New Roman"/>
          <w:bCs/>
          <w:i/>
          <w:iCs/>
          <w:color w:val="000000"/>
          <w:sz w:val="24"/>
          <w:szCs w:val="24"/>
          <w:lang w:val="en-US"/>
        </w:rPr>
        <w:t>Time-domain electromagnetic soundings at the Nevada Test Site,.</w:t>
      </w:r>
      <w:r>
        <w:rPr>
          <w:rFonts w:ascii="Times New Roman" w:cs="Times New Roman" w:hAnsi="Times New Roman"/>
          <w:bCs/>
          <w:color w:val="000000"/>
          <w:sz w:val="24"/>
          <w:szCs w:val="24"/>
          <w:lang w:val="en-US"/>
        </w:rPr>
        <w:t xml:space="preserve"> Nevada.: Geophysics, 49, 981–92.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Rahman, M. (1973). </w:t>
      </w:r>
      <w:r>
        <w:rPr>
          <w:rFonts w:ascii="Times New Roman" w:cs="Times New Roman" w:hAnsi="Times New Roman"/>
          <w:bCs/>
          <w:i/>
          <w:iCs/>
          <w:color w:val="000000"/>
          <w:sz w:val="24"/>
          <w:szCs w:val="24"/>
          <w:lang w:val="en-US"/>
        </w:rPr>
        <w:t>Review of the basement geology of south western Nigeria .</w:t>
      </w:r>
      <w:r>
        <w:rPr>
          <w:rFonts w:ascii="Times New Roman" w:cs="Times New Roman" w:hAnsi="Times New Roman"/>
          <w:bCs/>
          <w:color w:val="000000"/>
          <w:sz w:val="24"/>
          <w:szCs w:val="24"/>
          <w:lang w:val="en-US"/>
        </w:rPr>
        <w:t xml:space="preserve"> Geology of Nigeria. 2ed. Rockview publishers, Jos. pp 39-56.</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Rajaram, M., S. A., K. H., &amp; M. P. (2009). </w:t>
      </w:r>
      <w:r>
        <w:rPr>
          <w:rFonts w:ascii="Times New Roman" w:cs="Times New Roman" w:hAnsi="Times New Roman"/>
          <w:bCs/>
          <w:i/>
          <w:iCs/>
          <w:color w:val="000000"/>
          <w:sz w:val="24"/>
          <w:szCs w:val="24"/>
          <w:lang w:val="en-US"/>
        </w:rPr>
        <w:t>Curie Isotherm map of India subcontinent from satelite and aeromagnetic data</w:t>
      </w:r>
      <w:r>
        <w:rPr>
          <w:rFonts w:ascii="Times New Roman" w:cs="Times New Roman" w:hAnsi="Times New Roman"/>
          <w:bCs/>
          <w:color w:val="000000"/>
          <w:sz w:val="24"/>
          <w:szCs w:val="24"/>
          <w:lang w:val="en-US"/>
        </w:rPr>
        <w:t xml:space="preserve"> (Vols. Vol. 281, pp 147-158). Earth planet. Sci. Letts.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Sheriff, &amp; E. R. (1991). </w:t>
      </w:r>
      <w:r>
        <w:rPr>
          <w:rFonts w:ascii="Times New Roman" w:cs="Times New Roman" w:hAnsi="Times New Roman"/>
          <w:bCs/>
          <w:i/>
          <w:iCs/>
          <w:color w:val="000000"/>
          <w:sz w:val="24"/>
          <w:szCs w:val="24"/>
          <w:lang w:val="en-US"/>
        </w:rPr>
        <w:t>Geophysics Encyclopedic dictionary of Exploration Geophysics</w:t>
      </w:r>
      <w:r>
        <w:rPr>
          <w:rFonts w:ascii="Times New Roman" w:cs="Times New Roman" w:hAnsi="Times New Roman"/>
          <w:bCs/>
          <w:color w:val="000000"/>
          <w:sz w:val="24"/>
          <w:szCs w:val="24"/>
          <w:lang w:val="en-US"/>
        </w:rPr>
        <w:t xml:space="preserve"> (Vol. 3rd edition). Society of Exploration Geophysics.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Sheriff, R. E., &amp; L. P. (1995). </w:t>
      </w:r>
      <w:r>
        <w:rPr>
          <w:rFonts w:ascii="Times New Roman" w:cs="Times New Roman" w:hAnsi="Times New Roman"/>
          <w:bCs/>
          <w:i/>
          <w:iCs/>
          <w:color w:val="000000"/>
          <w:sz w:val="24"/>
          <w:szCs w:val="24"/>
          <w:lang w:val="en-US"/>
        </w:rPr>
        <w:t xml:space="preserve">Exploration Seismology. </w:t>
      </w:r>
      <w:r>
        <w:rPr>
          <w:rFonts w:ascii="Times New Roman" w:cs="Times New Roman" w:hAnsi="Times New Roman"/>
          <w:bCs/>
          <w:color w:val="000000"/>
          <w:sz w:val="24"/>
          <w:szCs w:val="24"/>
          <w:lang w:val="en-US"/>
        </w:rPr>
        <w:t>(Vol. 2nd Edition. ). Cambridge University Press.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Spector, A., &amp; F. G. (1970). </w:t>
      </w:r>
      <w:r>
        <w:rPr>
          <w:rFonts w:ascii="Times New Roman" w:cs="Times New Roman" w:hAnsi="Times New Roman"/>
          <w:bCs/>
          <w:i/>
          <w:iCs/>
          <w:color w:val="000000"/>
          <w:sz w:val="24"/>
          <w:szCs w:val="24"/>
          <w:lang w:val="en-US"/>
        </w:rPr>
        <w:t>Statistical models for interpreting aeromagnetic data.</w:t>
      </w:r>
      <w:r>
        <w:rPr>
          <w:rFonts w:ascii="Times New Roman" w:cs="Times New Roman" w:hAnsi="Times New Roman"/>
          <w:bCs/>
          <w:color w:val="000000"/>
          <w:sz w:val="24"/>
          <w:szCs w:val="24"/>
          <w:lang w:val="en-US"/>
        </w:rPr>
        <w:t xml:space="preserve"> Geophysics, 35, 293–302.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Telford, W., L. G., R. S., &amp; D. K. (1976). </w:t>
      </w:r>
      <w:r>
        <w:rPr>
          <w:rFonts w:ascii="Times New Roman" w:cs="Times New Roman" w:hAnsi="Times New Roman"/>
          <w:bCs/>
          <w:i/>
          <w:iCs/>
          <w:color w:val="000000"/>
          <w:sz w:val="24"/>
          <w:szCs w:val="24"/>
          <w:lang w:val="en-US"/>
        </w:rPr>
        <w:t>Applied Geophysics.</w:t>
      </w:r>
      <w:r>
        <w:rPr>
          <w:rFonts w:ascii="Times New Roman" w:cs="Times New Roman" w:hAnsi="Times New Roman"/>
          <w:bCs/>
          <w:color w:val="000000"/>
          <w:sz w:val="24"/>
          <w:szCs w:val="24"/>
          <w:lang w:val="en-US"/>
        </w:rPr>
        <w:t xml:space="preserve"> Cambridge University Press, Cambridge, 860 pp.</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i/>
          <w:iCs/>
          <w:color w:val="000000"/>
          <w:sz w:val="24"/>
          <w:szCs w:val="24"/>
          <w:lang w:val="en-US"/>
        </w:rPr>
        <w:t>Wikipedia</w:t>
      </w:r>
      <w:r>
        <w:rPr>
          <w:rFonts w:ascii="Times New Roman" w:cs="Times New Roman" w:hAnsi="Times New Roman"/>
          <w:bCs/>
          <w:color w:val="000000"/>
          <w:sz w:val="24"/>
          <w:szCs w:val="24"/>
          <w:lang w:val="en-US"/>
        </w:rPr>
        <w:t>. (n.d.). Retrieved 11 12, 2015, from Wikipedia: https://en.wikipedia.org/wiki/Waste_management</w:t>
      </w:r>
    </w:p>
    <w:p>
      <w:pPr>
        <w:pStyle w:val="style0"/>
        <w:spacing w:after="0" w:lineRule="auto" w:line="240"/>
        <w:ind w:left="720" w:hanging="72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US"/>
        </w:rPr>
        <w:fldChar w:fldCharType="end"/>
      </w:r>
    </w:p>
    <w:p>
      <w:pPr>
        <w:pStyle w:val="style0"/>
        <w:spacing w:after="0" w:lineRule="auto" w:line="240"/>
        <w:ind w:left="720" w:hanging="720"/>
        <w:jc w:val="both"/>
        <w:rPr/>
      </w:pPr>
    </w:p>
    <w:p>
      <w:pPr>
        <w:pStyle w:val="style0"/>
        <w:rPr/>
      </w:pPr>
    </w:p>
    <w:sectPr>
      <w:pgSz w:w="12240" w:h="15840" w:orient="portrait"/>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Monotype Corsiva">
    <w:altName w:val="Monotype Corsiva"/>
    <w:panose1 w:val="03010101010000010101"/>
    <w:charset w:val="00"/>
    <w:family w:val="script"/>
    <w:pitch w:val="variable"/>
    <w:sig w:usb0="00000287" w:usb1="00000000" w:usb2="00000000" w:usb3="00000000" w:csb0="0000009F" w:csb1="00000000"/>
  </w:font>
  <w:font w:name="Eras Light ITC">
    <w:altName w:val="Eras Light ITC"/>
    <w:panose1 w:val="020b0402030000020804"/>
    <w:charset w:val="00"/>
    <w:family w:val="swiss"/>
    <w:pitch w:val="variable"/>
    <w:sig w:usb0="00000003" w:usb1="00000000" w:usb2="00000000" w:usb3="00000000" w:csb0="00000001" w:csb1="00000000"/>
  </w:font>
  <w:font w:name="Algerian">
    <w:altName w:val="Algerian"/>
    <w:panose1 w:val="04020705040000060702"/>
    <w:charset w:val="00"/>
    <w:family w:val="decorative"/>
    <w:pitch w:val="variable"/>
    <w:sig w:usb0="00000003" w:usb1="00000000" w:usb2="00000000" w:usb3="00000000" w:csb0="00000001" w:csb1="00000000"/>
  </w:font>
  <w:font w:name="Bookman Old Style">
    <w:altName w:val="Bookman Old Style"/>
    <w:panose1 w:val="02050604050000020204"/>
    <w:charset w:val="00"/>
    <w:family w:val="roman"/>
    <w:pitch w:val="variable"/>
    <w:sig w:usb0="00000287" w:usb1="00000000" w:usb2="00000000" w:usb3="00000000" w:csb0="0000009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en-ZA"/>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ascii="Calibri" w:eastAsia="Calibri" w:hAnsi="Calibri"/>
      <w:lang w:val="en-GB"/>
    </w:rPr>
  </w:style>
  <w:style w:type="paragraph" w:styleId="style32">
    <w:name w:val="footer"/>
    <w:basedOn w:val="style0"/>
    <w:next w:val="style32"/>
    <w:link w:val="style4097"/>
    <w:uiPriority w:val="99"/>
    <w:pPr>
      <w:tabs>
        <w:tab w:val="center" w:leader="none" w:pos="4680"/>
        <w:tab w:val="right" w:leader="none" w:pos="9360"/>
      </w:tabs>
      <w:spacing w:after="0" w:lineRule="auto" w:line="240"/>
    </w:pPr>
    <w:rPr/>
  </w:style>
  <w:style w:type="character" w:customStyle="1" w:styleId="style4097">
    <w:name w:val="Footer Char_88bb0d58-1e24-4c9e-be32-e8dd6576c710"/>
    <w:basedOn w:val="style65"/>
    <w:next w:val="style4097"/>
    <w:link w:val="style32"/>
    <w:uiPriority w:val="99"/>
    <w:rPr>
      <w:lang w:val="en-ZA"/>
    </w:rPr>
  </w:style>
  <w:style w:type="paragraph" w:styleId="style34">
    <w:name w:val="caption"/>
    <w:basedOn w:val="style0"/>
    <w:next w:val="style0"/>
    <w:qFormat/>
    <w:uiPriority w:val="35"/>
    <w:pPr>
      <w:spacing w:after="200" w:lineRule="auto" w:line="240"/>
    </w:pPr>
    <w:rPr>
      <w:b/>
      <w:bCs/>
      <w:color w:val="4f81bd"/>
      <w:sz w:val="18"/>
      <w:szCs w:val="18"/>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lang w:val="en-ZA"/>
    </w:rPr>
  </w:style>
</w:styles>
</file>

<file path=word/_rels/document.xml.rels><?xml version="1.0" encoding="UTF-8"?>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10.jpeg"/><Relationship Id="rId23" Type="http://schemas.openxmlformats.org/officeDocument/2006/relationships/image" Target="media/image5.emf"/><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emf"/><Relationship Id="rId4" Type="http://schemas.openxmlformats.org/officeDocument/2006/relationships/image" Target="media/image2.emf"/><Relationship Id="rId9" Type="http://schemas.openxmlformats.org/officeDocument/2006/relationships/image" Target="media/image2.jpeg"/><Relationship Id="rId26" Type="http://schemas.openxmlformats.org/officeDocument/2006/relationships/image" Target="media/image12.jpeg"/><Relationship Id="rId25" Type="http://schemas.openxmlformats.org/officeDocument/2006/relationships/image" Target="media/image11.jpeg"/><Relationship Id="rId28" Type="http://schemas.openxmlformats.org/officeDocument/2006/relationships/styles" Target="styles.xml"/><Relationship Id="rId27" Type="http://schemas.openxmlformats.org/officeDocument/2006/relationships/image" Target="media/image13.jpeg"/><Relationship Id="rId5" Type="http://schemas.openxmlformats.org/officeDocument/2006/relationships/image" Target="media/image3.emf"/><Relationship Id="rId6" Type="http://schemas.openxmlformats.org/officeDocument/2006/relationships/image" Target="media/image4.emf"/><Relationship Id="rId29" Type="http://schemas.openxmlformats.org/officeDocument/2006/relationships/fontTable" Target="fontTable.xml"/><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theme" Target="theme/theme1.xml"/><Relationship Id="rId30" Type="http://schemas.openxmlformats.org/officeDocument/2006/relationships/settings" Target="settings.xml"/><Relationship Id="rId11" Type="http://schemas.openxmlformats.org/officeDocument/2006/relationships/image" Target="media/image4.jpeg"/><Relationship Id="rId10" Type="http://schemas.openxmlformats.org/officeDocument/2006/relationships/image" Target="media/image3.jpeg"/><Relationship Id="rId32"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5" Type="http://schemas.openxmlformats.org/officeDocument/2006/relationships/image" Target="media/image8.jpeg"/><Relationship Id="rId14" Type="http://schemas.openxmlformats.org/officeDocument/2006/relationships/image" Target="media/image7.jpeg"/><Relationship Id="rId17" Type="http://schemas.openxmlformats.org/officeDocument/2006/relationships/image" Target="media/image4.png"/><Relationship Id="rId16" Type="http://schemas.openxmlformats.org/officeDocument/2006/relationships/image" Target="media/image9.jpeg"/><Relationship Id="rId19" Type="http://schemas.openxmlformats.org/officeDocument/2006/relationships/image" Target="media/image6.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182CCE61-B20A-452E-96A5-315A2F68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Words>9410</Words>
  <Pages>40</Pages>
  <Characters>52784</Characters>
  <Application>WPS Office</Application>
  <DocSecurity>0</DocSecurity>
  <Paragraphs>548</Paragraphs>
  <ScaleCrop>false</ScaleCrop>
  <LinksUpToDate>false</LinksUpToDate>
  <CharactersWithSpaces>62295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2025-07-08T20:08:00Z</dcterms:created>
  <dc:creator>USER</dc:creator>
  <lastModifiedBy>24117RN76G</lastModifiedBy>
  <lastPrinted>2025-07-16T09:41:00Z</lastPrinted>
  <dcterms:modified xsi:type="dcterms:W3CDTF">2025-08-14T19:43:33Z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d4c3e3b37244432587cff9bca7c0d94e</vt:lpwstr>
  </property>
</Properties>
</file>