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579F0" w14:textId="77777777" w:rsidR="00632284" w:rsidRPr="00632284" w:rsidRDefault="00632284" w:rsidP="00632284">
      <w:pPr>
        <w:spacing w:after="0" w:line="360" w:lineRule="auto"/>
        <w:jc w:val="center"/>
        <w:rPr>
          <w:rFonts w:ascii="Times New Roman" w:eastAsia="Calibri" w:hAnsi="Times New Roman" w:cs="Times New Roman"/>
          <w:b/>
          <w:sz w:val="28"/>
          <w:szCs w:val="28"/>
        </w:rPr>
      </w:pPr>
      <w:bookmarkStart w:id="0" w:name="_Hlk201849284"/>
      <w:r w:rsidRPr="00632284">
        <w:rPr>
          <w:rFonts w:ascii="Times New Roman" w:eastAsia="Calibri" w:hAnsi="Times New Roman" w:cs="Times New Roman"/>
          <w:b/>
          <w:sz w:val="28"/>
          <w:szCs w:val="28"/>
        </w:rPr>
        <w:t>EXAMINATION OF POTENCY OF ASPERGILLUS NIGER TOXIN</w:t>
      </w:r>
    </w:p>
    <w:p w14:paraId="77A3AE92" w14:textId="77777777" w:rsidR="00632284" w:rsidRPr="00632284" w:rsidRDefault="00632284" w:rsidP="00632284">
      <w:pPr>
        <w:spacing w:after="0" w:line="360" w:lineRule="auto"/>
        <w:rPr>
          <w:rFonts w:ascii="Times New Roman" w:eastAsia="Calibri" w:hAnsi="Times New Roman" w:cs="Times New Roman"/>
          <w:b/>
          <w:sz w:val="28"/>
          <w:szCs w:val="28"/>
        </w:rPr>
      </w:pPr>
    </w:p>
    <w:p w14:paraId="5D6D14B1" w14:textId="77777777" w:rsidR="00632284" w:rsidRPr="00632284" w:rsidRDefault="00632284" w:rsidP="00632284">
      <w:pPr>
        <w:spacing w:after="0" w:line="36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BY</w:t>
      </w:r>
    </w:p>
    <w:p w14:paraId="3CBFBBAB" w14:textId="77777777" w:rsidR="00632284" w:rsidRPr="00632284" w:rsidRDefault="00632284" w:rsidP="00632284">
      <w:pPr>
        <w:spacing w:line="240" w:lineRule="auto"/>
        <w:rPr>
          <w:rFonts w:ascii="Arial Black" w:eastAsia="Calibri" w:hAnsi="Arial Black" w:cs="Times New Roman"/>
          <w:sz w:val="28"/>
          <w:szCs w:val="28"/>
        </w:rPr>
      </w:pPr>
    </w:p>
    <w:p w14:paraId="228F6225" w14:textId="77777777" w:rsidR="00632284" w:rsidRPr="00632284" w:rsidRDefault="00632284" w:rsidP="00632284">
      <w:pPr>
        <w:spacing w:line="24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 xml:space="preserve">ADENEYE MAYOWA EMMANUEL </w:t>
      </w:r>
    </w:p>
    <w:p w14:paraId="71B4E2CE" w14:textId="77777777" w:rsidR="00632284" w:rsidRPr="00632284" w:rsidRDefault="00632284" w:rsidP="00632284">
      <w:pPr>
        <w:spacing w:line="24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HND/23/SLT/FT/0437</w:t>
      </w:r>
    </w:p>
    <w:p w14:paraId="436DEFF9" w14:textId="77777777" w:rsidR="00632284" w:rsidRPr="00632284" w:rsidRDefault="00632284" w:rsidP="00632284">
      <w:pPr>
        <w:spacing w:line="240" w:lineRule="auto"/>
        <w:jc w:val="center"/>
        <w:rPr>
          <w:rFonts w:ascii="Times New Roman" w:eastAsia="Calibri" w:hAnsi="Times New Roman" w:cs="Times New Roman"/>
          <w:b/>
          <w:sz w:val="28"/>
          <w:szCs w:val="28"/>
        </w:rPr>
      </w:pPr>
    </w:p>
    <w:p w14:paraId="6B9BF61A" w14:textId="77777777" w:rsidR="00632284" w:rsidRPr="00632284" w:rsidRDefault="00632284" w:rsidP="00632284">
      <w:pPr>
        <w:spacing w:line="24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A PROJECT SUBMITTED TO THE DEPARTMENT OF SCIENCE LABORATORY TECHNOLOGY, INSTITUTE OF APPLIED SCIENCES, KWARA STATE POLYTECHNIC, ILORIN</w:t>
      </w:r>
    </w:p>
    <w:p w14:paraId="593D2AB2" w14:textId="77777777" w:rsidR="00632284" w:rsidRPr="00632284" w:rsidRDefault="00632284" w:rsidP="00632284">
      <w:pPr>
        <w:tabs>
          <w:tab w:val="left" w:pos="3920"/>
        </w:tabs>
        <w:spacing w:after="0" w:line="360" w:lineRule="auto"/>
        <w:rPr>
          <w:rFonts w:ascii="Times New Roman" w:eastAsia="Calibri" w:hAnsi="Times New Roman" w:cs="Times New Roman"/>
          <w:b/>
          <w:sz w:val="28"/>
          <w:szCs w:val="28"/>
        </w:rPr>
      </w:pPr>
      <w:r w:rsidRPr="00632284">
        <w:rPr>
          <w:rFonts w:ascii="Times New Roman" w:eastAsia="Calibri" w:hAnsi="Times New Roman" w:cs="Times New Roman"/>
          <w:b/>
          <w:sz w:val="28"/>
          <w:szCs w:val="28"/>
        </w:rPr>
        <w:tab/>
      </w:r>
    </w:p>
    <w:p w14:paraId="1A9BD432" w14:textId="77777777" w:rsidR="00632284" w:rsidRPr="00632284" w:rsidRDefault="00632284" w:rsidP="00632284">
      <w:pPr>
        <w:spacing w:after="0" w:line="36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IN PARTIAL FULFILMENT OF THE REQUIREMENTS OF THE AWARD OF HIGHER NATIONAL DIPLOMA (HND) IN SCIENCE LABORATORY TECHNOLOGY (SLT), MICROBIOLOGY UNIT</w:t>
      </w:r>
    </w:p>
    <w:p w14:paraId="67283A5C" w14:textId="77777777" w:rsidR="00632284" w:rsidRPr="00632284" w:rsidRDefault="00632284" w:rsidP="00632284">
      <w:pPr>
        <w:spacing w:after="0" w:line="360" w:lineRule="auto"/>
        <w:jc w:val="center"/>
        <w:rPr>
          <w:rFonts w:ascii="Times New Roman" w:eastAsia="Calibri" w:hAnsi="Times New Roman" w:cs="Times New Roman"/>
          <w:b/>
          <w:sz w:val="28"/>
          <w:szCs w:val="28"/>
        </w:rPr>
      </w:pPr>
    </w:p>
    <w:p w14:paraId="0D53BE1B"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60B0CDC0"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79D22493"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0DD215D7"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4F9C8516"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42AA8EBC"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243291CC"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43100E3C"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59FEE671" w14:textId="77777777" w:rsidR="00632284" w:rsidRPr="00632284" w:rsidRDefault="00632284" w:rsidP="00632284">
      <w:pPr>
        <w:spacing w:after="0" w:line="360" w:lineRule="auto"/>
        <w:jc w:val="right"/>
        <w:rPr>
          <w:rFonts w:ascii="Times New Roman" w:eastAsia="Calibri" w:hAnsi="Times New Roman" w:cs="Times New Roman"/>
          <w:b/>
          <w:bCs/>
          <w:sz w:val="28"/>
          <w:szCs w:val="28"/>
        </w:rPr>
      </w:pPr>
    </w:p>
    <w:p w14:paraId="22DB644E" w14:textId="77777777" w:rsidR="00632284" w:rsidRPr="00632284" w:rsidRDefault="00632284" w:rsidP="00632284">
      <w:pPr>
        <w:spacing w:after="0" w:line="360" w:lineRule="auto"/>
        <w:jc w:val="center"/>
        <w:rPr>
          <w:rFonts w:ascii="Times New Roman" w:eastAsia="Calibri" w:hAnsi="Times New Roman" w:cs="Times New Roman"/>
          <w:b/>
          <w:bCs/>
          <w:sz w:val="28"/>
          <w:szCs w:val="28"/>
        </w:rPr>
        <w:sectPr w:rsidR="00632284" w:rsidRPr="00632284" w:rsidSect="00075199">
          <w:footerReference w:type="default" r:id="rId8"/>
          <w:pgSz w:w="11909" w:h="16834" w:code="9"/>
          <w:pgMar w:top="1440" w:right="1440" w:bottom="1440" w:left="1440" w:header="720" w:footer="720" w:gutter="0"/>
          <w:pgNumType w:start="1"/>
          <w:cols w:space="720"/>
          <w:titlePg/>
          <w:docGrid w:linePitch="360"/>
        </w:sectPr>
      </w:pPr>
      <w:r w:rsidRPr="00632284">
        <w:rPr>
          <w:rFonts w:ascii="Times New Roman" w:eastAsia="Calibri" w:hAnsi="Times New Roman" w:cs="Times New Roman"/>
          <w:b/>
          <w:bCs/>
          <w:sz w:val="28"/>
          <w:szCs w:val="28"/>
        </w:rPr>
        <w:t>JULY, 2025</w:t>
      </w:r>
    </w:p>
    <w:p w14:paraId="55A3C35A" w14:textId="16F0D293" w:rsidR="00632284" w:rsidRPr="00632284" w:rsidRDefault="00632284" w:rsidP="00632284">
      <w:pPr>
        <w:spacing w:after="0" w:line="240" w:lineRule="auto"/>
        <w:rPr>
          <w:rFonts w:ascii="Calibri" w:eastAsia="Calibri" w:hAnsi="Calibri" w:cs="Times New Roman"/>
        </w:rPr>
      </w:pPr>
    </w:p>
    <w:p w14:paraId="292BD1E8" w14:textId="2FCB143D" w:rsidR="00632284" w:rsidRPr="00632284" w:rsidRDefault="00E5365D" w:rsidP="00632284">
      <w:pPr>
        <w:ind w:left="2160" w:firstLine="720"/>
        <w:jc w:val="both"/>
        <w:rPr>
          <w:rFonts w:ascii="Times New Roman" w:eastAsia="Calibri"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1312" behindDoc="0" locked="0" layoutInCell="1" allowOverlap="1" wp14:anchorId="7B190DE9" wp14:editId="47764809">
            <wp:simplePos x="0" y="0"/>
            <wp:positionH relativeFrom="column">
              <wp:posOffset>-763905</wp:posOffset>
            </wp:positionH>
            <wp:positionV relativeFrom="paragraph">
              <wp:posOffset>441960</wp:posOffset>
            </wp:positionV>
            <wp:extent cx="6989445" cy="7415530"/>
            <wp:effectExtent l="0" t="0" r="190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cert.jpg"/>
                    <pic:cNvPicPr/>
                  </pic:nvPicPr>
                  <pic:blipFill rotWithShape="1">
                    <a:blip r:embed="rId9">
                      <a:extLst>
                        <a:ext uri="{28A0092B-C50C-407E-A947-70E740481C1C}">
                          <a14:useLocalDpi xmlns:a14="http://schemas.microsoft.com/office/drawing/2010/main" val="0"/>
                        </a:ext>
                      </a:extLst>
                    </a:blip>
                    <a:srcRect t="7990" r="8166" b="27628"/>
                    <a:stretch/>
                  </pic:blipFill>
                  <pic:spPr bwMode="auto">
                    <a:xfrm>
                      <a:off x="0" y="0"/>
                      <a:ext cx="6989445" cy="7415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20886D" w14:textId="77777777" w:rsidR="00632284" w:rsidRPr="00632284" w:rsidRDefault="00632284" w:rsidP="00632284">
      <w:pPr>
        <w:spacing w:line="480" w:lineRule="auto"/>
        <w:rPr>
          <w:rFonts w:ascii="Times New Roman" w:eastAsia="Calibri" w:hAnsi="Times New Roman" w:cs="Times New Roman"/>
          <w:b/>
          <w:bCs/>
          <w:sz w:val="28"/>
          <w:szCs w:val="28"/>
        </w:rPr>
      </w:pPr>
    </w:p>
    <w:p w14:paraId="281E7A97" w14:textId="77777777" w:rsidR="00632284" w:rsidRPr="00632284" w:rsidRDefault="00632284" w:rsidP="00632284">
      <w:pPr>
        <w:rPr>
          <w:rFonts w:ascii="Calibri" w:eastAsia="Calibri" w:hAnsi="Calibri" w:cs="Times New Roman"/>
        </w:rPr>
      </w:pPr>
    </w:p>
    <w:p w14:paraId="3451C727" w14:textId="1ABEB3BC" w:rsidR="00632284" w:rsidRDefault="00632284" w:rsidP="00632284">
      <w:pPr>
        <w:spacing w:before="100" w:beforeAutospacing="1" w:line="360" w:lineRule="auto"/>
        <w:jc w:val="center"/>
        <w:rPr>
          <w:rFonts w:ascii="Times New Roman" w:eastAsia="Calibri" w:hAnsi="Times New Roman" w:cs="Times New Roman"/>
          <w:b/>
          <w:sz w:val="28"/>
          <w:szCs w:val="28"/>
        </w:rPr>
      </w:pPr>
    </w:p>
    <w:p w14:paraId="2101E9C6" w14:textId="21D4F4D1" w:rsidR="00632284" w:rsidRPr="00632284" w:rsidRDefault="00075199" w:rsidP="00632284">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14:paraId="4051E3E8" w14:textId="77777777" w:rsidR="00632284" w:rsidRPr="00632284" w:rsidRDefault="00632284" w:rsidP="00632284">
      <w:pPr>
        <w:spacing w:before="100" w:beforeAutospacing="1" w:line="36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t>DEDICATION</w:t>
      </w:r>
    </w:p>
    <w:p w14:paraId="20A112BA"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I dedicate this work to the Lord Almighty, the creator of all things that exist, and to my parent MR and MRS. ADENEYE and siblings for their support physically, financially and emotionally to ensure the success of this project.</w:t>
      </w:r>
    </w:p>
    <w:p w14:paraId="5E581C12"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7539C8B6"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44D5D6B8"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5A9B1A32"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0B48E9B4"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073A4356"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6135DC68"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6A557B63"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6C6B7D99"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72BE415A" w14:textId="77777777" w:rsidR="00632284" w:rsidRPr="00632284" w:rsidRDefault="00632284" w:rsidP="00632284">
      <w:pPr>
        <w:spacing w:before="100" w:beforeAutospacing="1" w:line="360" w:lineRule="auto"/>
        <w:jc w:val="both"/>
        <w:rPr>
          <w:rFonts w:ascii="Times New Roman" w:eastAsia="Calibri" w:hAnsi="Times New Roman" w:cs="Times New Roman"/>
          <w:sz w:val="28"/>
          <w:szCs w:val="28"/>
        </w:rPr>
      </w:pPr>
    </w:p>
    <w:p w14:paraId="07DE13C2" w14:textId="77777777" w:rsidR="00632284" w:rsidRPr="00632284" w:rsidRDefault="00632284" w:rsidP="00632284">
      <w:pPr>
        <w:spacing w:line="480" w:lineRule="auto"/>
        <w:jc w:val="both"/>
        <w:rPr>
          <w:rFonts w:ascii="Times New Roman" w:eastAsia="Calibri" w:hAnsi="Times New Roman" w:cs="Times New Roman"/>
          <w:sz w:val="28"/>
          <w:szCs w:val="28"/>
        </w:rPr>
      </w:pPr>
    </w:p>
    <w:p w14:paraId="6DA8A8E7" w14:textId="77777777" w:rsidR="00632284" w:rsidRPr="00632284" w:rsidRDefault="00632284" w:rsidP="00632284">
      <w:pPr>
        <w:spacing w:line="480" w:lineRule="auto"/>
        <w:jc w:val="both"/>
        <w:rPr>
          <w:rFonts w:ascii="Times New Roman" w:eastAsia="Calibri" w:hAnsi="Times New Roman" w:cs="Times New Roman"/>
          <w:sz w:val="28"/>
          <w:szCs w:val="28"/>
        </w:rPr>
      </w:pPr>
    </w:p>
    <w:p w14:paraId="7A64A54B" w14:textId="77777777" w:rsidR="00632284" w:rsidRPr="00632284" w:rsidRDefault="00632284" w:rsidP="00632284">
      <w:pPr>
        <w:spacing w:line="480" w:lineRule="auto"/>
        <w:jc w:val="both"/>
        <w:rPr>
          <w:rFonts w:ascii="Times New Roman" w:eastAsia="Calibri" w:hAnsi="Times New Roman" w:cs="Times New Roman"/>
          <w:sz w:val="28"/>
          <w:szCs w:val="28"/>
        </w:rPr>
      </w:pPr>
    </w:p>
    <w:p w14:paraId="0226265C" w14:textId="7603842D" w:rsidR="00632284" w:rsidRDefault="00632284" w:rsidP="00632284">
      <w:pPr>
        <w:spacing w:line="480" w:lineRule="auto"/>
        <w:jc w:val="both"/>
        <w:rPr>
          <w:rFonts w:ascii="Times New Roman" w:eastAsia="Calibri" w:hAnsi="Times New Roman" w:cs="Times New Roman"/>
          <w:b/>
          <w:bCs/>
          <w:sz w:val="28"/>
          <w:szCs w:val="28"/>
        </w:rPr>
      </w:pPr>
    </w:p>
    <w:p w14:paraId="7FF2A55C" w14:textId="77777777" w:rsidR="00632284" w:rsidRPr="00632284" w:rsidRDefault="00632284" w:rsidP="00632284">
      <w:pPr>
        <w:spacing w:line="480" w:lineRule="auto"/>
        <w:jc w:val="both"/>
        <w:rPr>
          <w:rFonts w:ascii="Times New Roman" w:eastAsia="Calibri" w:hAnsi="Times New Roman" w:cs="Times New Roman"/>
          <w:b/>
          <w:bCs/>
          <w:sz w:val="28"/>
          <w:szCs w:val="28"/>
        </w:rPr>
      </w:pPr>
    </w:p>
    <w:p w14:paraId="0C9A517F" w14:textId="77777777" w:rsidR="00632284" w:rsidRPr="00632284" w:rsidRDefault="00632284" w:rsidP="00632284">
      <w:pPr>
        <w:spacing w:line="480" w:lineRule="auto"/>
        <w:ind w:left="2160" w:firstLine="720"/>
        <w:jc w:val="both"/>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t>ACKNOWLEDGEMENTS</w:t>
      </w:r>
    </w:p>
    <w:p w14:paraId="369B11B8" w14:textId="1FB64921" w:rsidR="00632284" w:rsidRDefault="00632284" w:rsidP="00E5365D">
      <w:pPr>
        <w:spacing w:line="480" w:lineRule="auto"/>
        <w:jc w:val="both"/>
        <w:rPr>
          <w:rFonts w:ascii="Times New Roman" w:eastAsia="Calibri" w:hAnsi="Times New Roman" w:cs="Times New Roman"/>
          <w:bCs/>
          <w:sz w:val="28"/>
          <w:szCs w:val="28"/>
        </w:rPr>
      </w:pPr>
      <w:r w:rsidRPr="00632284">
        <w:rPr>
          <w:rFonts w:ascii="Times New Roman" w:eastAsia="Calibri" w:hAnsi="Times New Roman" w:cs="Times New Roman"/>
          <w:bCs/>
          <w:sz w:val="28"/>
          <w:szCs w:val="28"/>
        </w:rPr>
        <w:t xml:space="preserve">First and foremost, I express my profound gratitude to Almighty God for the strength, guidance, and perseverance granted to me throughout the course of this research work with the unwavering support of my parent and family. My sincere appreciation goes to my supervisor, Mr. </w:t>
      </w:r>
      <w:proofErr w:type="spellStart"/>
      <w:r w:rsidRPr="00632284">
        <w:rPr>
          <w:rFonts w:ascii="Times New Roman" w:eastAsia="Calibri" w:hAnsi="Times New Roman" w:cs="Times New Roman"/>
          <w:bCs/>
          <w:sz w:val="28"/>
          <w:szCs w:val="28"/>
        </w:rPr>
        <w:t>Olarongbe</w:t>
      </w:r>
      <w:proofErr w:type="spellEnd"/>
      <w:r w:rsidRPr="00632284">
        <w:rPr>
          <w:rFonts w:ascii="Times New Roman" w:eastAsia="Calibri" w:hAnsi="Times New Roman" w:cs="Times New Roman"/>
          <w:bCs/>
          <w:sz w:val="28"/>
          <w:szCs w:val="28"/>
        </w:rPr>
        <w:t xml:space="preserve"> G.O, for his invaluable guidance, constructive criticisms, encouragement, and support which helped shape this project from inception to completion. I would also like to thank all the academic and technical staff of the Department of science laboratory technology, institute of applied science, for their cooperation, insightful contributions, and provision of laboratory resources during the experimental phase of this study. Special thanks to my colleagues and friends for their moral support and assistance in various aspects of this project. I am also grateful to my family for their unwavering love, prayers, and encouragement throughout my academic journey. This work would not have been possible without the collective support and goodwill of all those who contributed in one way or another. GOD of </w:t>
      </w:r>
      <w:proofErr w:type="spellStart"/>
      <w:r w:rsidRPr="00632284">
        <w:rPr>
          <w:rFonts w:ascii="Times New Roman" w:eastAsia="Calibri" w:hAnsi="Times New Roman" w:cs="Times New Roman"/>
          <w:bCs/>
          <w:sz w:val="28"/>
          <w:szCs w:val="28"/>
        </w:rPr>
        <w:t>Oshoffa</w:t>
      </w:r>
      <w:proofErr w:type="spellEnd"/>
      <w:r w:rsidRPr="00632284">
        <w:rPr>
          <w:rFonts w:ascii="Times New Roman" w:eastAsia="Calibri" w:hAnsi="Times New Roman" w:cs="Times New Roman"/>
          <w:bCs/>
          <w:sz w:val="28"/>
          <w:szCs w:val="28"/>
        </w:rPr>
        <w:t xml:space="preserve"> </w:t>
      </w:r>
      <w:proofErr w:type="gramStart"/>
      <w:r w:rsidRPr="00632284">
        <w:rPr>
          <w:rFonts w:ascii="Times New Roman" w:eastAsia="Calibri" w:hAnsi="Times New Roman" w:cs="Times New Roman"/>
          <w:bCs/>
          <w:sz w:val="28"/>
          <w:szCs w:val="28"/>
        </w:rPr>
        <w:t>bless</w:t>
      </w:r>
      <w:proofErr w:type="gramEnd"/>
      <w:r w:rsidRPr="00632284">
        <w:rPr>
          <w:rFonts w:ascii="Times New Roman" w:eastAsia="Calibri" w:hAnsi="Times New Roman" w:cs="Times New Roman"/>
          <w:bCs/>
          <w:sz w:val="28"/>
          <w:szCs w:val="28"/>
        </w:rPr>
        <w:t xml:space="preserve"> you all.</w:t>
      </w:r>
    </w:p>
    <w:p w14:paraId="2F2031E2" w14:textId="77777777" w:rsidR="00E5365D" w:rsidRPr="00E5365D" w:rsidRDefault="00E5365D" w:rsidP="00E5365D">
      <w:pPr>
        <w:spacing w:line="480" w:lineRule="auto"/>
        <w:jc w:val="both"/>
        <w:rPr>
          <w:rFonts w:ascii="Times New Roman" w:eastAsia="Calibri" w:hAnsi="Times New Roman" w:cs="Times New Roman"/>
          <w:bCs/>
          <w:sz w:val="28"/>
          <w:szCs w:val="28"/>
        </w:rPr>
      </w:pPr>
    </w:p>
    <w:p w14:paraId="3A941519" w14:textId="77777777" w:rsidR="00632284" w:rsidRPr="00632284" w:rsidRDefault="00632284" w:rsidP="00632284">
      <w:pPr>
        <w:spacing w:line="360" w:lineRule="auto"/>
        <w:jc w:val="center"/>
        <w:rPr>
          <w:rFonts w:ascii="Times New Roman" w:eastAsia="Calibri" w:hAnsi="Times New Roman" w:cs="Times New Roman"/>
          <w:sz w:val="28"/>
          <w:szCs w:val="28"/>
        </w:rPr>
      </w:pPr>
      <w:r w:rsidRPr="00632284">
        <w:rPr>
          <w:rFonts w:ascii="Times New Roman" w:eastAsia="Calibri" w:hAnsi="Times New Roman" w:cs="Times New Roman"/>
          <w:b/>
          <w:bCs/>
          <w:sz w:val="28"/>
          <w:szCs w:val="28"/>
        </w:rPr>
        <w:lastRenderedPageBreak/>
        <w:t>TABLE OF CONTENTS</w:t>
      </w:r>
    </w:p>
    <w:p w14:paraId="5DFA30A1"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                                                                                                            </w:t>
      </w:r>
      <w:r w:rsidRPr="00632284">
        <w:rPr>
          <w:rFonts w:ascii="Times New Roman" w:eastAsia="Calibri" w:hAnsi="Times New Roman" w:cs="Times New Roman"/>
          <w:sz w:val="28"/>
          <w:szCs w:val="28"/>
        </w:rPr>
        <w:tab/>
        <w:t xml:space="preserve">   </w:t>
      </w:r>
    </w:p>
    <w:p w14:paraId="62287471"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TITLE PAGE -------------------------------------------------------------------------- i</w:t>
      </w:r>
    </w:p>
    <w:p w14:paraId="4507F8BA"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CERTIFICATION</w:t>
      </w:r>
      <w:r w:rsidRPr="00632284">
        <w:rPr>
          <w:rFonts w:ascii="Times New Roman" w:eastAsia="Calibri" w:hAnsi="Times New Roman" w:cs="Times New Roman"/>
          <w:sz w:val="28"/>
          <w:szCs w:val="28"/>
        </w:rPr>
        <w:tab/>
        <w:t>---------------------------------------------------------------------ii</w:t>
      </w:r>
    </w:p>
    <w:p w14:paraId="5DDDE411"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DEDICATION ------------------------------------------------------------------------iii</w:t>
      </w:r>
    </w:p>
    <w:p w14:paraId="24833A9E" w14:textId="7CE4E432"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ACKNOWLEDGEMENTS ---------------------------------------------------------iv</w:t>
      </w:r>
    </w:p>
    <w:p w14:paraId="596C7C17"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TABLE OF CONTENTS ------------------------------------------------------------vii</w:t>
      </w:r>
    </w:p>
    <w:p w14:paraId="31E15D24" w14:textId="7B837322"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LIST OF TABLES</w:t>
      </w:r>
      <w:r w:rsidRPr="00632284">
        <w:rPr>
          <w:rFonts w:ascii="Times New Roman" w:eastAsia="Calibri" w:hAnsi="Times New Roman" w:cs="Times New Roman"/>
          <w:sz w:val="28"/>
          <w:szCs w:val="28"/>
        </w:rPr>
        <w:tab/>
        <w:t xml:space="preserve"> --------------------------------------------------------------------viii</w:t>
      </w:r>
    </w:p>
    <w:p w14:paraId="2DBEFF4D" w14:textId="729097EE"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LIST OF FIGURES -------------------------------------------------------------------viii</w:t>
      </w:r>
    </w:p>
    <w:p w14:paraId="135502EB"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ABSTRACT ------------------------------------------------------------------------------ix</w:t>
      </w:r>
    </w:p>
    <w:p w14:paraId="3F5DB1F6" w14:textId="77777777" w:rsidR="00632284" w:rsidRPr="00632284" w:rsidRDefault="00632284" w:rsidP="00632284">
      <w:pPr>
        <w:spacing w:line="480" w:lineRule="auto"/>
        <w:jc w:val="both"/>
        <w:rPr>
          <w:rFonts w:ascii="Times New Roman" w:eastAsia="Calibri" w:hAnsi="Times New Roman" w:cs="Times New Roman"/>
          <w:b/>
          <w:sz w:val="28"/>
          <w:szCs w:val="28"/>
        </w:rPr>
      </w:pPr>
      <w:r w:rsidRPr="00632284">
        <w:rPr>
          <w:rFonts w:ascii="Times New Roman" w:eastAsia="Calibri" w:hAnsi="Times New Roman" w:cs="Times New Roman"/>
          <w:b/>
          <w:sz w:val="28"/>
          <w:szCs w:val="28"/>
        </w:rPr>
        <w:t xml:space="preserve">CHAPTER ONE </w:t>
      </w:r>
    </w:p>
    <w:p w14:paraId="0880F3E0" w14:textId="757C4296"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1.0</w:t>
      </w:r>
      <w:r w:rsidRPr="00632284">
        <w:rPr>
          <w:rFonts w:ascii="Times New Roman" w:eastAsia="Calibri" w:hAnsi="Times New Roman" w:cs="Times New Roman"/>
          <w:sz w:val="28"/>
          <w:szCs w:val="28"/>
        </w:rPr>
        <w:tab/>
        <w:t>Introduction</w:t>
      </w:r>
      <w:r w:rsidRPr="00632284">
        <w:rPr>
          <w:rFonts w:ascii="Times New Roman" w:eastAsia="Calibri" w:hAnsi="Times New Roman" w:cs="Times New Roman"/>
          <w:sz w:val="28"/>
          <w:szCs w:val="28"/>
        </w:rPr>
        <w:tab/>
        <w:t>-----------------------------------------------------------------------</w:t>
      </w:r>
      <w:r>
        <w:rPr>
          <w:rFonts w:ascii="Times New Roman" w:eastAsia="Calibri" w:hAnsi="Times New Roman" w:cs="Times New Roman"/>
          <w:sz w:val="28"/>
          <w:szCs w:val="28"/>
        </w:rPr>
        <w:t>-</w:t>
      </w:r>
      <w:r w:rsidRPr="00632284">
        <w:rPr>
          <w:rFonts w:ascii="Times New Roman" w:eastAsia="Calibri" w:hAnsi="Times New Roman" w:cs="Times New Roman"/>
          <w:sz w:val="28"/>
          <w:szCs w:val="28"/>
        </w:rPr>
        <w:t xml:space="preserve">3                                                  </w:t>
      </w:r>
    </w:p>
    <w:p w14:paraId="5618931E" w14:textId="1A67FF2C"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1.1</w:t>
      </w:r>
      <w:r w:rsidRPr="00632284">
        <w:rPr>
          <w:rFonts w:ascii="Times New Roman" w:eastAsia="Calibri" w:hAnsi="Times New Roman" w:cs="Times New Roman"/>
          <w:sz w:val="28"/>
          <w:szCs w:val="28"/>
        </w:rPr>
        <w:tab/>
        <w:t>Literature Review----------------------------------------------------------------11</w:t>
      </w:r>
    </w:p>
    <w:p w14:paraId="07D0CF54" w14:textId="0AD6123A"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1.2</w:t>
      </w:r>
      <w:r w:rsidRPr="00632284">
        <w:rPr>
          <w:rFonts w:ascii="Times New Roman" w:eastAsia="Calibri" w:hAnsi="Times New Roman" w:cs="Times New Roman"/>
          <w:sz w:val="28"/>
          <w:szCs w:val="28"/>
        </w:rPr>
        <w:tab/>
        <w:t>Problem Statement---------------------------------------------------------------11</w:t>
      </w:r>
    </w:p>
    <w:p w14:paraId="70AE6C6E" w14:textId="54AF8A33"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1.3</w:t>
      </w:r>
      <w:r w:rsidRPr="00632284">
        <w:rPr>
          <w:rFonts w:ascii="Times New Roman" w:eastAsia="Calibri" w:hAnsi="Times New Roman" w:cs="Times New Roman"/>
          <w:sz w:val="28"/>
          <w:szCs w:val="28"/>
        </w:rPr>
        <w:tab/>
        <w:t>Justification of Study------------------------------------------------------------12</w:t>
      </w:r>
    </w:p>
    <w:p w14:paraId="6E82AA86" w14:textId="43B02EF3"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1.4</w:t>
      </w:r>
      <w:r w:rsidRPr="00632284">
        <w:rPr>
          <w:rFonts w:ascii="Times New Roman" w:eastAsia="Calibri" w:hAnsi="Times New Roman" w:cs="Times New Roman"/>
          <w:sz w:val="28"/>
          <w:szCs w:val="28"/>
        </w:rPr>
        <w:tab/>
        <w:t>Aims and Objective--------------------------------------------------------------13</w:t>
      </w:r>
    </w:p>
    <w:p w14:paraId="25D4CC8B" w14:textId="77777777" w:rsidR="00632284" w:rsidRPr="00632284" w:rsidRDefault="00632284" w:rsidP="00632284">
      <w:pPr>
        <w:spacing w:line="480" w:lineRule="auto"/>
        <w:jc w:val="both"/>
        <w:rPr>
          <w:rFonts w:ascii="Times New Roman" w:eastAsia="Calibri" w:hAnsi="Times New Roman" w:cs="Times New Roman"/>
          <w:b/>
          <w:bCs/>
          <w:sz w:val="28"/>
          <w:szCs w:val="28"/>
        </w:rPr>
      </w:pPr>
    </w:p>
    <w:p w14:paraId="6FB7BFB1" w14:textId="77777777" w:rsidR="00632284" w:rsidRPr="00632284" w:rsidRDefault="00632284" w:rsidP="00632284">
      <w:pPr>
        <w:spacing w:line="480" w:lineRule="auto"/>
        <w:jc w:val="both"/>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t>CHAPTER TWO</w:t>
      </w:r>
    </w:p>
    <w:p w14:paraId="7741E946" w14:textId="467C2B51"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2.0</w:t>
      </w:r>
      <w:r w:rsidRPr="00632284">
        <w:rPr>
          <w:rFonts w:ascii="Times New Roman" w:eastAsia="Calibri" w:hAnsi="Times New Roman" w:cs="Times New Roman"/>
          <w:sz w:val="28"/>
          <w:szCs w:val="28"/>
        </w:rPr>
        <w:tab/>
        <w:t>Materials and Methods ---------------------------------------------------------14</w:t>
      </w:r>
    </w:p>
    <w:p w14:paraId="369F2BED" w14:textId="7B600C4B"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2.1</w:t>
      </w:r>
      <w:r w:rsidRPr="00632284">
        <w:rPr>
          <w:rFonts w:ascii="Times New Roman" w:eastAsia="Calibri" w:hAnsi="Times New Roman" w:cs="Times New Roman"/>
          <w:sz w:val="28"/>
          <w:szCs w:val="28"/>
        </w:rPr>
        <w:tab/>
        <w:t>Samples Collection and Location ---------------------------------------------14</w:t>
      </w:r>
    </w:p>
    <w:p w14:paraId="1364E291" w14:textId="0733DD3B"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2.2</w:t>
      </w:r>
      <w:r w:rsidRPr="00632284">
        <w:rPr>
          <w:rFonts w:ascii="Times New Roman" w:eastAsia="Calibri" w:hAnsi="Times New Roman" w:cs="Times New Roman"/>
          <w:sz w:val="28"/>
          <w:szCs w:val="28"/>
        </w:rPr>
        <w:tab/>
        <w:t>Sterilization of Equipment and Environment</w:t>
      </w:r>
      <w:r w:rsidRPr="00632284">
        <w:rPr>
          <w:rFonts w:ascii="Times New Roman" w:eastAsia="Calibri" w:hAnsi="Times New Roman" w:cs="Times New Roman"/>
          <w:sz w:val="28"/>
          <w:szCs w:val="28"/>
        </w:rPr>
        <w:tab/>
        <w:t xml:space="preserve"> -------------------------------14</w:t>
      </w:r>
    </w:p>
    <w:p w14:paraId="20548262" w14:textId="0CC2F55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2.3</w:t>
      </w:r>
      <w:r w:rsidRPr="00632284">
        <w:rPr>
          <w:rFonts w:ascii="Times New Roman" w:eastAsia="Calibri" w:hAnsi="Times New Roman" w:cs="Times New Roman"/>
          <w:sz w:val="28"/>
          <w:szCs w:val="28"/>
        </w:rPr>
        <w:tab/>
        <w:t xml:space="preserve"> Media Preparation</w:t>
      </w:r>
      <w:r w:rsidRPr="00632284">
        <w:rPr>
          <w:rFonts w:ascii="Times New Roman" w:eastAsia="Calibri" w:hAnsi="Times New Roman" w:cs="Times New Roman"/>
          <w:sz w:val="28"/>
          <w:szCs w:val="28"/>
        </w:rPr>
        <w:tab/>
        <w:t>for fungal isolation ---------------------------------------14</w:t>
      </w:r>
    </w:p>
    <w:p w14:paraId="651ABBCC" w14:textId="681AE06F"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2.3.1   Sample Preparation and </w:t>
      </w:r>
      <w:r w:rsidRPr="00632284">
        <w:rPr>
          <w:rFonts w:ascii="Times New Roman" w:eastAsia="Calibri" w:hAnsi="Times New Roman" w:cs="Times New Roman"/>
          <w:sz w:val="28"/>
          <w:szCs w:val="28"/>
        </w:rPr>
        <w:tab/>
        <w:t>Culturing -----------------------------------------</w:t>
      </w:r>
      <w:r>
        <w:rPr>
          <w:rFonts w:ascii="Times New Roman" w:eastAsia="Calibri" w:hAnsi="Times New Roman" w:cs="Times New Roman"/>
          <w:sz w:val="28"/>
          <w:szCs w:val="28"/>
        </w:rPr>
        <w:t>-</w:t>
      </w:r>
      <w:r w:rsidRPr="00632284">
        <w:rPr>
          <w:rFonts w:ascii="Times New Roman" w:eastAsia="Calibri" w:hAnsi="Times New Roman" w:cs="Times New Roman"/>
          <w:sz w:val="28"/>
          <w:szCs w:val="28"/>
        </w:rPr>
        <w:t>16</w:t>
      </w:r>
    </w:p>
    <w:p w14:paraId="4DA364EA" w14:textId="7EA3C81F"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2.3.2   Morphological Characteristics of Isolates -----------------------------------17</w:t>
      </w:r>
    </w:p>
    <w:p w14:paraId="10633CC1" w14:textId="32CA644E" w:rsidR="00632284" w:rsidRPr="00632284" w:rsidRDefault="00632284" w:rsidP="00632284">
      <w:pPr>
        <w:spacing w:after="160" w:line="480" w:lineRule="auto"/>
        <w:jc w:val="both"/>
        <w:rPr>
          <w:rFonts w:ascii="Times New Roman" w:eastAsia="Calibri" w:hAnsi="Times New Roman" w:cs="Times New Roman"/>
          <w:b/>
          <w:sz w:val="28"/>
          <w:szCs w:val="28"/>
        </w:rPr>
      </w:pPr>
      <w:r w:rsidRPr="00632284">
        <w:rPr>
          <w:rFonts w:ascii="Times New Roman" w:eastAsia="Calibri" w:hAnsi="Times New Roman" w:cs="Times New Roman"/>
          <w:sz w:val="28"/>
          <w:szCs w:val="28"/>
        </w:rPr>
        <w:t>2.4</w:t>
      </w:r>
      <w:r w:rsidRPr="00632284">
        <w:rPr>
          <w:rFonts w:ascii="Times New Roman" w:eastAsia="Calibri" w:hAnsi="Times New Roman" w:cs="Times New Roman"/>
          <w:sz w:val="28"/>
          <w:szCs w:val="28"/>
        </w:rPr>
        <w:tab/>
        <w:t>Toxin production</w:t>
      </w:r>
      <w:r w:rsidRPr="00632284">
        <w:rPr>
          <w:rFonts w:ascii="Times New Roman" w:eastAsia="Calibri" w:hAnsi="Times New Roman" w:cs="Times New Roman"/>
          <w:b/>
          <w:sz w:val="28"/>
          <w:szCs w:val="28"/>
        </w:rPr>
        <w:t xml:space="preserve"> ----------------------------------------------------------------</w:t>
      </w:r>
      <w:r w:rsidRPr="00632284">
        <w:rPr>
          <w:rFonts w:ascii="Times New Roman" w:eastAsia="Calibri" w:hAnsi="Times New Roman" w:cs="Times New Roman"/>
          <w:sz w:val="28"/>
          <w:szCs w:val="28"/>
        </w:rPr>
        <w:t>17</w:t>
      </w:r>
    </w:p>
    <w:p w14:paraId="4A1E6020" w14:textId="1F5D9298"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2.4.1   Toxin Extraction ----------------------------------------------------------------17</w:t>
      </w:r>
    </w:p>
    <w:p w14:paraId="0A5A8551" w14:textId="1536E584"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2.4.2 Preparation of various toxin Concentrations ---------------------------------17</w:t>
      </w:r>
    </w:p>
    <w:p w14:paraId="4DB93829" w14:textId="59A83EE6"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2.5 Experimental Animals and Grouping --------------------------------------------19</w:t>
      </w:r>
    </w:p>
    <w:p w14:paraId="55AC5E86" w14:textId="5BC3E6FD"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2.5.1</w:t>
      </w:r>
      <w:r w:rsidRPr="00632284">
        <w:rPr>
          <w:rFonts w:ascii="Times New Roman" w:eastAsia="Calibri" w:hAnsi="Times New Roman" w:cs="Times New Roman"/>
          <w:sz w:val="28"/>
          <w:szCs w:val="28"/>
        </w:rPr>
        <w:tab/>
        <w:t>Toxin Administration -----------------------------------------------------------19</w:t>
      </w:r>
    </w:p>
    <w:p w14:paraId="50B32E85" w14:textId="26BC1073"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2.5.2</w:t>
      </w:r>
      <w:r w:rsidRPr="00632284">
        <w:rPr>
          <w:rFonts w:ascii="Times New Roman" w:eastAsia="Calibri" w:hAnsi="Times New Roman" w:cs="Times New Roman"/>
          <w:sz w:val="28"/>
          <w:szCs w:val="28"/>
        </w:rPr>
        <w:tab/>
        <w:t>Dissection and Post-Mortem Examination-----------------------------------19</w:t>
      </w:r>
    </w:p>
    <w:p w14:paraId="050C771E"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b/>
          <w:bCs/>
          <w:sz w:val="28"/>
          <w:szCs w:val="28"/>
        </w:rPr>
        <w:t>CHAPTER THREE</w:t>
      </w:r>
    </w:p>
    <w:p w14:paraId="4A42625C"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b/>
          <w:sz w:val="28"/>
          <w:szCs w:val="28"/>
        </w:rPr>
        <w:t>3.0</w:t>
      </w:r>
      <w:r w:rsidRPr="00632284">
        <w:rPr>
          <w:rFonts w:ascii="Times New Roman" w:eastAsia="Calibri" w:hAnsi="Times New Roman" w:cs="Times New Roman"/>
          <w:b/>
          <w:sz w:val="28"/>
          <w:szCs w:val="28"/>
        </w:rPr>
        <w:tab/>
        <w:t xml:space="preserve"> Results</w:t>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p>
    <w:p w14:paraId="6FC4408E" w14:textId="1E395A26"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lastRenderedPageBreak/>
        <w:t xml:space="preserve">3.1 </w:t>
      </w:r>
      <w:r w:rsidRPr="00632284">
        <w:rPr>
          <w:rFonts w:ascii="Times New Roman" w:eastAsia="Calibri" w:hAnsi="Times New Roman" w:cs="Times New Roman"/>
          <w:sz w:val="28"/>
          <w:szCs w:val="28"/>
        </w:rPr>
        <w:tab/>
        <w:t>Characterization and Identification of Fungal Isolate --------------------- 20</w:t>
      </w:r>
    </w:p>
    <w:p w14:paraId="56ED7F52" w14:textId="3E9E6E51"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3.2   Daily Observation During Toxin Administration for four days ------------21</w:t>
      </w:r>
    </w:p>
    <w:p w14:paraId="703A50D1" w14:textId="6C4D8B41"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3.3     Post-Mortem Gross Pathological Findings-----------------------------------25                                                           </w:t>
      </w:r>
    </w:p>
    <w:p w14:paraId="083B4E93" w14:textId="77777777" w:rsidR="00632284" w:rsidRPr="00632284" w:rsidRDefault="00632284" w:rsidP="00632284">
      <w:pPr>
        <w:spacing w:line="480" w:lineRule="auto"/>
        <w:jc w:val="both"/>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t xml:space="preserve">CHAPTER FOUR </w:t>
      </w:r>
    </w:p>
    <w:p w14:paraId="66421F90" w14:textId="77777777" w:rsidR="00632284" w:rsidRPr="00632284" w:rsidRDefault="00632284" w:rsidP="00632284">
      <w:pPr>
        <w:spacing w:line="480" w:lineRule="auto"/>
        <w:jc w:val="both"/>
        <w:rPr>
          <w:rFonts w:ascii="Times New Roman" w:eastAsia="Calibri" w:hAnsi="Times New Roman" w:cs="Times New Roman"/>
          <w:b/>
          <w:sz w:val="28"/>
          <w:szCs w:val="28"/>
        </w:rPr>
      </w:pPr>
      <w:r w:rsidRPr="00632284">
        <w:rPr>
          <w:rFonts w:ascii="Times New Roman" w:eastAsia="Calibri" w:hAnsi="Times New Roman" w:cs="Times New Roman"/>
          <w:b/>
          <w:sz w:val="28"/>
          <w:szCs w:val="28"/>
        </w:rPr>
        <w:t>4.0</w:t>
      </w:r>
      <w:r w:rsidRPr="00632284">
        <w:rPr>
          <w:rFonts w:ascii="Times New Roman" w:eastAsia="Calibri" w:hAnsi="Times New Roman" w:cs="Times New Roman"/>
          <w:b/>
          <w:sz w:val="28"/>
          <w:szCs w:val="28"/>
        </w:rPr>
        <w:tab/>
        <w:t>Discussion and Conclusion</w:t>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r w:rsidRPr="00632284">
        <w:rPr>
          <w:rFonts w:ascii="Times New Roman" w:eastAsia="Calibri" w:hAnsi="Times New Roman" w:cs="Times New Roman"/>
          <w:b/>
          <w:sz w:val="28"/>
          <w:szCs w:val="28"/>
        </w:rPr>
        <w:tab/>
      </w:r>
    </w:p>
    <w:p w14:paraId="11C1C011" w14:textId="7A035DAF"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4.1 </w:t>
      </w:r>
      <w:r w:rsidRPr="00632284">
        <w:rPr>
          <w:rFonts w:ascii="Times New Roman" w:eastAsia="Calibri" w:hAnsi="Times New Roman" w:cs="Times New Roman"/>
          <w:sz w:val="28"/>
          <w:szCs w:val="28"/>
        </w:rPr>
        <w:tab/>
        <w:t xml:space="preserve">Discussion -------------------------------------------------------------------- ---28        </w:t>
      </w:r>
    </w:p>
    <w:p w14:paraId="50F1FD1A" w14:textId="41A1DF61"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4.2 </w:t>
      </w:r>
      <w:r w:rsidRPr="00632284">
        <w:rPr>
          <w:rFonts w:ascii="Times New Roman" w:eastAsia="Calibri" w:hAnsi="Times New Roman" w:cs="Times New Roman"/>
          <w:sz w:val="28"/>
          <w:szCs w:val="28"/>
        </w:rPr>
        <w:tab/>
        <w:t>Conclusion------------------------------------------------------------------------29</w:t>
      </w:r>
    </w:p>
    <w:p w14:paraId="6E87BFBC" w14:textId="788411AF"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4.2 </w:t>
      </w:r>
      <w:r w:rsidRPr="00632284">
        <w:rPr>
          <w:rFonts w:ascii="Times New Roman" w:eastAsia="Calibri" w:hAnsi="Times New Roman" w:cs="Times New Roman"/>
          <w:sz w:val="28"/>
          <w:szCs w:val="28"/>
        </w:rPr>
        <w:tab/>
        <w:t>Recommendation---------------------------------------------------------------- 30</w:t>
      </w:r>
    </w:p>
    <w:p w14:paraId="68D381B6" w14:textId="738CB83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REFERENCES --------------------------------------------------------------------------31</w:t>
      </w:r>
    </w:p>
    <w:p w14:paraId="15240B0C" w14:textId="77777777" w:rsidR="00632284" w:rsidRPr="00632284" w:rsidRDefault="00632284" w:rsidP="00632284">
      <w:pPr>
        <w:tabs>
          <w:tab w:val="left" w:pos="3780"/>
        </w:tabs>
        <w:spacing w:line="480" w:lineRule="auto"/>
        <w:jc w:val="both"/>
        <w:rPr>
          <w:rFonts w:ascii="Times New Roman" w:eastAsia="Calibri" w:hAnsi="Times New Roman" w:cs="Times New Roman"/>
          <w:sz w:val="28"/>
          <w:szCs w:val="28"/>
        </w:rPr>
      </w:pPr>
    </w:p>
    <w:p w14:paraId="22C87C5D" w14:textId="77777777" w:rsidR="00632284" w:rsidRPr="00632284" w:rsidRDefault="00632284" w:rsidP="00632284">
      <w:pPr>
        <w:tabs>
          <w:tab w:val="left" w:pos="3780"/>
        </w:tabs>
        <w:spacing w:line="480" w:lineRule="auto"/>
        <w:jc w:val="both"/>
        <w:rPr>
          <w:rFonts w:ascii="Times New Roman" w:eastAsia="Calibri" w:hAnsi="Times New Roman" w:cs="Times New Roman"/>
          <w:sz w:val="28"/>
          <w:szCs w:val="28"/>
        </w:rPr>
      </w:pPr>
    </w:p>
    <w:p w14:paraId="2C10409F" w14:textId="77777777" w:rsidR="00632284" w:rsidRPr="00632284" w:rsidRDefault="00632284" w:rsidP="00632284">
      <w:pPr>
        <w:tabs>
          <w:tab w:val="left" w:pos="3780"/>
        </w:tabs>
        <w:spacing w:line="480" w:lineRule="auto"/>
        <w:jc w:val="both"/>
        <w:rPr>
          <w:rFonts w:ascii="Times New Roman" w:eastAsia="Calibri" w:hAnsi="Times New Roman" w:cs="Times New Roman"/>
          <w:sz w:val="28"/>
          <w:szCs w:val="28"/>
        </w:rPr>
      </w:pPr>
    </w:p>
    <w:p w14:paraId="068BD062" w14:textId="58017CA6" w:rsidR="00632284" w:rsidRDefault="00632284" w:rsidP="00632284">
      <w:pPr>
        <w:spacing w:before="100" w:beforeAutospacing="1" w:line="360" w:lineRule="auto"/>
        <w:jc w:val="both"/>
        <w:rPr>
          <w:rFonts w:ascii="Times New Roman" w:eastAsia="Calibri" w:hAnsi="Times New Roman" w:cs="Times New Roman"/>
          <w:sz w:val="28"/>
          <w:szCs w:val="28"/>
        </w:rPr>
      </w:pPr>
    </w:p>
    <w:p w14:paraId="4C17CBC4" w14:textId="47F0F86B" w:rsidR="00075199" w:rsidRDefault="00075199" w:rsidP="00632284">
      <w:pPr>
        <w:spacing w:before="100" w:beforeAutospacing="1" w:line="360" w:lineRule="auto"/>
        <w:jc w:val="both"/>
        <w:rPr>
          <w:rFonts w:ascii="Times New Roman" w:eastAsia="Calibri" w:hAnsi="Times New Roman" w:cs="Times New Roman"/>
          <w:sz w:val="28"/>
          <w:szCs w:val="28"/>
        </w:rPr>
      </w:pPr>
    </w:p>
    <w:p w14:paraId="0276EF06" w14:textId="27BC7DF7" w:rsidR="00075199" w:rsidRDefault="00075199" w:rsidP="00632284">
      <w:pPr>
        <w:spacing w:before="100" w:beforeAutospacing="1" w:line="360" w:lineRule="auto"/>
        <w:jc w:val="both"/>
        <w:rPr>
          <w:rFonts w:ascii="Times New Roman" w:eastAsia="Calibri" w:hAnsi="Times New Roman" w:cs="Times New Roman"/>
          <w:sz w:val="28"/>
          <w:szCs w:val="28"/>
        </w:rPr>
      </w:pPr>
    </w:p>
    <w:p w14:paraId="05393CD6" w14:textId="7FDF8886" w:rsidR="00075199" w:rsidRDefault="00075199" w:rsidP="00632284">
      <w:pPr>
        <w:spacing w:before="100" w:beforeAutospacing="1" w:line="360" w:lineRule="auto"/>
        <w:jc w:val="both"/>
        <w:rPr>
          <w:rFonts w:ascii="Times New Roman" w:eastAsia="Calibri" w:hAnsi="Times New Roman" w:cs="Times New Roman"/>
          <w:sz w:val="28"/>
          <w:szCs w:val="28"/>
        </w:rPr>
      </w:pPr>
    </w:p>
    <w:p w14:paraId="3D857205" w14:textId="77777777" w:rsidR="00075199" w:rsidRPr="00632284" w:rsidRDefault="00075199" w:rsidP="00632284">
      <w:pPr>
        <w:spacing w:before="100" w:beforeAutospacing="1" w:line="360" w:lineRule="auto"/>
        <w:jc w:val="both"/>
        <w:rPr>
          <w:rFonts w:ascii="Times New Roman" w:eastAsia="Calibri" w:hAnsi="Times New Roman" w:cs="Times New Roman"/>
          <w:sz w:val="28"/>
          <w:szCs w:val="28"/>
        </w:rPr>
      </w:pPr>
    </w:p>
    <w:p w14:paraId="3CC5F10E" w14:textId="77777777" w:rsidR="00632284" w:rsidRPr="00632284" w:rsidRDefault="00632284" w:rsidP="00632284">
      <w:pPr>
        <w:spacing w:line="480" w:lineRule="auto"/>
        <w:jc w:val="center"/>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lastRenderedPageBreak/>
        <w:t>LIST OF TABLES</w:t>
      </w:r>
    </w:p>
    <w:p w14:paraId="10BD7B6F"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Table 1:  Identification of Fungal Isolate after culturing</w:t>
      </w:r>
      <w:r w:rsidRPr="00632284">
        <w:rPr>
          <w:rFonts w:ascii="Times New Roman" w:eastAsia="Calibri" w:hAnsi="Times New Roman" w:cs="Times New Roman"/>
          <w:sz w:val="28"/>
          <w:szCs w:val="28"/>
        </w:rPr>
        <w:tab/>
      </w:r>
      <w:r w:rsidRPr="00632284">
        <w:rPr>
          <w:rFonts w:ascii="Times New Roman" w:eastAsia="Calibri" w:hAnsi="Times New Roman" w:cs="Times New Roman"/>
          <w:sz w:val="28"/>
          <w:szCs w:val="28"/>
        </w:rPr>
        <w:tab/>
      </w:r>
    </w:p>
    <w:p w14:paraId="50350087"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Table 2:  Daily Observation During Toxin Administration for four days</w:t>
      </w:r>
    </w:p>
    <w:p w14:paraId="1C622585" w14:textId="77777777" w:rsidR="00632284" w:rsidRPr="00632284" w:rsidRDefault="00632284" w:rsidP="00632284">
      <w:pPr>
        <w:spacing w:before="100" w:beforeAutospacing="1"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Table 3:  Post-Mortem Gross Pathological Findings</w:t>
      </w:r>
      <w:r w:rsidRPr="00632284">
        <w:rPr>
          <w:rFonts w:ascii="Times New Roman" w:eastAsia="Calibri" w:hAnsi="Times New Roman" w:cs="Times New Roman"/>
          <w:sz w:val="28"/>
          <w:szCs w:val="28"/>
        </w:rPr>
        <w:tab/>
      </w:r>
    </w:p>
    <w:p w14:paraId="7C46170F" w14:textId="77777777" w:rsidR="00632284" w:rsidRPr="00632284" w:rsidRDefault="00632284" w:rsidP="00632284">
      <w:pPr>
        <w:spacing w:line="480" w:lineRule="auto"/>
        <w:jc w:val="center"/>
        <w:rPr>
          <w:rFonts w:ascii="Times New Roman" w:eastAsia="Calibri" w:hAnsi="Times New Roman" w:cs="Times New Roman"/>
          <w:b/>
          <w:bCs/>
          <w:sz w:val="28"/>
          <w:szCs w:val="28"/>
        </w:rPr>
      </w:pPr>
      <w:r w:rsidRPr="00632284">
        <w:rPr>
          <w:rFonts w:ascii="Times New Roman" w:eastAsia="Calibri" w:hAnsi="Times New Roman" w:cs="Times New Roman"/>
          <w:b/>
          <w:bCs/>
          <w:sz w:val="28"/>
          <w:szCs w:val="28"/>
        </w:rPr>
        <w:t>LIST OF FIGURES</w:t>
      </w:r>
    </w:p>
    <w:p w14:paraId="27EFA00C" w14:textId="77777777" w:rsidR="00632284" w:rsidRPr="00632284" w:rsidRDefault="00632284" w:rsidP="00632284">
      <w:pPr>
        <w:spacing w:line="480" w:lineRule="auto"/>
        <w:rPr>
          <w:rFonts w:ascii="Times New Roman" w:eastAsia="Calibri" w:hAnsi="Times New Roman" w:cs="Times New Roman"/>
          <w:b/>
          <w:bCs/>
          <w:sz w:val="28"/>
          <w:szCs w:val="28"/>
        </w:rPr>
      </w:pPr>
      <w:r w:rsidRPr="00632284">
        <w:rPr>
          <w:rFonts w:ascii="Times New Roman" w:eastAsia="Calibri" w:hAnsi="Times New Roman" w:cs="Times New Roman"/>
          <w:bCs/>
          <w:sz w:val="28"/>
          <w:szCs w:val="28"/>
        </w:rPr>
        <w:t>Figure 1:</w:t>
      </w:r>
      <w:r w:rsidRPr="00632284">
        <w:rPr>
          <w:rFonts w:ascii="Times New Roman" w:eastAsia="Calibri" w:hAnsi="Times New Roman" w:cs="Times New Roman"/>
          <w:sz w:val="28"/>
          <w:szCs w:val="28"/>
        </w:rPr>
        <w:t xml:space="preserve"> Colonies on PDA              </w:t>
      </w:r>
    </w:p>
    <w:p w14:paraId="2EDBC11B" w14:textId="77777777" w:rsidR="00632284" w:rsidRPr="00632284" w:rsidRDefault="00632284" w:rsidP="00632284">
      <w:pPr>
        <w:spacing w:line="480" w:lineRule="auto"/>
        <w:jc w:val="both"/>
        <w:rPr>
          <w:rFonts w:ascii="Times New Roman" w:eastAsia="Calibri" w:hAnsi="Times New Roman" w:cs="Times New Roman"/>
          <w:i/>
          <w:sz w:val="28"/>
          <w:szCs w:val="28"/>
        </w:rPr>
      </w:pPr>
      <w:r w:rsidRPr="00632284">
        <w:rPr>
          <w:rFonts w:ascii="Times New Roman" w:eastAsia="Calibri" w:hAnsi="Times New Roman" w:cs="Times New Roman"/>
          <w:sz w:val="28"/>
          <w:szCs w:val="28"/>
        </w:rPr>
        <w:t xml:space="preserve">Figure 2: Microscopic view of </w:t>
      </w:r>
      <w:proofErr w:type="spellStart"/>
      <w:r w:rsidRPr="00632284">
        <w:rPr>
          <w:rFonts w:ascii="Times New Roman" w:eastAsia="Calibri" w:hAnsi="Times New Roman" w:cs="Times New Roman"/>
          <w:i/>
          <w:sz w:val="28"/>
          <w:szCs w:val="28"/>
        </w:rPr>
        <w:t>Aspergillus</w:t>
      </w:r>
      <w:proofErr w:type="spellEnd"/>
      <w:r w:rsidRPr="00632284">
        <w:rPr>
          <w:rFonts w:ascii="Times New Roman" w:eastAsia="Calibri" w:hAnsi="Times New Roman" w:cs="Times New Roman"/>
          <w:i/>
          <w:sz w:val="28"/>
          <w:szCs w:val="28"/>
        </w:rPr>
        <w:t xml:space="preserve"> </w:t>
      </w:r>
      <w:proofErr w:type="spellStart"/>
      <w:r w:rsidRPr="00632284">
        <w:rPr>
          <w:rFonts w:ascii="Times New Roman" w:eastAsia="Calibri" w:hAnsi="Times New Roman" w:cs="Times New Roman"/>
          <w:i/>
          <w:sz w:val="28"/>
          <w:szCs w:val="28"/>
        </w:rPr>
        <w:t>niger</w:t>
      </w:r>
      <w:proofErr w:type="spellEnd"/>
    </w:p>
    <w:p w14:paraId="3F8BECFE"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Figure 3: </w:t>
      </w:r>
      <w:r w:rsidRPr="00632284">
        <w:rPr>
          <w:rFonts w:ascii="Times New Roman" w:eastAsia="Calibri" w:hAnsi="Times New Roman" w:cs="Times New Roman"/>
          <w:bCs/>
          <w:sz w:val="28"/>
          <w:szCs w:val="28"/>
        </w:rPr>
        <w:t>Cumulative frequency chart for 100% conc</w:t>
      </w:r>
      <w:r w:rsidRPr="00632284">
        <w:rPr>
          <w:rFonts w:ascii="Times New Roman" w:eastAsia="Calibri" w:hAnsi="Times New Roman" w:cs="Times New Roman"/>
          <w:sz w:val="28"/>
          <w:szCs w:val="28"/>
        </w:rPr>
        <w:t>. Red rat</w:t>
      </w:r>
    </w:p>
    <w:p w14:paraId="760FB159"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Figure 4: </w:t>
      </w:r>
      <w:r w:rsidRPr="00632284">
        <w:rPr>
          <w:rFonts w:ascii="Times New Roman" w:eastAsia="Calibri" w:hAnsi="Times New Roman" w:cs="Times New Roman"/>
          <w:bCs/>
          <w:sz w:val="28"/>
          <w:szCs w:val="28"/>
        </w:rPr>
        <w:t>Cumulative frequency chart for 80% conc</w:t>
      </w:r>
      <w:r w:rsidRPr="00632284">
        <w:rPr>
          <w:rFonts w:ascii="Times New Roman" w:eastAsia="Calibri" w:hAnsi="Times New Roman" w:cs="Times New Roman"/>
          <w:sz w:val="28"/>
          <w:szCs w:val="28"/>
        </w:rPr>
        <w:t>. Red rat</w:t>
      </w:r>
    </w:p>
    <w:p w14:paraId="5313A4CF"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Figure 5: </w:t>
      </w:r>
      <w:r w:rsidRPr="00632284">
        <w:rPr>
          <w:rFonts w:ascii="Times New Roman" w:eastAsia="Calibri" w:hAnsi="Times New Roman" w:cs="Times New Roman"/>
          <w:bCs/>
          <w:sz w:val="28"/>
          <w:szCs w:val="28"/>
        </w:rPr>
        <w:t>Cumulative frequency chart for 60% conc</w:t>
      </w:r>
      <w:r w:rsidRPr="00632284">
        <w:rPr>
          <w:rFonts w:ascii="Times New Roman" w:eastAsia="Calibri" w:hAnsi="Times New Roman" w:cs="Times New Roman"/>
          <w:sz w:val="28"/>
          <w:szCs w:val="28"/>
        </w:rPr>
        <w:t>. Red rat</w:t>
      </w:r>
    </w:p>
    <w:p w14:paraId="33A66E3E" w14:textId="77777777"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Figure 6: </w:t>
      </w:r>
      <w:r w:rsidRPr="00632284">
        <w:rPr>
          <w:rFonts w:ascii="Times New Roman" w:eastAsia="Calibri" w:hAnsi="Times New Roman" w:cs="Times New Roman"/>
          <w:bCs/>
          <w:sz w:val="28"/>
          <w:szCs w:val="28"/>
        </w:rPr>
        <w:t>Cumulative frequency chart for 50% conc</w:t>
      </w:r>
      <w:r w:rsidRPr="00632284">
        <w:rPr>
          <w:rFonts w:ascii="Times New Roman" w:eastAsia="Calibri" w:hAnsi="Times New Roman" w:cs="Times New Roman"/>
          <w:sz w:val="28"/>
          <w:szCs w:val="28"/>
        </w:rPr>
        <w:t>. Red rat</w:t>
      </w:r>
    </w:p>
    <w:p w14:paraId="58773DD1" w14:textId="36A1AD93" w:rsidR="00632284" w:rsidRPr="00632284" w:rsidRDefault="00632284" w:rsidP="00632284">
      <w:pPr>
        <w:spacing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Figure 7: Showing Total Weight Loss After Toxin Exposure</w:t>
      </w:r>
    </w:p>
    <w:p w14:paraId="718B683E" w14:textId="28985389" w:rsidR="00632284" w:rsidRDefault="00632284" w:rsidP="00632284">
      <w:pPr>
        <w:tabs>
          <w:tab w:val="left" w:pos="3780"/>
        </w:tabs>
        <w:spacing w:line="480" w:lineRule="auto"/>
        <w:jc w:val="both"/>
        <w:rPr>
          <w:rFonts w:ascii="Times New Roman" w:eastAsia="Calibri" w:hAnsi="Times New Roman" w:cs="Times New Roman"/>
          <w:sz w:val="28"/>
          <w:szCs w:val="28"/>
        </w:rPr>
      </w:pPr>
    </w:p>
    <w:p w14:paraId="76C989BB" w14:textId="2CB5B868" w:rsidR="00F1124C" w:rsidRDefault="00F1124C" w:rsidP="00632284">
      <w:pPr>
        <w:tabs>
          <w:tab w:val="left" w:pos="3780"/>
        </w:tabs>
        <w:spacing w:line="480" w:lineRule="auto"/>
        <w:jc w:val="both"/>
        <w:rPr>
          <w:rFonts w:ascii="Times New Roman" w:eastAsia="Calibri" w:hAnsi="Times New Roman" w:cs="Times New Roman"/>
          <w:sz w:val="28"/>
          <w:szCs w:val="28"/>
        </w:rPr>
      </w:pPr>
    </w:p>
    <w:p w14:paraId="52702FCB" w14:textId="34E6598F" w:rsidR="00F1124C" w:rsidRDefault="00F1124C" w:rsidP="00632284">
      <w:pPr>
        <w:tabs>
          <w:tab w:val="left" w:pos="3780"/>
        </w:tabs>
        <w:spacing w:line="480" w:lineRule="auto"/>
        <w:jc w:val="both"/>
        <w:rPr>
          <w:rFonts w:ascii="Times New Roman" w:eastAsia="Calibri" w:hAnsi="Times New Roman" w:cs="Times New Roman"/>
          <w:sz w:val="28"/>
          <w:szCs w:val="28"/>
        </w:rPr>
      </w:pPr>
    </w:p>
    <w:p w14:paraId="0406A27D" w14:textId="77777777" w:rsidR="00F1124C" w:rsidRPr="00632284" w:rsidRDefault="00F1124C" w:rsidP="00632284">
      <w:pPr>
        <w:tabs>
          <w:tab w:val="left" w:pos="3780"/>
        </w:tabs>
        <w:spacing w:line="480" w:lineRule="auto"/>
        <w:jc w:val="both"/>
        <w:rPr>
          <w:rFonts w:ascii="Times New Roman" w:eastAsia="Calibri" w:hAnsi="Times New Roman" w:cs="Times New Roman"/>
          <w:sz w:val="28"/>
          <w:szCs w:val="28"/>
        </w:rPr>
      </w:pPr>
    </w:p>
    <w:p w14:paraId="0C2B1341" w14:textId="77777777" w:rsidR="00632284" w:rsidRPr="00632284" w:rsidRDefault="00632284" w:rsidP="00632284">
      <w:pPr>
        <w:spacing w:before="100" w:beforeAutospacing="1" w:line="360" w:lineRule="auto"/>
        <w:jc w:val="center"/>
        <w:rPr>
          <w:rFonts w:ascii="Times New Roman" w:eastAsia="Calibri" w:hAnsi="Times New Roman" w:cs="Times New Roman"/>
          <w:b/>
          <w:sz w:val="28"/>
          <w:szCs w:val="28"/>
        </w:rPr>
      </w:pPr>
      <w:r w:rsidRPr="00632284">
        <w:rPr>
          <w:rFonts w:ascii="Times New Roman" w:eastAsia="Calibri" w:hAnsi="Times New Roman" w:cs="Times New Roman"/>
          <w:b/>
          <w:sz w:val="28"/>
          <w:szCs w:val="28"/>
        </w:rPr>
        <w:lastRenderedPageBreak/>
        <w:t>ABSTRACT</w:t>
      </w:r>
    </w:p>
    <w:p w14:paraId="4F3237E3" w14:textId="0A64392B" w:rsidR="00632284" w:rsidRPr="00632284" w:rsidRDefault="00632284" w:rsidP="00F1124C">
      <w:pPr>
        <w:spacing w:before="100" w:beforeAutospacing="1" w:line="480" w:lineRule="auto"/>
        <w:jc w:val="both"/>
        <w:rPr>
          <w:rFonts w:ascii="Times New Roman" w:eastAsia="Calibri" w:hAnsi="Times New Roman" w:cs="Times New Roman"/>
          <w:sz w:val="28"/>
          <w:szCs w:val="28"/>
        </w:rPr>
      </w:pPr>
      <w:r w:rsidRPr="00632284">
        <w:rPr>
          <w:rFonts w:ascii="Times New Roman" w:eastAsia="Calibri" w:hAnsi="Times New Roman" w:cs="Times New Roman"/>
          <w:sz w:val="28"/>
          <w:szCs w:val="28"/>
        </w:rPr>
        <w:t xml:space="preserve">This study investigated the potency of toxins produced by </w:t>
      </w:r>
      <w:proofErr w:type="spellStart"/>
      <w:r w:rsidRPr="00632284">
        <w:rPr>
          <w:rFonts w:ascii="Times New Roman" w:eastAsia="Calibri" w:hAnsi="Times New Roman" w:cs="Times New Roman"/>
          <w:i/>
          <w:sz w:val="28"/>
          <w:szCs w:val="28"/>
        </w:rPr>
        <w:t>Aspergillus</w:t>
      </w:r>
      <w:proofErr w:type="spellEnd"/>
      <w:r w:rsidRPr="00632284">
        <w:rPr>
          <w:rFonts w:ascii="Times New Roman" w:eastAsia="Calibri" w:hAnsi="Times New Roman" w:cs="Times New Roman"/>
          <w:i/>
          <w:sz w:val="28"/>
          <w:szCs w:val="28"/>
        </w:rPr>
        <w:t xml:space="preserve"> </w:t>
      </w:r>
      <w:proofErr w:type="spellStart"/>
      <w:r w:rsidRPr="00632284">
        <w:rPr>
          <w:rFonts w:ascii="Times New Roman" w:eastAsia="Calibri" w:hAnsi="Times New Roman" w:cs="Times New Roman"/>
          <w:i/>
          <w:sz w:val="28"/>
          <w:szCs w:val="28"/>
        </w:rPr>
        <w:t>niger</w:t>
      </w:r>
      <w:proofErr w:type="spellEnd"/>
      <w:r w:rsidRPr="00632284">
        <w:rPr>
          <w:rFonts w:ascii="Times New Roman" w:eastAsia="Calibri" w:hAnsi="Times New Roman" w:cs="Times New Roman"/>
          <w:sz w:val="28"/>
          <w:szCs w:val="28"/>
        </w:rPr>
        <w:t xml:space="preserve"> using a combination of microbiological and toxicological methods. </w:t>
      </w:r>
      <w:proofErr w:type="spellStart"/>
      <w:r w:rsidRPr="00632284">
        <w:rPr>
          <w:rFonts w:ascii="Times New Roman" w:eastAsia="Calibri" w:hAnsi="Times New Roman" w:cs="Times New Roman"/>
          <w:i/>
          <w:sz w:val="28"/>
          <w:szCs w:val="28"/>
        </w:rPr>
        <w:t>Aspergillus</w:t>
      </w:r>
      <w:proofErr w:type="spellEnd"/>
      <w:r w:rsidRPr="00632284">
        <w:rPr>
          <w:rFonts w:ascii="Times New Roman" w:eastAsia="Calibri" w:hAnsi="Times New Roman" w:cs="Times New Roman"/>
          <w:i/>
          <w:sz w:val="28"/>
          <w:szCs w:val="28"/>
        </w:rPr>
        <w:t xml:space="preserve"> </w:t>
      </w:r>
      <w:proofErr w:type="spellStart"/>
      <w:r w:rsidRPr="00632284">
        <w:rPr>
          <w:rFonts w:ascii="Times New Roman" w:eastAsia="Calibri" w:hAnsi="Times New Roman" w:cs="Times New Roman"/>
          <w:i/>
          <w:sz w:val="28"/>
          <w:szCs w:val="28"/>
        </w:rPr>
        <w:t>niger</w:t>
      </w:r>
      <w:proofErr w:type="spellEnd"/>
      <w:r w:rsidRPr="00632284">
        <w:rPr>
          <w:rFonts w:ascii="Times New Roman" w:eastAsia="Calibri" w:hAnsi="Times New Roman" w:cs="Times New Roman"/>
          <w:sz w:val="28"/>
          <w:szCs w:val="28"/>
        </w:rPr>
        <w:t xml:space="preserve"> was isolated from contaminated food samples and identified based on cultural and microscopic characteristics. The fungal isolate was cultivated in Potato dextrose broth for 3-5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632284">
        <w:rPr>
          <w:rFonts w:ascii="Times New Roman" w:eastAsia="Calibri" w:hAnsi="Times New Roman" w:cs="Times New Roman"/>
          <w:i/>
          <w:sz w:val="28"/>
          <w:szCs w:val="28"/>
        </w:rPr>
        <w:t xml:space="preserve">A. </w:t>
      </w:r>
      <w:proofErr w:type="spellStart"/>
      <w:r w:rsidRPr="00632284">
        <w:rPr>
          <w:rFonts w:ascii="Times New Roman" w:eastAsia="Calibri" w:hAnsi="Times New Roman" w:cs="Times New Roman"/>
          <w:i/>
          <w:sz w:val="28"/>
          <w:szCs w:val="28"/>
        </w:rPr>
        <w:t>niger</w:t>
      </w:r>
      <w:proofErr w:type="spellEnd"/>
      <w:r w:rsidRPr="00632284">
        <w:rPr>
          <w:rFonts w:ascii="Times New Roman" w:eastAsia="Calibri" w:hAnsi="Times New Roman" w:cs="Times New Roman"/>
          <w:sz w:val="28"/>
          <w:szCs w:val="28"/>
        </w:rPr>
        <w:t xml:space="preserve"> metabolites and highlight the potential public health risks associated with fungal contamination in poorly stored food products giving relevance to the need for improved food safety practices, early mycotoxin detection, and regulatory interventions to minimize exposure risks.</w:t>
      </w:r>
    </w:p>
    <w:p w14:paraId="7905EC14" w14:textId="15E8BDC3" w:rsidR="00F1124C" w:rsidRDefault="00632284" w:rsidP="00F1124C">
      <w:pPr>
        <w:spacing w:before="100" w:beforeAutospacing="1" w:line="360" w:lineRule="auto"/>
        <w:jc w:val="both"/>
        <w:rPr>
          <w:rFonts w:ascii="Times New Roman" w:eastAsia="Calibri" w:hAnsi="Times New Roman" w:cs="Times New Roman"/>
          <w:sz w:val="28"/>
          <w:szCs w:val="28"/>
        </w:rPr>
        <w:sectPr w:rsidR="00F1124C" w:rsidSect="00F1124C">
          <w:footerReference w:type="default" r:id="rId10"/>
          <w:pgSz w:w="11909" w:h="16834" w:code="9"/>
          <w:pgMar w:top="1440" w:right="1440" w:bottom="1440" w:left="1440" w:header="720" w:footer="720" w:gutter="0"/>
          <w:pgNumType w:fmt="lowerRoman"/>
          <w:cols w:space="720"/>
          <w:docGrid w:linePitch="360"/>
        </w:sectPr>
      </w:pPr>
      <w:r w:rsidRPr="00632284">
        <w:rPr>
          <w:rFonts w:ascii="Times New Roman" w:eastAsia="Calibri" w:hAnsi="Times New Roman" w:cs="Times New Roman"/>
          <w:b/>
          <w:sz w:val="28"/>
          <w:szCs w:val="28"/>
        </w:rPr>
        <w:t xml:space="preserve">Keywords: </w:t>
      </w:r>
      <w:proofErr w:type="spellStart"/>
      <w:r w:rsidRPr="00632284">
        <w:rPr>
          <w:rFonts w:ascii="Times New Roman" w:eastAsia="Calibri" w:hAnsi="Times New Roman" w:cs="Times New Roman"/>
          <w:i/>
          <w:sz w:val="28"/>
          <w:szCs w:val="28"/>
        </w:rPr>
        <w:t>Aspergillus</w:t>
      </w:r>
      <w:proofErr w:type="spellEnd"/>
      <w:r w:rsidRPr="00632284">
        <w:rPr>
          <w:rFonts w:ascii="Times New Roman" w:eastAsia="Calibri" w:hAnsi="Times New Roman" w:cs="Times New Roman"/>
          <w:i/>
          <w:sz w:val="28"/>
          <w:szCs w:val="28"/>
        </w:rPr>
        <w:t xml:space="preserve"> </w:t>
      </w:r>
      <w:proofErr w:type="spellStart"/>
      <w:r w:rsidRPr="00632284">
        <w:rPr>
          <w:rFonts w:ascii="Times New Roman" w:eastAsia="Calibri" w:hAnsi="Times New Roman" w:cs="Times New Roman"/>
          <w:i/>
          <w:sz w:val="28"/>
          <w:szCs w:val="28"/>
        </w:rPr>
        <w:t>niger</w:t>
      </w:r>
      <w:proofErr w:type="spellEnd"/>
      <w:r w:rsidRPr="00632284">
        <w:rPr>
          <w:rFonts w:ascii="Times New Roman" w:eastAsia="Calibri" w:hAnsi="Times New Roman" w:cs="Times New Roman"/>
          <w:sz w:val="28"/>
          <w:szCs w:val="28"/>
        </w:rPr>
        <w:t xml:space="preserve">, </w:t>
      </w:r>
      <w:proofErr w:type="spellStart"/>
      <w:r w:rsidRPr="00632284">
        <w:rPr>
          <w:rFonts w:ascii="Times New Roman" w:eastAsia="Calibri" w:hAnsi="Times New Roman" w:cs="Times New Roman"/>
          <w:sz w:val="28"/>
          <w:szCs w:val="28"/>
        </w:rPr>
        <w:t>mycotoxins</w:t>
      </w:r>
      <w:proofErr w:type="spellEnd"/>
      <w:r w:rsidRPr="00632284">
        <w:rPr>
          <w:rFonts w:ascii="Times New Roman" w:eastAsia="Calibri" w:hAnsi="Times New Roman" w:cs="Times New Roman"/>
          <w:sz w:val="28"/>
          <w:szCs w:val="28"/>
        </w:rPr>
        <w:t xml:space="preserve">, toxicity, crude extract, food safety, </w:t>
      </w:r>
      <w:proofErr w:type="spellStart"/>
      <w:r w:rsidRPr="00632284">
        <w:rPr>
          <w:rFonts w:ascii="Times New Roman" w:eastAsia="Calibri" w:hAnsi="Times New Roman" w:cs="Times New Roman"/>
          <w:sz w:val="28"/>
          <w:szCs w:val="28"/>
        </w:rPr>
        <w:t>Wistarrat</w:t>
      </w:r>
      <w:bookmarkEnd w:id="0"/>
      <w:r w:rsidR="00F1124C">
        <w:rPr>
          <w:rFonts w:ascii="Times New Roman" w:eastAsia="Calibri" w:hAnsi="Times New Roman" w:cs="Times New Roman"/>
          <w:sz w:val="28"/>
          <w:szCs w:val="28"/>
        </w:rPr>
        <w:t>s</w:t>
      </w:r>
      <w:proofErr w:type="spellEnd"/>
    </w:p>
    <w:p w14:paraId="0C7827D9" w14:textId="77777777" w:rsidR="00F1124C" w:rsidRPr="00F1124C" w:rsidRDefault="00F1124C" w:rsidP="00F1124C">
      <w:pPr>
        <w:spacing w:before="100" w:beforeAutospacing="1" w:line="360" w:lineRule="auto"/>
        <w:jc w:val="both"/>
        <w:rPr>
          <w:rFonts w:ascii="Times New Roman" w:eastAsia="Calibri" w:hAnsi="Times New Roman" w:cs="Times New Roman"/>
          <w:sz w:val="28"/>
          <w:szCs w:val="28"/>
        </w:rPr>
      </w:pPr>
    </w:p>
    <w:p w14:paraId="5CE2A8EE" w14:textId="462AA2CC"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proofErr w:type="spellStart"/>
      <w:r w:rsidRPr="00A918A7">
        <w:rPr>
          <w:rFonts w:ascii="Times New Roman" w:hAnsi="Times New Roman" w:cs="Times New Roman"/>
          <w:i/>
          <w:sz w:val="28"/>
          <w:szCs w:val="28"/>
        </w:rPr>
        <w:t>Aspergillus</w:t>
      </w:r>
      <w:proofErr w:type="spellEnd"/>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proofErr w:type="spellStart"/>
      <w:r w:rsidRPr="00A918A7">
        <w:rPr>
          <w:rFonts w:ascii="Times New Roman" w:hAnsi="Times New Roman" w:cs="Times New Roman"/>
          <w:i/>
          <w:sz w:val="28"/>
          <w:szCs w:val="28"/>
        </w:rPr>
        <w:t>A</w:t>
      </w:r>
      <w:r>
        <w:rPr>
          <w:rFonts w:ascii="Times New Roman" w:hAnsi="Times New Roman" w:cs="Times New Roman"/>
          <w:i/>
          <w:sz w:val="28"/>
          <w:szCs w:val="28"/>
        </w:rPr>
        <w:t>spergillus</w:t>
      </w:r>
      <w:proofErr w:type="spellEnd"/>
      <w:r>
        <w:rPr>
          <w:rFonts w:ascii="Times New Roman" w:hAnsi="Times New Roman" w:cs="Times New Roman"/>
          <w:i/>
          <w:sz w:val="28"/>
          <w:szCs w:val="28"/>
        </w:rPr>
        <w:t xml:space="preserve">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w:t>
      </w:r>
      <w:proofErr w:type="spellStart"/>
      <w:r w:rsidRPr="00A918A7">
        <w:rPr>
          <w:rFonts w:ascii="Times New Roman" w:hAnsi="Times New Roman" w:cs="Times New Roman"/>
          <w:sz w:val="28"/>
          <w:szCs w:val="28"/>
        </w:rPr>
        <w:t>ochratoxin</w:t>
      </w:r>
      <w:proofErr w:type="spellEnd"/>
      <w:r w:rsidRPr="00A918A7">
        <w:rPr>
          <w:rFonts w:ascii="Times New Roman" w:hAnsi="Times New Roman" w:cs="Times New Roman"/>
          <w:sz w:val="28"/>
          <w:szCs w:val="28"/>
        </w:rPr>
        <w:t xml:space="preserve">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w:t>
      </w:r>
      <w:proofErr w:type="spellStart"/>
      <w:r w:rsidRPr="00A918A7">
        <w:rPr>
          <w:rFonts w:ascii="Times New Roman" w:hAnsi="Times New Roman" w:cs="Times New Roman"/>
          <w:sz w:val="28"/>
          <w:szCs w:val="28"/>
        </w:rPr>
        <w:t>citrinin</w:t>
      </w:r>
      <w:proofErr w:type="spellEnd"/>
      <w:r w:rsidRPr="00A918A7">
        <w:rPr>
          <w:rFonts w:ascii="Times New Roman" w:hAnsi="Times New Roman" w:cs="Times New Roman"/>
          <w:sz w:val="28"/>
          <w:szCs w:val="28"/>
        </w:rPr>
        <w:t xml:space="preserve">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w:t>
      </w:r>
      <w:bookmarkStart w:id="1" w:name="_GoBack"/>
      <w:bookmarkEnd w:id="1"/>
      <w:r w:rsidRPr="00A918A7">
        <w:rPr>
          <w:rFonts w:ascii="Times New Roman" w:hAnsi="Times New Roman" w:cs="Times New Roman"/>
          <w:sz w:val="28"/>
          <w:szCs w:val="28"/>
        </w:rPr>
        <w:t>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w:t>
      </w:r>
      <w:proofErr w:type="spellStart"/>
      <w:r w:rsidRPr="00A918A7">
        <w:rPr>
          <w:rFonts w:ascii="Times New Roman" w:hAnsi="Times New Roman" w:cs="Times New Roman"/>
          <w:sz w:val="28"/>
          <w:szCs w:val="28"/>
        </w:rPr>
        <w:t>sphingolipid</w:t>
      </w:r>
      <w:proofErr w:type="spellEnd"/>
      <w:r w:rsidRPr="00A918A7">
        <w:rPr>
          <w:rFonts w:ascii="Times New Roman" w:hAnsi="Times New Roman" w:cs="Times New Roman"/>
          <w:sz w:val="28"/>
          <w:szCs w:val="28"/>
        </w:rPr>
        <w:t xml:space="preserve">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w:t>
      </w:r>
      <w:r w:rsidRPr="00A918A7">
        <w:rPr>
          <w:rFonts w:ascii="Times New Roman" w:hAnsi="Times New Roman" w:cs="Times New Roman"/>
          <w:sz w:val="28"/>
          <w:szCs w:val="28"/>
        </w:rPr>
        <w:lastRenderedPageBreak/>
        <w:t>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w:t>
      </w:r>
      <w:r w:rsidRPr="00A918A7">
        <w:rPr>
          <w:rFonts w:ascii="Times New Roman" w:hAnsi="Times New Roman" w:cs="Times New Roman"/>
          <w:sz w:val="28"/>
          <w:szCs w:val="28"/>
        </w:rPr>
        <w:lastRenderedPageBreak/>
        <w:t>detection and food safety 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proofErr w:type="spellStart"/>
      <w:r w:rsidRPr="00A9402B">
        <w:rPr>
          <w:rFonts w:ascii="Times New Roman" w:hAnsi="Times New Roman" w:cs="Times New Roman"/>
          <w:i/>
          <w:sz w:val="28"/>
          <w:szCs w:val="28"/>
        </w:rPr>
        <w:t>Aspergillus</w:t>
      </w:r>
      <w:proofErr w:type="spellEnd"/>
      <w:r w:rsidRPr="00A9402B">
        <w:rPr>
          <w:rFonts w:ascii="Times New Roman" w:hAnsi="Times New Roman" w:cs="Times New Roman"/>
          <w:i/>
          <w:sz w:val="28"/>
          <w:szCs w:val="28"/>
        </w:rPr>
        <w:t xml:space="preserve">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w:t>
      </w:r>
      <w:proofErr w:type="spellStart"/>
      <w:r w:rsidRPr="00A9402B">
        <w:rPr>
          <w:rFonts w:ascii="Times New Roman" w:hAnsi="Times New Roman" w:cs="Times New Roman"/>
          <w:sz w:val="28"/>
          <w:szCs w:val="28"/>
        </w:rPr>
        <w:t>citrinin</w:t>
      </w:r>
      <w:proofErr w:type="spellEnd"/>
      <w:r w:rsidRPr="00A9402B">
        <w:rPr>
          <w:rFonts w:ascii="Times New Roman" w:hAnsi="Times New Roman" w:cs="Times New Roman"/>
          <w:sz w:val="28"/>
          <w:szCs w:val="28"/>
        </w:rPr>
        <w:t xml:space="preserve">,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w:t>
      </w:r>
      <w:proofErr w:type="spellStart"/>
      <w:r w:rsidRPr="00A9402B">
        <w:rPr>
          <w:rFonts w:ascii="Times New Roman" w:hAnsi="Times New Roman" w:cs="Times New Roman"/>
          <w:sz w:val="28"/>
          <w:szCs w:val="28"/>
        </w:rPr>
        <w:t>ochratoxin</w:t>
      </w:r>
      <w:proofErr w:type="spellEnd"/>
      <w:r w:rsidRPr="00A9402B">
        <w:rPr>
          <w:rFonts w:ascii="Times New Roman" w:hAnsi="Times New Roman" w:cs="Times New Roman"/>
          <w:sz w:val="28"/>
          <w:szCs w:val="28"/>
        </w:rPr>
        <w:t xml:space="preserve">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reporting OTA presence in over 52% </w:t>
      </w:r>
      <w:r w:rsidR="00645AAF" w:rsidRPr="00645AAF">
        <w:rPr>
          <w:rFonts w:ascii="Times New Roman" w:hAnsi="Times New Roman" w:cs="Times New Roman"/>
          <w:sz w:val="28"/>
          <w:szCs w:val="28"/>
        </w:rPr>
        <w:lastRenderedPageBreak/>
        <w:t>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proofErr w:type="spellStart"/>
      <w:r w:rsidR="00645AAF" w:rsidRPr="00645AAF">
        <w:rPr>
          <w:rFonts w:ascii="Times New Roman" w:hAnsi="Times New Roman" w:cs="Times New Roman"/>
          <w:i/>
          <w:sz w:val="28"/>
          <w:szCs w:val="28"/>
        </w:rPr>
        <w:t>Penicillium</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w:t>
      </w:r>
      <w:r w:rsidR="00645AAF" w:rsidRPr="00645AAF">
        <w:rPr>
          <w:rFonts w:ascii="Times New Roman" w:hAnsi="Times New Roman" w:cs="Times New Roman"/>
          <w:sz w:val="28"/>
          <w:szCs w:val="28"/>
        </w:rPr>
        <w:lastRenderedPageBreak/>
        <w:t>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w:t>
      </w:r>
      <w:r w:rsidR="00645AAF" w:rsidRPr="00645AAF">
        <w:rPr>
          <w:rFonts w:ascii="Times New Roman" w:hAnsi="Times New Roman" w:cs="Times New Roman"/>
          <w:sz w:val="28"/>
          <w:szCs w:val="28"/>
        </w:rPr>
        <w:lastRenderedPageBreak/>
        <w:t xml:space="preserve">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w:t>
      </w:r>
      <w:r w:rsidRPr="00645AAF">
        <w:rPr>
          <w:rFonts w:ascii="Times New Roman" w:hAnsi="Times New Roman" w:cs="Times New Roman"/>
          <w:sz w:val="28"/>
          <w:szCs w:val="28"/>
        </w:rPr>
        <w:lastRenderedPageBreak/>
        <w:t>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w:t>
      </w:r>
      <w:proofErr w:type="spellStart"/>
      <w:r w:rsidRPr="00645AAF">
        <w:rPr>
          <w:rFonts w:ascii="Times New Roman" w:hAnsi="Times New Roman" w:cs="Times New Roman"/>
          <w:sz w:val="28"/>
          <w:szCs w:val="28"/>
        </w:rPr>
        <w:t>mycotoxin</w:t>
      </w:r>
      <w:proofErr w:type="spellEnd"/>
      <w:r w:rsidRPr="00645AAF">
        <w:rPr>
          <w:rFonts w:ascii="Times New Roman" w:hAnsi="Times New Roman" w:cs="Times New Roman"/>
          <w:sz w:val="28"/>
          <w:szCs w:val="28"/>
        </w:rPr>
        <w:t xml:space="preserve">-laden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patients and those with uncontrolled diabetes, are particularly vulnerable to invasive fungal infections. </w:t>
      </w:r>
      <w:r w:rsidRPr="00645AAF">
        <w:rPr>
          <w:rFonts w:ascii="Times New Roman" w:hAnsi="Times New Roman" w:cs="Times New Roman"/>
          <w:sz w:val="28"/>
          <w:szCs w:val="28"/>
        </w:rPr>
        <w:lastRenderedPageBreak/>
        <w:t xml:space="preserve">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proofErr w:type="spellStart"/>
      <w:r w:rsidRPr="00883215">
        <w:rPr>
          <w:rFonts w:ascii="Times New Roman" w:hAnsi="Times New Roman" w:cs="Times New Roman"/>
          <w:i/>
          <w:sz w:val="28"/>
          <w:szCs w:val="28"/>
        </w:rPr>
        <w:t>Aspergillus</w:t>
      </w:r>
      <w:proofErr w:type="spellEnd"/>
      <w:r w:rsidRPr="00883215">
        <w:rPr>
          <w:rFonts w:ascii="Times New Roman" w:hAnsi="Times New Roman" w:cs="Times New Roman"/>
          <w:i/>
          <w:sz w:val="28"/>
          <w:szCs w:val="28"/>
        </w:rPr>
        <w:t xml:space="preserve">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w:t>
      </w:r>
      <w:r w:rsidRPr="00883215">
        <w:rPr>
          <w:rFonts w:ascii="Times New Roman" w:hAnsi="Times New Roman" w:cs="Times New Roman"/>
          <w:sz w:val="28"/>
          <w:szCs w:val="28"/>
        </w:rPr>
        <w:lastRenderedPageBreak/>
        <w:t xml:space="preserve">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w:t>
      </w:r>
      <w:proofErr w:type="spellStart"/>
      <w:r w:rsidRPr="00883215">
        <w:rPr>
          <w:rFonts w:ascii="Times New Roman" w:hAnsi="Times New Roman" w:cs="Times New Roman"/>
          <w:sz w:val="28"/>
          <w:szCs w:val="28"/>
        </w:rPr>
        <w:t>pks</w:t>
      </w:r>
      <w:proofErr w:type="spellEnd"/>
      <w:r w:rsidRPr="00883215">
        <w:rPr>
          <w:rFonts w:ascii="Times New Roman" w:hAnsi="Times New Roman" w:cs="Times New Roman"/>
          <w:sz w:val="28"/>
          <w:szCs w:val="28"/>
        </w:rPr>
        <w:t>. Zhang et al. (2021) demonstrated that qPCR results correlated positively with LC-MS/MS 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Emerging tools </w:t>
      </w:r>
      <w:r w:rsidRPr="00883215">
        <w:rPr>
          <w:rFonts w:ascii="Times New Roman" w:hAnsi="Times New Roman" w:cs="Times New Roman"/>
          <w:sz w:val="28"/>
          <w:szCs w:val="28"/>
        </w:rPr>
        <w:lastRenderedPageBreak/>
        <w:t>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proofErr w:type="spellStart"/>
      <w:r w:rsidR="00645AAF" w:rsidRPr="00645AAF">
        <w:rPr>
          <w:rFonts w:ascii="Times New Roman" w:hAnsi="Times New Roman" w:cs="Times New Roman"/>
          <w:i/>
          <w:sz w:val="28"/>
          <w:szCs w:val="28"/>
        </w:rPr>
        <w:t>Aspergillus</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individual and combined toxicity affecting the kidneys, liver, immune system, and nervous system. Their resilience to food processing, widespread prevalence in warm, humid environments, and increasing </w:t>
      </w:r>
      <w:r w:rsidR="00645AAF" w:rsidRPr="00645AAF">
        <w:rPr>
          <w:rFonts w:ascii="Times New Roman" w:hAnsi="Times New Roman" w:cs="Times New Roman"/>
          <w:sz w:val="28"/>
          <w:szCs w:val="28"/>
        </w:rPr>
        <w:lastRenderedPageBreak/>
        <w:t xml:space="preserve">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w:t>
      </w:r>
      <w:proofErr w:type="spellStart"/>
      <w:r w:rsidR="00645AAF" w:rsidRPr="00645AAF">
        <w:rPr>
          <w:rFonts w:ascii="Times New Roman" w:hAnsi="Times New Roman" w:cs="Times New Roman"/>
          <w:sz w:val="28"/>
          <w:szCs w:val="28"/>
        </w:rPr>
        <w:t>mycotoxins</w:t>
      </w:r>
      <w:proofErr w:type="spellEnd"/>
      <w:r w:rsidR="00645AAF" w:rsidRPr="00645AAF">
        <w:rPr>
          <w:rFonts w:ascii="Times New Roman" w:hAnsi="Times New Roman" w:cs="Times New Roman"/>
          <w:sz w:val="28"/>
          <w:szCs w:val="28"/>
        </w:rPr>
        <w:t xml:space="preserve">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proofErr w:type="spellStart"/>
      <w:r w:rsidRPr="00C35AE1">
        <w:rPr>
          <w:rFonts w:ascii="Times New Roman" w:hAnsi="Times New Roman" w:cs="Times New Roman"/>
          <w:i/>
          <w:sz w:val="28"/>
          <w:szCs w:val="28"/>
        </w:rPr>
        <w:t>Aspergillus</w:t>
      </w:r>
      <w:proofErr w:type="spellEnd"/>
      <w:r w:rsidRPr="00C35AE1">
        <w:rPr>
          <w:rFonts w:ascii="Times New Roman" w:hAnsi="Times New Roman" w:cs="Times New Roman"/>
          <w:i/>
          <w:sz w:val="28"/>
          <w:szCs w:val="28"/>
        </w:rPr>
        <w:t xml:space="preserve">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w:t>
      </w:r>
      <w:proofErr w:type="spellStart"/>
      <w:r w:rsidRPr="00C35AE1">
        <w:rPr>
          <w:rFonts w:ascii="Times New Roman" w:hAnsi="Times New Roman" w:cs="Times New Roman"/>
          <w:sz w:val="28"/>
          <w:szCs w:val="28"/>
        </w:rPr>
        <w:t>ochratoxin</w:t>
      </w:r>
      <w:proofErr w:type="spellEnd"/>
      <w:r w:rsidRPr="00C35AE1">
        <w:rPr>
          <w:rFonts w:ascii="Times New Roman" w:hAnsi="Times New Roman" w:cs="Times New Roman"/>
          <w:sz w:val="28"/>
          <w:szCs w:val="28"/>
        </w:rPr>
        <w:t xml:space="preserve">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w:t>
      </w:r>
      <w:proofErr w:type="spellStart"/>
      <w:r w:rsidRPr="00C35AE1">
        <w:rPr>
          <w:rFonts w:ascii="Times New Roman" w:hAnsi="Times New Roman" w:cs="Times New Roman"/>
          <w:sz w:val="28"/>
          <w:szCs w:val="28"/>
        </w:rPr>
        <w:t>citrinin</w:t>
      </w:r>
      <w:proofErr w:type="spellEnd"/>
      <w:r w:rsidRPr="00C35AE1">
        <w:rPr>
          <w:rFonts w:ascii="Times New Roman" w:hAnsi="Times New Roman" w:cs="Times New Roman"/>
          <w:sz w:val="28"/>
          <w:szCs w:val="28"/>
        </w:rPr>
        <w:t xml:space="preserve">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lastRenderedPageBreak/>
        <w:t xml:space="preserve"> </w:t>
      </w:r>
      <w:proofErr w:type="spellStart"/>
      <w:r w:rsidR="00E720F0" w:rsidRPr="00E720F0">
        <w:rPr>
          <w:rFonts w:ascii="Times New Roman" w:hAnsi="Times New Roman" w:cs="Times New Roman"/>
          <w:i/>
          <w:sz w:val="28"/>
          <w:szCs w:val="28"/>
        </w:rPr>
        <w:t>Aspergillus</w:t>
      </w:r>
      <w:proofErr w:type="spellEnd"/>
      <w:r w:rsidR="00E720F0" w:rsidRPr="00E720F0">
        <w:rPr>
          <w:rFonts w:ascii="Times New Roman" w:hAnsi="Times New Roman" w:cs="Times New Roman"/>
          <w:i/>
          <w:sz w:val="28"/>
          <w:szCs w:val="28"/>
        </w:rPr>
        <w:t xml:space="preserve">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w:t>
      </w:r>
      <w:proofErr w:type="spellStart"/>
      <w:r w:rsidR="00E720F0" w:rsidRPr="00E720F0">
        <w:rPr>
          <w:rFonts w:ascii="Times New Roman" w:hAnsi="Times New Roman" w:cs="Times New Roman"/>
          <w:sz w:val="28"/>
          <w:szCs w:val="28"/>
        </w:rPr>
        <w:t>citrinin</w:t>
      </w:r>
      <w:proofErr w:type="spellEnd"/>
      <w:r w:rsidR="00E720F0" w:rsidRPr="00E720F0">
        <w:rPr>
          <w:rFonts w:ascii="Times New Roman" w:hAnsi="Times New Roman" w:cs="Times New Roman"/>
          <w:sz w:val="28"/>
          <w:szCs w:val="28"/>
        </w:rPr>
        <w:t xml:space="preserve">,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lastRenderedPageBreak/>
        <w:t xml:space="preserve">To isolate and identify </w:t>
      </w:r>
      <w:proofErr w:type="spellStart"/>
      <w:r w:rsidRPr="00E34BC8">
        <w:rPr>
          <w:rFonts w:ascii="Times New Roman" w:eastAsia="Calibri" w:hAnsi="Times New Roman"/>
          <w:i/>
          <w:color w:val="252525"/>
          <w:sz w:val="28"/>
          <w:szCs w:val="28"/>
        </w:rPr>
        <w:t>Aspergillus</w:t>
      </w:r>
      <w:proofErr w:type="spellEnd"/>
      <w:r w:rsidRPr="00E34BC8">
        <w:rPr>
          <w:rFonts w:ascii="Times New Roman" w:eastAsia="Calibri" w:hAnsi="Times New Roman"/>
          <w:i/>
          <w:color w:val="252525"/>
          <w:sz w:val="28"/>
          <w:szCs w:val="28"/>
        </w:rPr>
        <w:t xml:space="preserve">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working surface area was sterilized with cotton wool </w:t>
      </w:r>
      <w:proofErr w:type="gramStart"/>
      <w:r>
        <w:rPr>
          <w:rFonts w:ascii="Times New Roman" w:hAnsi="Times New Roman" w:cs="Times New Roman"/>
          <w:sz w:val="28"/>
          <w:szCs w:val="28"/>
        </w:rPr>
        <w:t>soaked  in</w:t>
      </w:r>
      <w:proofErr w:type="gramEnd"/>
      <w:r>
        <w:rPr>
          <w:rFonts w:ascii="Times New Roman" w:hAnsi="Times New Roman" w:cs="Times New Roman"/>
          <w:sz w:val="28"/>
          <w:szCs w:val="28"/>
        </w:rPr>
        <w:t xml:space="preserve">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 xml:space="preserve">according to manufacturer </w:t>
      </w:r>
      <w:r w:rsidR="006F04F7">
        <w:rPr>
          <w:rFonts w:ascii="Times New Roman" w:hAnsi="Times New Roman" w:cs="Times New Roman"/>
          <w:sz w:val="28"/>
          <w:szCs w:val="28"/>
        </w:rPr>
        <w:lastRenderedPageBreak/>
        <w:t>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proofErr w:type="spellStart"/>
      <w:r w:rsidRPr="0096091E">
        <w:rPr>
          <w:rFonts w:ascii="Times New Roman" w:hAnsi="Times New Roman" w:cs="Times New Roman"/>
          <w:i/>
          <w:sz w:val="28"/>
          <w:szCs w:val="28"/>
        </w:rPr>
        <w:t>Aspergillus</w:t>
      </w:r>
      <w:proofErr w:type="spellEnd"/>
      <w:r w:rsidRPr="0096091E">
        <w:rPr>
          <w:rFonts w:ascii="Times New Roman" w:hAnsi="Times New Roman" w:cs="Times New Roman"/>
          <w:i/>
          <w:sz w:val="28"/>
          <w:szCs w:val="28"/>
        </w:rPr>
        <w:t xml:space="preserve">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xml:space="preserve">. Once purified, the isolate were maintained </w:t>
      </w:r>
      <w:r w:rsidRPr="0096091E">
        <w:rPr>
          <w:rFonts w:ascii="Times New Roman" w:hAnsi="Times New Roman" w:cs="Times New Roman"/>
          <w:sz w:val="28"/>
          <w:szCs w:val="28"/>
        </w:rPr>
        <w:lastRenderedPageBreak/>
        <w:t>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conidiophores terminating in globose vesicles with biseriate phialides and chains of black conidia confirmed the identity of </w:t>
      </w:r>
      <w:proofErr w:type="spellStart"/>
      <w:r w:rsidRPr="006F1558">
        <w:rPr>
          <w:rFonts w:ascii="Times New Roman" w:hAnsi="Times New Roman" w:cs="Times New Roman"/>
          <w:i/>
          <w:sz w:val="28"/>
          <w:szCs w:val="28"/>
        </w:rPr>
        <w:t>Aspergillus</w:t>
      </w:r>
      <w:proofErr w:type="spellEnd"/>
      <w:r w:rsidRPr="006F1558">
        <w:rPr>
          <w:rFonts w:ascii="Times New Roman" w:hAnsi="Times New Roman" w:cs="Times New Roman"/>
          <w:i/>
          <w:sz w:val="28"/>
          <w:szCs w:val="28"/>
        </w:rPr>
        <w:t xml:space="preserve">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lastRenderedPageBreak/>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w:t>
      </w:r>
      <w:proofErr w:type="gramStart"/>
      <w:r>
        <w:rPr>
          <w:rFonts w:ascii="Times New Roman" w:hAnsi="Times New Roman" w:cs="Times New Roman"/>
          <w:sz w:val="28"/>
          <w:szCs w:val="28"/>
        </w:rPr>
        <w:t>observation ,</w:t>
      </w:r>
      <w:proofErr w:type="gramEnd"/>
      <w:r>
        <w:rPr>
          <w:rFonts w:ascii="Times New Roman" w:hAnsi="Times New Roman" w:cs="Times New Roman"/>
          <w:sz w:val="28"/>
          <w:szCs w:val="28"/>
        </w:rPr>
        <w:t xml:space="preserve">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7216"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9264"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2">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2"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2"/>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lastRenderedPageBreak/>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lastRenderedPageBreak/>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lastRenderedPageBreak/>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60"/>
        <w:gridCol w:w="3094"/>
        <w:gridCol w:w="3091"/>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lastRenderedPageBreak/>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lastRenderedPageBreak/>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 xml:space="preserve">Damaged kidney compared to control in </w:t>
            </w:r>
            <w:r>
              <w:rPr>
                <w:rFonts w:ascii="Times New Roman" w:hAnsi="Times New Roman" w:cs="Times New Roman"/>
                <w:sz w:val="28"/>
                <w:szCs w:val="28"/>
              </w:rPr>
              <w:lastRenderedPageBreak/>
              <w:t>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into the potential health hazards posed by fungal contamination of food products. The findings demonstrated a clear dose-</w:t>
      </w:r>
      <w:r w:rsidRPr="00E17267">
        <w:rPr>
          <w:rFonts w:ascii="Times New Roman" w:hAnsi="Times New Roman" w:cs="Times New Roman"/>
          <w:sz w:val="28"/>
          <w:szCs w:val="28"/>
        </w:rPr>
        <w:lastRenderedPageBreak/>
        <w:t xml:space="preserv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such as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-related </w:t>
      </w:r>
      <w:proofErr w:type="spellStart"/>
      <w:r w:rsidRPr="00E17267">
        <w:rPr>
          <w:rFonts w:ascii="Times New Roman" w:hAnsi="Times New Roman" w:cs="Times New Roman"/>
          <w:sz w:val="28"/>
          <w:szCs w:val="28"/>
        </w:rPr>
        <w:t>cardiotoxicity</w:t>
      </w:r>
      <w:proofErr w:type="spellEnd"/>
      <w:r w:rsidRPr="00E17267">
        <w:rPr>
          <w:rFonts w:ascii="Times New Roman" w:hAnsi="Times New Roman" w:cs="Times New Roman"/>
          <w:sz w:val="28"/>
          <w:szCs w:val="28"/>
        </w:rPr>
        <w:t xml:space="preserve">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The pale appearance of the liver and the shrunken kidneys in some groups also reflect chronic stress on these organs due to metabolic overload or failure in detoxifying circulating mycotoxins. In line with these findings, several studies have reported 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while the effects of the crude extract were clear, the individual contributions of specific mycotoxins (e.g., OTA, FB2, citrinin) could not be independently evaluated. Nevertheless, the observed </w:t>
      </w:r>
      <w:r w:rsidRPr="00E17267">
        <w:rPr>
          <w:rFonts w:ascii="Times New Roman" w:hAnsi="Times New Roman" w:cs="Times New Roman"/>
          <w:sz w:val="28"/>
          <w:szCs w:val="28"/>
        </w:rPr>
        <w:lastRenderedPageBreak/>
        <w:t>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w:t>
      </w:r>
      <w:proofErr w:type="gramStart"/>
      <w:r w:rsidRPr="00E17267">
        <w:rPr>
          <w:rFonts w:ascii="Times New Roman" w:hAnsi="Times New Roman" w:cs="Times New Roman"/>
          <w:sz w:val="28"/>
          <w:szCs w:val="28"/>
        </w:rPr>
        <w:t xml:space="preserve">study </w:t>
      </w:r>
      <w:r>
        <w:rPr>
          <w:rFonts w:ascii="Times New Roman" w:hAnsi="Times New Roman" w:cs="Times New Roman"/>
          <w:sz w:val="28"/>
          <w:szCs w:val="28"/>
        </w:rPr>
        <w:t>highlight</w:t>
      </w:r>
      <w:proofErr w:type="gramEnd"/>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proofErr w:type="gramStart"/>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proofErr w:type="gramEnd"/>
      <w:r w:rsidRPr="00E17267">
        <w:rPr>
          <w:rFonts w:ascii="Times New Roman" w:hAnsi="Times New Roman" w:cs="Times New Roman"/>
          <w:sz w:val="28"/>
          <w:szCs w:val="28"/>
        </w:rPr>
        <w:t xml:space="preserve"> the toxicological effects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to evaluate its potency and health implications. The findings revealed a dose-dependent toxic response, with marked behavioral, physiological, and organ-related abnormalities in exposed animals. Rats administered higher concentrations of the extract exhibited lethargy, reduced </w:t>
      </w:r>
      <w:r w:rsidRPr="00E17267">
        <w:rPr>
          <w:rFonts w:ascii="Times New Roman" w:hAnsi="Times New Roman" w:cs="Times New Roman"/>
          <w:sz w:val="28"/>
          <w:szCs w:val="28"/>
        </w:rPr>
        <w:lastRenderedPageBreak/>
        <w:t xml:space="preserve">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including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8"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w:t>
      </w:r>
      <w:r w:rsidRPr="001000F3">
        <w:rPr>
          <w:rFonts w:ascii="Times New Roman" w:eastAsia="Arial" w:hAnsi="Times New Roman" w:cs="Times New Roman"/>
          <w:color w:val="252525"/>
          <w:sz w:val="28"/>
          <w:szCs w:val="28"/>
        </w:rPr>
        <w:lastRenderedPageBreak/>
        <w:t xml:space="preserve">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9"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20"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21"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2"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3"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4"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5"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6"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7"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8"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 xml:space="preserve">Food </w:t>
      </w:r>
      <w:r w:rsidRPr="00F50E89">
        <w:rPr>
          <w:rFonts w:ascii="Times New Roman" w:hAnsi="Times New Roman" w:cs="Times New Roman"/>
          <w:i/>
          <w:sz w:val="28"/>
          <w:szCs w:val="28"/>
        </w:rPr>
        <w:lastRenderedPageBreak/>
        <w:t>and Chemical Toxicology</w:t>
      </w:r>
      <w:r w:rsidRPr="00F50E89">
        <w:rPr>
          <w:rFonts w:ascii="Times New Roman" w:hAnsi="Times New Roman" w:cs="Times New Roman"/>
          <w:sz w:val="28"/>
          <w:szCs w:val="28"/>
        </w:rPr>
        <w:t xml:space="preserve">, 170, 113559. </w:t>
      </w:r>
      <w:hyperlink r:id="rId29"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30"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31"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Zhang, X., Wang, S., Zhou, Y., &amp; Tang, H. (2021). Molecular detection and quantification of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2"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F1124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D4BB248" w14:textId="77777777" w:rsidR="00632284" w:rsidRDefault="006322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33A11" w14:textId="77777777" w:rsidR="00632284" w:rsidRDefault="00632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63215"/>
      <w:docPartObj>
        <w:docPartGallery w:val="Page Numbers (Bottom of Page)"/>
        <w:docPartUnique/>
      </w:docPartObj>
    </w:sdtPr>
    <w:sdtEndPr>
      <w:rPr>
        <w:noProof/>
      </w:rPr>
    </w:sdtEndPr>
    <w:sdtContent>
      <w:p w14:paraId="04ED1ADA" w14:textId="27A7C5BC" w:rsidR="00C5689D" w:rsidRDefault="00C5689D">
        <w:pPr>
          <w:pStyle w:val="Footer"/>
          <w:jc w:val="center"/>
        </w:pPr>
        <w:r>
          <w:fldChar w:fldCharType="begin"/>
        </w:r>
        <w:r>
          <w:instrText xml:space="preserve"> PAGE   \* MERGEFORMAT </w:instrText>
        </w:r>
        <w:r>
          <w:fldChar w:fldCharType="separate"/>
        </w:r>
        <w:r w:rsidR="003F3277">
          <w:rPr>
            <w:noProof/>
          </w:rPr>
          <w:t>25</w:t>
        </w:r>
        <w:r>
          <w:rPr>
            <w:noProof/>
          </w:rPr>
          <w:fldChar w:fldCharType="end"/>
        </w:r>
      </w:p>
    </w:sdtContent>
  </w:sdt>
  <w:p w14:paraId="52D6D18C" w14:textId="77777777" w:rsidR="00C5689D" w:rsidRDefault="00C5689D">
    <w:pPr>
      <w:pStyle w:val="Footer"/>
    </w:pPr>
  </w:p>
  <w:p w14:paraId="0A1F941D" w14:textId="77777777" w:rsidR="002E05D5" w:rsidRDefault="002E05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D3"/>
    <w:rsid w:val="0002243A"/>
    <w:rsid w:val="000575A4"/>
    <w:rsid w:val="00067BF8"/>
    <w:rsid w:val="00071AC7"/>
    <w:rsid w:val="00075199"/>
    <w:rsid w:val="0008272F"/>
    <w:rsid w:val="000D5351"/>
    <w:rsid w:val="0011187F"/>
    <w:rsid w:val="001269D3"/>
    <w:rsid w:val="00135AA1"/>
    <w:rsid w:val="00161A26"/>
    <w:rsid w:val="00192AF5"/>
    <w:rsid w:val="001B7CBC"/>
    <w:rsid w:val="002352E7"/>
    <w:rsid w:val="0027472D"/>
    <w:rsid w:val="002E05D5"/>
    <w:rsid w:val="002F26A4"/>
    <w:rsid w:val="0030478E"/>
    <w:rsid w:val="003307FC"/>
    <w:rsid w:val="003356B2"/>
    <w:rsid w:val="003E2783"/>
    <w:rsid w:val="003E67F0"/>
    <w:rsid w:val="003F3277"/>
    <w:rsid w:val="00462973"/>
    <w:rsid w:val="004D02C9"/>
    <w:rsid w:val="004F6E67"/>
    <w:rsid w:val="00533C92"/>
    <w:rsid w:val="005E6FD4"/>
    <w:rsid w:val="00632284"/>
    <w:rsid w:val="006348C7"/>
    <w:rsid w:val="00645AAF"/>
    <w:rsid w:val="006B5D2E"/>
    <w:rsid w:val="006F04F7"/>
    <w:rsid w:val="00765B6F"/>
    <w:rsid w:val="007C1DD2"/>
    <w:rsid w:val="007E5CA2"/>
    <w:rsid w:val="00822895"/>
    <w:rsid w:val="008515B7"/>
    <w:rsid w:val="00873231"/>
    <w:rsid w:val="00883215"/>
    <w:rsid w:val="008D0051"/>
    <w:rsid w:val="008D2B30"/>
    <w:rsid w:val="008D725C"/>
    <w:rsid w:val="00932B4D"/>
    <w:rsid w:val="00940E7B"/>
    <w:rsid w:val="009678C0"/>
    <w:rsid w:val="009D521B"/>
    <w:rsid w:val="009F2B9C"/>
    <w:rsid w:val="009F5B77"/>
    <w:rsid w:val="00A14106"/>
    <w:rsid w:val="00A15154"/>
    <w:rsid w:val="00A1691A"/>
    <w:rsid w:val="00A60AAA"/>
    <w:rsid w:val="00A918A7"/>
    <w:rsid w:val="00A9402B"/>
    <w:rsid w:val="00AA4509"/>
    <w:rsid w:val="00AB3F88"/>
    <w:rsid w:val="00AD5713"/>
    <w:rsid w:val="00AF5F41"/>
    <w:rsid w:val="00B12A8D"/>
    <w:rsid w:val="00B42B05"/>
    <w:rsid w:val="00B51DD8"/>
    <w:rsid w:val="00B67D45"/>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43FFB"/>
    <w:rsid w:val="00D518C2"/>
    <w:rsid w:val="00D74686"/>
    <w:rsid w:val="00DD34A1"/>
    <w:rsid w:val="00E32CE6"/>
    <w:rsid w:val="00E34BC8"/>
    <w:rsid w:val="00E453F5"/>
    <w:rsid w:val="00E46BB7"/>
    <w:rsid w:val="00E5365D"/>
    <w:rsid w:val="00E713DC"/>
    <w:rsid w:val="00E720F0"/>
    <w:rsid w:val="00EE344D"/>
    <w:rsid w:val="00F1124C"/>
    <w:rsid w:val="00F11E56"/>
    <w:rsid w:val="00F134DD"/>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doi.org/10.3390/ijerph17124452" TargetMode="External"/><Relationship Id="rId26" Type="http://schemas.openxmlformats.org/officeDocument/2006/relationships/hyperlink" Target="https://doi.org/10.1016/j.ijfoodmicro.2023.109915" TargetMode="External"/><Relationship Id="rId3" Type="http://schemas.microsoft.com/office/2007/relationships/stylesWithEffects" Target="stylesWithEffects.xml"/><Relationship Id="rId21" Type="http://schemas.openxmlformats.org/officeDocument/2006/relationships/hyperlink" Target="https://doi.org/10.1093/mmy/myac01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chart" Target="charts/chart5.xml"/><Relationship Id="rId25" Type="http://schemas.openxmlformats.org/officeDocument/2006/relationships/hyperlink" Target="https://doi.org/10.1016/j.ijfoodmicro.2023.10991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doi.org/10.3390/toxins14010044" TargetMode="External"/><Relationship Id="rId29" Type="http://schemas.openxmlformats.org/officeDocument/2006/relationships/hyperlink" Target="https://doi.org/10.1016/j.fct.2023.1135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doi.org/10.1016/j.envres.2022.114906" TargetMode="External"/><Relationship Id="rId32" Type="http://schemas.openxmlformats.org/officeDocument/2006/relationships/hyperlink" Target="https://doi.org/10.1111/jam.149"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3389/fmicb.2023.1190325" TargetMode="External"/><Relationship Id="rId28" Type="http://schemas.openxmlformats.org/officeDocument/2006/relationships/hyperlink" Target="https://doi.org/10.1016/j.fct.2023.113559" TargetMode="External"/><Relationship Id="rId10" Type="http://schemas.openxmlformats.org/officeDocument/2006/relationships/footer" Target="footer2.xml"/><Relationship Id="rId19" Type="http://schemas.openxmlformats.org/officeDocument/2006/relationships/hyperlink" Target="https://doi.org/10.3390/toxins14020094" TargetMode="External"/><Relationship Id="rId31" Type="http://schemas.openxmlformats.org/officeDocument/2006/relationships/hyperlink" Target="https://doi.org/10.1016/j.jscs.2010.06.006"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2.xml"/><Relationship Id="rId22" Type="http://schemas.openxmlformats.org/officeDocument/2006/relationships/hyperlink" Target="https://doi.org/10.5897/AJFS2021.2101" TargetMode="External"/><Relationship Id="rId27" Type="http://schemas.openxmlformats.org/officeDocument/2006/relationships/hyperlink" Target="https://doi.org/10.3389/fmicb.2023.1089642" TargetMode="External"/><Relationship Id="rId30" Type="http://schemas.openxmlformats.org/officeDocument/2006/relationships/hyperlink" Target="https://doi.org/10.1007/s00216-020-03063-w"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xmlns:c16r2="http://schemas.microsoft.com/office/drawing/2015/06/char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xmlns:c16r2="http://schemas.microsoft.com/office/drawing/2015/06/char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xmlns:c16r2="http://schemas.microsoft.com/office/drawing/2015/06/char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xmlns:c16r2="http://schemas.microsoft.com/office/drawing/2015/06/char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xmlns:c16r2="http://schemas.microsoft.com/office/drawing/2015/06/char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xmlns:c16r2="http://schemas.microsoft.com/office/drawing/2015/06/char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56902912"/>
        <c:axId val="156904448"/>
      </c:barChart>
      <c:catAx>
        <c:axId val="15690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04448"/>
        <c:crosses val="autoZero"/>
        <c:auto val="1"/>
        <c:lblAlgn val="ctr"/>
        <c:lblOffset val="100"/>
        <c:noMultiLvlLbl val="0"/>
      </c:catAx>
      <c:valAx>
        <c:axId val="156904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0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xmlns:c16r2="http://schemas.microsoft.com/office/drawing/2015/06/char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xmlns:c16r2="http://schemas.microsoft.com/office/drawing/2015/06/char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xmlns:c16r2="http://schemas.microsoft.com/office/drawing/2015/06/char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xmlns:c16r2="http://schemas.microsoft.com/office/drawing/2015/06/char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199579136"/>
        <c:axId val="199580672"/>
      </c:barChart>
      <c:catAx>
        <c:axId val="19957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580672"/>
        <c:crosses val="autoZero"/>
        <c:auto val="1"/>
        <c:lblAlgn val="ctr"/>
        <c:lblOffset val="100"/>
        <c:noMultiLvlLbl val="0"/>
      </c:catAx>
      <c:valAx>
        <c:axId val="19958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57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xmlns:c16r2="http://schemas.microsoft.com/office/drawing/2015/06/char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xmlns:c16r2="http://schemas.microsoft.com/office/drawing/2015/06/char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xmlns:c16r2="http://schemas.microsoft.com/office/drawing/2015/06/char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xmlns:c16r2="http://schemas.microsoft.com/office/drawing/2015/06/char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xmlns:c16r2="http://schemas.microsoft.com/office/drawing/2015/06/char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xmlns:c16r2="http://schemas.microsoft.com/office/drawing/2015/06/char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161371648"/>
        <c:axId val="161373184"/>
      </c:barChart>
      <c:catAx>
        <c:axId val="16137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373184"/>
        <c:crosses val="autoZero"/>
        <c:auto val="1"/>
        <c:lblAlgn val="ctr"/>
        <c:lblOffset val="100"/>
        <c:noMultiLvlLbl val="0"/>
      </c:catAx>
      <c:valAx>
        <c:axId val="16137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37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xmlns:c16r2="http://schemas.microsoft.com/office/drawing/2015/06/char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61125888"/>
        <c:axId val="161127424"/>
      </c:barChart>
      <c:catAx>
        <c:axId val="16112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127424"/>
        <c:crosses val="autoZero"/>
        <c:auto val="1"/>
        <c:lblAlgn val="ctr"/>
        <c:lblOffset val="100"/>
        <c:noMultiLvlLbl val="0"/>
      </c:catAx>
      <c:valAx>
        <c:axId val="161127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12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xmlns:c16r2="http://schemas.microsoft.com/office/drawing/2015/06/char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xmlns:c16r2="http://schemas.microsoft.com/office/drawing/2015/06/char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xmlns:c16r2="http://schemas.microsoft.com/office/drawing/2015/06/char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xmlns:c16r2="http://schemas.microsoft.com/office/drawing/2015/06/char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xmlns:c16r2="http://schemas.microsoft.com/office/drawing/2015/06/char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61185152"/>
        <c:axId val="161207424"/>
      </c:barChart>
      <c:catAx>
        <c:axId val="16118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207424"/>
        <c:crosses val="autoZero"/>
        <c:auto val="1"/>
        <c:lblAlgn val="ctr"/>
        <c:lblOffset val="100"/>
        <c:noMultiLvlLbl val="0"/>
      </c:catAx>
      <c:valAx>
        <c:axId val="161207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18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44</Pages>
  <Words>7066</Words>
  <Characters>40281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2025-04-23T13:38:00Z</dcterms:created>
  <dcterms:modified xsi:type="dcterms:W3CDTF">2025-08-14T18:00:00Z</dcterms:modified>
</cp:coreProperties>
</file>