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6" cstate="print"/>
                    <a:srcRect l="-9332" t="-10011" r="-7814" b="-8333"/>
                    <a:stretch>
                      <a:fillRect/>
                    </a:stretch>
                  </pic:blipFill>
                  <pic:spPr>
                    <a:xfrm>
                      <a:off x="0" y="0"/>
                      <a:ext cx="1371600" cy="1298575"/>
                    </a:xfrm>
                    <a:prstGeom prst="rect">
                      <a:avLst/>
                    </a:prstGeom>
                    <a:ln>
                      <a:noFill/>
                    </a:ln>
                  </pic:spPr>
                </pic:pic>
              </a:graphicData>
            </a:graphic>
          </wp:inline>
        </w:drawing>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pPr>
        <w:spacing w:before="240"/>
        <w:ind w:right="4"/>
        <w:jc w:val="center"/>
        <w:rPr>
          <w:rFonts w:ascii="Times New Roman" w:hAnsi="Times New Roman" w:cs="Times New Roman"/>
          <w:b/>
          <w:bCs/>
          <w:sz w:val="28"/>
          <w:szCs w:val="28"/>
        </w:rPr>
      </w:pP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 BY</w:t>
      </w:r>
    </w:p>
    <w:p>
      <w:pPr>
        <w:spacing w:before="240"/>
        <w:ind w:right="4"/>
        <w:rPr>
          <w:rFonts w:ascii="Times New Roman" w:hAnsi="Times New Roman" w:cs="Times New Roman"/>
          <w:b/>
          <w:bCs/>
          <w:sz w:val="28"/>
          <w:szCs w:val="28"/>
        </w:rPr>
      </w:pPr>
    </w:p>
    <w:p>
      <w:pPr>
        <w:spacing w:before="240"/>
        <w:ind w:right="4"/>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KOLADE HELLEN OLUWATOYOSI</w:t>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w:t>
      </w:r>
      <w:r>
        <w:rPr>
          <w:rFonts w:ascii="Times New Roman" w:hAnsi="Times New Roman" w:cs="Times New Roman"/>
          <w:b/>
          <w:bCs/>
          <w:sz w:val="28"/>
          <w:szCs w:val="28"/>
          <w:lang w:val="en-US"/>
        </w:rPr>
        <w:t>973</w:t>
      </w:r>
      <w:bookmarkStart w:id="61" w:name="_GoBack"/>
      <w:bookmarkEnd w:id="61"/>
    </w:p>
    <w:p>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pPr>
        <w:spacing w:before="240" w:after="160" w:line="259" w:lineRule="auto"/>
        <w:ind w:left="0" w:firstLine="0"/>
        <w:jc w:val="left"/>
        <w:rPr>
          <w:rFonts w:ascii="Times New Roman" w:hAnsi="Times New Roman" w:eastAsia="Times New Roman" w:cs="Times New Roman"/>
          <w:b/>
          <w:color w:val="000000" w:themeColor="text1"/>
          <w:szCs w:val="32"/>
          <w14:textFill>
            <w14:solidFill>
              <w14:schemeClr w14:val="tx1"/>
            </w14:solidFill>
          </w14:textFill>
        </w:rPr>
      </w:pPr>
    </w:p>
    <w:p>
      <w:pPr>
        <w:spacing w:before="240"/>
        <w:ind w:right="27"/>
        <w:jc w:val="center"/>
        <w:rPr>
          <w:rFonts w:ascii="Times New Roman" w:hAnsi="Times New Roman" w:cs="Times New Roman"/>
          <w:b/>
          <w:bCs/>
          <w:sz w:val="28"/>
          <w:szCs w:val="28"/>
        </w:rPr>
      </w:pPr>
    </w:p>
    <w:p>
      <w:pPr>
        <w:ind w:left="0" w:right="27" w:firstLine="0"/>
        <w:rPr>
          <w:rFonts w:ascii="Times New Roman" w:hAnsi="Times New Roman" w:cs="Times New Roman"/>
          <w:b/>
          <w:bCs/>
          <w:sz w:val="28"/>
          <w:szCs w:val="28"/>
        </w:rPr>
      </w:pPr>
    </w:p>
    <w:p>
      <w:pPr>
        <w:pStyle w:val="2"/>
        <w:spacing w:line="480" w:lineRule="auto"/>
        <w:ind w:left="0" w:firstLine="0"/>
        <w:jc w:val="center"/>
      </w:pPr>
      <w:bookmarkStart w:id="0" w:name="_Toc203100984"/>
      <w:r>
        <w:t>CERTIFICATION</w:t>
      </w:r>
      <w:bookmarkEnd w:id="0"/>
    </w:p>
    <w:p>
      <w:pPr>
        <w:spacing w:line="480" w:lineRule="auto"/>
        <w:ind w:right="27" w:firstLine="0"/>
        <w:rPr>
          <w:rFonts w:ascii="Times New Roman" w:hAnsi="Times New Roman" w:cs="Times New Roman"/>
          <w:szCs w:val="28"/>
        </w:rPr>
      </w:pPr>
      <w:r>
        <w:rPr>
          <w:rFonts w:ascii="Times New Roman" w:hAnsi="Times New Roman" w:cs="Times New Roman"/>
          <w:szCs w:val="28"/>
        </w:rPr>
        <w:t xml:space="preserve">This is to certify that this Project report was written by </w:t>
      </w:r>
      <w:r>
        <w:rPr>
          <w:rFonts w:hint="eastAsia"/>
        </w:rPr>
        <w:t>KOLADE HELLEN OLUWATOYOSI</w:t>
      </w:r>
      <w:r>
        <w:rPr>
          <w:rFonts w:ascii="Times New Roman" w:hAnsi="Times New Roman" w:cs="Times New Roman"/>
          <w:szCs w:val="28"/>
        </w:rPr>
        <w:t xml:space="preserve"> with matric number HND/23/SLT/FT/0</w:t>
      </w:r>
      <w:r>
        <w:rPr>
          <w:rFonts w:ascii="Times New Roman" w:hAnsi="Times New Roman" w:cs="Times New Roman"/>
          <w:szCs w:val="28"/>
          <w:lang w:val="en-US"/>
        </w:rPr>
        <w:t>973</w:t>
      </w:r>
      <w:r>
        <w:rPr>
          <w:rFonts w:ascii="Times New Roman" w:hAnsi="Times New Roman" w:cs="Times New Roman"/>
          <w:szCs w:val="28"/>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rPr>
          <w:rFonts w:ascii="Times New Roman" w:hAnsi="Times New Roman" w:cs="Times New Roman"/>
          <w:sz w:val="28"/>
          <w:szCs w:val="28"/>
        </w:rPr>
      </w:pPr>
    </w:p>
    <w:p>
      <w:pPr>
        <w:spacing w:after="0"/>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8480" behindDoc="0" locked="0" layoutInCell="1" allowOverlap="1">
                <wp:simplePos x="0" y="0"/>
                <wp:positionH relativeFrom="column">
                  <wp:posOffset>3809365</wp:posOffset>
                </wp:positionH>
                <wp:positionV relativeFrom="paragraph">
                  <wp:posOffset>182880</wp:posOffset>
                </wp:positionV>
                <wp:extent cx="2057400" cy="9525"/>
                <wp:effectExtent l="9525" t="5715" r="9525" b="13334"/>
                <wp:wrapNone/>
                <wp:docPr id="1027" name="AutoShape 4"/>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4" o:spid="_x0000_s1026" o:spt="32" type="#_x0000_t32" style="position:absolute;left:0pt;flip:y;margin-left:299.95pt;margin-top:14.4pt;height:0.75pt;width:162pt;z-index:251668480;mso-width-relative:page;mso-height-relative:page;" filled="f" stroked="t" coordsize="21600,21600" o:gfxdata="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EvywnXAAAACQEAAA8AAAAAAAAAAQAgAAAAIgAA&#10;AGRycy9kb3ducmV2LnhtbFBLAQIUABQAAAAIAIdO4kDHS/wi0AEAAKwDAAAOAAAAAAAAAAEAIAAA&#10;ACYBAABkcnMvZTJvRG9jLnhtbFBLBQYAAAAABgAGAFkBAABoBQAAAAAA&#10;">
                <v:fill on="f" focussize="0,0"/>
                <v:stroke color="#000000" joinstyle="round"/>
                <v:imagedata o:title=""/>
                <o:lock v:ext="edit" aspectratio="f"/>
              </v:shape>
            </w:pict>
          </mc:Fallback>
        </mc:AlternateContent>
      </w:r>
      <w:r>
        <w:rPr>
          <w:rFonts w:ascii="Times New Roman" w:hAnsi="Times New Roman" w:cs="Times New Roman"/>
          <w:sz w:val="28"/>
          <w:szCs w:val="28"/>
        </w:rPr>
        <mc:AlternateContent>
          <mc:Choice Requires="wps">
            <w:drawing>
              <wp:anchor distT="0" distB="0" distL="0" distR="0" simplePos="0" relativeHeight="251666432"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 xmlns:a="http://schemas.openxmlformats.org/drawingml/2006/main">
                  <a:graphicData uri="http://schemas.microsoft.com/office/word/2010/wordprocessingShape">
                    <wps:wsp>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margin-left:6.75pt;margin-top:14.4pt;height:0pt;width:162pt;z-index:251666432;mso-width-relative:page;mso-height-relative:page;" filled="f" stroked="t" coordsize="21600,21600" o:gfxdata="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xYa/LTAAAACAEAAA8AAAAAAAAAAQAgAAAAIgAAAGRycy9kb3du&#10;cmV2LnhtbFBLAQIUABQAAAAIAIdO4kA9u6dzywEAAJ8DAAAOAAAAAAAAAAEAIAAAACIBAABkcnMv&#10;ZTJvRG9jLnhtbFBLBQYAAAAABgAGAFkBAABfBQAAAAAA&#10;">
                <v:fill on="f" focussize="0,0"/>
                <v:stroke color="#000000" joinstyle="round"/>
                <v:imagedata o:title=""/>
                <o:lock v:ext="edit" aspectratio="f"/>
              </v:shape>
            </w:pict>
          </mc:Fallback>
        </mc:AlternateContent>
      </w:r>
    </w:p>
    <w:p>
      <w:pPr>
        <w:spacing w:after="0"/>
        <w:rPr>
          <w:rFonts w:ascii="Times New Roman" w:hAnsi="Times New Roman" w:cs="Times New Roman"/>
          <w:sz w:val="26"/>
          <w:szCs w:val="26"/>
        </w:rPr>
      </w:pPr>
      <w:r>
        <w:rPr>
          <w:rFonts w:ascii="Times New Roman" w:hAnsi="Times New Roman" w:cs="Times New Roman"/>
          <w:sz w:val="26"/>
          <w:szCs w:val="26"/>
        </w:rPr>
        <w:t xml:space="preserve">       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pPr>
        <w:spacing w:after="0"/>
        <w:ind w:firstLine="284"/>
        <w:rPr>
          <w:rFonts w:ascii="Times New Roman" w:hAnsi="Times New Roman" w:cs="Times New Roman"/>
          <w:sz w:val="26"/>
          <w:szCs w:val="26"/>
        </w:rPr>
      </w:pPr>
    </w:p>
    <w:p>
      <w:pPr>
        <w:rPr>
          <w:rFonts w:ascii="Times New Roman" w:hAnsi="Times New Roman" w:cs="Times New Roman"/>
          <w:sz w:val="26"/>
          <w:szCs w:val="26"/>
        </w:rPr>
      </w:pPr>
    </w:p>
    <w:p>
      <w:pPr>
        <w:spacing w:after="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7456" behindDoc="0" locked="0" layoutInCell="1" allowOverlap="1">
                <wp:simplePos x="0" y="0"/>
                <wp:positionH relativeFrom="column">
                  <wp:posOffset>3809365</wp:posOffset>
                </wp:positionH>
                <wp:positionV relativeFrom="paragraph">
                  <wp:posOffset>186055</wp:posOffset>
                </wp:positionV>
                <wp:extent cx="2057400" cy="9525"/>
                <wp:effectExtent l="9525" t="7620" r="9525" b="11430"/>
                <wp:wrapNone/>
                <wp:docPr id="1029" name="AutoShape 3"/>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flip:y;margin-left:299.95pt;margin-top:14.65pt;height:0.75pt;width:162pt;z-index:251667456;mso-width-relative:page;mso-height-relative:page;" filled="f" stroked="t" coordsize="21600,21600" o:gfxdata="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JpjDfXAAAACQEAAA8AAAAAAAAAAQAgAAAAIgAA&#10;AGRycy9kb3ducmV2LnhtbFBLAQIUABQAAAAIAIdO4kCWK/To0AEAAKwDAAAOAAAAAAAAAAEAIAAA&#10;ACYBAABkcnMvZTJvRG9jLnhtbFBLBQYAAAAABgAGAFkBAABoBQ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9504"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5" o:spid="_x0000_s1026" o:spt="32" type="#_x0000_t32" style="position:absolute;left:0pt;flip:y;margin-left:2.25pt;margin-top:11.4pt;height:0.75pt;width:162pt;z-index:251669504;mso-width-relative:page;mso-height-relative:page;" filled="f" stroked="t" coordsize="21600,21600" o:gfxdata="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uNC7HVAAAABwEAAA8AAAAAAAAAAQAgAAAAIgAA&#10;AGRycy9kb3ducmV2LnhtbFBLAQIUABQAAAAIAIdO4kC6eleU0gEAAKwDAAAOAAAAAAAAAAEAIAAA&#10;ACQBAABkcnMvZTJvRG9jLnhtbFBLBQYAAAAABgAGAFkBAABoBQAAAAAA&#10;">
                <v:fill on="f" focussize="0,0"/>
                <v:stroke color="#000000" joinstyle="round"/>
                <v:imagedata o:title=""/>
                <o:lock v:ext="edit" aspectratio="f"/>
              </v:shape>
            </w:pict>
          </mc:Fallback>
        </mc:AlternateContent>
      </w:r>
    </w:p>
    <w:p>
      <w:pPr>
        <w:spacing w:after="0"/>
        <w:rPr>
          <w:rFonts w:ascii="Times New Roman" w:hAnsi="Times New Roman" w:cs="Times New Roman"/>
          <w:sz w:val="26"/>
          <w:szCs w:val="26"/>
        </w:rPr>
      </w:pPr>
      <w:r>
        <w:rPr>
          <w:rFonts w:ascii="Times New Roman" w:hAnsi="Times New Roman" w:cs="Times New Roman"/>
          <w:sz w:val="26"/>
          <w:szCs w:val="26"/>
        </w:rPr>
        <w:t xml:space="preserve">      MISS AHMED 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rPr>
          <w:rFonts w:ascii="Times New Roman" w:hAnsi="Times New Roman" w:cs="Times New Roman"/>
          <w:sz w:val="26"/>
          <w:szCs w:val="26"/>
        </w:rPr>
      </w:pPr>
      <w:r>
        <w:rPr>
          <w:rFonts w:ascii="Times New Roman" w:hAnsi="Times New Roman" w:cs="Times New Roman"/>
          <w:sz w:val="26"/>
          <w:szCs w:val="26"/>
        </w:rPr>
        <w:t xml:space="preserve">       (Head of Unit)</w:t>
      </w:r>
    </w:p>
    <w:p>
      <w:pPr>
        <w:spacing w:after="0"/>
        <w:rPr>
          <w:rFonts w:ascii="Times New Roman" w:hAnsi="Times New Roman" w:cs="Times New Roman"/>
          <w:sz w:val="26"/>
          <w:szCs w:val="26"/>
        </w:rPr>
      </w:pPr>
    </w:p>
    <w:p>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71552"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7" o:spid="_x0000_s1026" o:spt="32" type="#_x0000_t32" style="position:absolute;left:0pt;flip:y;margin-left:303.75pt;margin-top:23.55pt;height:0.75pt;width:162pt;z-index:251671552;mso-width-relative:page;mso-height-relative:page;" filled="f" stroked="t" coordsize="21600,21600" o:gfxdata="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hNKW9YAAAAJAQAADwAAAAAAAAABACAAAAAiAAAA&#10;ZHJzL2Rvd25yZXYueG1sUEsBAhQAFAAAAAgAh07iQKuz8pTQAQAArAMAAA4AAAAAAAAAAQAgAAAA&#10;JQEAAGRycy9lMm9Eb2MueG1sUEsFBgAAAAAGAAYAWQEAAGcFAA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70528"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6" o:spid="_x0000_s1026" o:spt="32" type="#_x0000_t32" style="position:absolute;left:0pt;flip:y;margin-left:6.75pt;margin-top:23.55pt;height:0.75pt;width:162pt;z-index:251670528;mso-width-relative:page;mso-height-relative:page;" filled="f" stroked="t" coordsize="21600,21600" o:gfxdata="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&#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4VY73UAAAACAEAAA8AAAAAAAAAAQAgAAAAIgAAAGRy&#10;cy9kb3ducmV2LnhtbFBLAQIUABQAAAAIAIdO4kDUOf4f0AEAAKwDAAAOAAAAAAAAAAEAIAAAACMB&#10;AABkcnMvZTJvRG9jLnhtbFBLBQYAAAAABgAGAFkBAABlBQAAAAAA&#10;">
                <v:fill on="f" focussize="0,0"/>
                <v:stroke color="#000000" joinstyle="round"/>
                <v:imagedata o:title=""/>
                <o:lock v:ext="edit" aspectratio="f"/>
              </v:shape>
            </w:pict>
          </mc:Fallback>
        </mc:AlternateContent>
      </w:r>
    </w:p>
    <w:p>
      <w:pPr>
        <w:rPr>
          <w:rFonts w:ascii="Times New Roman" w:hAnsi="Times New Roman" w:cs="Times New Roman"/>
          <w:sz w:val="26"/>
          <w:szCs w:val="26"/>
        </w:rPr>
      </w:pPr>
    </w:p>
    <w:p>
      <w:pPr>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rPr>
          <w:rFonts w:ascii="Times New Roman" w:hAnsi="Times New Roman" w:cs="Times New Roman"/>
          <w:sz w:val="26"/>
          <w:szCs w:val="26"/>
        </w:rPr>
      </w:pPr>
      <w:r>
        <w:rPr>
          <w:rFonts w:ascii="Times New Roman" w:hAnsi="Times New Roman" w:cs="Times New Roman"/>
          <w:sz w:val="26"/>
          <w:szCs w:val="26"/>
        </w:rPr>
        <w:t xml:space="preserve">       (Head of Department)</w:t>
      </w:r>
    </w:p>
    <w:p>
      <w:pPr>
        <w:spacing w:after="0"/>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spacing w:line="360" w:lineRule="auto"/>
        <w:ind w:right="27"/>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pStyle w:val="2"/>
        <w:spacing w:line="480" w:lineRule="auto"/>
        <w:ind w:left="0" w:firstLine="0"/>
        <w:jc w:val="center"/>
      </w:pPr>
      <w:bookmarkStart w:id="1" w:name="_Toc203100985"/>
      <w:r>
        <w:t>DEDICATION</w:t>
      </w:r>
      <w:bookmarkEnd w:id="1"/>
    </w:p>
    <w:p>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 dedicated this project to almighty God for He is the one that makes this </w:t>
      </w:r>
      <w:r>
        <w:rPr>
          <w:rFonts w:ascii="Times New Roman" w:hAnsi="Times New Roman" w:eastAsia="Times New Roman" w:cs="Times New Roman"/>
          <w:color w:val="auto"/>
          <w:szCs w:val="24"/>
        </w:rPr>
        <w:t>programme</w:t>
      </w:r>
      <w:r>
        <w:rPr>
          <w:rFonts w:ascii="Times New Roman" w:hAnsi="Times New Roman" w:eastAsia="Times New Roman" w:cs="Times New Roman"/>
          <w:color w:val="auto"/>
          <w:szCs w:val="24"/>
        </w:rPr>
        <w:t xml:space="preserve"> completion a reality and also to my family as a whole.</w:t>
      </w:r>
    </w:p>
    <w:p>
      <w:pPr>
        <w:spacing w:line="360" w:lineRule="auto"/>
        <w:ind w:right="27" w:firstLine="720"/>
        <w:rPr>
          <w:rFonts w:ascii="Times New Roman" w:hAnsi="Times New Roman" w:cs="Times New Roman"/>
          <w:sz w:val="28"/>
          <w:szCs w:val="28"/>
        </w:rPr>
      </w:pP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pStyle w:val="2"/>
        <w:spacing w:line="480" w:lineRule="auto"/>
        <w:ind w:left="0" w:firstLine="0"/>
        <w:jc w:val="center"/>
      </w:pPr>
      <w:bookmarkStart w:id="2" w:name="_Toc203100986"/>
      <w:r>
        <w:t>ACKNOWLEDGEMENT</w:t>
      </w:r>
      <w:bookmarkEnd w:id="2"/>
    </w:p>
    <w:p>
      <w:pPr>
        <w:spacing w:after="0" w:line="480" w:lineRule="auto"/>
        <w:rPr>
          <w:rFonts w:hint="eastAsia"/>
        </w:rPr>
      </w:pPr>
      <w:r>
        <w:rPr>
          <w:rFonts w:hint="eastAsia"/>
        </w:rPr>
        <w:t xml:space="preserve">I express my gratitude to Almighty God for His unwavering faithfulness in keeping His promise throughout my educational journey. My situation could have been quite different, but I have every reason to thank God for His love and compassion. </w:t>
      </w:r>
    </w:p>
    <w:p>
      <w:pPr>
        <w:spacing w:after="0" w:line="480" w:lineRule="auto"/>
        <w:rPr>
          <w:rFonts w:hint="eastAsia"/>
        </w:rPr>
      </w:pPr>
    </w:p>
    <w:p>
      <w:pPr>
        <w:spacing w:after="0" w:line="480" w:lineRule="auto"/>
        <w:rPr>
          <w:rFonts w:hint="eastAsia"/>
        </w:rPr>
      </w:pPr>
      <w:r>
        <w:rPr>
          <w:rFonts w:hint="eastAsia"/>
        </w:rPr>
        <w:t>I also want to acknowledge my wonderful parents, Mr. and Mrs. Kolade Oloke, who have sacrificed so much to ensure that I have a brighter future. I can proudly say that you are the best parents in the world.</w:t>
      </w:r>
    </w:p>
    <w:p>
      <w:pPr>
        <w:spacing w:after="0" w:line="480" w:lineRule="auto"/>
        <w:rPr>
          <w:rFonts w:hint="eastAsia"/>
        </w:rPr>
      </w:pPr>
    </w:p>
    <w:p>
      <w:pPr>
        <w:spacing w:after="0" w:line="480" w:lineRule="auto"/>
        <w:rPr>
          <w:rFonts w:hint="eastAsia"/>
        </w:rPr>
      </w:pPr>
      <w:r>
        <w:rPr>
          <w:rFonts w:hint="eastAsia"/>
        </w:rPr>
        <w:t>My heartfelt thanks go to my supervisor, Mrs. Dagba IB, for her invaluable assistance in completing this project. I pray that God continues to support you in all your endeavors.</w:t>
      </w:r>
    </w:p>
    <w:p>
      <w:pPr>
        <w:spacing w:after="0" w:line="480" w:lineRule="auto"/>
        <w:rPr>
          <w:rFonts w:hint="eastAsia"/>
        </w:rPr>
      </w:pPr>
    </w:p>
    <w:p>
      <w:pPr>
        <w:spacing w:after="0" w:line="480" w:lineRule="auto"/>
        <w:rPr>
          <w:rFonts w:hint="eastAsia"/>
        </w:rPr>
      </w:pPr>
      <w:r>
        <w:rPr>
          <w:rFonts w:hint="eastAsia"/>
        </w:rPr>
        <w:t>I appreciate my siblings at home: Mr. and Mrs. Vincent Kolade,</w:t>
      </w:r>
      <w:r>
        <w:rPr>
          <w:rFonts w:hint="default"/>
          <w:lang w:val="en-US"/>
        </w:rPr>
        <w:t xml:space="preserve"> </w:t>
      </w:r>
      <w:r>
        <w:rPr>
          <w:rFonts w:hint="eastAsia"/>
        </w:rPr>
        <w:t>Mrs Adeniyi, Mercy, Mrs Rotimi, Tomiwa, Mr Abdul</w:t>
      </w:r>
      <w:r>
        <w:rPr>
          <w:rFonts w:hint="default"/>
          <w:lang w:val="en-US"/>
        </w:rPr>
        <w:t>l</w:t>
      </w:r>
      <w:r>
        <w:rPr>
          <w:rFonts w:hint="eastAsia"/>
        </w:rPr>
        <w:t>ahi</w:t>
      </w:r>
      <w:r>
        <w:rPr>
          <w:rFonts w:hint="default"/>
          <w:lang w:val="en-US"/>
        </w:rPr>
        <w:t>,</w:t>
      </w:r>
      <w:r>
        <w:rPr>
          <w:rFonts w:hint="eastAsia"/>
        </w:rPr>
        <w:t xml:space="preserve"> Adam,</w:t>
      </w:r>
      <w:r>
        <w:rPr>
          <w:rFonts w:hint="default"/>
          <w:lang w:val="en-US"/>
        </w:rPr>
        <w:t xml:space="preserve"> </w:t>
      </w:r>
      <w:r>
        <w:rPr>
          <w:rFonts w:hint="eastAsia"/>
        </w:rPr>
        <w:t>Richard, and others. I encourage you all to stay focused and believe that this is just the beginning. We will all achieve great success together (Amin).</w:t>
      </w:r>
    </w:p>
    <w:p>
      <w:pPr>
        <w:spacing w:after="0" w:line="480" w:lineRule="auto"/>
        <w:rPr>
          <w:rFonts w:hint="eastAsia"/>
        </w:rPr>
      </w:pPr>
    </w:p>
    <w:p>
      <w:pPr>
        <w:spacing w:after="0" w:line="480" w:lineRule="auto"/>
        <w:rPr>
          <w:rFonts w:hint="eastAsia"/>
        </w:rPr>
      </w:pPr>
      <w:r>
        <w:rPr>
          <w:rFonts w:hint="eastAsia"/>
        </w:rPr>
        <w:t xml:space="preserve">Finally, I am grateful for my friends at school: Muyideen, Elizabeth, Tressure, Zainab, Desire, Pelumi, Rasak, Tobi, Boy West, and my amazing representative. I urge you all to remain focused and understand that this is merely the start. May God, in His infinite mercy, continue to guide us in all our future endeavors. </w:t>
      </w:r>
    </w:p>
    <w:p>
      <w:pPr>
        <w:spacing w:after="0" w:line="480" w:lineRule="auto"/>
        <w:rPr>
          <w:rFonts w:hint="eastAsia"/>
        </w:rPr>
      </w:pPr>
    </w:p>
    <w:p>
      <w:pPr>
        <w:spacing w:after="0" w:line="480" w:lineRule="auto"/>
        <w:rPr>
          <w:rFonts w:ascii="Times New Roman" w:hAnsi="Times New Roman" w:cs="Times New Roman"/>
          <w:sz w:val="28"/>
          <w:szCs w:val="28"/>
        </w:rPr>
      </w:pPr>
      <w:r>
        <w:rPr>
          <w:rFonts w:hint="eastAsia"/>
        </w:rPr>
        <w:t>God bless you all (Amen)</w:t>
      </w:r>
    </w:p>
    <w:p>
      <w:pPr>
        <w:spacing w:after="0" w:line="480" w:lineRule="auto"/>
        <w:rPr>
          <w:rFonts w:ascii="Times New Roman" w:hAnsi="Times New Roman" w:cs="Times New Roman"/>
          <w:sz w:val="28"/>
          <w:szCs w:val="28"/>
        </w:rPr>
      </w:pPr>
    </w:p>
    <w:p>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pPr>
        <w:spacing w:after="0" w:line="480" w:lineRule="auto"/>
        <w:rPr>
          <w:rFonts w:ascii="Times New Roman" w:hAnsi="Times New Roman" w:cs="Times New Roman"/>
          <w:sz w:val="28"/>
          <w:szCs w:val="28"/>
        </w:rPr>
      </w:pPr>
    </w:p>
    <w:sdt>
      <w:sdtPr>
        <w:rPr>
          <w:rFonts w:ascii="Times New Roman" w:hAnsi="Times New Roman" w:eastAsia="Calibri" w:cs="Times New Roman"/>
          <w:b/>
          <w:color w:val="000000" w:themeColor="text1"/>
          <w:sz w:val="24"/>
          <w:szCs w:val="24"/>
          <w14:textFill>
            <w14:solidFill>
              <w14:schemeClr w14:val="tx1"/>
            </w14:solidFill>
          </w14:textFill>
        </w:rPr>
        <w:id w:val="1386672110"/>
      </w:sdtPr>
      <w:sdtEndPr>
        <w:rPr>
          <w:rFonts w:ascii="Times New Roman" w:hAnsi="Times New Roman" w:eastAsia="Calibri" w:cs="Times New Roman"/>
          <w:b/>
          <w:bCs/>
          <w:color w:val="000000"/>
          <w:sz w:val="24"/>
          <w:szCs w:val="24"/>
        </w:rPr>
      </w:sdtEndPr>
      <w:sdtContent>
        <w:p>
          <w:pPr>
            <w:pStyle w:val="28"/>
            <w:spacing w:line="48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OF CONTENTS</w:t>
          </w:r>
        </w:p>
        <w:p>
          <w:pPr>
            <w:pStyle w:val="10"/>
            <w:tabs>
              <w:tab w:val="right" w:pos="9016"/>
            </w:tabs>
            <w:rPr>
              <w:rFonts w:ascii="Times New Roman" w:hAnsi="Times New Roman" w:cs="Times New Roman" w:eastAsiaTheme="minorEastAsia"/>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r>
            <w:fldChar w:fldCharType="begin"/>
          </w:r>
          <w:r>
            <w:instrText xml:space="preserve"> HYPERLINK \l "_Toc203100984" </w:instrText>
          </w:r>
          <w:r>
            <w:fldChar w:fldCharType="separate"/>
          </w:r>
          <w:r>
            <w:rPr>
              <w:rStyle w:val="15"/>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_Toc203100984 \h </w:instrText>
          </w:r>
          <w:r>
            <w:rPr>
              <w:rFonts w:ascii="Times New Roman" w:hAnsi="Times New Roman" w:cs="Times New Roman"/>
              <w:szCs w:val="24"/>
            </w:rPr>
            <w:fldChar w:fldCharType="separate"/>
          </w:r>
          <w:r>
            <w:rPr>
              <w:rFonts w:ascii="Times New Roman" w:hAnsi="Times New Roman" w:cs="Times New Roman"/>
              <w:szCs w:val="24"/>
            </w:rPr>
            <w:t>ii</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"_Toc203100985" </w:instrText>
          </w:r>
          <w:r>
            <w:fldChar w:fldCharType="separate"/>
          </w:r>
          <w:r>
            <w:rPr>
              <w:rStyle w:val="15"/>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_Toc203100985 \h </w:instrText>
          </w:r>
          <w:r>
            <w:rPr>
              <w:rFonts w:ascii="Times New Roman" w:hAnsi="Times New Roman" w:cs="Times New Roman"/>
              <w:szCs w:val="24"/>
            </w:rPr>
            <w:fldChar w:fldCharType="separate"/>
          </w:r>
          <w:r>
            <w:rPr>
              <w:rFonts w:ascii="Times New Roman" w:hAnsi="Times New Roman" w:cs="Times New Roman"/>
              <w:szCs w:val="24"/>
            </w:rPr>
            <w:t>iii</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"_Toc203100986" </w:instrText>
          </w:r>
          <w:r>
            <w:fldChar w:fldCharType="separate"/>
          </w:r>
          <w:r>
            <w:rPr>
              <w:rStyle w:val="15"/>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_Toc203100986 \h </w:instrText>
          </w:r>
          <w:r>
            <w:rPr>
              <w:rFonts w:ascii="Times New Roman" w:hAnsi="Times New Roman" w:cs="Times New Roman"/>
              <w:szCs w:val="24"/>
            </w:rPr>
            <w:fldChar w:fldCharType="separate"/>
          </w:r>
          <w:r>
            <w:rPr>
              <w:rFonts w:ascii="Times New Roman" w:hAnsi="Times New Roman" w:cs="Times New Roman"/>
              <w:szCs w:val="24"/>
            </w:rPr>
            <w:t>iv</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"_Toc203100987" </w:instrText>
          </w:r>
          <w:r>
            <w:fldChar w:fldCharType="separate"/>
          </w:r>
          <w:r>
            <w:rPr>
              <w:rStyle w:val="15"/>
              <w:rFonts w:ascii="Times New Roman" w:hAnsi="Times New Roman" w:cs="Times New Roman"/>
              <w:szCs w:val="24"/>
            </w:rPr>
            <w:t>CHAPTER ONE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_Toc203100987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"_Toc203100988" </w:instrText>
          </w:r>
          <w:r>
            <w:fldChar w:fldCharType="separate"/>
          </w:r>
          <w:r>
            <w:rPr>
              <w:rStyle w:val="15"/>
              <w:rFonts w:ascii="Times New Roman" w:hAnsi="Times New Roman" w:cs="Times New Roman"/>
              <w:szCs w:val="24"/>
            </w:rPr>
            <w:t>INTRODUCTION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_Toc203100988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"_Toc203100989" </w:instrText>
          </w:r>
          <w:r>
            <w:fldChar w:fldCharType="separate"/>
          </w:r>
          <w:r>
            <w:rPr>
              <w:rStyle w:val="15"/>
              <w:rFonts w:ascii="Times New Roman" w:hAnsi="Times New Roman" w:cs="Times New Roman"/>
              <w:szCs w:val="24"/>
            </w:rPr>
            <w:t>1.1</w:t>
          </w:r>
          <w:r>
            <w:rPr>
              <w:rFonts w:ascii="Times New Roman" w:hAnsi="Times New Roman" w:cs="Times New Roman" w:eastAsiaTheme="minorEastAsia"/>
              <w:color w:val="auto"/>
              <w:szCs w:val="24"/>
            </w:rPr>
            <w:tab/>
          </w:r>
          <w:r>
            <w:rPr>
              <w:rStyle w:val="15"/>
              <w:rFonts w:ascii="Times New Roman" w:hAnsi="Times New Roman" w:cs="Times New Roman"/>
              <w:szCs w:val="24"/>
            </w:rPr>
            <w:t>Background to the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_Toc203100989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"_Toc203100990" </w:instrText>
          </w:r>
          <w:r>
            <w:fldChar w:fldCharType="separate"/>
          </w:r>
          <w:r>
            <w:rPr>
              <w:rStyle w:val="15"/>
              <w:rFonts w:ascii="Times New Roman" w:hAnsi="Times New Roman" w:cs="Times New Roman"/>
              <w:szCs w:val="24"/>
            </w:rPr>
            <w:t>1.2</w:t>
          </w:r>
          <w:r>
            <w:rPr>
              <w:rFonts w:ascii="Times New Roman" w:hAnsi="Times New Roman" w:cs="Times New Roman" w:eastAsiaTheme="minorEastAsia"/>
              <w:color w:val="auto"/>
              <w:szCs w:val="24"/>
            </w:rPr>
            <w:tab/>
          </w:r>
          <w:r>
            <w:rPr>
              <w:rStyle w:val="15"/>
              <w:rFonts w:ascii="Times New Roman" w:hAnsi="Times New Roman" w:cs="Times New Roman"/>
              <w:szCs w:val="24"/>
            </w:rPr>
            <w:t>Statement of Problem</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_Toc203100990 \h </w:instrText>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"_Toc203100991" </w:instrText>
          </w:r>
          <w:r>
            <w:fldChar w:fldCharType="separate"/>
          </w:r>
          <w:r>
            <w:rPr>
              <w:rStyle w:val="15"/>
              <w:rFonts w:ascii="Times New Roman" w:hAnsi="Times New Roman" w:cs="Times New Roman"/>
              <w:szCs w:val="24"/>
            </w:rPr>
            <w:t>1.3</w:t>
          </w:r>
          <w:r>
            <w:rPr>
              <w:rFonts w:ascii="Times New Roman" w:hAnsi="Times New Roman" w:cs="Times New Roman" w:eastAsiaTheme="minorEastAsia"/>
              <w:color w:val="auto"/>
              <w:szCs w:val="24"/>
            </w:rPr>
            <w:tab/>
          </w:r>
          <w:r>
            <w:rPr>
              <w:rStyle w:val="15"/>
              <w:rFonts w:ascii="Times New Roman" w:hAnsi="Times New Roman" w:cs="Times New Roman"/>
              <w:szCs w:val="24"/>
            </w:rPr>
            <w:t>Justification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_Toc203100991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"_Toc203100992" </w:instrText>
          </w:r>
          <w:r>
            <w:fldChar w:fldCharType="separate"/>
          </w:r>
          <w:r>
            <w:rPr>
              <w:rStyle w:val="15"/>
              <w:rFonts w:ascii="Times New Roman" w:hAnsi="Times New Roman" w:cs="Times New Roman"/>
              <w:szCs w:val="24"/>
            </w:rPr>
            <w:t>1.4</w:t>
          </w:r>
          <w:r>
            <w:rPr>
              <w:rFonts w:ascii="Times New Roman" w:hAnsi="Times New Roman" w:cs="Times New Roman" w:eastAsiaTheme="minorEastAsia"/>
              <w:color w:val="auto"/>
              <w:szCs w:val="24"/>
            </w:rPr>
            <w:tab/>
          </w:r>
          <w:r>
            <w:rPr>
              <w:rStyle w:val="15"/>
              <w:rFonts w:ascii="Times New Roman" w:hAnsi="Times New Roman" w:cs="Times New Roman"/>
              <w:szCs w:val="24"/>
            </w:rPr>
            <w:t>Aims and Objectives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_Toc203100992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"_Toc203100993" </w:instrText>
          </w:r>
          <w:r>
            <w:fldChar w:fldCharType="separate"/>
          </w:r>
          <w:r>
            <w:rPr>
              <w:rStyle w:val="15"/>
              <w:rFonts w:ascii="Times New Roman" w:hAnsi="Times New Roman" w:cs="Times New Roman"/>
              <w:szCs w:val="24"/>
            </w:rPr>
            <w:t>CHAPTER TWO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_Toc203100993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"_Toc203100994" </w:instrText>
          </w:r>
          <w:r>
            <w:fldChar w:fldCharType="separate"/>
          </w:r>
          <w:r>
            <w:rPr>
              <w:rStyle w:val="15"/>
              <w:rFonts w:ascii="Times New Roman" w:hAnsi="Times New Roman" w:cs="Times New Roman"/>
              <w:szCs w:val="24"/>
            </w:rPr>
            <w:t>LITERATURE REVIEW</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_Toc203100994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"_Toc203100995" </w:instrText>
          </w:r>
          <w:r>
            <w:fldChar w:fldCharType="separate"/>
          </w:r>
          <w:r>
            <w:rPr>
              <w:rStyle w:val="15"/>
              <w:rFonts w:ascii="Times New Roman" w:hAnsi="Times New Roman" w:cs="Times New Roman"/>
              <w:szCs w:val="24"/>
            </w:rPr>
            <w:t>2.1</w:t>
          </w:r>
          <w:r>
            <w:rPr>
              <w:rFonts w:ascii="Times New Roman" w:hAnsi="Times New Roman" w:cs="Times New Roman" w:eastAsiaTheme="minorEastAsia"/>
              <w:color w:val="auto"/>
              <w:szCs w:val="24"/>
            </w:rPr>
            <w:tab/>
          </w:r>
          <w:r>
            <w:rPr>
              <w:rStyle w:val="15"/>
              <w:rFonts w:ascii="Times New Roman" w:hAnsi="Times New Roman" w:cs="Times New Roman"/>
              <w:szCs w:val="24"/>
            </w:rPr>
            <w:t>Concept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_Toc203100995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"_Toc203100996" </w:instrText>
          </w:r>
          <w:r>
            <w:fldChar w:fldCharType="separate"/>
          </w:r>
          <w:r>
            <w:rPr>
              <w:rStyle w:val="15"/>
              <w:rFonts w:ascii="Times New Roman" w:hAnsi="Times New Roman" w:cs="Times New Roman"/>
              <w:szCs w:val="24"/>
            </w:rPr>
            <w:t>2.2</w:t>
          </w:r>
          <w:r>
            <w:rPr>
              <w:rFonts w:ascii="Times New Roman" w:hAnsi="Times New Roman" w:cs="Times New Roman" w:eastAsiaTheme="minorEastAsia"/>
              <w:color w:val="auto"/>
              <w:szCs w:val="24"/>
            </w:rPr>
            <w:tab/>
          </w:r>
          <w:r>
            <w:rPr>
              <w:rStyle w:val="15"/>
              <w:rFonts w:ascii="Times New Roman" w:hAnsi="Times New Roman" w:cs="Times New Roman"/>
              <w:szCs w:val="24"/>
            </w:rPr>
            <w:t>Key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_Toc203100996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"_Toc203100997" </w:instrText>
          </w:r>
          <w:r>
            <w:fldChar w:fldCharType="separate"/>
          </w:r>
          <w:r>
            <w:rPr>
              <w:rStyle w:val="15"/>
              <w:rFonts w:ascii="Times New Roman" w:hAnsi="Times New Roman" w:eastAsia="Arial" w:cs="Times New Roman"/>
              <w:szCs w:val="24"/>
            </w:rPr>
            <w:t>2.2.1</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Microbial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_Toc203100997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"_Toc203100998" </w:instrText>
          </w:r>
          <w:r>
            <w:fldChar w:fldCharType="separate"/>
          </w:r>
          <w:r>
            <w:rPr>
              <w:rStyle w:val="15"/>
              <w:rFonts w:ascii="Times New Roman" w:hAnsi="Times New Roman" w:cs="Times New Roman"/>
              <w:szCs w:val="24"/>
            </w:rPr>
            <w:t>2.2.2</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Physical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_Toc203100998 \h </w:instrText>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"_Toc203100999" </w:instrText>
          </w:r>
          <w:r>
            <w:fldChar w:fldCharType="separate"/>
          </w:r>
          <w:r>
            <w:rPr>
              <w:rStyle w:val="15"/>
              <w:rFonts w:ascii="Times New Roman" w:hAnsi="Times New Roman" w:cs="Times New Roman"/>
              <w:szCs w:val="24"/>
            </w:rPr>
            <w:t>2.2.3</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Chemical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_Toc203100999 \h </w:instrText>
          </w:r>
          <w:r>
            <w:rPr>
              <w:rFonts w:ascii="Times New Roman" w:hAnsi="Times New Roman" w:cs="Times New Roman"/>
              <w:szCs w:val="24"/>
            </w:rPr>
            <w:fldChar w:fldCharType="separate"/>
          </w:r>
          <w:r>
            <w:rPr>
              <w:rFonts w:ascii="Times New Roman" w:hAnsi="Times New Roman" w:cs="Times New Roman"/>
              <w:szCs w:val="24"/>
            </w:rPr>
            <w:t>18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"_Toc203101000" </w:instrText>
          </w:r>
          <w:r>
            <w:fldChar w:fldCharType="separate"/>
          </w:r>
          <w:r>
            <w:rPr>
              <w:rStyle w:val="15"/>
              <w:rFonts w:ascii="Times New Roman" w:hAnsi="Times New Roman" w:cs="Times New Roman"/>
              <w:szCs w:val="24"/>
            </w:rPr>
            <w:t>2.3</w:t>
          </w:r>
          <w:r>
            <w:rPr>
              <w:rFonts w:ascii="Times New Roman" w:hAnsi="Times New Roman" w:cs="Times New Roman" w:eastAsiaTheme="minorEastAsia"/>
              <w:color w:val="auto"/>
              <w:szCs w:val="24"/>
            </w:rPr>
            <w:tab/>
          </w:r>
          <w:r>
            <w:rPr>
              <w:rStyle w:val="15"/>
              <w:rFonts w:ascii="Times New Roman" w:hAnsi="Times New Roman" w:cs="Times New Roman"/>
              <w:szCs w:val="24"/>
            </w:rPr>
            <w:t>Water Quality Standards and Regulations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_Toc203101000 \h </w:instrText>
          </w:r>
          <w:r>
            <w:rPr>
              <w:rFonts w:ascii="Times New Roman" w:hAnsi="Times New Roman" w:cs="Times New Roman"/>
              <w:szCs w:val="24"/>
            </w:rPr>
            <w:fldChar w:fldCharType="separate"/>
          </w:r>
          <w:r>
            <w:rPr>
              <w:rFonts w:ascii="Times New Roman" w:hAnsi="Times New Roman" w:cs="Times New Roman"/>
              <w:szCs w:val="24"/>
            </w:rPr>
            <w:t>19</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"_Toc203101001" </w:instrText>
          </w:r>
          <w:r>
            <w:fldChar w:fldCharType="separate"/>
          </w:r>
          <w:r>
            <w:rPr>
              <w:rStyle w:val="15"/>
              <w:rFonts w:ascii="Times New Roman" w:hAnsi="Times New Roman" w:eastAsia="Times New Roman" w:cs="Times New Roman"/>
              <w:szCs w:val="24"/>
            </w:rPr>
            <w:t>2.3.1</w:t>
          </w:r>
          <w:r>
            <w:rPr>
              <w:rFonts w:ascii="Times New Roman" w:hAnsi="Times New Roman" w:cs="Times New Roman" w:eastAsiaTheme="minorEastAsia"/>
              <w:color w:val="auto"/>
              <w:szCs w:val="24"/>
            </w:rPr>
            <w:t xml:space="preserve">       </w:t>
          </w:r>
          <w:r>
            <w:rPr>
              <w:rStyle w:val="15"/>
              <w:rFonts w:ascii="Times New Roman" w:hAnsi="Times New Roman" w:eastAsia="Times New Roman" w:cs="Times New Roman"/>
              <w:szCs w:val="24"/>
            </w:rPr>
            <w:t>Nigerian Standard for Drinking Water Quality (NSDWQ)</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_Toc203101001 \h </w:instrText>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"_Toc203101002" </w:instrText>
          </w:r>
          <w:r>
            <w:fldChar w:fldCharType="separate"/>
          </w:r>
          <w:r>
            <w:rPr>
              <w:rStyle w:val="15"/>
              <w:rFonts w:ascii="Times New Roman" w:hAnsi="Times New Roman" w:eastAsia="Arial" w:cs="Times New Roman"/>
              <w:szCs w:val="24"/>
            </w:rPr>
            <w:t>2.5</w:t>
          </w:r>
          <w:r>
            <w:rPr>
              <w:rFonts w:ascii="Times New Roman" w:hAnsi="Times New Roman" w:cs="Times New Roman" w:eastAsiaTheme="minorEastAsia"/>
              <w:color w:val="auto"/>
              <w:szCs w:val="24"/>
            </w:rPr>
            <w:tab/>
          </w:r>
          <w:r>
            <w:rPr>
              <w:rStyle w:val="15"/>
              <w:rFonts w:ascii="Times New Roman" w:hAnsi="Times New Roman" w:cs="Times New Roman"/>
              <w:szCs w:val="24"/>
            </w:rPr>
            <w:t>Sachet Water Production in Nigeria</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_Toc203101002 \h </w:instrText>
          </w:r>
          <w:r>
            <w:rPr>
              <w:rFonts w:ascii="Times New Roman" w:hAnsi="Times New Roman" w:cs="Times New Roman"/>
              <w:szCs w:val="24"/>
            </w:rPr>
            <w:fldChar w:fldCharType="separate"/>
          </w:r>
          <w:r>
            <w:rPr>
              <w:rFonts w:ascii="Times New Roman" w:hAnsi="Times New Roman" w:cs="Times New Roman"/>
              <w:szCs w:val="24"/>
            </w:rPr>
            <w:t>22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"_Toc203101003" </w:instrText>
          </w:r>
          <w:r>
            <w:fldChar w:fldCharType="separate"/>
          </w:r>
          <w:r>
            <w:rPr>
              <w:rStyle w:val="15"/>
              <w:rFonts w:ascii="Times New Roman" w:hAnsi="Times New Roman" w:eastAsia="Arial" w:cs="Times New Roman"/>
              <w:szCs w:val="24"/>
            </w:rPr>
            <w:t>2.6</w:t>
          </w:r>
          <w:r>
            <w:rPr>
              <w:rFonts w:ascii="Times New Roman" w:hAnsi="Times New Roman" w:cs="Times New Roman" w:eastAsiaTheme="minorEastAsia"/>
              <w:color w:val="auto"/>
              <w:szCs w:val="24"/>
            </w:rPr>
            <w:tab/>
          </w:r>
          <w:r>
            <w:rPr>
              <w:rStyle w:val="15"/>
              <w:rFonts w:ascii="Times New Roman" w:hAnsi="Times New Roman" w:cs="Times New Roman"/>
              <w:szCs w:val="24"/>
            </w:rPr>
            <w:t>Antibacterial Analysis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_Toc203101003 \h </w:instrText>
          </w:r>
          <w:r>
            <w:rPr>
              <w:rFonts w:ascii="Times New Roman" w:hAnsi="Times New Roman" w:cs="Times New Roman"/>
              <w:szCs w:val="24"/>
            </w:rPr>
            <w:fldChar w:fldCharType="separate"/>
          </w:r>
          <w:r>
            <w:rPr>
              <w:rFonts w:ascii="Times New Roman" w:hAnsi="Times New Roman" w:cs="Times New Roman"/>
              <w:szCs w:val="24"/>
            </w:rPr>
            <w:t>23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"_Toc203101004" </w:instrText>
          </w:r>
          <w:r>
            <w:fldChar w:fldCharType="separate"/>
          </w:r>
          <w:r>
            <w:rPr>
              <w:rStyle w:val="15"/>
              <w:rFonts w:ascii="Times New Roman" w:hAnsi="Times New Roman" w:cs="Times New Roman"/>
              <w:szCs w:val="24"/>
            </w:rPr>
            <w:t>2.6.1</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Culture-Based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_Toc203101004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"_Toc203101005" </w:instrText>
          </w:r>
          <w:r>
            <w:fldChar w:fldCharType="separate"/>
          </w:r>
          <w:r>
            <w:rPr>
              <w:rStyle w:val="15"/>
              <w:rFonts w:ascii="Times New Roman" w:hAnsi="Times New Roman" w:cs="Times New Roman"/>
              <w:szCs w:val="24"/>
            </w:rPr>
            <w:t>2.6.2</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Antibacterial Activity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_Toc203101005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"_Toc203101006" </w:instrText>
          </w:r>
          <w:r>
            <w:fldChar w:fldCharType="separate"/>
          </w:r>
          <w:r>
            <w:rPr>
              <w:rStyle w:val="15"/>
              <w:rFonts w:ascii="Times New Roman" w:hAnsi="Times New Roman" w:cs="Times New Roman"/>
              <w:szCs w:val="24"/>
            </w:rPr>
            <w:t>2.6.3</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Molecular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_Toc203101006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"_Toc203101007" </w:instrText>
          </w:r>
          <w:r>
            <w:fldChar w:fldCharType="separate"/>
          </w:r>
          <w:r>
            <w:rPr>
              <w:rStyle w:val="15"/>
              <w:rFonts w:ascii="Times New Roman" w:hAnsi="Times New Roman" w:eastAsia="Arial" w:cs="Times New Roman"/>
              <w:szCs w:val="24"/>
            </w:rPr>
            <w:t>CHAPTER THREE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_Toc203101007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"_Toc203101008" </w:instrText>
          </w:r>
          <w:r>
            <w:fldChar w:fldCharType="separate"/>
          </w:r>
          <w:r>
            <w:rPr>
              <w:rStyle w:val="15"/>
              <w:rFonts w:ascii="Times New Roman" w:hAnsi="Times New Roman" w:eastAsia="Arial" w:cs="Times New Roman"/>
              <w:szCs w:val="24"/>
            </w:rPr>
            <w:t>MATERIALS AND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_Toc203101008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"_Toc203101009" </w:instrText>
          </w:r>
          <w:r>
            <w:fldChar w:fldCharType="separate"/>
          </w:r>
          <w:r>
            <w:rPr>
              <w:rStyle w:val="15"/>
              <w:rFonts w:ascii="Times New Roman" w:hAnsi="Times New Roman" w:eastAsia="Arial" w:cs="Times New Roman"/>
              <w:szCs w:val="24"/>
            </w:rPr>
            <w:t>3.1</w:t>
          </w:r>
          <w:r>
            <w:rPr>
              <w:rFonts w:ascii="Times New Roman" w:hAnsi="Times New Roman" w:cs="Times New Roman" w:eastAsiaTheme="minorEastAsia"/>
              <w:color w:val="auto"/>
              <w:szCs w:val="24"/>
            </w:rPr>
            <w:tab/>
          </w:r>
          <w:r>
            <w:rPr>
              <w:rStyle w:val="15"/>
              <w:rFonts w:ascii="Times New Roman" w:hAnsi="Times New Roman" w:eastAsia="Arial" w:cs="Times New Roman"/>
              <w:szCs w:val="24"/>
            </w:rPr>
            <w:t>Description of the Sample Site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_Toc203101009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"_Toc203101010" </w:instrText>
          </w:r>
          <w:r>
            <w:fldChar w:fldCharType="separate"/>
          </w:r>
          <w:r>
            <w:rPr>
              <w:rStyle w:val="15"/>
              <w:rFonts w:ascii="Times New Roman" w:hAnsi="Times New Roman" w:cs="Times New Roman"/>
              <w:szCs w:val="24"/>
            </w:rPr>
            <w:t>3.2</w:t>
          </w:r>
          <w:r>
            <w:rPr>
              <w:rFonts w:ascii="Times New Roman" w:hAnsi="Times New Roman" w:cs="Times New Roman" w:eastAsiaTheme="minorEastAsia"/>
              <w:color w:val="auto"/>
              <w:szCs w:val="24"/>
            </w:rPr>
            <w:tab/>
          </w:r>
          <w:r>
            <w:rPr>
              <w:rStyle w:val="15"/>
              <w:rFonts w:ascii="Times New Roman" w:hAnsi="Times New Roman" w:cs="Times New Roman"/>
              <w:szCs w:val="24"/>
            </w:rPr>
            <w:t>Sample Collection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_Toc203101010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"_Toc203101011" </w:instrText>
          </w:r>
          <w:r>
            <w:fldChar w:fldCharType="separate"/>
          </w:r>
          <w:r>
            <w:rPr>
              <w:rStyle w:val="15"/>
              <w:rFonts w:ascii="Times New Roman" w:hAnsi="Times New Roman" w:cs="Times New Roman"/>
              <w:szCs w:val="24"/>
            </w:rPr>
            <w:t>3.2.1</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Sampling procedure and Preservation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_Toc203101011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"_Toc203101012" </w:instrText>
          </w:r>
          <w:r>
            <w:fldChar w:fldCharType="separate"/>
          </w:r>
          <w:r>
            <w:rPr>
              <w:rStyle w:val="15"/>
              <w:rFonts w:ascii="Times New Roman" w:hAnsi="Times New Roman" w:cs="Times New Roman"/>
              <w:szCs w:val="24"/>
            </w:rPr>
            <w:t>3.3</w:t>
          </w:r>
          <w:r>
            <w:rPr>
              <w:rFonts w:ascii="Times New Roman" w:hAnsi="Times New Roman" w:cs="Times New Roman" w:eastAsiaTheme="minorEastAsia"/>
              <w:color w:val="auto"/>
              <w:szCs w:val="24"/>
            </w:rPr>
            <w:tab/>
          </w:r>
          <w:r>
            <w:rPr>
              <w:rStyle w:val="15"/>
              <w:rFonts w:ascii="Times New Roman" w:hAnsi="Times New Roman" w:cs="Times New Roman"/>
              <w:szCs w:val="24"/>
            </w:rPr>
            <w:t>Physicochemical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_Toc203101012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"_Toc203101013" </w:instrText>
          </w:r>
          <w:r>
            <w:fldChar w:fldCharType="separate"/>
          </w:r>
          <w:r>
            <w:rPr>
              <w:rStyle w:val="15"/>
              <w:rFonts w:ascii="Times New Roman" w:hAnsi="Times New Roman" w:cs="Times New Roman"/>
              <w:szCs w:val="24"/>
            </w:rPr>
            <w:t>3.3.1</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pH</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_Toc203101013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"_Toc203101014" </w:instrText>
          </w:r>
          <w:r>
            <w:fldChar w:fldCharType="separate"/>
          </w:r>
          <w:r>
            <w:rPr>
              <w:rStyle w:val="15"/>
              <w:rFonts w:ascii="Times New Roman" w:hAnsi="Times New Roman" w:cs="Times New Roman"/>
              <w:szCs w:val="24"/>
            </w:rPr>
            <w:t>3.3.2</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Temperature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_Toc203101014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"_Toc203101015" </w:instrText>
          </w:r>
          <w:r>
            <w:fldChar w:fldCharType="separate"/>
          </w:r>
          <w:r>
            <w:rPr>
              <w:rStyle w:val="15"/>
              <w:rFonts w:ascii="Times New Roman" w:hAnsi="Times New Roman" w:cs="Times New Roman"/>
              <w:szCs w:val="24"/>
            </w:rPr>
            <w:t>3.3.3</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Turbidity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_Toc203101015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"_Toc203101016" </w:instrText>
          </w:r>
          <w:r>
            <w:fldChar w:fldCharType="separate"/>
          </w:r>
          <w:r>
            <w:rPr>
              <w:rStyle w:val="15"/>
              <w:rFonts w:ascii="Times New Roman" w:hAnsi="Times New Roman" w:eastAsia="Arial" w:cs="Times New Roman"/>
              <w:szCs w:val="24"/>
            </w:rPr>
            <w:t>3.3.4</w:t>
          </w:r>
          <w:r>
            <w:rPr>
              <w:rFonts w:ascii="Times New Roman" w:hAnsi="Times New Roman" w:cs="Times New Roman" w:eastAsiaTheme="minorEastAsia"/>
              <w:color w:val="auto"/>
              <w:szCs w:val="24"/>
            </w:rPr>
            <w:t xml:space="preserve">       </w:t>
          </w:r>
          <w:r>
            <w:rPr>
              <w:rStyle w:val="15"/>
              <w:rFonts w:ascii="Times New Roman" w:hAnsi="Times New Roman" w:eastAsia="Arial" w:cs="Times New Roman"/>
              <w:szCs w:val="24"/>
            </w:rPr>
            <w:t>Electrical Conductivity (EC)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_Toc203101016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"_Toc203101017" </w:instrText>
          </w:r>
          <w:r>
            <w:fldChar w:fldCharType="separate"/>
          </w:r>
          <w:r>
            <w:rPr>
              <w:rStyle w:val="15"/>
              <w:rFonts w:ascii="Times New Roman" w:hAnsi="Times New Roman" w:cs="Times New Roman"/>
              <w:bCs/>
              <w:szCs w:val="24"/>
            </w:rPr>
            <w:t xml:space="preserve">3.3.5 </w:t>
          </w:r>
          <w:r>
            <w:rPr>
              <w:rFonts w:ascii="Times New Roman" w:hAnsi="Times New Roman" w:cs="Times New Roman" w:eastAsiaTheme="minorEastAsia"/>
              <w:color w:val="auto"/>
              <w:szCs w:val="24"/>
            </w:rPr>
            <w:t xml:space="preserve">      </w:t>
          </w:r>
          <w:r>
            <w:rPr>
              <w:rStyle w:val="15"/>
              <w:rFonts w:ascii="Times New Roman" w:hAnsi="Times New Roman" w:cs="Times New Roman"/>
              <w:bCs/>
              <w:szCs w:val="24"/>
            </w:rPr>
            <w:t>Total Dissolved Solids (TDS)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_Toc203101017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"_Toc203101018" </w:instrText>
          </w:r>
          <w:r>
            <w:fldChar w:fldCharType="separate"/>
          </w:r>
          <w:r>
            <w:rPr>
              <w:rStyle w:val="15"/>
              <w:rFonts w:ascii="Times New Roman" w:hAnsi="Times New Roman" w:cs="Times New Roman"/>
              <w:bCs/>
              <w:szCs w:val="24"/>
            </w:rPr>
            <w:t>3.3.6</w:t>
          </w:r>
          <w:r>
            <w:rPr>
              <w:rFonts w:ascii="Times New Roman" w:hAnsi="Times New Roman" w:cs="Times New Roman" w:eastAsiaTheme="minorEastAsia"/>
              <w:color w:val="auto"/>
              <w:szCs w:val="24"/>
            </w:rPr>
            <w:t xml:space="preserve">       </w:t>
          </w:r>
          <w:r>
            <w:rPr>
              <w:rStyle w:val="15"/>
              <w:rFonts w:ascii="Times New Roman" w:hAnsi="Times New Roman" w:cs="Times New Roman"/>
              <w:bCs/>
              <w:szCs w:val="24"/>
            </w:rPr>
            <w:t>Dissolved Oxygen (DO)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_Toc203101018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"_Toc203101019" </w:instrText>
          </w:r>
          <w:r>
            <w:fldChar w:fldCharType="separate"/>
          </w:r>
          <w:r>
            <w:rPr>
              <w:rStyle w:val="15"/>
              <w:rFonts w:ascii="Times New Roman" w:hAnsi="Times New Roman" w:cs="Times New Roman"/>
              <w:bCs/>
              <w:szCs w:val="24"/>
            </w:rPr>
            <w:t>3.3.7</w:t>
          </w:r>
          <w:r>
            <w:rPr>
              <w:rFonts w:ascii="Times New Roman" w:hAnsi="Times New Roman" w:cs="Times New Roman" w:eastAsiaTheme="minorEastAsia"/>
              <w:color w:val="auto"/>
              <w:szCs w:val="24"/>
            </w:rPr>
            <w:t xml:space="preserve">      </w:t>
          </w:r>
          <w:r>
            <w:rPr>
              <w:rStyle w:val="15"/>
              <w:rFonts w:ascii="Times New Roman" w:hAnsi="Times New Roman" w:cs="Times New Roman"/>
              <w:bCs/>
              <w:szCs w:val="24"/>
            </w:rPr>
            <w:t>Total Hardness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_Toc203101019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"_Toc203101020" </w:instrText>
          </w:r>
          <w:r>
            <w:fldChar w:fldCharType="separate"/>
          </w:r>
          <w:r>
            <w:rPr>
              <w:rStyle w:val="15"/>
              <w:rFonts w:ascii="Times New Roman" w:hAnsi="Times New Roman" w:cs="Times New Roman"/>
              <w:bCs/>
              <w:szCs w:val="24"/>
            </w:rPr>
            <w:t>3.4</w:t>
          </w:r>
          <w:r>
            <w:rPr>
              <w:rFonts w:ascii="Times New Roman" w:hAnsi="Times New Roman" w:cs="Times New Roman" w:eastAsiaTheme="minorEastAsia"/>
              <w:color w:val="auto"/>
              <w:szCs w:val="24"/>
            </w:rPr>
            <w:tab/>
          </w:r>
          <w:r>
            <w:rPr>
              <w:rStyle w:val="15"/>
              <w:rFonts w:ascii="Times New Roman" w:hAnsi="Times New Roman" w:cs="Times New Roman"/>
              <w:bCs/>
              <w:szCs w:val="24"/>
            </w:rPr>
            <w:t>Microbial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_Toc203101020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"_Toc203101021" </w:instrText>
          </w:r>
          <w:r>
            <w:fldChar w:fldCharType="separate"/>
          </w:r>
          <w:r>
            <w:rPr>
              <w:rStyle w:val="15"/>
              <w:rFonts w:ascii="Times New Roman" w:hAnsi="Times New Roman" w:cs="Times New Roman"/>
              <w:bCs/>
              <w:szCs w:val="24"/>
            </w:rPr>
            <w:t>3.4.1</w:t>
          </w:r>
          <w:r>
            <w:rPr>
              <w:rFonts w:ascii="Times New Roman" w:hAnsi="Times New Roman" w:cs="Times New Roman" w:eastAsiaTheme="minorEastAsia"/>
              <w:color w:val="auto"/>
              <w:szCs w:val="24"/>
            </w:rPr>
            <w:t xml:space="preserve">       </w:t>
          </w:r>
          <w:r>
            <w:rPr>
              <w:rStyle w:val="15"/>
              <w:rFonts w:ascii="Times New Roman" w:hAnsi="Times New Roman" w:cs="Times New Roman"/>
              <w:bCs/>
              <w:szCs w:val="24"/>
            </w:rPr>
            <w:t>Total Colony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_Toc203101021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"_Toc203101022" </w:instrText>
          </w:r>
          <w:r>
            <w:fldChar w:fldCharType="separate"/>
          </w:r>
          <w:r>
            <w:rPr>
              <w:rStyle w:val="15"/>
              <w:rFonts w:ascii="Times New Roman" w:hAnsi="Times New Roman" w:cs="Times New Roman"/>
              <w:bCs/>
              <w:szCs w:val="24"/>
            </w:rPr>
            <w:t>3.4.2</w:t>
          </w:r>
          <w:r>
            <w:rPr>
              <w:rFonts w:ascii="Times New Roman" w:hAnsi="Times New Roman" w:cs="Times New Roman" w:eastAsiaTheme="minorEastAsia"/>
              <w:color w:val="auto"/>
              <w:szCs w:val="24"/>
            </w:rPr>
            <w:t xml:space="preserve">       </w:t>
          </w:r>
          <w:r>
            <w:rPr>
              <w:rStyle w:val="15"/>
              <w:rFonts w:ascii="Times New Roman" w:hAnsi="Times New Roman" w:cs="Times New Roman"/>
              <w:bCs/>
              <w:szCs w:val="24"/>
            </w:rPr>
            <w:t>Total Fungal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_Toc203101022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"_Toc203101023" </w:instrText>
          </w:r>
          <w:r>
            <w:fldChar w:fldCharType="separate"/>
          </w:r>
          <w:r>
            <w:rPr>
              <w:rStyle w:val="15"/>
              <w:rFonts w:ascii="Times New Roman" w:hAnsi="Times New Roman" w:cs="Times New Roman"/>
              <w:szCs w:val="24"/>
            </w:rPr>
            <w:t>3.4.3</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Total Viable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_Toc203101023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"_Toc203101024" </w:instrText>
          </w:r>
          <w:r>
            <w:fldChar w:fldCharType="separate"/>
          </w:r>
          <w:r>
            <w:rPr>
              <w:rStyle w:val="15"/>
              <w:rFonts w:ascii="Times New Roman" w:hAnsi="Times New Roman" w:cs="Times New Roman"/>
              <w:szCs w:val="24"/>
            </w:rPr>
            <w:t xml:space="preserve">3.4.4 </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 xml:space="preserve">Total </w:t>
          </w:r>
          <w:r>
            <w:rPr>
              <w:rStyle w:val="15"/>
              <w:rFonts w:ascii="Times New Roman" w:hAnsi="Times New Roman" w:cs="Times New Roman"/>
              <w:i/>
              <w:szCs w:val="24"/>
            </w:rPr>
            <w:t>Escherichia coli</w:t>
          </w:r>
          <w:r>
            <w:rPr>
              <w:rStyle w:val="15"/>
              <w:rFonts w:ascii="Times New Roman" w:hAnsi="Times New Roman" w:cs="Times New Roman"/>
              <w:szCs w:val="24"/>
            </w:rPr>
            <w:t xml:space="preserv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_Toc203101024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"_Toc203101025" </w:instrText>
          </w:r>
          <w:r>
            <w:fldChar w:fldCharType="separate"/>
          </w:r>
          <w:r>
            <w:rPr>
              <w:rStyle w:val="15"/>
              <w:rFonts w:ascii="Times New Roman" w:hAnsi="Times New Roman" w:cs="Times New Roman"/>
              <w:szCs w:val="24"/>
            </w:rPr>
            <w:t>3.5</w:t>
          </w:r>
          <w:r>
            <w:rPr>
              <w:rFonts w:ascii="Times New Roman" w:hAnsi="Times New Roman" w:cs="Times New Roman" w:eastAsiaTheme="minorEastAsia"/>
              <w:color w:val="auto"/>
              <w:szCs w:val="24"/>
            </w:rPr>
            <w:tab/>
          </w:r>
          <w:r>
            <w:rPr>
              <w:rStyle w:val="15"/>
              <w:rFonts w:ascii="Times New Roman" w:hAnsi="Times New Roman" w:cs="Times New Roman"/>
              <w:szCs w:val="24"/>
            </w:rPr>
            <w:t>Morphological and Microscopic Identification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_Toc203101025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"_Toc203101026" </w:instrText>
          </w:r>
          <w:r>
            <w:fldChar w:fldCharType="separate"/>
          </w:r>
          <w:r>
            <w:rPr>
              <w:rStyle w:val="15"/>
              <w:rFonts w:ascii="Times New Roman" w:hAnsi="Times New Roman" w:eastAsia="Arial" w:cs="Times New Roman"/>
              <w:szCs w:val="24"/>
            </w:rPr>
            <w:t>3.5.1</w:t>
          </w:r>
          <w:r>
            <w:rPr>
              <w:rFonts w:ascii="Times New Roman" w:hAnsi="Times New Roman" w:cs="Times New Roman" w:eastAsiaTheme="minorEastAsia"/>
              <w:color w:val="auto"/>
              <w:szCs w:val="24"/>
            </w:rPr>
            <w:t xml:space="preserve">       </w:t>
          </w:r>
          <w:r>
            <w:rPr>
              <w:rStyle w:val="15"/>
              <w:rFonts w:ascii="Times New Roman" w:hAnsi="Times New Roman" w:eastAsia="Arial" w:cs="Times New Roman"/>
              <w:szCs w:val="24"/>
            </w:rPr>
            <w:t>Biochemical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_Toc203101026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"_Toc203101027" </w:instrText>
          </w:r>
          <w:r>
            <w:fldChar w:fldCharType="separate"/>
          </w:r>
          <w:r>
            <w:rPr>
              <w:rStyle w:val="15"/>
              <w:rFonts w:ascii="Times New Roman" w:hAnsi="Times New Roman" w:cs="Times New Roman"/>
              <w:szCs w:val="24"/>
            </w:rPr>
            <w:t>3.5.2</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Lactophenol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_Toc203101027 \h </w:instrText>
          </w:r>
          <w:r>
            <w:rPr>
              <w:rFonts w:ascii="Times New Roman" w:hAnsi="Times New Roman" w:cs="Times New Roman"/>
              <w:szCs w:val="24"/>
            </w:rPr>
            <w:fldChar w:fldCharType="separate"/>
          </w:r>
          <w:r>
            <w:rPr>
              <w:rFonts w:ascii="Times New Roman" w:hAnsi="Times New Roman" w:cs="Times New Roman"/>
              <w:szCs w:val="24"/>
            </w:rPr>
            <w:t>30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"_Toc203101028" </w:instrText>
          </w:r>
          <w:r>
            <w:fldChar w:fldCharType="separate"/>
          </w:r>
          <w:r>
            <w:rPr>
              <w:rStyle w:val="15"/>
              <w:rFonts w:ascii="Times New Roman" w:hAnsi="Times New Roman" w:eastAsia="Times New Roman" w:cs="Times New Roman"/>
              <w:szCs w:val="24"/>
            </w:rPr>
            <w:t>3.5.3</w:t>
          </w:r>
          <w:r>
            <w:rPr>
              <w:rFonts w:ascii="Times New Roman" w:hAnsi="Times New Roman" w:cs="Times New Roman" w:eastAsiaTheme="minorEastAsia"/>
              <w:color w:val="auto"/>
              <w:szCs w:val="24"/>
            </w:rPr>
            <w:t xml:space="preserve">       </w:t>
          </w:r>
          <w:r>
            <w:rPr>
              <w:rStyle w:val="15"/>
              <w:rFonts w:ascii="Times New Roman" w:hAnsi="Times New Roman" w:eastAsia="Times New Roman" w:cs="Times New Roman"/>
              <w:szCs w:val="24"/>
            </w:rPr>
            <w:t>Endospore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_Toc203101028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"_Toc203101029" </w:instrText>
          </w:r>
          <w:r>
            <w:fldChar w:fldCharType="separate"/>
          </w:r>
          <w:r>
            <w:rPr>
              <w:rStyle w:val="15"/>
              <w:rFonts w:ascii="Times New Roman" w:hAnsi="Times New Roman" w:cs="Times New Roman"/>
              <w:szCs w:val="24"/>
            </w:rPr>
            <w:t>3.6</w:t>
          </w:r>
          <w:r>
            <w:rPr>
              <w:rFonts w:ascii="Times New Roman" w:hAnsi="Times New Roman" w:cs="Times New Roman" w:eastAsiaTheme="minorEastAsia"/>
              <w:color w:val="auto"/>
              <w:szCs w:val="24"/>
            </w:rPr>
            <w:tab/>
          </w:r>
          <w:r>
            <w:rPr>
              <w:rStyle w:val="15"/>
              <w:rFonts w:ascii="Times New Roman" w:hAnsi="Times New Roman" w:cs="Times New Roman"/>
              <w:szCs w:val="24"/>
            </w:rPr>
            <w:t>Data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_Toc203101029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"_Toc203101030" </w:instrText>
          </w:r>
          <w:r>
            <w:fldChar w:fldCharType="separate"/>
          </w:r>
          <w:r>
            <w:rPr>
              <w:rStyle w:val="15"/>
              <w:rFonts w:ascii="Times New Roman" w:hAnsi="Times New Roman" w:cs="Times New Roman"/>
              <w:szCs w:val="24"/>
            </w:rPr>
            <w:t>CHAPTER FOUR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_Toc203101030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660"/>
              <w:tab w:val="right" w:pos="9016"/>
            </w:tabs>
            <w:rPr>
              <w:rFonts w:ascii="Times New Roman" w:hAnsi="Times New Roman" w:cs="Times New Roman" w:eastAsiaTheme="minorEastAsia"/>
              <w:color w:val="auto"/>
              <w:szCs w:val="24"/>
            </w:rPr>
          </w:pPr>
          <w:r>
            <w:fldChar w:fldCharType="begin"/>
          </w:r>
          <w:r>
            <w:instrText xml:space="preserve"> HYPERLINK \l "_Toc203101031" </w:instrText>
          </w:r>
          <w:r>
            <w:fldChar w:fldCharType="separate"/>
          </w:r>
          <w:r>
            <w:rPr>
              <w:rStyle w:val="15"/>
              <w:rFonts w:ascii="Times New Roman" w:hAnsi="Times New Roman" w:cs="Times New Roman"/>
              <w:szCs w:val="24"/>
            </w:rPr>
            <w:t>4.0</w:t>
          </w:r>
          <w:r>
            <w:rPr>
              <w:rFonts w:ascii="Times New Roman" w:hAnsi="Times New Roman" w:cs="Times New Roman" w:eastAsiaTheme="minorEastAsia"/>
              <w:color w:val="auto"/>
              <w:szCs w:val="24"/>
            </w:rPr>
            <w:tab/>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RESULTS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_Toc203101031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"_Toc203101032" </w:instrText>
          </w:r>
          <w:r>
            <w:fldChar w:fldCharType="separate"/>
          </w:r>
          <w:r>
            <w:rPr>
              <w:rStyle w:val="15"/>
              <w:rFonts w:ascii="Times New Roman" w:hAnsi="Times New Roman" w:cs="Times New Roman"/>
              <w:szCs w:val="24"/>
            </w:rPr>
            <w:t>4.1</w:t>
          </w:r>
          <w:r>
            <w:rPr>
              <w:rFonts w:ascii="Times New Roman" w:hAnsi="Times New Roman" w:cs="Times New Roman" w:eastAsiaTheme="minorEastAsia"/>
              <w:color w:val="auto"/>
              <w:szCs w:val="24"/>
            </w:rPr>
            <w:tab/>
          </w:r>
          <w:r>
            <w:rPr>
              <w:rStyle w:val="15"/>
              <w:rFonts w:ascii="Times New Roman" w:hAnsi="Times New Roman" w:cs="Times New Roman"/>
              <w:szCs w:val="24"/>
            </w:rPr>
            <w:t>Physicochemical  Parameters of  sachet water sample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_Toc203101032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"_Toc203101033" </w:instrText>
          </w:r>
          <w:r>
            <w:fldChar w:fldCharType="separate"/>
          </w:r>
          <w:r>
            <w:rPr>
              <w:rStyle w:val="15"/>
              <w:rFonts w:ascii="Times New Roman" w:hAnsi="Times New Roman" w:cs="Times New Roman"/>
              <w:szCs w:val="24"/>
            </w:rPr>
            <w:t>4.1</w:t>
          </w:r>
          <w:r>
            <w:rPr>
              <w:rFonts w:ascii="Times New Roman" w:hAnsi="Times New Roman" w:cs="Times New Roman" w:eastAsiaTheme="minorEastAsia"/>
              <w:color w:val="auto"/>
              <w:szCs w:val="24"/>
            </w:rPr>
            <w:tab/>
          </w:r>
          <w:r>
            <w:rPr>
              <w:rStyle w:val="15"/>
              <w:rFonts w:ascii="Times New Roman" w:hAnsi="Times New Roman" w:cs="Times New Roman"/>
              <w:szCs w:val="24"/>
            </w:rPr>
            <w:t>Physicochemical Parameters of Water Samples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_Toc203101033 \h </w:instrText>
          </w:r>
          <w:r>
            <w:rPr>
              <w:rFonts w:ascii="Times New Roman" w:hAnsi="Times New Roman" w:cs="Times New Roman"/>
              <w:szCs w:val="24"/>
            </w:rPr>
            <w:fldChar w:fldCharType="separate"/>
          </w:r>
          <w:r>
            <w:rPr>
              <w:rFonts w:ascii="Times New Roman" w:hAnsi="Times New Roman" w:cs="Times New Roman"/>
              <w:szCs w:val="24"/>
            </w:rPr>
            <w:t>34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"_Toc203101034" </w:instrText>
          </w:r>
          <w:r>
            <w:fldChar w:fldCharType="separate"/>
          </w:r>
          <w:r>
            <w:rPr>
              <w:rStyle w:val="15"/>
              <w:rFonts w:ascii="Times New Roman" w:hAnsi="Times New Roman" w:eastAsia="Times New Roman" w:cs="Times New Roman"/>
              <w:szCs w:val="24"/>
            </w:rPr>
            <w:t>4.2</w:t>
          </w:r>
          <w:r>
            <w:rPr>
              <w:rFonts w:ascii="Times New Roman" w:hAnsi="Times New Roman" w:cs="Times New Roman" w:eastAsiaTheme="minorEastAsia"/>
              <w:color w:val="auto"/>
              <w:szCs w:val="24"/>
            </w:rPr>
            <w:tab/>
          </w:r>
          <w:r>
            <w:rPr>
              <w:rStyle w:val="15"/>
              <w:rFonts w:ascii="Times New Roman" w:hAnsi="Times New Roman" w:eastAsia="Times New Roman" w:cs="Times New Roman"/>
              <w:szCs w:val="24"/>
            </w:rPr>
            <w:t>Microbiological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_Toc203101034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"_Toc203101035" </w:instrText>
          </w:r>
          <w:r>
            <w:fldChar w:fldCharType="separate"/>
          </w:r>
          <w:r>
            <w:rPr>
              <w:rStyle w:val="15"/>
              <w:rFonts w:ascii="Times New Roman" w:hAnsi="Times New Roman" w:eastAsia="Times New Roman" w:cs="Times New Roman"/>
              <w:szCs w:val="24"/>
            </w:rPr>
            <w:t>4.2.1</w:t>
          </w:r>
          <w:r>
            <w:rPr>
              <w:rFonts w:ascii="Times New Roman" w:hAnsi="Times New Roman" w:cs="Times New Roman" w:eastAsiaTheme="minorEastAsia"/>
              <w:color w:val="auto"/>
              <w:szCs w:val="24"/>
            </w:rPr>
            <w:t xml:space="preserve">       </w:t>
          </w:r>
          <w:r>
            <w:rPr>
              <w:rStyle w:val="15"/>
              <w:rFonts w:ascii="Times New Roman" w:hAnsi="Times New Roman" w:eastAsia="Times New Roman" w:cs="Times New Roman"/>
              <w:szCs w:val="24"/>
            </w:rPr>
            <w:t>Microbial Counts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_Toc203101035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"_Toc203101036" </w:instrText>
          </w:r>
          <w:r>
            <w:fldChar w:fldCharType="separate"/>
          </w:r>
          <w:r>
            <w:rPr>
              <w:rStyle w:val="15"/>
              <w:rFonts w:ascii="Times New Roman" w:hAnsi="Times New Roman" w:cs="Times New Roman"/>
              <w:szCs w:val="24"/>
            </w:rPr>
            <w:t>4.2.2</w:t>
          </w:r>
          <w:r>
            <w:rPr>
              <w:rFonts w:ascii="Times New Roman" w:hAnsi="Times New Roman" w:cs="Times New Roman" w:eastAsiaTheme="minorEastAsia"/>
              <w:color w:val="auto"/>
              <w:szCs w:val="24"/>
            </w:rPr>
            <w:t xml:space="preserve">       </w:t>
          </w:r>
          <w:r>
            <w:rPr>
              <w:rStyle w:val="15"/>
              <w:rFonts w:ascii="Times New Roman" w:hAnsi="Times New Roman" w:cs="Times New Roman"/>
              <w:szCs w:val="24"/>
            </w:rPr>
            <w:t>Morphological and Microscopic Characteristics of Bacterial Isolates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_Toc203101036 \h </w:instrText>
          </w:r>
          <w:r>
            <w:rPr>
              <w:rFonts w:ascii="Times New Roman" w:hAnsi="Times New Roman" w:cs="Times New Roman"/>
              <w:szCs w:val="24"/>
            </w:rPr>
            <w:fldChar w:fldCharType="separate"/>
          </w:r>
          <w:r>
            <w:rPr>
              <w:rFonts w:ascii="Times New Roman" w:hAnsi="Times New Roman" w:cs="Times New Roman"/>
              <w:szCs w:val="24"/>
            </w:rPr>
            <w:t>36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2"/>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"_Toc203101037" </w:instrText>
          </w:r>
          <w:r>
            <w:fldChar w:fldCharType="separate"/>
          </w:r>
          <w:r>
            <w:rPr>
              <w:rStyle w:val="15"/>
              <w:rFonts w:ascii="Times New Roman" w:hAnsi="Times New Roman" w:eastAsia="Times New Roman" w:cs="Times New Roman"/>
              <w:szCs w:val="24"/>
            </w:rPr>
            <w:t>4.2.3</w:t>
          </w:r>
          <w:r>
            <w:rPr>
              <w:rFonts w:ascii="Times New Roman" w:hAnsi="Times New Roman" w:cs="Times New Roman" w:eastAsiaTheme="minorEastAsia"/>
              <w:color w:val="auto"/>
              <w:szCs w:val="24"/>
            </w:rPr>
            <w:t xml:space="preserve">      </w:t>
          </w:r>
          <w:r>
            <w:rPr>
              <w:rStyle w:val="15"/>
              <w:rFonts w:ascii="Times New Roman" w:hAnsi="Times New Roman" w:eastAsia="Times New Roman" w:cs="Times New Roman"/>
              <w:szCs w:val="24"/>
            </w:rPr>
            <w:t>Lactophenol Test for Fungal Identification and Biochemical Identification Bacterial   Isolates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_Toc203101037 \h </w:instrText>
          </w:r>
          <w:r>
            <w:rPr>
              <w:rFonts w:ascii="Times New Roman" w:hAnsi="Times New Roman" w:cs="Times New Roman"/>
              <w:szCs w:val="24"/>
            </w:rPr>
            <w:fldChar w:fldCharType="separate"/>
          </w:r>
          <w:r>
            <w:rPr>
              <w:rFonts w:ascii="Times New Roman" w:hAnsi="Times New Roman" w:cs="Times New Roman"/>
              <w:szCs w:val="24"/>
            </w:rPr>
            <w:t>37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"_Toc203101038" </w:instrText>
          </w:r>
          <w:r>
            <w:fldChar w:fldCharType="separate"/>
          </w:r>
          <w:r>
            <w:rPr>
              <w:rStyle w:val="15"/>
              <w:rFonts w:ascii="Times New Roman" w:hAnsi="Times New Roman" w:eastAsia="Times New Roman" w:cs="Times New Roman"/>
              <w:szCs w:val="24"/>
            </w:rPr>
            <w:t>CHAPTER FIVE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_Toc203101038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"_Toc203101039" </w:instrText>
          </w:r>
          <w:r>
            <w:fldChar w:fldCharType="separate"/>
          </w:r>
          <w:r>
            <w:rPr>
              <w:rStyle w:val="15"/>
              <w:rFonts w:ascii="Times New Roman" w:hAnsi="Times New Roman" w:eastAsia="Times New Roman" w:cs="Times New Roman"/>
              <w:szCs w:val="24"/>
            </w:rPr>
            <w:t>DISCUSSION, CONCLUSION AND RECOMMEDATION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_Toc203101039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"_Toc203101040" </w:instrText>
          </w:r>
          <w:r>
            <w:fldChar w:fldCharType="separate"/>
          </w:r>
          <w:r>
            <w:rPr>
              <w:rStyle w:val="15"/>
              <w:rFonts w:ascii="Times New Roman" w:hAnsi="Times New Roman" w:eastAsia="Times New Roman" w:cs="Times New Roman"/>
              <w:szCs w:val="24"/>
            </w:rPr>
            <w:t>5.1         Discussion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_Toc203101040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"_Toc203101041" </w:instrText>
          </w:r>
          <w:r>
            <w:fldChar w:fldCharType="separate"/>
          </w:r>
          <w:r>
            <w:rPr>
              <w:rStyle w:val="15"/>
              <w:rFonts w:ascii="Times New Roman" w:hAnsi="Times New Roman" w:eastAsia="Times New Roman" w:cs="Times New Roman"/>
              <w:szCs w:val="24"/>
            </w:rPr>
            <w:t>5.2        Conclusion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_Toc203101041 \h </w:instrText>
          </w:r>
          <w:r>
            <w:rPr>
              <w:rFonts w:ascii="Times New Roman" w:hAnsi="Times New Roman" w:cs="Times New Roman"/>
              <w:szCs w:val="24"/>
            </w:rPr>
            <w:fldChar w:fldCharType="separate"/>
          </w:r>
          <w:r>
            <w:rPr>
              <w:rFonts w:ascii="Times New Roman" w:hAnsi="Times New Roman" w:cs="Times New Roman"/>
              <w:szCs w:val="24"/>
            </w:rPr>
            <w:t>41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"_Toc203101042" </w:instrText>
          </w:r>
          <w:r>
            <w:fldChar w:fldCharType="separate"/>
          </w:r>
          <w:r>
            <w:rPr>
              <w:rStyle w:val="15"/>
              <w:rFonts w:ascii="Times New Roman" w:hAnsi="Times New Roman" w:eastAsia="Times New Roman" w:cs="Times New Roman"/>
              <w:szCs w:val="24"/>
            </w:rPr>
            <w:t>5.3        Recommendations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_Toc203101042 \h </w:instrText>
          </w:r>
          <w:r>
            <w:rPr>
              <w:rFonts w:ascii="Times New Roman" w:hAnsi="Times New Roman" w:cs="Times New Roman"/>
              <w:szCs w:val="24"/>
            </w:rPr>
            <w:fldChar w:fldCharType="separate"/>
          </w:r>
          <w:r>
            <w:rPr>
              <w:rFonts w:ascii="Times New Roman" w:hAnsi="Times New Roman" w:cs="Times New Roman"/>
              <w:szCs w:val="24"/>
            </w:rPr>
            <w:t>42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rPr>
              <w:rFonts w:ascii="Times New Roman" w:hAnsi="Times New Roman" w:cs="Times New Roman" w:eastAsiaTheme="minorEastAsia"/>
              <w:color w:val="auto"/>
              <w:szCs w:val="24"/>
            </w:rPr>
          </w:pPr>
          <w:r>
            <w:fldChar w:fldCharType="begin"/>
          </w:r>
          <w:r>
            <w:instrText xml:space="preserve"> HYPERLINK \l "_Toc203101043" </w:instrText>
          </w:r>
          <w:r>
            <w:fldChar w:fldCharType="separate"/>
          </w:r>
          <w:r>
            <w:rPr>
              <w:rStyle w:val="15"/>
              <w:rFonts w:ascii="Times New Roman" w:hAnsi="Times New Roman" w:cs="Times New Roman"/>
              <w:szCs w:val="24"/>
            </w:rPr>
            <w:t>REFERENCES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_Toc203101043 \h </w:instrText>
          </w:r>
          <w:r>
            <w:rPr>
              <w:rFonts w:ascii="Times New Roman" w:hAnsi="Times New Roman" w:cs="Times New Roman"/>
              <w:szCs w:val="24"/>
            </w:rPr>
            <w:fldChar w:fldCharType="separate"/>
          </w:r>
          <w:r>
            <w:rPr>
              <w:rFonts w:ascii="Times New Roman" w:hAnsi="Times New Roman" w:cs="Times New Roman"/>
              <w:szCs w:val="24"/>
            </w:rPr>
            <w:t>44</w:t>
          </w:r>
          <w:r>
            <w:rPr>
              <w:rFonts w:ascii="Times New Roman" w:hAnsi="Times New Roman" w:cs="Times New Roman"/>
              <w:szCs w:val="24"/>
            </w:rPr>
            <w:fldChar w:fldCharType="end"/>
          </w:r>
          <w:r>
            <w:rPr>
              <w:rFonts w:ascii="Times New Roman" w:hAnsi="Times New Roman" w:cs="Times New Roman"/>
              <w:szCs w:val="24"/>
            </w:rPr>
            <w:fldChar w:fldCharType="end"/>
          </w:r>
        </w:p>
        <w:p>
          <w:pPr>
            <w:ind w:left="0"/>
            <w:rPr>
              <w:rFonts w:ascii="Times New Roman" w:hAnsi="Times New Roman" w:cs="Times New Roman"/>
              <w:szCs w:val="24"/>
            </w:rPr>
          </w:pPr>
          <w:r>
            <w:rPr>
              <w:rFonts w:ascii="Times New Roman" w:hAnsi="Times New Roman" w:cs="Times New Roman"/>
              <w:szCs w:val="24"/>
            </w:rPr>
            <w:fldChar w:fldCharType="end"/>
          </w:r>
        </w:p>
      </w:sdtContent>
    </w:sdt>
    <w:p>
      <w:pPr>
        <w:spacing w:after="0" w:line="480" w:lineRule="auto"/>
        <w:rPr>
          <w:rFonts w:ascii="Times New Roman" w:hAnsi="Times New Roman" w:cs="Times New Roman"/>
          <w:szCs w:val="24"/>
        </w:rPr>
      </w:pPr>
    </w:p>
    <w:p>
      <w:pPr>
        <w:rPr>
          <w:rFonts w:ascii="Times New Roman" w:hAnsi="Times New Roman" w:cs="Times New Roman"/>
          <w:sz w:val="28"/>
          <w:szCs w:val="28"/>
        </w:rPr>
      </w:pPr>
    </w:p>
    <w:p>
      <w:pPr>
        <w:rPr>
          <w:rFonts w:ascii="Times New Roman" w:hAnsi="Times New Roman" w:cs="Times New Roman"/>
          <w:sz w:val="28"/>
          <w:szCs w:val="28"/>
        </w:rPr>
      </w:pPr>
    </w:p>
    <w:p>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pPr>
        <w:jc w:val="center"/>
        <w:rPr>
          <w:rFonts w:ascii="Times New Roman" w:hAnsi="Times New Roman" w:eastAsia="Times New Roman" w:cs="Times New Roman"/>
          <w:b/>
        </w:rPr>
      </w:pPr>
      <w:r>
        <w:rPr>
          <w:rFonts w:ascii="Times New Roman" w:hAnsi="Times New Roman" w:eastAsia="Times New Roman" w:cs="Times New Roman"/>
          <w:b/>
        </w:rPr>
        <w:t>ABSTRACT</w:t>
      </w:r>
    </w:p>
    <w:p>
      <w:pPr>
        <w:pStyle w:val="9"/>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14"/>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14"/>
        </w:rPr>
        <w:t>Escherichia coli</w:t>
      </w:r>
      <w:r>
        <w:rPr>
          <w:i/>
        </w:rPr>
        <w:t xml:space="preserve"> was not detected in any of the samples. Isolated bacteria included </w:t>
      </w:r>
      <w:r>
        <w:rPr>
          <w:rStyle w:val="14"/>
        </w:rPr>
        <w:t>Bacillus subtilis</w:t>
      </w:r>
      <w:r>
        <w:rPr>
          <w:i/>
        </w:rPr>
        <w:t xml:space="preserve">, </w:t>
      </w:r>
      <w:r>
        <w:rPr>
          <w:rStyle w:val="14"/>
        </w:rPr>
        <w:t>Staphylococcus epidermidis</w:t>
      </w:r>
      <w:r>
        <w:rPr>
          <w:i/>
        </w:rPr>
        <w:t xml:space="preserve">, </w:t>
      </w:r>
      <w:r>
        <w:rPr>
          <w:rStyle w:val="14"/>
        </w:rPr>
        <w:t>Pseudomonas aeruginosa</w:t>
      </w:r>
      <w:r>
        <w:rPr>
          <w:i/>
        </w:rPr>
        <w:t xml:space="preserve">, and </w:t>
      </w:r>
      <w:r>
        <w:rPr>
          <w:rStyle w:val="14"/>
        </w:rPr>
        <w:t>Neisseria</w:t>
      </w:r>
      <w:r>
        <w:rPr>
          <w:i/>
        </w:rPr>
        <w:t xml:space="preserve"> species, while a fungal isolate, </w:t>
      </w:r>
      <w:r>
        <w:rPr>
          <w:rStyle w:val="14"/>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spacing w:after="160" w:line="259" w:lineRule="auto"/>
        <w:ind w:left="0" w:firstLine="0"/>
        <w:jc w:val="left"/>
        <w:rPr>
          <w:rFonts w:ascii="Times New Roman" w:hAnsi="Times New Roman" w:cs="Times New Roman"/>
          <w:b/>
          <w:szCs w:val="24"/>
        </w:rPr>
      </w:pPr>
    </w:p>
    <w:p>
      <w:pPr>
        <w:spacing w:after="0" w:line="480" w:lineRule="auto"/>
        <w:jc w:val="center"/>
        <w:rPr>
          <w:rFonts w:ascii="Times New Roman" w:hAnsi="Times New Roman" w:cs="Times New Roman"/>
          <w:b/>
          <w:szCs w:val="24"/>
        </w:rPr>
      </w:pPr>
    </w:p>
    <w:p>
      <w:pPr>
        <w:spacing w:after="0" w:line="480" w:lineRule="auto"/>
        <w:rPr>
          <w:rFonts w:ascii="Times New Roman" w:hAnsi="Times New Roman" w:cs="Times New Roman"/>
          <w:b/>
          <w:szCs w:val="24"/>
        </w:rPr>
        <w:sectPr>
          <w:footerReference r:id="rId3" w:type="default"/>
          <w:pgSz w:w="11906" w:h="16838"/>
          <w:pgMar w:top="1440" w:right="1440" w:bottom="1440" w:left="1440" w:header="708" w:footer="708" w:gutter="0"/>
          <w:pgNumType w:fmt="lowerRoman" w:start="1"/>
          <w:cols w:space="708" w:num="1"/>
          <w:docGrid w:linePitch="360" w:charSpace="0"/>
        </w:sectPr>
      </w:pPr>
    </w:p>
    <w:p>
      <w:pPr>
        <w:pStyle w:val="2"/>
        <w:ind w:left="0" w:firstLine="0"/>
        <w:jc w:val="center"/>
        <w:rPr>
          <w:rFonts w:cs="Times New Roman"/>
        </w:rPr>
      </w:pPr>
      <w:bookmarkStart w:id="3" w:name="_Toc203100987"/>
      <w:r>
        <w:rPr>
          <w:rFonts w:cs="Times New Roman"/>
        </w:rPr>
        <w:t>CHAPTER ONE</w:t>
      </w:r>
      <w:bookmarkEnd w:id="3"/>
    </w:p>
    <w:p>
      <w:pPr>
        <w:pStyle w:val="2"/>
        <w:jc w:val="center"/>
        <w:rPr>
          <w:rFonts w:cs="Times New Roman"/>
        </w:rPr>
      </w:pPr>
      <w:bookmarkStart w:id="4" w:name="_Toc203100988"/>
      <w:r>
        <w:rPr>
          <w:rFonts w:cs="Times New Roman"/>
        </w:rPr>
        <w:t>INTRODUCTION</w:t>
      </w:r>
      <w:bookmarkEnd w:id="4"/>
    </w:p>
    <w:p>
      <w:pPr>
        <w:pStyle w:val="3"/>
        <w:spacing w:line="480" w:lineRule="auto"/>
        <w:rPr>
          <w:rFonts w:cs="Times New Roman"/>
          <w:b w:val="0"/>
        </w:rPr>
      </w:pPr>
      <w:bookmarkStart w:id="5" w:name="_Toc203100989"/>
      <w:r>
        <w:rPr>
          <w:rFonts w:cs="Times New Roman"/>
        </w:rPr>
        <w:t>1.1</w:t>
      </w:r>
      <w:r>
        <w:rPr>
          <w:rFonts w:cs="Times New Roman"/>
        </w:rPr>
        <w:tab/>
      </w:r>
      <w:r>
        <w:rPr>
          <w:rFonts w:cs="Times New Roman"/>
        </w:rPr>
        <w:t>Background to the Study</w:t>
      </w:r>
      <w:bookmarkEnd w:id="5"/>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hAnsi="Times New Roman" w:eastAsia="Times New Roman" w:cs="Times New Roman"/>
          <w:color w:val="auto"/>
          <w:szCs w:val="24"/>
        </w:rPr>
        <w:t>Saheed</w:t>
      </w:r>
      <w:r>
        <w:rPr>
          <w:rFonts w:ascii="Times New Roman" w:hAnsi="Times New Roman" w:eastAsia="Times New Roman" w:cs="Times New Roman"/>
          <w:color w:val="auto"/>
          <w:szCs w:val="24"/>
        </w:rPr>
        <w:t xml:space="preserve">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microbiological quality of drinking water is a critical determinant of its safety. The presence of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Salmonella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 xml:space="preserve">Vibrio </w:t>
      </w:r>
      <w:r>
        <w:rPr>
          <w:rFonts w:ascii="Times New Roman" w:hAnsi="Times New Roman" w:eastAsia="Times New Roman" w:cs="Times New Roman"/>
          <w:i/>
          <w:iCs/>
          <w:color w:val="auto"/>
          <w:szCs w:val="24"/>
        </w:rPr>
        <w:t>cholerae</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Shigella</w:t>
      </w:r>
      <w:r>
        <w:rPr>
          <w:rFonts w:ascii="Times New Roman" w:hAnsi="Times New Roman" w:eastAsia="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w:t>
      </w:r>
      <w:r>
        <w:rPr>
          <w:rFonts w:ascii="Times New Roman" w:hAnsi="Times New Roman" w:eastAsia="Times New Roman" w:cs="Times New Roman"/>
          <w:color w:val="auto"/>
          <w:szCs w:val="24"/>
        </w:rPr>
        <w:t>Majid</w:t>
      </w:r>
      <w:r>
        <w:rPr>
          <w:rFonts w:ascii="Times New Roman" w:hAnsi="Times New Roman" w:eastAsia="Times New Roman" w:cs="Times New Roman"/>
          <w:color w:val="auto"/>
          <w:szCs w:val="24"/>
        </w:rPr>
        <w:t>, 2018). These infections often occur as a result of consuming untreated or improperly treated water, which may harbor bacteria, viruses, protozoa, and other harmful microorganisms.</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Ilorin is the capital city of </w:t>
      </w:r>
      <w:r>
        <w:rPr>
          <w:rFonts w:ascii="Times New Roman" w:hAnsi="Times New Roman" w:eastAsia="Times New Roman" w:cs="Times New Roman"/>
          <w:color w:val="auto"/>
          <w:szCs w:val="24"/>
        </w:rPr>
        <w:t>Kwara</w:t>
      </w:r>
      <w:r>
        <w:rPr>
          <w:rFonts w:ascii="Times New Roman" w:hAnsi="Times New Roman" w:eastAsia="Times New Roman" w:cs="Times New Roman"/>
          <w:color w:val="auto"/>
          <w:szCs w:val="24"/>
        </w:rPr>
        <w:t xml:space="preserve">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hAnsi="Times New Roman" w:eastAsia="Times New Roman" w:cs="Times New Roman"/>
          <w:color w:val="auto"/>
          <w:szCs w:val="24"/>
        </w:rPr>
        <w:t>Gana</w:t>
      </w:r>
      <w:r>
        <w:rPr>
          <w:rFonts w:ascii="Times New Roman" w:hAnsi="Times New Roman" w:eastAsia="Times New Roman" w:cs="Times New Roman"/>
          <w:color w:val="auto"/>
          <w:szCs w:val="24"/>
        </w:rPr>
        <w:t xml:space="preserve">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w:t>
      </w:r>
      <w:r>
        <w:rPr>
          <w:rFonts w:ascii="Times New Roman" w:hAnsi="Times New Roman" w:eastAsia="Times New Roman" w:cs="Times New Roman"/>
          <w:color w:val="auto"/>
          <w:szCs w:val="24"/>
        </w:rPr>
        <w:t>Okeola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2019).</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addition to health implications, unsafe drinking water has broader societal consequences. Recurrent waterborne diseases contribute to malnutrition, reduced </w:t>
      </w:r>
      <w:r>
        <w:rPr>
          <w:rFonts w:ascii="Times New Roman" w:hAnsi="Times New Roman" w:eastAsia="Times New Roman" w:cs="Times New Roman"/>
          <w:color w:val="auto"/>
          <w:szCs w:val="24"/>
        </w:rPr>
        <w:t xml:space="preserve">productivity, and increased healthcare costs. Vulnerable populations, such as children, the elderly, and individuals with weakened immune systems, are particularly at risk of developing severe complications from waterborne pathogens like </w:t>
      </w:r>
      <w:r>
        <w:rPr>
          <w:rFonts w:ascii="Times New Roman" w:hAnsi="Times New Roman" w:eastAsia="Times New Roman" w:cs="Times New Roman"/>
          <w:i/>
          <w:iCs/>
          <w:color w:val="auto"/>
          <w:szCs w:val="24"/>
        </w:rPr>
        <w:t>Pseudomonas</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Cryptosporidium</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Klebsiella</w:t>
      </w:r>
      <w:r>
        <w:rPr>
          <w:rFonts w:ascii="Times New Roman" w:hAnsi="Times New Roman" w:eastAsia="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pPr>
        <w:pStyle w:val="3"/>
        <w:spacing w:line="480" w:lineRule="auto"/>
        <w:rPr>
          <w:rFonts w:cs="Times New Roman"/>
        </w:rPr>
      </w:pPr>
      <w:bookmarkStart w:id="6" w:name="_Toc203100990"/>
      <w:r>
        <w:rPr>
          <w:rFonts w:cs="Times New Roman"/>
        </w:rPr>
        <w:t>1.2</w:t>
      </w:r>
      <w:r>
        <w:rPr>
          <w:rFonts w:cs="Times New Roman"/>
        </w:rPr>
        <w:tab/>
      </w:r>
      <w:r>
        <w:rPr>
          <w:rFonts w:cs="Times New Roman"/>
        </w:rPr>
        <w:t>Statement of Problem</w:t>
      </w:r>
      <w:bookmarkEnd w:id="6"/>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hAnsi="Times New Roman" w:eastAsia="Times New Roman" w:cs="Times New Roman"/>
          <w:color w:val="auto"/>
          <w:szCs w:val="24"/>
        </w:rPr>
        <w:t>Saheed</w:t>
      </w:r>
      <w:r>
        <w:rPr>
          <w:rFonts w:ascii="Times New Roman" w:hAnsi="Times New Roman" w:eastAsia="Times New Roman" w:cs="Times New Roman"/>
          <w:color w:val="auto"/>
          <w:szCs w:val="24"/>
        </w:rPr>
        <w:t xml:space="preserve">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Ilorin, </w:t>
      </w:r>
      <w:r>
        <w:rPr>
          <w:rFonts w:ascii="Times New Roman" w:hAnsi="Times New Roman" w:eastAsia="Times New Roman" w:cs="Times New Roman"/>
          <w:color w:val="auto"/>
          <w:szCs w:val="24"/>
        </w:rPr>
        <w:t>Kwara</w:t>
      </w:r>
      <w:r>
        <w:rPr>
          <w:rFonts w:ascii="Times New Roman" w:hAnsi="Times New Roman" w:eastAsia="Times New Roman" w:cs="Times New Roman"/>
          <w:color w:val="auto"/>
          <w:szCs w:val="24"/>
        </w:rPr>
        <w:t xml:space="preserve">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and other coliform bacteria, which are indicators of fecal contamination (</w:t>
      </w:r>
      <w:r>
        <w:rPr>
          <w:rFonts w:ascii="Times New Roman" w:hAnsi="Times New Roman" w:eastAsia="Times New Roman" w:cs="Times New Roman"/>
          <w:szCs w:val="24"/>
        </w:rPr>
        <w:t xml:space="preserve">Aiyedun </w:t>
      </w:r>
      <w:r>
        <w:rPr>
          <w:rFonts w:ascii="Times New Roman" w:hAnsi="Times New Roman" w:eastAsia="Times New Roman" w:cs="Times New Roman"/>
          <w:i/>
          <w:szCs w:val="24"/>
        </w:rPr>
        <w:t>et al</w:t>
      </w:r>
      <w:r>
        <w:rPr>
          <w:rFonts w:ascii="Times New Roman" w:hAnsi="Times New Roman" w:eastAsia="Times New Roman" w:cs="Times New Roman"/>
          <w:szCs w:val="24"/>
        </w:rPr>
        <w:t>., 2022)</w:t>
      </w:r>
      <w:r>
        <w:rPr>
          <w:rFonts w:ascii="Times New Roman" w:hAnsi="Times New Roman" w:eastAsia="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w:t>
      </w:r>
      <w:r>
        <w:rPr>
          <w:rFonts w:ascii="Times New Roman" w:hAnsi="Times New Roman" w:eastAsia="Times New Roman" w:cs="Times New Roman"/>
          <w:color w:val="auto"/>
          <w:szCs w:val="24"/>
        </w:rPr>
        <w:t>immunocompromised</w:t>
      </w:r>
      <w:r>
        <w:rPr>
          <w:rFonts w:ascii="Times New Roman" w:hAnsi="Times New Roman" w:eastAsia="Times New Roman" w:cs="Times New Roman"/>
          <w:color w:val="auto"/>
          <w:szCs w:val="24"/>
        </w:rPr>
        <w:t xml:space="preserve"> individuals, are disproportionately affected by these illnesses, leading to increased morbidity and mortality rates (</w:t>
      </w:r>
      <w:r>
        <w:rPr>
          <w:rFonts w:ascii="Times New Roman" w:hAnsi="Times New Roman" w:eastAsia="Times New Roman" w:cs="Times New Roman"/>
          <w:color w:val="auto"/>
          <w:szCs w:val="24"/>
        </w:rPr>
        <w:t>Okeola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Despite these concerns, </w:t>
      </w:r>
      <w:r>
        <w:rPr>
          <w:rFonts w:ascii="Times New Roman" w:hAnsi="Times New Roman" w:eastAsia="Times New Roman" w:cs="Times New Roman"/>
          <w:color w:val="auto"/>
          <w:szCs w:val="24"/>
        </w:rPr>
        <w:t xml:space="preserve">regular monitoring of sachet water quality in Ilorin is limited, and comprehensive data on its microbiological safety remain scarce. </w:t>
      </w:r>
    </w:p>
    <w:p>
      <w:pPr>
        <w:pStyle w:val="3"/>
        <w:spacing w:line="480" w:lineRule="auto"/>
        <w:rPr>
          <w:rFonts w:cs="Times New Roman"/>
        </w:rPr>
      </w:pPr>
      <w:bookmarkStart w:id="7" w:name="_Toc203100991"/>
      <w:r>
        <w:rPr>
          <w:rFonts w:cs="Times New Roman"/>
        </w:rPr>
        <w:t>1.3</w:t>
      </w:r>
      <w:r>
        <w:rPr>
          <w:rFonts w:cs="Times New Roman"/>
        </w:rPr>
        <w:tab/>
      </w:r>
      <w:r>
        <w:rPr>
          <w:rFonts w:cs="Times New Roman"/>
        </w:rPr>
        <w:t>Justification of study</w:t>
      </w:r>
      <w:bookmarkEnd w:id="7"/>
    </w:p>
    <w:p>
      <w:pPr>
        <w:spacing w:after="0" w:line="480" w:lineRule="auto"/>
        <w:rPr>
          <w:rFonts w:ascii="Times New Roman" w:hAnsi="Times New Roman" w:cs="Times New Roman"/>
          <w:szCs w:val="24"/>
        </w:rPr>
      </w:pPr>
      <w:r>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pPr>
        <w:pStyle w:val="3"/>
        <w:spacing w:line="480" w:lineRule="auto"/>
        <w:rPr>
          <w:rFonts w:cs="Times New Roman"/>
        </w:rPr>
      </w:pPr>
      <w:bookmarkStart w:id="8" w:name="_Toc203100992"/>
      <w:r>
        <w:rPr>
          <w:rFonts w:cs="Times New Roman"/>
        </w:rPr>
        <w:t>1.4</w:t>
      </w:r>
      <w:r>
        <w:rPr>
          <w:rFonts w:cs="Times New Roman"/>
        </w:rPr>
        <w:tab/>
      </w:r>
      <w:r>
        <w:rPr>
          <w:rFonts w:cs="Times New Roman"/>
        </w:rPr>
        <w:t>Aims and Objectives of Study</w:t>
      </w:r>
      <w:bookmarkEnd w:id="8"/>
    </w:p>
    <w:p>
      <w:pPr>
        <w:spacing w:after="0" w:line="480" w:lineRule="auto"/>
        <w:rPr>
          <w:rFonts w:ascii="Times New Roman" w:hAnsi="Times New Roman" w:cs="Times New Roman"/>
          <w:szCs w:val="24"/>
        </w:rPr>
      </w:pPr>
      <w:r>
        <w:rPr>
          <w:rStyle w:val="16"/>
          <w:rFonts w:ascii="Times New Roman" w:hAnsi="Times New Roman" w:cs="Times New Roman"/>
          <w:szCs w:val="24"/>
        </w:rPr>
        <w:t>Aim</w:t>
      </w:r>
    </w:p>
    <w:p>
      <w:pPr>
        <w:spacing w:after="0" w:line="480" w:lineRule="auto"/>
        <w:rPr>
          <w:rFonts w:ascii="Times New Roman" w:hAnsi="Times New Roman" w:cs="Times New Roman"/>
          <w:szCs w:val="24"/>
        </w:rPr>
      </w:pPr>
      <w:r>
        <w:rPr>
          <w:rFonts w:ascii="Times New Roman" w:hAnsi="Times New Roman" w:cs="Times New Roman"/>
          <w:szCs w:val="24"/>
        </w:rPr>
        <w:t>The main aim of this study is to evaluate the microbial quality of selected sachet water produced in Ilorin, Kwara State through microbiological analysis.</w:t>
      </w:r>
    </w:p>
    <w:p>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pPr>
        <w:spacing w:after="0" w:line="480" w:lineRule="auto"/>
        <w:jc w:val="left"/>
        <w:rPr>
          <w:rFonts w:ascii="Times New Roman" w:hAnsi="Times New Roman" w:cs="Times New Roman"/>
          <w:szCs w:val="24"/>
        </w:rPr>
      </w:pPr>
      <w:r>
        <w:rPr>
          <w:rFonts w:ascii="Times New Roman" w:hAnsi="Times New Roman" w:cs="Times New Roman"/>
          <w:szCs w:val="24"/>
        </w:rPr>
        <w:t>1. determine physiochemical analysis of the water samples</w:t>
      </w:r>
    </w:p>
    <w:p>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fungal organisms present in the sachet water samples</w:t>
      </w:r>
      <w:r>
        <w:rPr>
          <w:rFonts w:ascii="Times New Roman" w:hAnsi="Times New Roman" w:cs="Times New Roman"/>
          <w:szCs w:val="24"/>
        </w:rPr>
        <w:tab/>
      </w:r>
    </w:p>
    <w:p>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pPr>
        <w:pStyle w:val="2"/>
        <w:spacing w:line="480" w:lineRule="auto"/>
        <w:jc w:val="center"/>
        <w:rPr>
          <w:rFonts w:cs="Times New Roman"/>
        </w:rPr>
      </w:pPr>
      <w:bookmarkStart w:id="9" w:name="_Toc203100993"/>
      <w:r>
        <w:rPr>
          <w:rFonts w:cs="Times New Roman"/>
        </w:rPr>
        <w:t>CHAPTER TWO</w:t>
      </w:r>
      <w:bookmarkEnd w:id="9"/>
    </w:p>
    <w:p>
      <w:pPr>
        <w:pStyle w:val="2"/>
        <w:spacing w:line="480" w:lineRule="auto"/>
        <w:jc w:val="center"/>
        <w:rPr>
          <w:rFonts w:cs="Times New Roman"/>
        </w:rPr>
      </w:pPr>
      <w:bookmarkStart w:id="10" w:name="_Toc203100994"/>
      <w:r>
        <w:rPr>
          <w:rFonts w:cs="Times New Roman"/>
        </w:rPr>
        <w:t>LITERATURE REVIEW</w:t>
      </w:r>
      <w:bookmarkEnd w:id="10"/>
    </w:p>
    <w:p>
      <w:pPr>
        <w:pStyle w:val="3"/>
        <w:spacing w:line="480" w:lineRule="auto"/>
        <w:rPr>
          <w:rFonts w:cs="Times New Roman"/>
        </w:rPr>
      </w:pPr>
      <w:bookmarkStart w:id="11" w:name="_Toc203100995"/>
      <w:r>
        <w:rPr>
          <w:rFonts w:cs="Times New Roman"/>
        </w:rPr>
        <w:t>2.1</w:t>
      </w:r>
      <w:r>
        <w:rPr>
          <w:rFonts w:cs="Times New Roman"/>
        </w:rPr>
        <w:tab/>
      </w:r>
      <w:r>
        <w:rPr>
          <w:rFonts w:cs="Times New Roman"/>
        </w:rPr>
        <w:t>Concept of Water Quality</w:t>
      </w:r>
      <w:bookmarkEnd w:id="11"/>
    </w:p>
    <w:p>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pPr>
        <w:spacing w:after="0" w:line="480" w:lineRule="auto"/>
        <w:ind w:firstLine="710"/>
        <w:rPr>
          <w:rFonts w:ascii="Times New Roman" w:hAnsi="Times New Roman" w:cs="Times New Roman"/>
          <w:szCs w:val="24"/>
        </w:rPr>
      </w:pPr>
      <w:r>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hAnsi="Times New Roman" w:cs="Times New Roman"/>
          <w:i/>
          <w:szCs w:val="24"/>
        </w:rPr>
        <w:t>et al</w:t>
      </w:r>
      <w:r>
        <w:rPr>
          <w:rFonts w:ascii="Times New Roman" w:hAnsi="Times New Roman" w:cs="Times New Roman"/>
          <w:szCs w:val="24"/>
        </w:rPr>
        <w:t>., 2022).</w:t>
      </w:r>
    </w:p>
    <w:p>
      <w:pPr>
        <w:pStyle w:val="3"/>
        <w:spacing w:line="480" w:lineRule="auto"/>
        <w:rPr>
          <w:rFonts w:cs="Times New Roman"/>
        </w:rPr>
      </w:pPr>
      <w:bookmarkStart w:id="12" w:name="_Toc203100996"/>
      <w:r>
        <w:rPr>
          <w:rFonts w:cs="Times New Roman"/>
        </w:rPr>
        <w:t>2.2</w:t>
      </w:r>
      <w:r>
        <w:rPr>
          <w:rFonts w:cs="Times New Roman"/>
        </w:rPr>
        <w:tab/>
      </w:r>
      <w:r>
        <w:rPr>
          <w:rFonts w:cs="Times New Roman"/>
        </w:rPr>
        <w:t>Key indicators of Water Quality</w:t>
      </w:r>
      <w:bookmarkEnd w:id="12"/>
    </w:p>
    <w:p>
      <w:pPr>
        <w:pStyle w:val="9"/>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p>
      <w:pPr>
        <w:pStyle w:val="4"/>
        <w:spacing w:line="480" w:lineRule="auto"/>
        <w:rPr>
          <w:rFonts w:cs="Times New Roman"/>
          <w:b w:val="0"/>
        </w:rPr>
      </w:pPr>
      <w:bookmarkStart w:id="13" w:name="_Toc203100997"/>
      <w:r>
        <w:rPr>
          <w:rFonts w:eastAsia="Arial" w:cs="Times New Roman"/>
          <w:color w:val="000000"/>
        </w:rPr>
        <w:t>2.2.1</w:t>
      </w:r>
      <w:r>
        <w:rPr>
          <w:rFonts w:eastAsia="Arial" w:cs="Times New Roman"/>
          <w:color w:val="000000"/>
        </w:rPr>
        <w:tab/>
      </w:r>
      <w:r>
        <w:rPr>
          <w:rFonts w:cs="Times New Roman"/>
        </w:rPr>
        <w:t>Microbial Indicators of Water Quality</w:t>
      </w:r>
      <w:bookmarkEnd w:id="13"/>
    </w:p>
    <w:p>
      <w:pPr>
        <w:pStyle w:val="9"/>
        <w:spacing w:before="0" w:beforeAutospacing="0" w:after="0" w:afterAutospacing="0" w:line="480" w:lineRule="auto"/>
        <w:jc w:val="both"/>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r>
        <w:rPr>
          <w:rFonts w:eastAsia="Arial"/>
          <w:color w:val="000000"/>
        </w:rPr>
        <w:t xml:space="preserve">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9"/>
        <w:spacing w:before="0" w:beforeAutospacing="0" w:after="0" w:afterAutospacing="0" w:line="480" w:lineRule="auto"/>
        <w:jc w:val="both"/>
        <w:rPr>
          <w:b/>
          <w:bCs/>
        </w:rPr>
      </w:pPr>
      <w:r>
        <w:rPr>
          <w:b/>
          <w:bCs/>
        </w:rPr>
        <w:t xml:space="preserve">Total coliforms (TC) Bacteria </w:t>
      </w:r>
    </w:p>
    <w:p>
      <w:pPr>
        <w:pStyle w:val="9"/>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Citrobacter, Enterobacter, Escherichia,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20"/>
        <w:rPr>
          <w:b/>
          <w:bCs/>
        </w:rPr>
      </w:pPr>
      <w:r>
        <w:rPr>
          <w:b/>
          <w:bCs/>
        </w:rPr>
        <w:t xml:space="preserve">Faecal coliform (FC) or Thermotolerant coliform </w:t>
      </w:r>
    </w:p>
    <w:p>
      <w:pPr>
        <w:pStyle w:val="20"/>
      </w:pPr>
    </w:p>
    <w:p>
      <w:pPr>
        <w:pStyle w:val="9"/>
        <w:spacing w:before="0" w:beforeAutospacing="0" w:after="0" w:afterAutospacing="0" w:line="480" w:lineRule="auto"/>
        <w:jc w:val="both"/>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in the absence of faecal contamination. This is why a positive result for FC should be interpreted with caution (Helard </w:t>
      </w:r>
      <w:r>
        <w:rPr>
          <w:i/>
        </w:rPr>
        <w:t>et al</w:t>
      </w:r>
      <w:r>
        <w:t>., 2019).</w:t>
      </w:r>
    </w:p>
    <w:p>
      <w:pPr>
        <w:pStyle w:val="9"/>
        <w:spacing w:before="0" w:beforeAutospacing="0" w:after="0" w:afterAutospacing="0" w:line="480" w:lineRule="auto"/>
        <w:jc w:val="both"/>
        <w:rPr>
          <w:b/>
          <w:bCs/>
          <w:i/>
          <w:iCs/>
        </w:rPr>
      </w:pPr>
      <w:r>
        <w:rPr>
          <w:b/>
          <w:bCs/>
          <w:i/>
          <w:iCs/>
        </w:rPr>
        <w:t xml:space="preserve">Escherichia coli </w:t>
      </w:r>
    </w:p>
    <w:p>
      <w:pPr>
        <w:pStyle w:val="9"/>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20"/>
        <w:spacing w:line="480" w:lineRule="auto"/>
      </w:pPr>
      <w:r>
        <w:rPr>
          <w:b/>
          <w:bCs/>
        </w:rPr>
        <w:t xml:space="preserve">Faecal Enterococci </w:t>
      </w:r>
    </w:p>
    <w:p>
      <w:pPr>
        <w:pStyle w:val="9"/>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20"/>
        <w:spacing w:line="480" w:lineRule="auto"/>
      </w:pPr>
      <w:r>
        <w:rPr>
          <w:b/>
          <w:bCs/>
        </w:rPr>
        <w:t xml:space="preserve">Sulphite-reducing clostridia </w:t>
      </w:r>
    </w:p>
    <w:p>
      <w:pPr>
        <w:pStyle w:val="9"/>
        <w:spacing w:before="0" w:beforeAutospacing="0" w:after="0" w:afterAutospacing="0" w:line="480" w:lineRule="auto"/>
        <w:jc w:val="both"/>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9"/>
        <w:spacing w:before="0" w:beforeAutospacing="0" w:after="0" w:afterAutospacing="0" w:line="480" w:lineRule="auto"/>
        <w:jc w:val="both"/>
        <w:rPr>
          <w:b/>
          <w:bCs/>
        </w:rPr>
      </w:pPr>
      <w:r>
        <w:rPr>
          <w:b/>
          <w:bCs/>
        </w:rPr>
        <w:t>The Heterotrophic bacteria</w:t>
      </w:r>
    </w:p>
    <w:p>
      <w:pPr>
        <w:pStyle w:val="9"/>
        <w:spacing w:before="0" w:beforeAutospacing="0" w:after="0" w:afterAutospacing="0" w:line="480" w:lineRule="auto"/>
        <w:jc w:val="both"/>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p>
      <w:pPr>
        <w:pStyle w:val="4"/>
        <w:spacing w:line="480" w:lineRule="auto"/>
        <w:rPr>
          <w:rFonts w:cs="Times New Roman"/>
        </w:rPr>
      </w:pPr>
      <w:bookmarkStart w:id="14" w:name="_Toc203100998"/>
      <w:r>
        <w:rPr>
          <w:rFonts w:cs="Times New Roman"/>
        </w:rPr>
        <w:t>2.2.2</w:t>
      </w:r>
      <w:r>
        <w:rPr>
          <w:rFonts w:cs="Times New Roman"/>
        </w:rPr>
        <w:tab/>
      </w:r>
      <w:r>
        <w:rPr>
          <w:rFonts w:cs="Times New Roman"/>
        </w:rPr>
        <w:t>Physical indicators of Water Quality</w:t>
      </w:r>
      <w:bookmarkEnd w:id="14"/>
    </w:p>
    <w:p>
      <w:pPr>
        <w:pStyle w:val="9"/>
        <w:spacing w:before="0" w:beforeAutospacing="0" w:after="0" w:afterAutospacing="0" w:line="480" w:lineRule="auto"/>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9"/>
        <w:spacing w:before="0" w:beforeAutospacing="0" w:after="0" w:afterAutospacing="0" w:line="480" w:lineRule="auto"/>
        <w:jc w:val="both"/>
        <w:rPr>
          <w:b/>
          <w:bCs/>
        </w:rPr>
      </w:pPr>
      <w:r>
        <w:rPr>
          <w:b/>
          <w:bCs/>
        </w:rPr>
        <w:t xml:space="preserve">Colour </w:t>
      </w:r>
    </w:p>
    <w:p>
      <w:pPr>
        <w:pStyle w:val="9"/>
        <w:spacing w:before="0" w:beforeAutospacing="0" w:after="0" w:afterAutospacing="0" w:line="480" w:lineRule="auto"/>
        <w:jc w:val="both"/>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9"/>
        <w:spacing w:before="0" w:beforeAutospacing="0" w:after="0" w:afterAutospacing="0" w:line="480" w:lineRule="auto"/>
        <w:jc w:val="both"/>
        <w:rPr>
          <w:b/>
          <w:bCs/>
        </w:rPr>
      </w:pPr>
      <w:r>
        <w:rPr>
          <w:b/>
          <w:bCs/>
        </w:rPr>
        <w:t xml:space="preserve">Taste and Odour </w:t>
      </w:r>
    </w:p>
    <w:p>
      <w:pPr>
        <w:pStyle w:val="9"/>
        <w:spacing w:before="0" w:beforeAutospacing="0" w:after="0" w:afterAutospacing="0" w:line="480" w:lineRule="auto"/>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9"/>
        <w:spacing w:before="0" w:beforeAutospacing="0" w:after="0" w:afterAutospacing="0" w:line="480" w:lineRule="auto"/>
        <w:jc w:val="both"/>
        <w:rPr>
          <w:b/>
          <w:bCs/>
        </w:rPr>
      </w:pPr>
      <w:r>
        <w:rPr>
          <w:b/>
          <w:bCs/>
        </w:rPr>
        <w:t xml:space="preserve">Turbidity </w:t>
      </w:r>
    </w:p>
    <w:p>
      <w:pPr>
        <w:pStyle w:val="9"/>
        <w:spacing w:before="0" w:beforeAutospacing="0" w:after="0" w:afterAutospacing="0" w:line="480" w:lineRule="auto"/>
        <w:jc w:val="both"/>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p>
      <w:pPr>
        <w:pStyle w:val="4"/>
        <w:spacing w:line="480" w:lineRule="auto"/>
        <w:rPr>
          <w:rFonts w:cs="Times New Roman"/>
        </w:rPr>
      </w:pPr>
      <w:bookmarkStart w:id="15" w:name="_Toc203100999"/>
      <w:r>
        <w:rPr>
          <w:rFonts w:cs="Times New Roman"/>
        </w:rPr>
        <w:t>2.2.3</w:t>
      </w:r>
      <w:r>
        <w:rPr>
          <w:rFonts w:cs="Times New Roman"/>
        </w:rPr>
        <w:tab/>
      </w:r>
      <w:r>
        <w:rPr>
          <w:rFonts w:cs="Times New Roman"/>
        </w:rPr>
        <w:t>Chemical Indicators of Water Quality</w:t>
      </w:r>
      <w:bookmarkEnd w:id="15"/>
    </w:p>
    <w:p>
      <w:pPr>
        <w:pStyle w:val="20"/>
        <w:spacing w:line="480" w:lineRule="auto"/>
      </w:pPr>
      <w:r>
        <w:rPr>
          <w:b/>
          <w:bCs/>
        </w:rPr>
        <w:t xml:space="preserve">pH </w:t>
      </w:r>
    </w:p>
    <w:p>
      <w:pPr>
        <w:pStyle w:val="9"/>
        <w:spacing w:before="0" w:beforeAutospacing="0" w:after="0" w:afterAutospacing="0" w:line="480" w:lineRule="auto"/>
        <w:jc w:val="both"/>
      </w:pPr>
      <w:r>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9"/>
        <w:spacing w:before="0" w:beforeAutospacing="0" w:after="0" w:afterAutospacing="0" w:line="480" w:lineRule="auto"/>
        <w:jc w:val="both"/>
        <w:rPr>
          <w:b/>
          <w:bCs/>
        </w:rPr>
      </w:pPr>
      <w:r>
        <w:rPr>
          <w:b/>
          <w:bCs/>
        </w:rPr>
        <w:t xml:space="preserve">Conductivity </w:t>
      </w:r>
    </w:p>
    <w:p>
      <w:pPr>
        <w:pStyle w:val="9"/>
        <w:spacing w:before="0" w:beforeAutospacing="0" w:after="0" w:afterAutospacing="0" w:line="480" w:lineRule="auto"/>
        <w:jc w:val="both"/>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9"/>
        <w:spacing w:before="0" w:beforeAutospacing="0" w:after="0" w:afterAutospacing="0" w:line="480" w:lineRule="auto"/>
        <w:jc w:val="both"/>
        <w:rPr>
          <w:b/>
          <w:bCs/>
        </w:rPr>
      </w:pPr>
      <w:r>
        <w:rPr>
          <w:b/>
          <w:bCs/>
        </w:rPr>
        <w:t xml:space="preserve">Total dissolved Solids (TDS) </w:t>
      </w:r>
    </w:p>
    <w:p>
      <w:pPr>
        <w:pStyle w:val="9"/>
        <w:spacing w:before="0" w:beforeAutospacing="0" w:after="0" w:afterAutospacing="0" w:line="480" w:lineRule="auto"/>
        <w:jc w:val="both"/>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20"/>
        <w:spacing w:line="480" w:lineRule="auto"/>
      </w:pPr>
      <w:r>
        <w:rPr>
          <w:b/>
          <w:bCs/>
        </w:rPr>
        <w:t xml:space="preserve">Alkalinity </w:t>
      </w:r>
    </w:p>
    <w:p>
      <w:pPr>
        <w:pStyle w:val="9"/>
        <w:spacing w:before="0" w:beforeAutospacing="0" w:after="0" w:afterAutospacing="0" w:line="480" w:lineRule="auto"/>
        <w:jc w:val="both"/>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p>
      <w:pPr>
        <w:pStyle w:val="3"/>
        <w:spacing w:line="480" w:lineRule="auto"/>
        <w:rPr>
          <w:rFonts w:cs="Times New Roman"/>
        </w:rPr>
      </w:pPr>
      <w:bookmarkStart w:id="16" w:name="_Toc203101000"/>
      <w:r>
        <w:rPr>
          <w:rFonts w:cs="Times New Roman"/>
        </w:rPr>
        <w:t>2.3</w:t>
      </w:r>
      <w:r>
        <w:rPr>
          <w:rFonts w:cs="Times New Roman"/>
        </w:rPr>
        <w:tab/>
      </w:r>
      <w:r>
        <w:rPr>
          <w:rFonts w:cs="Times New Roman"/>
        </w:rPr>
        <w:t>Water Quality Standards and Regulations</w:t>
      </w:r>
      <w:bookmarkEnd w:id="16"/>
    </w:p>
    <w:p>
      <w:pPr>
        <w:rPr>
          <w:rFonts w:ascii="Times New Roman" w:hAnsi="Times New Roman" w:cs="Times New Roman"/>
          <w:szCs w:val="24"/>
        </w:rPr>
      </w:pPr>
    </w:p>
    <w:p>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pPr>
        <w:pStyle w:val="9"/>
        <w:spacing w:before="0" w:beforeAutospacing="0" w:after="0" w:afterAutospacing="0" w:line="480" w:lineRule="auto"/>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9"/>
        <w:spacing w:before="0" w:beforeAutospacing="0" w:after="0" w:afterAutospacing="0" w:line="480" w:lineRule="auto"/>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p>
      <w:pPr>
        <w:pStyle w:val="4"/>
        <w:spacing w:line="480" w:lineRule="auto"/>
        <w:rPr>
          <w:rFonts w:eastAsia="Times New Roman" w:cs="Times New Roman"/>
        </w:rPr>
      </w:pPr>
      <w:bookmarkStart w:id="17" w:name="_Toc203101001"/>
      <w:r>
        <w:rPr>
          <w:rFonts w:eastAsia="Times New Roman" w:cs="Times New Roman"/>
        </w:rPr>
        <w:t>2.3.1</w:t>
      </w:r>
      <w:r>
        <w:rPr>
          <w:rFonts w:eastAsia="Times New Roman" w:cs="Times New Roman"/>
        </w:rPr>
        <w:tab/>
      </w:r>
      <w:r>
        <w:rPr>
          <w:rFonts w:eastAsia="Times New Roman" w:cs="Times New Roman"/>
        </w:rPr>
        <w:t>Nigerian Standard for Drinking Water Quality (NSDWQ):</w:t>
      </w:r>
      <w:bookmarkEnd w:id="17"/>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w:t>
      </w:r>
      <w:r>
        <w:rPr>
          <w:rFonts w:ascii="Times New Roman" w:hAnsi="Times New Roman" w:eastAsia="Times New Roman" w:cs="Times New Roman"/>
          <w:bCs/>
          <w:color w:val="auto"/>
          <w:szCs w:val="24"/>
        </w:rPr>
        <w:t>Nigerian Standard for Drinking Water Quality</w:t>
      </w:r>
      <w:r>
        <w:rPr>
          <w:rFonts w:ascii="Times New Roman" w:hAnsi="Times New Roman" w:eastAsia="Times New Roman" w:cs="Times New Roman"/>
          <w:color w:val="auto"/>
          <w:szCs w:val="24"/>
        </w:rPr>
        <w:t xml:space="preserve"> (NSDWQ) developed by the Standards </w:t>
      </w:r>
      <w:r>
        <w:rPr>
          <w:rFonts w:ascii="Times New Roman" w:hAnsi="Times New Roman" w:eastAsia="Times New Roman" w:cs="Times New Roman"/>
          <w:color w:val="auto"/>
          <w:szCs w:val="24"/>
        </w:rPr>
        <w:t>Organisation</w:t>
      </w:r>
      <w:r>
        <w:rPr>
          <w:rFonts w:ascii="Times New Roman" w:hAnsi="Times New Roman" w:eastAsia="Times New Roman" w:cs="Times New Roman"/>
          <w:color w:val="auto"/>
          <w:szCs w:val="24"/>
        </w:rPr>
        <w:t xml:space="preserve"> of Nigeria (SON</w:t>
      </w:r>
      <w:r>
        <w:rPr>
          <w:rFonts w:ascii="Times New Roman" w:hAnsi="Times New Roman" w:eastAsia="Times New Roman" w:cs="Times New Roman"/>
          <w:color w:val="auto"/>
          <w:szCs w:val="24"/>
        </w:rPr>
        <w:t>),</w:t>
      </w:r>
      <w:r>
        <w:rPr>
          <w:rFonts w:ascii="Times New Roman" w:hAnsi="Times New Roman" w:eastAsia="Times New Roman" w:cs="Times New Roman"/>
          <w:color w:val="auto"/>
          <w:szCs w:val="24"/>
        </w:rPr>
        <w:t xml:space="preserve"> provides permissible limits for various water quality parameters. </w:t>
      </w:r>
      <w:r>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Pr>
          <w:rFonts w:ascii="Times New Roman" w:hAnsi="Times New Roman" w:eastAsia="Times New Roman" w:cs="Times New Roman"/>
          <w:szCs w:val="24"/>
        </w:rPr>
        <w:t xml:space="preserve">Adelakun </w:t>
      </w:r>
      <w:r>
        <w:rPr>
          <w:rFonts w:ascii="Times New Roman" w:hAnsi="Times New Roman" w:eastAsia="Times New Roman" w:cs="Times New Roman"/>
          <w:i/>
          <w:szCs w:val="24"/>
        </w:rPr>
        <w:t>et al</w:t>
      </w:r>
      <w:r>
        <w:rPr>
          <w:rFonts w:ascii="Times New Roman" w:hAnsi="Times New Roman" w:eastAsia="Times New Roman" w:cs="Times New Roman"/>
          <w:szCs w:val="24"/>
        </w:rPr>
        <w:t>., 2021</w:t>
      </w:r>
      <w:r>
        <w:rPr>
          <w:rFonts w:ascii="Times New Roman" w:hAnsi="Times New Roman" w:cs="Times New Roman"/>
          <w:szCs w:val="24"/>
        </w:rPr>
        <w:t xml:space="preserve">). These standards are based on global guidelines from the World Health Organization (WHO), which also recommends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9"/>
        <w:spacing w:before="0" w:beforeAutospacing="0" w:after="0" w:afterAutospacing="0" w:line="480" w:lineRule="auto"/>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9"/>
        <w:spacing w:before="0" w:beforeAutospacing="0" w:after="0" w:afterAutospacing="0" w:line="480" w:lineRule="auto"/>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Pr>
          <w:rFonts w:eastAsia="Arial"/>
          <w:color w:val="000000"/>
        </w:rPr>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pPr>
        <w:pStyle w:val="3"/>
        <w:spacing w:line="480" w:lineRule="auto"/>
        <w:rPr>
          <w:rFonts w:cs="Times New Roman"/>
        </w:rPr>
      </w:pPr>
      <w:bookmarkStart w:id="18" w:name="_Toc203101002"/>
      <w:r>
        <w:rPr>
          <w:rFonts w:eastAsia="Arial" w:cs="Times New Roman"/>
          <w:color w:val="000000"/>
        </w:rPr>
        <w:t>2.5</w:t>
      </w:r>
      <w:r>
        <w:rPr>
          <w:rFonts w:eastAsia="Arial" w:cs="Times New Roman"/>
          <w:color w:val="000000"/>
        </w:rPr>
        <w:tab/>
      </w:r>
      <w:r>
        <w:rPr>
          <w:rFonts w:cs="Times New Roman"/>
        </w:rPr>
        <w:t>Sachet Water Production in Nigeria</w:t>
      </w:r>
      <w:bookmarkEnd w:id="18"/>
    </w:p>
    <w:p>
      <w:pPr>
        <w:pStyle w:val="9"/>
        <w:spacing w:before="0" w:beforeAutospacing="0" w:after="0" w:afterAutospacing="0" w:line="480" w:lineRule="auto"/>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Pr>
          <w:rFonts w:eastAsia="Arial"/>
          <w:color w:val="000000"/>
        </w:rPr>
        <w:t xml:space="preserve">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w:t>
      </w:r>
      <w:r>
        <w:rPr>
          <w:rFonts w:eastAsia="Arial"/>
          <w:color w:val="000000"/>
        </w:rPr>
        <w:t>labelling</w:t>
      </w:r>
      <w:r>
        <w:rPr>
          <w:rFonts w:eastAsia="Arial"/>
          <w:color w:val="000000"/>
        </w:rPr>
        <w:t xml:space="preserve">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p>
      <w:pPr>
        <w:pStyle w:val="3"/>
        <w:spacing w:line="480" w:lineRule="auto"/>
        <w:rPr>
          <w:rFonts w:cs="Times New Roman"/>
        </w:rPr>
      </w:pPr>
      <w:bookmarkStart w:id="19" w:name="_Toc203101003"/>
      <w:r>
        <w:rPr>
          <w:rFonts w:eastAsia="Arial" w:cs="Times New Roman"/>
          <w:color w:val="000000"/>
        </w:rPr>
        <w:t>2.6</w:t>
      </w:r>
      <w:r>
        <w:rPr>
          <w:rFonts w:eastAsia="Arial" w:cs="Times New Roman"/>
          <w:color w:val="000000"/>
        </w:rPr>
        <w:tab/>
      </w:r>
      <w:r>
        <w:rPr>
          <w:rFonts w:cs="Times New Roman"/>
        </w:rPr>
        <w:t>Antibacterial Analysis Methods</w:t>
      </w:r>
      <w:bookmarkEnd w:id="19"/>
    </w:p>
    <w:p>
      <w:pPr>
        <w:pStyle w:val="9"/>
        <w:spacing w:before="0" w:beforeAutospacing="0" w:after="0" w:afterAutospacing="0" w:line="480" w:lineRule="auto"/>
        <w:jc w:val="both"/>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p>
      <w:pPr>
        <w:pStyle w:val="4"/>
        <w:spacing w:line="480" w:lineRule="auto"/>
        <w:rPr>
          <w:rFonts w:cs="Times New Roman"/>
        </w:rPr>
      </w:pPr>
      <w:bookmarkStart w:id="20" w:name="_Toc203101004"/>
      <w:r>
        <w:rPr>
          <w:rFonts w:cs="Times New Roman"/>
        </w:rPr>
        <w:t>2.6.1</w:t>
      </w:r>
      <w:r>
        <w:rPr>
          <w:rFonts w:cs="Times New Roman"/>
        </w:rPr>
        <w:tab/>
      </w:r>
      <w:r>
        <w:rPr>
          <w:rFonts w:cs="Times New Roman"/>
        </w:rPr>
        <w:t>Culture-Based Methods</w:t>
      </w:r>
      <w:bookmarkEnd w:id="20"/>
    </w:p>
    <w:p>
      <w:pPr>
        <w:pStyle w:val="9"/>
        <w:spacing w:before="0" w:beforeAutospacing="0" w:after="0" w:afterAutospacing="0" w:line="480" w:lineRule="auto"/>
        <w:jc w:val="both"/>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p>
      <w:pPr>
        <w:pStyle w:val="4"/>
        <w:spacing w:line="480" w:lineRule="auto"/>
        <w:rPr>
          <w:rFonts w:cs="Times New Roman"/>
        </w:rPr>
      </w:pPr>
      <w:bookmarkStart w:id="21" w:name="_Toc203101005"/>
      <w:r>
        <w:rPr>
          <w:rFonts w:cs="Times New Roman"/>
        </w:rPr>
        <w:t>2.6.2</w:t>
      </w:r>
      <w:r>
        <w:rPr>
          <w:rFonts w:cs="Times New Roman"/>
        </w:rPr>
        <w:tab/>
      </w:r>
      <w:r>
        <w:rPr>
          <w:rFonts w:cs="Times New Roman"/>
        </w:rPr>
        <w:t>Antibacterial Activity Testing</w:t>
      </w:r>
      <w:bookmarkEnd w:id="21"/>
    </w:p>
    <w:p>
      <w:pPr>
        <w:pStyle w:val="9"/>
        <w:spacing w:before="0" w:beforeAutospacing="0" w:after="0" w:afterAutospacing="0" w:line="480" w:lineRule="auto"/>
        <w:jc w:val="both"/>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pPr>
        <w:pStyle w:val="4"/>
        <w:spacing w:line="480" w:lineRule="auto"/>
        <w:rPr>
          <w:rFonts w:cs="Times New Roman"/>
        </w:rPr>
      </w:pPr>
      <w:bookmarkStart w:id="22" w:name="_Toc203101006"/>
      <w:r>
        <w:rPr>
          <w:rFonts w:cs="Times New Roman"/>
        </w:rPr>
        <w:t>2.6.3</w:t>
      </w:r>
      <w:r>
        <w:rPr>
          <w:rFonts w:cs="Times New Roman"/>
        </w:rPr>
        <w:tab/>
      </w:r>
      <w:r>
        <w:rPr>
          <w:rFonts w:cs="Times New Roman"/>
        </w:rPr>
        <w:t>Molecular Methods</w:t>
      </w:r>
      <w:bookmarkEnd w:id="22"/>
    </w:p>
    <w:p>
      <w:pPr>
        <w:pStyle w:val="9"/>
        <w:spacing w:before="0" w:beforeAutospacing="0" w:after="0" w:afterAutospacing="0" w:line="480" w:lineRule="auto"/>
        <w:jc w:val="both"/>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rPr>
          <w:rFonts w:ascii="Times New Roman" w:hAnsi="Times New Roman" w:cs="Times New Roman"/>
        </w:rPr>
      </w:pPr>
    </w:p>
    <w:p>
      <w:pPr>
        <w:tabs>
          <w:tab w:val="left" w:pos="8205"/>
        </w:tabs>
        <w:spacing w:after="0" w:line="480" w:lineRule="auto"/>
        <w:jc w:val="left"/>
        <w:rPr>
          <w:rFonts w:ascii="Times New Roman" w:hAnsi="Times New Roman" w:cs="Times New Roman"/>
          <w:szCs w:val="24"/>
        </w:rPr>
      </w:pPr>
    </w:p>
    <w:p>
      <w:pPr>
        <w:rPr>
          <w:rFonts w:ascii="Times New Roman" w:hAnsi="Times New Roman" w:cs="Times New Roman"/>
        </w:rPr>
      </w:pPr>
    </w:p>
    <w:p>
      <w:pPr>
        <w:pStyle w:val="2"/>
        <w:spacing w:line="480" w:lineRule="auto"/>
        <w:jc w:val="center"/>
        <w:rPr>
          <w:rFonts w:eastAsia="Arial" w:cs="Times New Roman"/>
        </w:rPr>
      </w:pPr>
      <w:bookmarkStart w:id="23" w:name="_Toc203101007"/>
      <w:r>
        <w:rPr>
          <w:rFonts w:eastAsia="Arial" w:cs="Times New Roman"/>
        </w:rPr>
        <w:t>CHAPTER THREE</w:t>
      </w:r>
      <w:bookmarkEnd w:id="23"/>
    </w:p>
    <w:p>
      <w:pPr>
        <w:pStyle w:val="2"/>
        <w:spacing w:line="480" w:lineRule="auto"/>
        <w:jc w:val="center"/>
        <w:rPr>
          <w:rFonts w:eastAsia="Arial" w:cs="Times New Roman"/>
        </w:rPr>
      </w:pPr>
      <w:bookmarkStart w:id="24" w:name="_Toc203101008"/>
      <w:r>
        <w:rPr>
          <w:rFonts w:eastAsia="Arial" w:cs="Times New Roman"/>
        </w:rPr>
        <w:t>MATERIALS AND METHODS</w:t>
      </w:r>
      <w:bookmarkEnd w:id="24"/>
    </w:p>
    <w:p>
      <w:pPr>
        <w:pStyle w:val="3"/>
        <w:spacing w:line="480" w:lineRule="auto"/>
        <w:rPr>
          <w:rFonts w:eastAsia="Arial" w:cs="Times New Roman"/>
        </w:rPr>
      </w:pPr>
      <w:bookmarkStart w:id="25" w:name="_Toc203101009"/>
      <w:r>
        <w:rPr>
          <w:rFonts w:eastAsia="Arial" w:cs="Times New Roman"/>
        </w:rPr>
        <w:t>3.1</w:t>
      </w:r>
      <w:r>
        <w:rPr>
          <w:rFonts w:eastAsia="Arial" w:cs="Times New Roman"/>
        </w:rPr>
        <w:tab/>
      </w:r>
      <w:r>
        <w:rPr>
          <w:rFonts w:eastAsia="Arial" w:cs="Times New Roman"/>
        </w:rPr>
        <w:t>Description of the Sample Site</w:t>
      </w:r>
      <w:bookmarkEnd w:id="25"/>
      <w:r>
        <w:rPr>
          <w:rFonts w:eastAsia="Arial" w:cs="Times New Roman"/>
        </w:rPr>
        <w:t xml:space="preserve"> </w:t>
      </w:r>
    </w:p>
    <w:p>
      <w:pPr>
        <w:pStyle w:val="9"/>
        <w:spacing w:before="0" w:beforeAutospacing="0" w:after="0" w:afterAutospacing="0" w:line="480" w:lineRule="auto"/>
        <w:jc w:val="both"/>
      </w:pPr>
      <w:r>
        <w:rPr>
          <w:rFonts w:eastAsia="Arial"/>
          <w:color w:val="000000"/>
          <w:szCs w:val="22"/>
        </w:rPr>
        <w:t xml:space="preserve">The study was conducted in Ilorin, the capital city of </w:t>
      </w:r>
      <w:r>
        <w:rPr>
          <w:rFonts w:eastAsia="Arial"/>
          <w:color w:val="000000"/>
          <w:szCs w:val="22"/>
        </w:rPr>
        <w:t>Kwara</w:t>
      </w:r>
      <w:r>
        <w:rPr>
          <w:rFonts w:eastAsia="Arial"/>
          <w:color w:val="000000"/>
          <w:szCs w:val="22"/>
        </w:rPr>
        <w:t xml:space="preserve">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pPr>
        <w:pStyle w:val="3"/>
        <w:spacing w:line="480" w:lineRule="auto"/>
        <w:rPr>
          <w:rFonts w:cs="Times New Roman"/>
        </w:rPr>
      </w:pPr>
      <w:bookmarkStart w:id="26" w:name="_Toc203101010"/>
      <w:r>
        <w:rPr>
          <w:rFonts w:cs="Times New Roman"/>
        </w:rPr>
        <w:t>3.2</w:t>
      </w:r>
      <w:r>
        <w:rPr>
          <w:rFonts w:cs="Times New Roman"/>
        </w:rPr>
        <w:tab/>
      </w:r>
      <w:r>
        <w:rPr>
          <w:rFonts w:cs="Times New Roman"/>
        </w:rPr>
        <w:t>Sample Collection</w:t>
      </w:r>
      <w:bookmarkEnd w:id="26"/>
    </w:p>
    <w:p>
      <w:pPr>
        <w:pStyle w:val="9"/>
        <w:spacing w:before="0" w:beforeAutospacing="0" w:after="0" w:afterAutospacing="0" w:line="480" w:lineRule="auto"/>
        <w:jc w:val="both"/>
      </w:pPr>
      <w:r>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p>
      <w:pPr>
        <w:pStyle w:val="4"/>
        <w:spacing w:line="480" w:lineRule="auto"/>
        <w:rPr>
          <w:rFonts w:cs="Times New Roman"/>
        </w:rPr>
      </w:pPr>
      <w:bookmarkStart w:id="27" w:name="_Toc203101011"/>
      <w:r>
        <w:rPr>
          <w:rFonts w:cs="Times New Roman"/>
        </w:rPr>
        <w:t>3.2.1</w:t>
      </w:r>
      <w:r>
        <w:rPr>
          <w:rFonts w:cs="Times New Roman"/>
        </w:rPr>
        <w:tab/>
      </w:r>
      <w:r>
        <w:rPr>
          <w:rFonts w:cs="Times New Roman"/>
        </w:rPr>
        <w:t>Sampling procedure and Preservation</w:t>
      </w:r>
      <w:bookmarkEnd w:id="27"/>
    </w:p>
    <w:p>
      <w:pPr>
        <w:spacing w:after="0" w:line="480" w:lineRule="auto"/>
        <w:ind w:left="0" w:firstLine="0"/>
        <w:rPr>
          <w:rFonts w:ascii="Times New Roman" w:hAnsi="Times New Roman" w:cs="Times New Roman"/>
        </w:rPr>
      </w:pPr>
      <w:r>
        <w:rPr>
          <w:rFonts w:ascii="Times New Roman" w:hAnsi="Times New Roman" w:cs="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pPr>
        <w:pStyle w:val="3"/>
        <w:spacing w:line="480" w:lineRule="auto"/>
        <w:rPr>
          <w:rFonts w:cs="Times New Roman"/>
        </w:rPr>
      </w:pPr>
      <w:bookmarkStart w:id="28" w:name="_Toc203101012"/>
      <w:r>
        <w:rPr>
          <w:rFonts w:cs="Times New Roman"/>
        </w:rPr>
        <w:t>3.3</w:t>
      </w:r>
      <w:r>
        <w:rPr>
          <w:rFonts w:cs="Times New Roman"/>
        </w:rPr>
        <w:tab/>
      </w:r>
      <w:r>
        <w:rPr>
          <w:rFonts w:cs="Times New Roman"/>
        </w:rPr>
        <w:t>Physicochemical analysis</w:t>
      </w:r>
      <w:bookmarkEnd w:id="28"/>
    </w:p>
    <w:p>
      <w:pPr>
        <w:pStyle w:val="4"/>
        <w:spacing w:line="480" w:lineRule="auto"/>
        <w:rPr>
          <w:rFonts w:cs="Times New Roman"/>
        </w:rPr>
      </w:pPr>
      <w:bookmarkStart w:id="29" w:name="_Toc203101013"/>
      <w:r>
        <w:rPr>
          <w:rFonts w:cs="Times New Roman"/>
        </w:rPr>
        <w:t>3.3.1</w:t>
      </w:r>
      <w:r>
        <w:rPr>
          <w:rFonts w:cs="Times New Roman"/>
        </w:rPr>
        <w:tab/>
      </w:r>
      <w:r>
        <w:rPr>
          <w:rFonts w:cs="Times New Roman"/>
        </w:rPr>
        <w:t>pH</w:t>
      </w:r>
      <w:bookmarkEnd w:id="29"/>
    </w:p>
    <w:p>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pPr>
        <w:pStyle w:val="4"/>
        <w:spacing w:line="480" w:lineRule="auto"/>
        <w:rPr>
          <w:rFonts w:cs="Times New Roman"/>
        </w:rPr>
      </w:pPr>
      <w:bookmarkStart w:id="30" w:name="_Toc203101014"/>
      <w:r>
        <w:rPr>
          <w:rFonts w:cs="Times New Roman"/>
        </w:rPr>
        <w:t>3.3.2</w:t>
      </w:r>
      <w:r>
        <w:rPr>
          <w:rFonts w:cs="Times New Roman"/>
        </w:rPr>
        <w:tab/>
      </w:r>
      <w:r>
        <w:rPr>
          <w:rFonts w:cs="Times New Roman"/>
        </w:rPr>
        <w:t>Temperature measurement</w:t>
      </w:r>
      <w:bookmarkEnd w:id="30"/>
    </w:p>
    <w:p>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 recorded in degrees Celsius (°C).</w:t>
      </w:r>
    </w:p>
    <w:p>
      <w:pPr>
        <w:pStyle w:val="4"/>
        <w:spacing w:line="480" w:lineRule="auto"/>
        <w:rPr>
          <w:rFonts w:cs="Times New Roman"/>
        </w:rPr>
      </w:pPr>
      <w:bookmarkStart w:id="31" w:name="_Toc203101015"/>
      <w:r>
        <w:rPr>
          <w:rFonts w:cs="Times New Roman"/>
        </w:rPr>
        <w:t>3.3.3</w:t>
      </w:r>
      <w:r>
        <w:rPr>
          <w:rFonts w:cs="Times New Roman"/>
        </w:rPr>
        <w:tab/>
      </w:r>
      <w:r>
        <w:rPr>
          <w:rFonts w:cs="Times New Roman"/>
        </w:rPr>
        <w:t>Turbidity Measurement</w:t>
      </w:r>
      <w:bookmarkEnd w:id="31"/>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hAnsi="Times New Roman" w:eastAsia="Times New Roman" w:cs="Times New Roman"/>
          <w:color w:val="auto"/>
          <w:szCs w:val="24"/>
        </w:rPr>
        <w:t xml:space="preserve">. Water samples were placed in a cuvette, and turbidity was recorded in </w:t>
      </w:r>
      <w:r>
        <w:rPr>
          <w:rFonts w:ascii="Times New Roman" w:hAnsi="Times New Roman" w:eastAsia="Times New Roman" w:cs="Times New Roman"/>
          <w:color w:val="auto"/>
          <w:szCs w:val="24"/>
        </w:rPr>
        <w:t>nephelometric</w:t>
      </w:r>
      <w:r>
        <w:rPr>
          <w:rFonts w:ascii="Times New Roman" w:hAnsi="Times New Roman" w:eastAsia="Times New Roman" w:cs="Times New Roman"/>
          <w:color w:val="auto"/>
          <w:szCs w:val="24"/>
        </w:rPr>
        <w:t xml:space="preserve"> turbidity units (NTU).</w:t>
      </w:r>
    </w:p>
    <w:p>
      <w:pPr>
        <w:pStyle w:val="4"/>
        <w:spacing w:line="480" w:lineRule="auto"/>
        <w:rPr>
          <w:rFonts w:eastAsia="Arial" w:cs="Times New Roman"/>
          <w:bCs/>
        </w:rPr>
      </w:pPr>
      <w:bookmarkStart w:id="32" w:name="_Toc203101016"/>
      <w:r>
        <w:rPr>
          <w:rFonts w:eastAsia="Arial" w:cs="Times New Roman"/>
        </w:rPr>
        <w:t>3.3.4</w:t>
      </w:r>
      <w:r>
        <w:rPr>
          <w:rFonts w:eastAsia="Arial" w:cs="Times New Roman"/>
        </w:rPr>
        <w:tab/>
      </w:r>
      <w:r>
        <w:rPr>
          <w:rFonts w:eastAsia="Arial" w:cs="Times New Roman"/>
        </w:rPr>
        <w:t>Electrical Conductivity (EC) Measurement</w:t>
      </w:r>
      <w:bookmarkEnd w:id="32"/>
    </w:p>
    <w:p>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pPr>
        <w:pStyle w:val="4"/>
        <w:spacing w:line="480" w:lineRule="auto"/>
        <w:rPr>
          <w:rFonts w:cs="Times New Roman"/>
          <w:b w:val="0"/>
        </w:rPr>
      </w:pPr>
      <w:bookmarkStart w:id="33" w:name="_Toc203101017"/>
      <w:r>
        <w:rPr>
          <w:rStyle w:val="16"/>
          <w:rFonts w:cs="Times New Roman"/>
          <w:b/>
        </w:rPr>
        <w:t xml:space="preserve">3.3.5 </w:t>
      </w:r>
      <w:r>
        <w:rPr>
          <w:rStyle w:val="16"/>
          <w:rFonts w:cs="Times New Roman"/>
          <w:b/>
        </w:rPr>
        <w:tab/>
      </w:r>
      <w:r>
        <w:rPr>
          <w:rStyle w:val="16"/>
          <w:rFonts w:cs="Times New Roman"/>
          <w:b/>
        </w:rPr>
        <w:t>Total Dissolved Solids (TDS)</w:t>
      </w:r>
      <w:bookmarkEnd w:id="33"/>
    </w:p>
    <w:p>
      <w:pPr>
        <w:pStyle w:val="9"/>
        <w:spacing w:before="0" w:beforeAutospacing="0" w:after="0" w:afterAutospacing="0" w:line="480" w:lineRule="auto"/>
        <w:jc w:val="both"/>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pPr>
        <w:pStyle w:val="4"/>
        <w:spacing w:line="480" w:lineRule="auto"/>
        <w:rPr>
          <w:rFonts w:cs="Times New Roman"/>
          <w:b w:val="0"/>
        </w:rPr>
      </w:pPr>
      <w:bookmarkStart w:id="34" w:name="_Toc203101018"/>
      <w:r>
        <w:rPr>
          <w:rStyle w:val="16"/>
          <w:rFonts w:cs="Times New Roman"/>
          <w:b/>
        </w:rPr>
        <w:t>3.3.6</w:t>
      </w:r>
      <w:r>
        <w:rPr>
          <w:rStyle w:val="16"/>
          <w:rFonts w:cs="Times New Roman"/>
          <w:b/>
        </w:rPr>
        <w:tab/>
      </w:r>
      <w:r>
        <w:rPr>
          <w:rStyle w:val="16"/>
          <w:rFonts w:cs="Times New Roman"/>
          <w:b/>
        </w:rPr>
        <w:t>Dissolved Oxygen (DO)</w:t>
      </w:r>
      <w:bookmarkEnd w:id="34"/>
    </w:p>
    <w:p>
      <w:pPr>
        <w:pStyle w:val="9"/>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pPr>
        <w:pStyle w:val="4"/>
        <w:spacing w:line="480" w:lineRule="auto"/>
        <w:rPr>
          <w:rFonts w:cs="Times New Roman"/>
          <w:b w:val="0"/>
        </w:rPr>
      </w:pPr>
      <w:bookmarkStart w:id="35" w:name="_Toc203101019"/>
      <w:r>
        <w:rPr>
          <w:rStyle w:val="16"/>
          <w:rFonts w:cs="Times New Roman"/>
          <w:b/>
        </w:rPr>
        <w:t>3.3.7</w:t>
      </w:r>
      <w:r>
        <w:rPr>
          <w:rStyle w:val="16"/>
          <w:rFonts w:cs="Times New Roman"/>
          <w:b/>
        </w:rPr>
        <w:tab/>
      </w:r>
      <w:r>
        <w:rPr>
          <w:rStyle w:val="16"/>
          <w:rFonts w:cs="Times New Roman"/>
          <w:b/>
        </w:rPr>
        <w:t>Total Hardness</w:t>
      </w:r>
      <w:bookmarkEnd w:id="35"/>
    </w:p>
    <w:p>
      <w:pPr>
        <w:pStyle w:val="9"/>
        <w:spacing w:before="0" w:beforeAutospacing="0" w:after="0" w:afterAutospacing="0" w:line="480" w:lineRule="auto"/>
        <w:jc w:val="both"/>
        <w:rPr>
          <w:rStyle w:val="16"/>
          <w:b w:val="0"/>
          <w:bCs w:val="0"/>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p>
      <w:pPr>
        <w:pStyle w:val="3"/>
        <w:spacing w:line="480" w:lineRule="auto"/>
        <w:rPr>
          <w:rFonts w:cs="Times New Roman"/>
          <w:b w:val="0"/>
        </w:rPr>
      </w:pPr>
      <w:bookmarkStart w:id="36" w:name="_Toc203101020"/>
      <w:r>
        <w:rPr>
          <w:rStyle w:val="16"/>
          <w:rFonts w:cs="Times New Roman"/>
          <w:b/>
        </w:rPr>
        <w:t>3.4</w:t>
      </w:r>
      <w:r>
        <w:rPr>
          <w:rStyle w:val="16"/>
          <w:rFonts w:cs="Times New Roman"/>
          <w:b/>
        </w:rPr>
        <w:tab/>
      </w:r>
      <w:r>
        <w:rPr>
          <w:rStyle w:val="16"/>
          <w:rFonts w:cs="Times New Roman"/>
          <w:b/>
        </w:rPr>
        <w:t>Microbial Analysis</w:t>
      </w:r>
      <w:bookmarkEnd w:id="36"/>
    </w:p>
    <w:p>
      <w:pPr>
        <w:pStyle w:val="4"/>
        <w:spacing w:line="480" w:lineRule="auto"/>
        <w:rPr>
          <w:rFonts w:cs="Times New Roman"/>
          <w:b w:val="0"/>
        </w:rPr>
      </w:pPr>
      <w:bookmarkStart w:id="37" w:name="_Toc203101021"/>
      <w:r>
        <w:rPr>
          <w:rStyle w:val="16"/>
          <w:rFonts w:cs="Times New Roman"/>
          <w:b/>
        </w:rPr>
        <w:t>3.4.1</w:t>
      </w:r>
      <w:r>
        <w:rPr>
          <w:rStyle w:val="16"/>
          <w:rFonts w:cs="Times New Roman"/>
          <w:b/>
        </w:rPr>
        <w:tab/>
      </w:r>
      <w:r>
        <w:rPr>
          <w:rStyle w:val="16"/>
          <w:rFonts w:cs="Times New Roman"/>
          <w:b/>
        </w:rPr>
        <w:t>Total Colony Count</w:t>
      </w:r>
      <w:bookmarkEnd w:id="37"/>
    </w:p>
    <w:p>
      <w:pPr>
        <w:pStyle w:val="9"/>
        <w:spacing w:before="0" w:beforeAutospacing="0" w:after="0" w:afterAutospacing="0" w:line="480" w:lineRule="auto"/>
        <w:jc w:val="both"/>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pPr>
        <w:pStyle w:val="4"/>
        <w:spacing w:line="480" w:lineRule="auto"/>
        <w:rPr>
          <w:rFonts w:cs="Times New Roman"/>
          <w:b w:val="0"/>
        </w:rPr>
      </w:pPr>
      <w:bookmarkStart w:id="38" w:name="_Toc203101022"/>
      <w:r>
        <w:rPr>
          <w:rStyle w:val="16"/>
          <w:rFonts w:cs="Times New Roman"/>
          <w:b/>
        </w:rPr>
        <w:t>3.4.2</w:t>
      </w:r>
      <w:r>
        <w:rPr>
          <w:rStyle w:val="16"/>
          <w:rFonts w:cs="Times New Roman"/>
          <w:b/>
        </w:rPr>
        <w:tab/>
      </w:r>
      <w:r>
        <w:rPr>
          <w:rStyle w:val="16"/>
          <w:rFonts w:cs="Times New Roman"/>
          <w:b/>
        </w:rPr>
        <w:t>Total Fungal Count</w:t>
      </w:r>
      <w:bookmarkEnd w:id="38"/>
    </w:p>
    <w:p>
      <w:pPr>
        <w:pStyle w:val="9"/>
        <w:spacing w:before="0" w:beforeAutospacing="0" w:after="0" w:afterAutospacing="0" w:line="480" w:lineRule="auto"/>
        <w:jc w:val="both"/>
      </w:pPr>
      <w:r>
        <w:t>The total fungal count (TFC) was conducted to determine the presence of fungi in the water samples. The serially diluted water samples were inoculated onto Sabouraud Dextrose Agar (SDA) plates supplemented with to inhibit bacterial growth. The plates were incubated at 25°C for 3–5 days. Fungal colonies were then identified and quantified, with results recorded as CFU/mL.</w:t>
      </w:r>
    </w:p>
    <w:p>
      <w:pPr>
        <w:pStyle w:val="4"/>
        <w:spacing w:line="480" w:lineRule="auto"/>
        <w:rPr>
          <w:rFonts w:cs="Times New Roman"/>
        </w:rPr>
      </w:pPr>
      <w:bookmarkStart w:id="39" w:name="_Toc203101023"/>
      <w:r>
        <w:rPr>
          <w:rStyle w:val="16"/>
          <w:rFonts w:cs="Times New Roman"/>
          <w:b/>
          <w:bCs w:val="0"/>
        </w:rPr>
        <w:t>3.4.3</w:t>
      </w:r>
      <w:r>
        <w:rPr>
          <w:rStyle w:val="16"/>
          <w:rFonts w:cs="Times New Roman"/>
          <w:b/>
          <w:bCs w:val="0"/>
        </w:rPr>
        <w:tab/>
      </w:r>
      <w:r>
        <w:rPr>
          <w:rStyle w:val="16"/>
          <w:rFonts w:cs="Times New Roman"/>
          <w:b/>
          <w:bCs w:val="0"/>
        </w:rPr>
        <w:t>Total Viable Count</w:t>
      </w:r>
      <w:bookmarkEnd w:id="39"/>
    </w:p>
    <w:p>
      <w:pPr>
        <w:pStyle w:val="9"/>
        <w:spacing w:before="0" w:beforeAutospacing="0" w:after="0" w:afterAutospacing="0" w:line="480" w:lineRule="auto"/>
        <w:jc w:val="both"/>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pPr>
        <w:pStyle w:val="4"/>
        <w:spacing w:line="480" w:lineRule="auto"/>
        <w:rPr>
          <w:rFonts w:cs="Times New Roman"/>
        </w:rPr>
      </w:pPr>
      <w:bookmarkStart w:id="40" w:name="_Toc203101024"/>
      <w:r>
        <w:rPr>
          <w:rStyle w:val="16"/>
          <w:rFonts w:cs="Times New Roman"/>
          <w:b/>
          <w:bCs w:val="0"/>
        </w:rPr>
        <w:t xml:space="preserve">3.4.4 </w:t>
      </w:r>
      <w:r>
        <w:rPr>
          <w:rStyle w:val="16"/>
          <w:rFonts w:cs="Times New Roman"/>
          <w:b/>
          <w:bCs w:val="0"/>
        </w:rPr>
        <w:tab/>
      </w:r>
      <w:r>
        <w:rPr>
          <w:rStyle w:val="16"/>
          <w:rFonts w:cs="Times New Roman"/>
          <w:b/>
          <w:bCs w:val="0"/>
        </w:rPr>
        <w:t xml:space="preserve">Total </w:t>
      </w:r>
      <w:r>
        <w:rPr>
          <w:rStyle w:val="14"/>
          <w:rFonts w:cs="Times New Roman"/>
          <w:iCs w:val="0"/>
        </w:rPr>
        <w:t>Escherichia coli</w:t>
      </w:r>
      <w:r>
        <w:rPr>
          <w:rStyle w:val="16"/>
          <w:rFonts w:cs="Times New Roman"/>
          <w:b/>
          <w:bCs w:val="0"/>
        </w:rPr>
        <w:t xml:space="preserve"> Count</w:t>
      </w:r>
      <w:bookmarkEnd w:id="40"/>
    </w:p>
    <w:p>
      <w:pPr>
        <w:pStyle w:val="9"/>
        <w:spacing w:before="0" w:beforeAutospacing="0" w:after="0" w:afterAutospacing="0" w:line="480" w:lineRule="auto"/>
        <w:jc w:val="both"/>
      </w:pPr>
      <w:r>
        <w:t xml:space="preserve">The presence of </w:t>
      </w:r>
      <w:r>
        <w:rPr>
          <w:rStyle w:val="14"/>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14"/>
          <w:rFonts w:eastAsia="Arial"/>
        </w:rPr>
        <w:t>E. coli</w:t>
      </w:r>
      <w:r>
        <w:t>. Results were expressed as CFU/mL.</w:t>
      </w:r>
    </w:p>
    <w:p>
      <w:pPr>
        <w:pStyle w:val="3"/>
        <w:spacing w:line="480" w:lineRule="auto"/>
        <w:rPr>
          <w:rFonts w:cs="Times New Roman"/>
        </w:rPr>
      </w:pPr>
      <w:bookmarkStart w:id="41" w:name="_Toc203101025"/>
      <w:r>
        <w:rPr>
          <w:rFonts w:cs="Times New Roman"/>
        </w:rPr>
        <w:t>3.5</w:t>
      </w:r>
      <w:r>
        <w:rPr>
          <w:rFonts w:cs="Times New Roman"/>
        </w:rPr>
        <w:tab/>
      </w:r>
      <w:r>
        <w:rPr>
          <w:rFonts w:cs="Times New Roman"/>
        </w:rPr>
        <w:t>Morphological and Microscopic Identification</w:t>
      </w:r>
      <w:bookmarkEnd w:id="41"/>
    </w:p>
    <w:p>
      <w:pPr>
        <w:pStyle w:val="9"/>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pPr>
        <w:pStyle w:val="4"/>
        <w:spacing w:line="480" w:lineRule="auto"/>
        <w:rPr>
          <w:rFonts w:eastAsia="Arial" w:cs="Times New Roman"/>
        </w:rPr>
      </w:pPr>
      <w:bookmarkStart w:id="42" w:name="_Toc203101026"/>
      <w:r>
        <w:rPr>
          <w:rFonts w:eastAsia="Arial" w:cs="Times New Roman"/>
        </w:rPr>
        <w:t>3.5.1</w:t>
      </w:r>
      <w:r>
        <w:rPr>
          <w:rFonts w:eastAsia="Arial" w:cs="Times New Roman"/>
        </w:rPr>
        <w:tab/>
      </w:r>
      <w:r>
        <w:rPr>
          <w:rFonts w:eastAsia="Arial" w:cs="Times New Roman"/>
        </w:rPr>
        <w:t>Biochemical Testing</w:t>
      </w:r>
      <w:bookmarkEnd w:id="42"/>
    </w:p>
    <w:p>
      <w:pPr>
        <w:pStyle w:val="9"/>
        <w:spacing w:before="0" w:beforeAutospacing="0" w:after="0" w:afterAutospacing="0" w:line="480" w:lineRule="auto"/>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 xml:space="preserve">and  </w:t>
      </w:r>
      <w:r>
        <w:rPr>
          <w:rFonts w:eastAsia="Arial"/>
          <w:color w:val="000000"/>
          <w:szCs w:val="22"/>
        </w:rPr>
        <w:t>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9"/>
        <w:numPr>
          <w:ilvl w:val="0"/>
          <w:numId w:val="1"/>
        </w:numPr>
        <w:spacing w:before="0" w:beforeAutospacing="0" w:after="0" w:afterAutospacing="0" w:line="480" w:lineRule="auto"/>
        <w:jc w:val="both"/>
        <w:rPr>
          <w:rFonts w:eastAsia="Arial"/>
          <w:b/>
          <w:color w:val="000000"/>
          <w:szCs w:val="22"/>
        </w:rPr>
      </w:pPr>
      <w:r>
        <w:rPr>
          <w:b/>
        </w:rPr>
        <w:t>Catalase test</w:t>
      </w:r>
    </w:p>
    <w:p>
      <w:pPr>
        <w:pStyle w:val="9"/>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9"/>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22"/>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pPr>
        <w:spacing w:after="0" w:line="480" w:lineRule="auto"/>
        <w:rPr>
          <w:rFonts w:ascii="Times New Roman" w:hAnsi="Times New Roman" w:cs="Times New Roman"/>
        </w:rPr>
      </w:pPr>
      <w:r>
        <w:rPr>
          <w:rFonts w:ascii="Times New Roman" w:hAnsi="Times New Roman" w:cs="Times New Roman"/>
        </w:rPr>
        <w:t>The coagulase test is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22"/>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oxidase-negative bacteria like Enterobacteriaceae.</w:t>
      </w:r>
    </w:p>
    <w:p>
      <w:pPr>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pPr>
        <w:pStyle w:val="5"/>
        <w:numPr>
          <w:ilvl w:val="0"/>
          <w:numId w:val="1"/>
        </w:numPr>
        <w:spacing w:before="0" w:beforeAutospacing="0" w:after="0" w:afterAutospacing="0" w:line="480" w:lineRule="auto"/>
        <w:jc w:val="both"/>
      </w:pPr>
      <w:r>
        <w:rPr>
          <w:rStyle w:val="16"/>
          <w:b w:val="0"/>
          <w:bCs w:val="0"/>
        </w:rPr>
        <w:t>Indole Test</w:t>
      </w:r>
    </w:p>
    <w:p>
      <w:pPr>
        <w:pStyle w:val="9"/>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14"/>
          <w:rFonts w:eastAsia="Arial"/>
        </w:rPr>
        <w:t>Escherichia coli</w:t>
      </w:r>
      <w:r>
        <w:t>.</w:t>
      </w:r>
    </w:p>
    <w:p>
      <w:pPr>
        <w:pStyle w:val="9"/>
        <w:spacing w:before="0" w:beforeAutospacing="0" w:after="0" w:afterAutospacing="0" w:line="480" w:lineRule="auto"/>
        <w:jc w:val="both"/>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5"/>
        <w:numPr>
          <w:ilvl w:val="0"/>
          <w:numId w:val="1"/>
        </w:numPr>
        <w:spacing w:before="0" w:beforeAutospacing="0" w:after="0" w:afterAutospacing="0" w:line="480" w:lineRule="auto"/>
        <w:jc w:val="both"/>
      </w:pPr>
      <w:r>
        <w:rPr>
          <w:rStyle w:val="16"/>
          <w:b w:val="0"/>
          <w:bCs w:val="0"/>
        </w:rPr>
        <w:t>Citrate Utilization Test</w:t>
      </w:r>
    </w:p>
    <w:p>
      <w:pPr>
        <w:pStyle w:val="9"/>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14"/>
          <w:rFonts w:eastAsia="Arial"/>
        </w:rPr>
        <w:t>Enterobacteriaceae</w:t>
      </w:r>
      <w:r>
        <w:t xml:space="preserve"> species.</w:t>
      </w:r>
    </w:p>
    <w:p>
      <w:pPr>
        <w:pStyle w:val="9"/>
        <w:spacing w:before="0" w:beforeAutospacing="0" w:after="0" w:afterAutospacing="0" w:line="480" w:lineRule="auto"/>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p>
      <w:pPr>
        <w:pStyle w:val="4"/>
        <w:spacing w:line="480" w:lineRule="auto"/>
        <w:rPr>
          <w:rFonts w:cs="Times New Roman"/>
        </w:rPr>
      </w:pPr>
      <w:bookmarkStart w:id="43" w:name="_Toc203101027"/>
      <w:r>
        <w:rPr>
          <w:rFonts w:cs="Times New Roman"/>
        </w:rPr>
        <w:t>3.5.2</w:t>
      </w:r>
      <w:r>
        <w:rPr>
          <w:rFonts w:cs="Times New Roman"/>
        </w:rPr>
        <w:tab/>
      </w:r>
      <w:r>
        <w:rPr>
          <w:rStyle w:val="16"/>
          <w:rFonts w:cs="Times New Roman"/>
          <w:b/>
          <w:bCs w:val="0"/>
        </w:rPr>
        <w:t>Lactophenol Test</w:t>
      </w:r>
      <w:bookmarkEnd w:id="43"/>
    </w:p>
    <w:p>
      <w:pPr>
        <w:pStyle w:val="9"/>
        <w:spacing w:before="0" w:beforeAutospacing="0" w:after="0" w:afterAutospacing="0" w:line="480" w:lineRule="auto"/>
        <w:jc w:val="both"/>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2021)</w:t>
      </w:r>
      <w:r>
        <w:rPr>
          <w:rFonts w:eastAsia="Arial"/>
          <w:color w:val="000000"/>
          <w:szCs w:val="22"/>
        </w:rPr>
        <w:t xml:space="preserve">. </w:t>
      </w:r>
      <w:r>
        <w:t>The fungal species were identified by comparing the observed structures to standard identification keys and charts.</w:t>
      </w:r>
    </w:p>
    <w:p>
      <w:pPr>
        <w:pStyle w:val="4"/>
        <w:spacing w:line="480" w:lineRule="auto"/>
        <w:rPr>
          <w:rFonts w:eastAsia="Times New Roman" w:cs="Times New Roman"/>
        </w:rPr>
      </w:pPr>
      <w:bookmarkStart w:id="44" w:name="_Toc203101028"/>
      <w:r>
        <w:rPr>
          <w:rFonts w:eastAsia="Times New Roman" w:cs="Times New Roman"/>
        </w:rPr>
        <w:t>3.5.3</w:t>
      </w:r>
      <w:r>
        <w:rPr>
          <w:rFonts w:eastAsia="Times New Roman" w:cs="Times New Roman"/>
        </w:rPr>
        <w:tab/>
      </w:r>
      <w:r>
        <w:rPr>
          <w:rFonts w:eastAsia="Times New Roman" w:cs="Times New Roman"/>
        </w:rPr>
        <w:t>Endospore Test</w:t>
      </w:r>
      <w:bookmarkEnd w:id="44"/>
    </w:p>
    <w:p>
      <w:pPr>
        <w:pStyle w:val="9"/>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pPr>
        <w:pStyle w:val="3"/>
        <w:spacing w:line="480" w:lineRule="auto"/>
        <w:rPr>
          <w:rFonts w:cs="Times New Roman"/>
        </w:rPr>
      </w:pPr>
      <w:bookmarkStart w:id="45" w:name="_Toc203101029"/>
      <w:r>
        <w:rPr>
          <w:rFonts w:cs="Times New Roman"/>
        </w:rPr>
        <w:t>3.6</w:t>
      </w:r>
      <w:r>
        <w:rPr>
          <w:rFonts w:cs="Times New Roman"/>
        </w:rPr>
        <w:tab/>
      </w:r>
      <w:r>
        <w:rPr>
          <w:rFonts w:cs="Times New Roman"/>
        </w:rPr>
        <w:t>Data Analysis</w:t>
      </w:r>
      <w:bookmarkEnd w:id="45"/>
    </w:p>
    <w:p>
      <w:pPr>
        <w:pStyle w:val="9"/>
        <w:spacing w:before="0" w:beforeAutospacing="0" w:after="0" w:afterAutospacing="0" w:line="480" w:lineRule="auto"/>
        <w:jc w:val="both"/>
        <w:sectPr>
          <w:pgSz w:w="11906" w:h="16838"/>
          <w:pgMar w:top="1440" w:right="1440" w:bottom="1440" w:left="1440" w:header="708" w:footer="708" w:gutter="0"/>
          <w:cols w:space="708" w:num="1"/>
          <w:docGrid w:linePitch="360" w:charSpace="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ind w:left="0" w:firstLine="0"/>
        <w:rPr>
          <w:rFonts w:ascii="Times New Roman" w:hAnsi="Times New Roman" w:cs="Times New Roman"/>
        </w:rPr>
      </w:pPr>
    </w:p>
    <w:p>
      <w:pPr>
        <w:pStyle w:val="2"/>
        <w:jc w:val="center"/>
        <w:rPr>
          <w:rFonts w:cs="Times New Roman"/>
        </w:rPr>
      </w:pPr>
      <w:bookmarkStart w:id="46" w:name="_Toc203101030"/>
      <w:r>
        <w:rPr>
          <w:rFonts w:cs="Times New Roman"/>
        </w:rPr>
        <w:t>CHAPTER FOUR</w:t>
      </w:r>
      <w:bookmarkEnd w:id="46"/>
    </w:p>
    <w:p>
      <w:pPr>
        <w:pStyle w:val="2"/>
        <w:spacing w:line="480" w:lineRule="auto"/>
        <w:jc w:val="center"/>
        <w:rPr>
          <w:rFonts w:cs="Times New Roman"/>
          <w:sz w:val="28"/>
          <w:szCs w:val="28"/>
        </w:rPr>
      </w:pPr>
      <w:bookmarkStart w:id="47" w:name="_Toc203101031"/>
      <w:r>
        <w:rPr>
          <w:rFonts w:cs="Times New Roman"/>
        </w:rPr>
        <w:t>4.0</w:t>
      </w:r>
      <w:r>
        <w:rPr>
          <w:rFonts w:cs="Times New Roman"/>
        </w:rPr>
        <w:tab/>
      </w:r>
      <w:r>
        <w:rPr>
          <w:rFonts w:cs="Times New Roman"/>
        </w:rPr>
        <w:t>RESULTS</w:t>
      </w:r>
      <w:bookmarkEnd w:id="47"/>
    </w:p>
    <w:p>
      <w:pPr>
        <w:pStyle w:val="3"/>
        <w:spacing w:line="480" w:lineRule="auto"/>
        <w:rPr>
          <w:rFonts w:cs="Times New Roman"/>
        </w:rPr>
      </w:pPr>
      <w:bookmarkStart w:id="48" w:name="_Toc203101032"/>
      <w:r>
        <w:rPr>
          <w:rFonts w:cs="Times New Roman"/>
        </w:rPr>
        <w:t>4.1</w:t>
      </w:r>
      <w:r>
        <w:rPr>
          <w:rFonts w:cs="Times New Roman"/>
        </w:rPr>
        <w:tab/>
      </w:r>
      <w:r>
        <w:rPr>
          <w:rFonts w:cs="Times New Roman"/>
        </w:rPr>
        <w:t>Physicochemical  Parameters of  sachet water sample</w:t>
      </w:r>
      <w:bookmarkEnd w:id="48"/>
    </w:p>
    <w:p>
      <w:pPr>
        <w:pStyle w:val="9"/>
        <w:spacing w:before="0" w:beforeAutospacing="0" w:after="0" w:afterAutospacing="0" w:line="480" w:lineRule="auto"/>
        <w:jc w:val="both"/>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9"/>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9"/>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9"/>
        <w:tabs>
          <w:tab w:val="left" w:pos="720"/>
          <w:tab w:val="left" w:pos="1440"/>
          <w:tab w:val="left" w:pos="5618"/>
        </w:tabs>
        <w:spacing w:before="0" w:beforeAutospacing="0" w:after="0" w:afterAutospacing="0" w:line="480" w:lineRule="auto"/>
        <w:rPr>
          <w:b/>
        </w:rPr>
      </w:pPr>
    </w:p>
    <w:p>
      <w:pPr>
        <w:spacing w:after="160"/>
        <w:ind w:left="0" w:firstLine="0"/>
        <w:jc w:val="left"/>
        <w:rPr>
          <w:rFonts w:ascii="Times New Roman" w:hAnsi="Times New Roman" w:cs="Times New Roman"/>
        </w:rPr>
        <w:sectPr>
          <w:pgSz w:w="11906" w:h="16838"/>
          <w:pgMar w:top="1440" w:right="1440" w:bottom="1440" w:left="1440" w:header="708" w:footer="708" w:gutter="0"/>
          <w:cols w:space="708" w:num="1"/>
          <w:docGrid w:linePitch="360" w:charSpace="0"/>
        </w:sectPr>
      </w:pPr>
    </w:p>
    <w:p>
      <w:pPr>
        <w:pStyle w:val="3"/>
        <w:spacing w:line="480" w:lineRule="auto"/>
        <w:rPr>
          <w:rFonts w:cs="Times New Roman"/>
        </w:rPr>
      </w:pPr>
      <w:bookmarkStart w:id="49" w:name="_Toc203101033"/>
      <w:r>
        <w:rPr>
          <w:rFonts w:cs="Times New Roman"/>
        </w:rPr>
        <w:t>4.1</w:t>
      </w:r>
      <w:r>
        <w:rPr>
          <w:rFonts w:cs="Times New Roman"/>
        </w:rPr>
        <w:tab/>
      </w:r>
      <w:r>
        <w:rPr>
          <w:rFonts w:cs="Times New Roman"/>
        </w:rPr>
        <w:t>Physicochemical Parameters of Water Samples</w:t>
      </w:r>
      <w:bookmarkEnd w:id="49"/>
    </w:p>
    <w:tbl>
      <w:tblPr>
        <w:tblStyle w:val="24"/>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875"/>
        <w:gridCol w:w="1137"/>
        <w:gridCol w:w="1137"/>
        <w:gridCol w:w="1137"/>
        <w:gridCol w:w="1128"/>
        <w:gridCol w:w="1130"/>
        <w:gridCol w:w="1698"/>
      </w:tblGrid>
      <w:tr>
        <w:tblPrEx>
          <w:tblLayout w:type="fixed"/>
        </w:tblPrEx>
        <w:tc>
          <w:tcPr>
            <w:tcW w:w="1875" w:type="dxa"/>
            <w:tcBorders>
              <w:bottom w:val="single" w:color="000000" w:themeColor="text1" w:sz="4" w:space="0"/>
              <w:insideH w:val="single" w:sz="4" w:space="0"/>
            </w:tcBorders>
            <w:shd w:val="clear" w:color="auto" w:fill="FFFFFF" w:themeFill="background1"/>
          </w:tcPr>
          <w:p>
            <w:pPr>
              <w:spacing w:after="0"/>
              <w:ind w:left="0" w:firstLine="0"/>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Parameters </w:t>
            </w:r>
          </w:p>
        </w:tc>
        <w:tc>
          <w:tcPr>
            <w:tcW w:w="113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113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113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112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1130"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c>
          <w:tcPr>
            <w:tcW w:w="169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WHO Permissible Limit</w:t>
            </w:r>
          </w:p>
        </w:tc>
      </w:tr>
      <w:tr>
        <w:tblPrEx>
          <w:tblLayout w:type="fixed"/>
        </w:tblPrEx>
        <w:tc>
          <w:tcPr>
            <w:tcW w:w="187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Temperature (°C)</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23.60 ± 1.18ᵇ**</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23.20 ± 1.16ᵇ**</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24.00 ± 1.20ᵇ**</w:t>
            </w:r>
          </w:p>
        </w:tc>
        <w:tc>
          <w:tcPr>
            <w:tcW w:w="112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0.90ᵃ**</w:t>
            </w:r>
          </w:p>
        </w:tc>
        <w:tc>
          <w:tcPr>
            <w:tcW w:w="1130"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19.80 ± 0.99ᵃ**</w:t>
            </w:r>
          </w:p>
        </w:tc>
        <w:tc>
          <w:tcPr>
            <w:tcW w:w="169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25 – 30°C</w:t>
            </w:r>
          </w:p>
        </w:tc>
      </w:tr>
      <w:tr>
        <w:tblPrEx>
          <w:tblLayout w:type="fixed"/>
        </w:tblPrEx>
        <w:tc>
          <w:tcPr>
            <w:tcW w:w="187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Dissolved Oxygen (mg/L)</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 ± 0.16ᵃ**</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8.20 ± 0.41ᵇ*</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11.30 ± 0.57ᶜ*</w:t>
            </w:r>
          </w:p>
        </w:tc>
        <w:tc>
          <w:tcPr>
            <w:tcW w:w="112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17.30 ± 0.87ᵉ*</w:t>
            </w:r>
          </w:p>
        </w:tc>
        <w:tc>
          <w:tcPr>
            <w:tcW w:w="1130"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13.20 ± 0.66ᵈ*</w:t>
            </w:r>
          </w:p>
        </w:tc>
        <w:tc>
          <w:tcPr>
            <w:tcW w:w="169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mg/L</w:t>
            </w:r>
          </w:p>
        </w:tc>
      </w:tr>
      <w:tr>
        <w:tblPrEx>
          <w:tblLayout w:type="fixed"/>
        </w:tblPrEx>
        <w:tc>
          <w:tcPr>
            <w:tcW w:w="187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Turbidity (NTU)</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 ± 0.13ᶜ*</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1.70 ± 0.09ᵇ*</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1.60 ± 0.08ᵇ*</w:t>
            </w:r>
          </w:p>
        </w:tc>
        <w:tc>
          <w:tcPr>
            <w:tcW w:w="112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 ± 0.12ᶜ*</w:t>
            </w:r>
          </w:p>
        </w:tc>
        <w:tc>
          <w:tcPr>
            <w:tcW w:w="1130"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 ± 0.21ᵈ*</w:t>
            </w:r>
          </w:p>
        </w:tc>
        <w:tc>
          <w:tcPr>
            <w:tcW w:w="169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NTU</w:t>
            </w:r>
          </w:p>
        </w:tc>
      </w:tr>
      <w:tr>
        <w:tblPrEx>
          <w:tblLayout w:type="fixed"/>
        </w:tblPrEx>
        <w:tc>
          <w:tcPr>
            <w:tcW w:w="187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Electrical Conductivity (µS/cm)</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89.00 ± 4.45ᶜ*</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69.00 ± 3.45ᵇ*</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88.00 ± 4.40ᶜ*</w:t>
            </w:r>
          </w:p>
        </w:tc>
        <w:tc>
          <w:tcPr>
            <w:tcW w:w="112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2.55ᵃ*</w:t>
            </w:r>
          </w:p>
        </w:tc>
        <w:tc>
          <w:tcPr>
            <w:tcW w:w="1130"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100.00 ± 5.00ᵈ*</w:t>
            </w:r>
          </w:p>
        </w:tc>
        <w:tc>
          <w:tcPr>
            <w:tcW w:w="169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µS/cm</w:t>
            </w:r>
          </w:p>
        </w:tc>
      </w:tr>
      <w:tr>
        <w:tblPrEx>
          <w:tblLayout w:type="fixed"/>
        </w:tblPrEx>
        <w:trPr>
          <w:trHeight w:val="481" w:hRule="atLeast"/>
        </w:trPr>
        <w:tc>
          <w:tcPr>
            <w:tcW w:w="187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Dissolved Solids (mg/L)</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59.00 ± 2.95ᵉ*</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46.00 ± 2.30ᶜ*</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58.00 ± 2.90ᵈ*</w:t>
            </w:r>
          </w:p>
        </w:tc>
        <w:tc>
          <w:tcPr>
            <w:tcW w:w="112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35.00 ± 1.75ᵃ*</w:t>
            </w:r>
          </w:p>
        </w:tc>
        <w:tc>
          <w:tcPr>
            <w:tcW w:w="1130"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42.00 ± 2.10ᵇ*</w:t>
            </w:r>
          </w:p>
        </w:tc>
        <w:tc>
          <w:tcPr>
            <w:tcW w:w="169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mg/L</w:t>
            </w:r>
          </w:p>
        </w:tc>
      </w:tr>
      <w:tr>
        <w:tblPrEx>
          <w:tblLayout w:type="fixed"/>
        </w:tblPrEx>
        <w:tc>
          <w:tcPr>
            <w:tcW w:w="187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Salinity (ppm)</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41.00 ± 2.05ᶜ</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32.00 ± 1.60ᵃ</w:t>
            </w:r>
          </w:p>
        </w:tc>
        <w:tc>
          <w:tcPr>
            <w:tcW w:w="11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40.00 ± 2.00ᶜ</w:t>
            </w:r>
          </w:p>
        </w:tc>
        <w:tc>
          <w:tcPr>
            <w:tcW w:w="112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33.00 ± 1.65ᵇ</w:t>
            </w:r>
          </w:p>
        </w:tc>
        <w:tc>
          <w:tcPr>
            <w:tcW w:w="1130"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47.00 ± 2.35ᵈ</w:t>
            </w:r>
          </w:p>
        </w:tc>
        <w:tc>
          <w:tcPr>
            <w:tcW w:w="169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specified</w:t>
            </w:r>
          </w:p>
        </w:tc>
      </w:tr>
    </w:tbl>
    <w:p>
      <w:pPr>
        <w:pStyle w:val="5"/>
        <w:spacing w:before="0" w:beforeAutospacing="0" w:after="0" w:afterAutospacing="0"/>
        <w:rPr>
          <w:b w:val="0"/>
          <w:bCs w:val="0"/>
        </w:rPr>
      </w:pPr>
      <w:r>
        <w:rPr>
          <w:b w:val="0"/>
          <w:bCs w:val="0"/>
        </w:rPr>
        <w:t xml:space="preserve">Key: </w:t>
      </w:r>
      <w:r>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rPr>
          <w:rFonts w:ascii="Times New Roman" w:hAnsi="Times New Roman" w:cs="Times New Roman"/>
        </w:rPr>
      </w:pPr>
    </w:p>
    <w:p>
      <w:pPr>
        <w:rPr>
          <w:rFonts w:ascii="Times New Roman" w:hAnsi="Times New Roman" w:cs="Times New Roman"/>
        </w:rPr>
        <w:sectPr>
          <w:pgSz w:w="11906" w:h="16838"/>
          <w:pgMar w:top="1440" w:right="1440" w:bottom="1440" w:left="1440" w:header="709" w:footer="709" w:gutter="0"/>
          <w:cols w:space="708" w:num="1"/>
          <w:docGrid w:linePitch="360" w:charSpace="0"/>
        </w:sectPr>
      </w:pPr>
    </w:p>
    <w:p>
      <w:pPr>
        <w:pStyle w:val="3"/>
        <w:spacing w:line="480" w:lineRule="auto"/>
        <w:rPr>
          <w:rFonts w:eastAsia="Times New Roman" w:cs="Times New Roman"/>
        </w:rPr>
      </w:pPr>
      <w:bookmarkStart w:id="50" w:name="_Toc203101034"/>
      <w:r>
        <w:rPr>
          <w:rFonts w:eastAsia="Times New Roman" w:cs="Times New Roman"/>
        </w:rPr>
        <w:t>4.2</w:t>
      </w:r>
      <w:r>
        <w:rPr>
          <w:rFonts w:eastAsia="Times New Roman" w:cs="Times New Roman"/>
        </w:rPr>
        <w:tab/>
      </w:r>
      <w:r>
        <w:rPr>
          <w:rFonts w:eastAsia="Times New Roman" w:cs="Times New Roman"/>
        </w:rPr>
        <w:t>Microbiological Analysis</w:t>
      </w:r>
      <w:bookmarkEnd w:id="50"/>
    </w:p>
    <w:p>
      <w:pPr>
        <w:pStyle w:val="4"/>
        <w:rPr>
          <w:rFonts w:eastAsia="Times New Roman" w:cs="Times New Roman"/>
        </w:rPr>
      </w:pPr>
      <w:bookmarkStart w:id="51" w:name="_Toc203101035"/>
      <w:r>
        <w:rPr>
          <w:rFonts w:eastAsia="Times New Roman" w:cs="Times New Roman"/>
        </w:rPr>
        <w:t>4.2.1</w:t>
      </w:r>
      <w:r>
        <w:rPr>
          <w:rFonts w:eastAsia="Times New Roman" w:cs="Times New Roman"/>
        </w:rPr>
        <w:tab/>
      </w:r>
      <w:r>
        <w:rPr>
          <w:rFonts w:eastAsia="Times New Roman" w:cs="Times New Roman"/>
        </w:rPr>
        <w:t>Microbial Counts</w:t>
      </w:r>
      <w:bookmarkEnd w:id="51"/>
    </w:p>
    <w:p>
      <w:pPr>
        <w:rPr>
          <w:rFonts w:ascii="Times New Roman" w:hAnsi="Times New Roman" w:cs="Times New Roman"/>
        </w:rPr>
      </w:pPr>
    </w:p>
    <w:p>
      <w:pPr>
        <w:pStyle w:val="9"/>
        <w:spacing w:before="0" w:beforeAutospacing="0" w:after="0" w:afterAutospacing="0" w:line="480" w:lineRule="auto"/>
        <w:jc w:val="both"/>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14"/>
          <w:rFonts w:eastAsia="Calibri"/>
        </w:rPr>
        <w:t>Escherichia coli</w:t>
      </w:r>
      <w:r>
        <w:t xml:space="preserve"> (E. coli), and Total Fungi Count, all expressed in colony-forming units per millilitre (CFU/mL).</w:t>
      </w:r>
    </w:p>
    <w:p>
      <w:pPr>
        <w:pStyle w:val="9"/>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9"/>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9"/>
        <w:spacing w:before="0" w:beforeAutospacing="0" w:after="0" w:afterAutospacing="0" w:line="480" w:lineRule="auto"/>
        <w:jc w:val="both"/>
      </w:pPr>
      <w:r>
        <w:t xml:space="preserve">All five samples tested negative for </w:t>
      </w:r>
      <w:r>
        <w:rPr>
          <w:rStyle w:val="14"/>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9"/>
        <w:spacing w:before="0" w:beforeAutospacing="0" w:after="0" w:afterAutospacing="0" w:line="480" w:lineRule="auto"/>
        <w:jc w:val="both"/>
      </w:pPr>
    </w:p>
    <w:p>
      <w:pPr>
        <w:pStyle w:val="4"/>
        <w:rPr>
          <w:rFonts w:eastAsia="Times New Roman" w:cs="Times New Roman"/>
          <w:b w:val="0"/>
          <w:color w:val="auto"/>
        </w:rPr>
      </w:pPr>
    </w:p>
    <w:p>
      <w:pPr>
        <w:rPr>
          <w:rFonts w:ascii="Times New Roman" w:hAnsi="Times New Roman" w:eastAsia="Times New Roman" w:cs="Times New Roman"/>
          <w:color w:val="auto"/>
          <w:szCs w:val="24"/>
        </w:rPr>
      </w:pPr>
    </w:p>
    <w:p>
      <w:pPr>
        <w:rPr>
          <w:rFonts w:ascii="Times New Roman" w:hAnsi="Times New Roman" w:eastAsia="Times New Roman" w:cs="Times New Roman"/>
          <w:color w:val="auto"/>
          <w:szCs w:val="24"/>
        </w:rPr>
      </w:pPr>
    </w:p>
    <w:p>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Table 4.2: Microbiological Analysis (Mean ± SD) of Sachet Water Samples Collected in Ilorin</w:t>
      </w:r>
    </w:p>
    <w:tbl>
      <w:tblPr>
        <w:tblStyle w:val="24"/>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511"/>
        <w:gridCol w:w="1326"/>
        <w:gridCol w:w="1326"/>
        <w:gridCol w:w="1326"/>
        <w:gridCol w:w="1326"/>
        <w:gridCol w:w="1427"/>
      </w:tblGrid>
      <w:tr>
        <w:tblPrEx>
          <w:tblLayout w:type="fixed"/>
        </w:tblPrEx>
        <w:tc>
          <w:tcPr>
            <w:tcW w:w="2511"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w:t>
            </w:r>
          </w:p>
        </w:tc>
        <w:tc>
          <w:tcPr>
            <w:tcW w:w="132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132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132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132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142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r>
      <w:tr>
        <w:tblPrEx>
          <w:tblLayout w:type="fixed"/>
        </w:tblPrEx>
        <w:tc>
          <w:tcPr>
            <w:tcW w:w="2511"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Viable Count (CFU/mL)</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14.00 ± 0.70</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7.00 ± 0.35</w:t>
            </w:r>
          </w:p>
        </w:tc>
        <w:tc>
          <w:tcPr>
            <w:tcW w:w="142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231.00 ± 11.55</w:t>
            </w:r>
          </w:p>
        </w:tc>
      </w:tr>
      <w:tr>
        <w:tblPrEx>
          <w:tblLayout w:type="fixed"/>
        </w:tblPrEx>
        <w:tc>
          <w:tcPr>
            <w:tcW w:w="2511"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Coliform Count (CFU/mL)</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13.00 ± 0.65</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w:t>
            </w:r>
          </w:p>
        </w:tc>
        <w:tc>
          <w:tcPr>
            <w:tcW w:w="142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3.00 ± 0.15</w:t>
            </w:r>
          </w:p>
        </w:tc>
      </w:tr>
      <w:tr>
        <w:tblPrEx>
          <w:tblLayout w:type="fixed"/>
        </w:tblPrEx>
        <w:tc>
          <w:tcPr>
            <w:tcW w:w="2511"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 xml:space="preserve">Total </w:t>
            </w:r>
            <w:r>
              <w:rPr>
                <w:rFonts w:ascii="Times New Roman" w:hAnsi="Times New Roman" w:eastAsia="Times New Roman" w:cs="Times New Roman"/>
                <w:b w:val="0"/>
                <w:bCs w:val="0"/>
                <w:i/>
                <w:iCs/>
                <w:color w:val="auto"/>
                <w:szCs w:val="24"/>
              </w:rPr>
              <w:t>E. coli</w:t>
            </w:r>
            <w:r>
              <w:rPr>
                <w:rFonts w:ascii="Times New Roman" w:hAnsi="Times New Roman" w:eastAsia="Times New Roman" w:cs="Times New Roman"/>
                <w:b w:val="0"/>
                <w:bCs w:val="0"/>
                <w:color w:val="auto"/>
                <w:szCs w:val="24"/>
              </w:rPr>
              <w:t xml:space="preserve"> Count (CFU/mL)</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42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r>
        <w:tblPrEx>
          <w:tblLayout w:type="fixed"/>
        </w:tblPrEx>
        <w:tc>
          <w:tcPr>
            <w:tcW w:w="2511"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Fungi Count (CFU/mL)</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42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bl>
    <w:p>
      <w:pPr>
        <w:pStyle w:val="4"/>
        <w:ind w:left="0" w:firstLine="0"/>
        <w:rPr>
          <w:rStyle w:val="16"/>
          <w:rFonts w:cs="Times New Roman"/>
          <w:b/>
          <w:bCs w:val="0"/>
        </w:rPr>
      </w:pPr>
    </w:p>
    <w:p>
      <w:pPr>
        <w:pStyle w:val="4"/>
        <w:rPr>
          <w:rFonts w:cs="Times New Roman"/>
        </w:rPr>
      </w:pPr>
      <w:bookmarkStart w:id="52" w:name="_Toc203101036"/>
      <w:r>
        <w:rPr>
          <w:rFonts w:cs="Times New Roman"/>
        </w:rPr>
        <w:t>4.2.2</w:t>
      </w:r>
      <w:r>
        <w:rPr>
          <w:rFonts w:cs="Times New Roman"/>
        </w:rPr>
        <w:tab/>
      </w:r>
      <w:r>
        <w:rPr>
          <w:rFonts w:cs="Times New Roman"/>
        </w:rPr>
        <w:t>Morphological and Microscopic Characteristics of Bacterial Isolates</w:t>
      </w:r>
      <w:bookmarkEnd w:id="52"/>
    </w:p>
    <w:p>
      <w:pPr>
        <w:pStyle w:val="9"/>
        <w:spacing w:line="480" w:lineRule="auto"/>
        <w:jc w:val="both"/>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14"/>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14"/>
          <w:rFonts w:eastAsia="Calibri"/>
        </w:rPr>
        <w:t>Neisseria</w:t>
      </w:r>
      <w:r>
        <w:t xml:space="preserve"> or related genus.</w:t>
      </w:r>
    </w:p>
    <w:p>
      <w:pPr>
        <w:rPr>
          <w:rFonts w:ascii="Times New Roman" w:hAnsi="Times New Roman" w:cs="Times New Roman"/>
        </w:rPr>
      </w:pPr>
    </w:p>
    <w:p>
      <w:pPr>
        <w:pStyle w:val="4"/>
        <w:ind w:left="0" w:firstLine="0"/>
        <w:jc w:val="left"/>
        <w:rPr>
          <w:rFonts w:eastAsia="Times New Roman" w:cs="Times New Roman"/>
          <w:b w:val="0"/>
          <w:color w:val="auto"/>
        </w:rPr>
      </w:pPr>
    </w:p>
    <w:p>
      <w:pPr>
        <w:rPr>
          <w:rFonts w:ascii="Times New Roman" w:hAnsi="Times New Roman" w:cs="Times New Roman"/>
        </w:rPr>
      </w:pPr>
    </w:p>
    <w:p>
      <w:pPr>
        <w:pStyle w:val="4"/>
        <w:ind w:left="0" w:firstLine="0"/>
        <w:jc w:val="left"/>
        <w:rPr>
          <w:rFonts w:eastAsia="Times New Roman" w:cs="Times New Roman"/>
          <w:b w:val="0"/>
          <w:color w:val="auto"/>
        </w:rPr>
      </w:pPr>
    </w:p>
    <w:p>
      <w:pPr>
        <w:pStyle w:val="4"/>
        <w:ind w:left="0" w:firstLine="0"/>
        <w:jc w:val="left"/>
        <w:rPr>
          <w:rFonts w:eastAsia="Times New Roman" w:cs="Times New Roman"/>
          <w:b w:val="0"/>
          <w:color w:val="auto"/>
        </w:rPr>
      </w:pPr>
    </w:p>
    <w:p>
      <w:pPr/>
    </w:p>
    <w:p>
      <w:pPr/>
    </w:p>
    <w:p>
      <w:pPr/>
    </w:p>
    <w:p>
      <w:pPr/>
    </w:p>
    <w:p>
      <w:pPr>
        <w:rPr>
          <w:rFonts w:ascii="Times New Roman" w:hAnsi="Times New Roman" w:eastAsia="Times New Roman" w:cs="Times New Roman"/>
          <w:b/>
          <w:color w:val="auto"/>
          <w:szCs w:val="24"/>
        </w:rPr>
      </w:pPr>
    </w:p>
    <w:p>
      <w:pP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4.3: Morphological and Microscopic Characteristics of Bacterial Isolates from Sachet Water Samples</w:t>
      </w:r>
    </w:p>
    <w:p>
      <w:pPr>
        <w:rPr>
          <w:rFonts w:ascii="Times New Roman" w:hAnsi="Times New Roman" w:cs="Times New Roman"/>
        </w:rPr>
      </w:pPr>
    </w:p>
    <w:tbl>
      <w:tblPr>
        <w:tblStyle w:val="24"/>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077"/>
        <w:gridCol w:w="1234"/>
        <w:gridCol w:w="1201"/>
        <w:gridCol w:w="1662"/>
        <w:gridCol w:w="1326"/>
        <w:gridCol w:w="991"/>
        <w:gridCol w:w="1751"/>
      </w:tblGrid>
      <w:tr>
        <w:tblPrEx>
          <w:tblLayout w:type="fixed"/>
        </w:tblPrEx>
        <w:tc>
          <w:tcPr>
            <w:tcW w:w="107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123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Colony Shape</w:t>
            </w:r>
          </w:p>
        </w:tc>
        <w:tc>
          <w:tcPr>
            <w:tcW w:w="1201"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 xml:space="preserve">Colony </w:t>
            </w:r>
            <w:r>
              <w:rPr>
                <w:rFonts w:ascii="Times New Roman" w:hAnsi="Times New Roman" w:eastAsia="Times New Roman" w:cs="Times New Roman"/>
                <w:b/>
                <w:bCs/>
                <w:color w:val="auto"/>
                <w:szCs w:val="24"/>
              </w:rPr>
              <w:t>Colour</w:t>
            </w:r>
          </w:p>
        </w:tc>
        <w:tc>
          <w:tcPr>
            <w:tcW w:w="1662"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Appearance</w:t>
            </w:r>
          </w:p>
        </w:tc>
        <w:tc>
          <w:tcPr>
            <w:tcW w:w="132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Gram Reaction</w:t>
            </w:r>
          </w:p>
        </w:tc>
        <w:tc>
          <w:tcPr>
            <w:tcW w:w="991"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Shape</w:t>
            </w:r>
          </w:p>
        </w:tc>
        <w:tc>
          <w:tcPr>
            <w:tcW w:w="1751"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Arrangement</w:t>
            </w:r>
          </w:p>
        </w:tc>
      </w:tr>
      <w:tr>
        <w:tblPrEx>
          <w:tblLayout w:type="fixed"/>
        </w:tblPrEx>
        <w:tc>
          <w:tcPr>
            <w:tcW w:w="1077"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B1</w:t>
            </w:r>
          </w:p>
        </w:tc>
        <w:tc>
          <w:tcPr>
            <w:tcW w:w="123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Irregular</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Yellow</w:t>
            </w:r>
          </w:p>
        </w:tc>
        <w:tc>
          <w:tcPr>
            <w:tcW w:w="16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Mucoid</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99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175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Single</w:t>
            </w:r>
          </w:p>
        </w:tc>
      </w:tr>
      <w:tr>
        <w:tblPrEx>
          <w:tblLayout w:type="fixed"/>
        </w:tblPrEx>
        <w:tc>
          <w:tcPr>
            <w:tcW w:w="1077"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w:t>
            </w:r>
          </w:p>
        </w:tc>
        <w:tc>
          <w:tcPr>
            <w:tcW w:w="123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Round</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White</w:t>
            </w:r>
          </w:p>
        </w:tc>
        <w:tc>
          <w:tcPr>
            <w:tcW w:w="16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Rough, entire edge</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99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175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Cluster</w:t>
            </w:r>
          </w:p>
        </w:tc>
      </w:tr>
      <w:tr>
        <w:tblPrEx>
          <w:tblLayout w:type="fixed"/>
        </w:tblPrEx>
        <w:tc>
          <w:tcPr>
            <w:tcW w:w="1077"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w:t>
            </w:r>
          </w:p>
        </w:tc>
        <w:tc>
          <w:tcPr>
            <w:tcW w:w="123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Circular</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Creamy</w:t>
            </w:r>
          </w:p>
        </w:tc>
        <w:tc>
          <w:tcPr>
            <w:tcW w:w="16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Smooth, entire edge</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99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175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Chains</w:t>
            </w:r>
          </w:p>
        </w:tc>
      </w:tr>
      <w:tr>
        <w:tblPrEx>
          <w:tblLayout w:type="fixed"/>
        </w:tblPrEx>
        <w:tc>
          <w:tcPr>
            <w:tcW w:w="1077"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w:t>
            </w:r>
          </w:p>
        </w:tc>
        <w:tc>
          <w:tcPr>
            <w:tcW w:w="123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Feathery</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Off-white</w:t>
            </w:r>
          </w:p>
        </w:tc>
        <w:tc>
          <w:tcPr>
            <w:tcW w:w="16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Dry</w:t>
            </w:r>
          </w:p>
        </w:tc>
        <w:tc>
          <w:tcPr>
            <w:tcW w:w="132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99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175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Pairs</w:t>
            </w:r>
          </w:p>
        </w:tc>
      </w:tr>
    </w:tbl>
    <w:p>
      <w:pPr>
        <w:spacing w:line="480" w:lineRule="auto"/>
        <w:rPr>
          <w:rFonts w:ascii="Times New Roman" w:hAnsi="Times New Roman" w:eastAsia="Times New Roman" w:cs="Times New Roman"/>
          <w:b/>
          <w:color w:val="auto"/>
          <w:szCs w:val="24"/>
        </w:rPr>
      </w:pPr>
    </w:p>
    <w:p>
      <w:pPr>
        <w:pStyle w:val="4"/>
        <w:spacing w:line="480" w:lineRule="auto"/>
        <w:rPr>
          <w:rFonts w:eastAsia="Times New Roman" w:cs="Times New Roman"/>
        </w:rPr>
      </w:pPr>
      <w:bookmarkStart w:id="53" w:name="_Toc203101037"/>
      <w:r>
        <w:rPr>
          <w:rFonts w:eastAsia="Times New Roman" w:cs="Times New Roman"/>
        </w:rPr>
        <w:t>4.2.3</w:t>
      </w:r>
      <w:r>
        <w:rPr>
          <w:rFonts w:eastAsia="Times New Roman" w:cs="Times New Roman"/>
        </w:rPr>
        <w:tab/>
      </w:r>
      <w:r>
        <w:rPr>
          <w:rFonts w:eastAsia="Times New Roman" w:cs="Times New Roman"/>
        </w:rPr>
        <w:t>Lactophenol Test for Fungal Identification and Biochemical Identification Bacterial Isolates</w:t>
      </w:r>
      <w:bookmarkEnd w:id="53"/>
      <w:r>
        <w:rPr>
          <w:rFonts w:eastAsia="Times New Roman" w:cs="Times New Roman"/>
        </w:rPr>
        <w:tab/>
      </w:r>
    </w:p>
    <w:p>
      <w:pPr>
        <w:pStyle w:val="9"/>
        <w:spacing w:before="0" w:beforeAutospacing="0" w:after="0" w:afterAutospacing="0" w:line="480" w:lineRule="auto"/>
        <w:jc w:val="both"/>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9"/>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14"/>
          <w:rFonts w:eastAsia="Calibri"/>
        </w:rPr>
        <w:t>Aspergillus</w:t>
      </w:r>
      <w:r>
        <w:t xml:space="preserve">. Since it is a fungal isolate, it was not subjected to the bacterial biochemical tests. This isolate is tentatively identified as </w:t>
      </w:r>
      <w:r>
        <w:rPr>
          <w:rStyle w:val="14"/>
          <w:rFonts w:eastAsia="Calibri"/>
        </w:rPr>
        <w:t>Aspergillus</w:t>
      </w:r>
      <w:r>
        <w:t xml:space="preserve"> species, a common environmental mould often associated with spoilage and occasionally pathogenic under immunocompromised conditions.</w:t>
      </w:r>
    </w:p>
    <w:p>
      <w:pPr>
        <w:pStyle w:val="9"/>
        <w:spacing w:before="0" w:beforeAutospacing="0" w:after="0" w:afterAutospacing="0" w:line="480" w:lineRule="auto"/>
        <w:ind w:firstLine="720"/>
        <w:jc w:val="both"/>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14"/>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14"/>
          <w:rFonts w:eastAsia="Calibri"/>
        </w:rPr>
        <w:t>Staphylococcus epidermidis</w:t>
      </w:r>
      <w:r>
        <w:t>, a non-pathogenic skin flora and an occasional water contaminant.</w:t>
      </w:r>
    </w:p>
    <w:p>
      <w:pPr>
        <w:pStyle w:val="9"/>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14"/>
          <w:rFonts w:eastAsia="Calibri"/>
        </w:rPr>
        <w:t>Escherichia coli</w:t>
      </w:r>
      <w:r>
        <w:t>, a fecal indicator organism whose presence in drinking water is a sign of possible contamination.</w:t>
      </w:r>
    </w:p>
    <w:p>
      <w:pPr>
        <w:pStyle w:val="9"/>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14"/>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14"/>
          <w:rFonts w:eastAsia="Calibri"/>
        </w:rPr>
        <w:t>Pseudomonas aeruginosa</w:t>
      </w:r>
      <w:r>
        <w:t>, an opportunistic pathogen known for its oxidase positivity and ability to survive in water systems.</w:t>
      </w: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ind w:left="0" w:firstLine="0"/>
        <w:rPr>
          <w:rFonts w:ascii="Times New Roman" w:hAnsi="Times New Roman" w:cs="Times New Roman"/>
        </w:rPr>
        <w:sectPr>
          <w:pgSz w:w="11906" w:h="16838"/>
          <w:pgMar w:top="1440" w:right="1440" w:bottom="1440" w:left="1440" w:header="709" w:footer="709" w:gutter="0"/>
          <w:cols w:space="708" w:num="1"/>
          <w:docGrid w:linePitch="360" w:charSpace="0"/>
        </w:sectPr>
      </w:pPr>
    </w:p>
    <w:p>
      <w:pPr>
        <w:pStyle w:val="4"/>
        <w:ind w:left="0" w:firstLine="0"/>
        <w:rPr>
          <w:rFonts w:eastAsia="Arial" w:cs="Times New Roman"/>
          <w:color w:val="000000"/>
          <w:szCs w:val="22"/>
        </w:rPr>
      </w:pPr>
    </w:p>
    <w:p>
      <w:pPr>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4.4: Biochemical Characteristics and Tentative Identification of Isolates from Sachet Water Samples</w:t>
      </w:r>
    </w:p>
    <w:tbl>
      <w:tblPr>
        <w:tblStyle w:val="24"/>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31"/>
        <w:gridCol w:w="1337"/>
        <w:gridCol w:w="1008"/>
        <w:gridCol w:w="962"/>
        <w:gridCol w:w="1208"/>
        <w:gridCol w:w="1185"/>
        <w:gridCol w:w="1162"/>
        <w:gridCol w:w="1549"/>
      </w:tblGrid>
      <w:tr>
        <w:tblPrEx>
          <w:tblLayout w:type="fixed"/>
        </w:tblPrEx>
        <w:tc>
          <w:tcPr>
            <w:tcW w:w="831"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133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Microscopic Feature</w:t>
            </w:r>
          </w:p>
        </w:tc>
        <w:tc>
          <w:tcPr>
            <w:tcW w:w="10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Catalase</w:t>
            </w:r>
          </w:p>
        </w:tc>
        <w:tc>
          <w:tcPr>
            <w:tcW w:w="962"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Oxidase</w:t>
            </w:r>
          </w:p>
        </w:tc>
        <w:tc>
          <w:tcPr>
            <w:tcW w:w="12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Endospore</w:t>
            </w:r>
          </w:p>
        </w:tc>
        <w:tc>
          <w:tcPr>
            <w:tcW w:w="118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Citrate Utilization</w:t>
            </w:r>
          </w:p>
        </w:tc>
        <w:tc>
          <w:tcPr>
            <w:tcW w:w="1162"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Coagulase Test</w:t>
            </w:r>
          </w:p>
        </w:tc>
        <w:tc>
          <w:tcPr>
            <w:tcW w:w="154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Tentative Organism</w:t>
            </w:r>
          </w:p>
        </w:tc>
      </w:tr>
      <w:tr>
        <w:tblPrEx>
          <w:tblLayout w:type="fixed"/>
        </w:tblPrEx>
        <w:tc>
          <w:tcPr>
            <w:tcW w:w="831"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YWE</w:t>
            </w:r>
          </w:p>
        </w:tc>
        <w:tc>
          <w:tcPr>
            <w:tcW w:w="13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Septate</w:t>
            </w:r>
            <w:r>
              <w:rPr>
                <w:rFonts w:ascii="Times New Roman" w:hAnsi="Times New Roman" w:eastAsia="Times New Roman" w:cs="Times New Roman"/>
                <w:color w:val="auto"/>
                <w:szCs w:val="24"/>
              </w:rPr>
              <w:t xml:space="preserve"> hyphae, conidia in chains</w:t>
            </w:r>
          </w:p>
        </w:tc>
        <w:tc>
          <w:tcPr>
            <w:tcW w:w="1008" w:type="dxa"/>
            <w:shd w:val="clear" w:color="auto" w:fill="FFFFFF" w:themeFill="background1"/>
          </w:tcPr>
          <w:p>
            <w:pPr>
              <w:rPr>
                <w:rFonts w:ascii="Times New Roman" w:hAnsi="Times New Roman" w:eastAsia="Times New Roman" w:cs="Times New Roman"/>
                <w:color w:val="auto"/>
                <w:szCs w:val="24"/>
              </w:rPr>
            </w:pPr>
          </w:p>
        </w:tc>
        <w:tc>
          <w:tcPr>
            <w:tcW w:w="962" w:type="dxa"/>
            <w:shd w:val="clear" w:color="auto" w:fill="FFFFFF" w:themeFill="background1"/>
          </w:tcPr>
          <w:p>
            <w:pPr>
              <w:rPr>
                <w:rFonts w:ascii="Times New Roman" w:hAnsi="Times New Roman" w:eastAsia="Times New Roman" w:cs="Times New Roman"/>
                <w:color w:val="auto"/>
                <w:szCs w:val="24"/>
              </w:rPr>
            </w:pPr>
          </w:p>
        </w:tc>
        <w:tc>
          <w:tcPr>
            <w:tcW w:w="1208" w:type="dxa"/>
            <w:shd w:val="clear" w:color="auto" w:fill="FFFFFF" w:themeFill="background1"/>
          </w:tcPr>
          <w:p>
            <w:pPr>
              <w:rPr>
                <w:rFonts w:ascii="Times New Roman" w:hAnsi="Times New Roman" w:eastAsia="Times New Roman" w:cs="Times New Roman"/>
                <w:color w:val="auto"/>
                <w:szCs w:val="24"/>
              </w:rPr>
            </w:pPr>
          </w:p>
        </w:tc>
        <w:tc>
          <w:tcPr>
            <w:tcW w:w="1185" w:type="dxa"/>
            <w:shd w:val="clear" w:color="auto" w:fill="FFFFFF" w:themeFill="background1"/>
          </w:tcPr>
          <w:p>
            <w:pPr>
              <w:rPr>
                <w:rFonts w:ascii="Times New Roman" w:hAnsi="Times New Roman" w:eastAsia="Times New Roman" w:cs="Times New Roman"/>
                <w:color w:val="auto"/>
                <w:szCs w:val="24"/>
              </w:rPr>
            </w:pPr>
          </w:p>
        </w:tc>
        <w:tc>
          <w:tcPr>
            <w:tcW w:w="1162" w:type="dxa"/>
            <w:shd w:val="clear" w:color="auto" w:fill="FFFFFF" w:themeFill="background1"/>
          </w:tcPr>
          <w:p>
            <w:pPr>
              <w:rPr>
                <w:rFonts w:ascii="Times New Roman" w:hAnsi="Times New Roman" w:eastAsia="Times New Roman" w:cs="Times New Roman"/>
                <w:color w:val="auto"/>
                <w:szCs w:val="24"/>
              </w:rPr>
            </w:pPr>
          </w:p>
        </w:tc>
        <w:tc>
          <w:tcPr>
            <w:tcW w:w="154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Aspergillus</w:t>
            </w:r>
            <w:r>
              <w:rPr>
                <w:rFonts w:ascii="Times New Roman" w:hAnsi="Times New Roman" w:eastAsia="Times New Roman" w:cs="Times New Roman"/>
                <w:color w:val="auto"/>
                <w:szCs w:val="24"/>
              </w:rPr>
              <w:t xml:space="preserve"> sp.</w:t>
            </w:r>
          </w:p>
        </w:tc>
      </w:tr>
      <w:tr>
        <w:tblPrEx>
          <w:tblLayout w:type="fixed"/>
        </w:tblPrEx>
        <w:tc>
          <w:tcPr>
            <w:tcW w:w="831" w:type="dxa"/>
            <w:shd w:val="clear" w:color="auto" w:fill="FFFFFF" w:themeFill="background1"/>
          </w:tcPr>
          <w:p>
            <w:pPr>
              <w:rPr>
                <w:rFonts w:ascii="Times New Roman" w:hAnsi="Times New Roman" w:eastAsia="Times New Roman" w:cs="Times New Roman"/>
                <w:b w:val="0"/>
                <w:bCs w:val="0"/>
                <w:color w:val="auto"/>
                <w:szCs w:val="24"/>
              </w:rPr>
            </w:pPr>
            <w:bookmarkStart w:id="54" w:name="_Hlk202873152"/>
            <w:r>
              <w:rPr>
                <w:rFonts w:ascii="Times New Roman" w:hAnsi="Times New Roman" w:eastAsia="Times New Roman" w:cs="Times New Roman"/>
                <w:b w:val="0"/>
                <w:bCs w:val="0"/>
                <w:color w:val="auto"/>
                <w:szCs w:val="24"/>
              </w:rPr>
              <w:t>B1O</w:t>
            </w:r>
            <w:bookmarkEnd w:id="54"/>
          </w:p>
        </w:tc>
        <w:tc>
          <w:tcPr>
            <w:tcW w:w="13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 rods, single cells</w:t>
            </w:r>
          </w:p>
        </w:tc>
        <w:tc>
          <w:tcPr>
            <w:tcW w:w="10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2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4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 xml:space="preserve">Bacillus </w:t>
            </w:r>
            <w:r>
              <w:rPr>
                <w:rFonts w:ascii="Times New Roman" w:hAnsi="Times New Roman" w:eastAsia="Times New Roman" w:cs="Times New Roman"/>
                <w:i/>
                <w:iCs/>
                <w:color w:val="auto"/>
                <w:szCs w:val="24"/>
              </w:rPr>
              <w:t>subtilis</w:t>
            </w:r>
          </w:p>
        </w:tc>
      </w:tr>
      <w:tr>
        <w:tblPrEx>
          <w:tblLayout w:type="fixed"/>
        </w:tblPrEx>
        <w:tc>
          <w:tcPr>
            <w:tcW w:w="831"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B2B</w:t>
            </w:r>
          </w:p>
        </w:tc>
        <w:tc>
          <w:tcPr>
            <w:tcW w:w="13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Gram-positive </w:t>
            </w:r>
            <w:r>
              <w:rPr>
                <w:rFonts w:ascii="Times New Roman" w:hAnsi="Times New Roman" w:eastAsia="Times New Roman" w:cs="Times New Roman"/>
                <w:color w:val="auto"/>
                <w:szCs w:val="24"/>
              </w:rPr>
              <w:t>cocci</w:t>
            </w:r>
            <w:r>
              <w:rPr>
                <w:rFonts w:ascii="Times New Roman" w:hAnsi="Times New Roman" w:eastAsia="Times New Roman" w:cs="Times New Roman"/>
                <w:color w:val="auto"/>
                <w:szCs w:val="24"/>
              </w:rPr>
              <w:t xml:space="preserve"> in clusters</w:t>
            </w:r>
          </w:p>
        </w:tc>
        <w:tc>
          <w:tcPr>
            <w:tcW w:w="10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2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4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 xml:space="preserve">Staphylococcus </w:t>
            </w:r>
            <w:r>
              <w:rPr>
                <w:rFonts w:ascii="Times New Roman" w:hAnsi="Times New Roman" w:eastAsia="Times New Roman" w:cs="Times New Roman"/>
                <w:i/>
                <w:iCs/>
                <w:color w:val="auto"/>
                <w:szCs w:val="24"/>
              </w:rPr>
              <w:t>epidermidis</w:t>
            </w:r>
          </w:p>
        </w:tc>
      </w:tr>
      <w:tr>
        <w:tblPrEx>
          <w:tblLayout w:type="fixed"/>
        </w:tblPrEx>
        <w:tc>
          <w:tcPr>
            <w:tcW w:w="831"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B3A</w:t>
            </w:r>
          </w:p>
        </w:tc>
        <w:tc>
          <w:tcPr>
            <w:tcW w:w="13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rods in chains</w:t>
            </w:r>
          </w:p>
        </w:tc>
        <w:tc>
          <w:tcPr>
            <w:tcW w:w="10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2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4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Escherichia coli</w:t>
            </w:r>
          </w:p>
        </w:tc>
      </w:tr>
      <w:tr>
        <w:tblPrEx>
          <w:tblLayout w:type="fixed"/>
        </w:tblPrEx>
        <w:tc>
          <w:tcPr>
            <w:tcW w:w="831"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B4K</w:t>
            </w:r>
          </w:p>
        </w:tc>
        <w:tc>
          <w:tcPr>
            <w:tcW w:w="13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Gram-negative </w:t>
            </w:r>
            <w:r>
              <w:rPr>
                <w:rFonts w:ascii="Times New Roman" w:hAnsi="Times New Roman" w:eastAsia="Times New Roman" w:cs="Times New Roman"/>
                <w:color w:val="auto"/>
                <w:szCs w:val="24"/>
              </w:rPr>
              <w:t>cocci</w:t>
            </w:r>
            <w:r>
              <w:rPr>
                <w:rFonts w:ascii="Times New Roman" w:hAnsi="Times New Roman" w:eastAsia="Times New Roman" w:cs="Times New Roman"/>
                <w:color w:val="auto"/>
                <w:szCs w:val="24"/>
              </w:rPr>
              <w:t xml:space="preserve"> in pairs</w:t>
            </w:r>
          </w:p>
        </w:tc>
        <w:tc>
          <w:tcPr>
            <w:tcW w:w="10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2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4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Neisseria</w:t>
            </w:r>
            <w:r>
              <w:rPr>
                <w:rFonts w:ascii="Times New Roman" w:hAnsi="Times New Roman" w:eastAsia="Times New Roman" w:cs="Times New Roman"/>
                <w:color w:val="auto"/>
                <w:szCs w:val="24"/>
              </w:rPr>
              <w:t xml:space="preserve"> sp.</w:t>
            </w:r>
          </w:p>
        </w:tc>
      </w:tr>
      <w:tr>
        <w:tblPrEx>
          <w:tblLayout w:type="fixed"/>
        </w:tblPrEx>
        <w:tc>
          <w:tcPr>
            <w:tcW w:w="831"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B5Y</w:t>
            </w:r>
          </w:p>
        </w:tc>
        <w:tc>
          <w:tcPr>
            <w:tcW w:w="133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Gram-negative </w:t>
            </w:r>
            <w:r>
              <w:rPr>
                <w:rFonts w:ascii="Times New Roman" w:hAnsi="Times New Roman" w:eastAsia="Times New Roman" w:cs="Times New Roman"/>
                <w:color w:val="auto"/>
                <w:szCs w:val="24"/>
              </w:rPr>
              <w:t>cocci</w:t>
            </w:r>
            <w:r>
              <w:rPr>
                <w:rFonts w:ascii="Times New Roman" w:hAnsi="Times New Roman" w:eastAsia="Times New Roman" w:cs="Times New Roman"/>
                <w:color w:val="auto"/>
                <w:szCs w:val="24"/>
              </w:rPr>
              <w:t>, pale colonies</w:t>
            </w:r>
          </w:p>
        </w:tc>
        <w:tc>
          <w:tcPr>
            <w:tcW w:w="10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2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4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 xml:space="preserve">Pseudomonas </w:t>
            </w:r>
            <w:r>
              <w:rPr>
                <w:rFonts w:ascii="Times New Roman" w:hAnsi="Times New Roman" w:eastAsia="Times New Roman" w:cs="Times New Roman"/>
                <w:i/>
                <w:iCs/>
                <w:color w:val="auto"/>
                <w:szCs w:val="24"/>
              </w:rPr>
              <w:t>aeruginosa</w:t>
            </w:r>
          </w:p>
        </w:tc>
      </w:tr>
    </w:tbl>
    <w:p>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hAnsi="Times New Roman" w:eastAsia="Times New Roman" w:cs="Times New Roman"/>
          <w:b/>
          <w:color w:val="auto"/>
          <w:szCs w:val="24"/>
        </w:rPr>
      </w:pPr>
    </w:p>
    <w:p>
      <w:pPr>
        <w:rPr>
          <w:rFonts w:ascii="Times New Roman" w:hAnsi="Times New Roman" w:cs="Times New Roman"/>
        </w:rPr>
      </w:pPr>
      <w:r>
        <w:rPr>
          <w:rFonts w:ascii="Times New Roman" w:hAnsi="Times New Roman" w:eastAsia="Times New Roman" w:cs="Times New Roman"/>
          <w:b/>
          <w:color w:val="auto"/>
          <w:szCs w:val="24"/>
        </w:rPr>
        <w:t xml:space="preserve">Key: + </w:t>
      </w:r>
      <w:r>
        <w:rPr>
          <w:rFonts w:ascii="Times New Roman" w:hAnsi="Times New Roman" w:eastAsia="Times New Roman" w:cs="Times New Roman"/>
          <w:b/>
          <w:color w:val="auto"/>
          <w:szCs w:val="24"/>
        </w:rPr>
        <w:t>Postive</w:t>
      </w:r>
      <w:r>
        <w:rPr>
          <w:rFonts w:ascii="Times New Roman" w:hAnsi="Times New Roman" w:eastAsia="Times New Roman" w:cs="Times New Roman"/>
          <w:b/>
          <w:color w:val="auto"/>
          <w:szCs w:val="24"/>
        </w:rPr>
        <w:t xml:space="preserve">, - Negative. </w:t>
      </w:r>
      <w:r>
        <w:rPr>
          <w:rFonts w:ascii="Times New Roman" w:hAnsi="Times New Roman" w:eastAsia="Times New Roman" w:cs="Times New Roman"/>
          <w:color w:val="auto"/>
          <w:szCs w:val="24"/>
        </w:rPr>
        <w:t>B1O (basic water)</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1049"/>
        </w:tabs>
        <w:spacing w:line="480" w:lineRule="auto"/>
        <w:jc w:val="center"/>
        <w:rPr>
          <w:rFonts w:ascii="Times New Roman" w:hAnsi="Times New Roman" w:eastAsia="Times New Roman" w:cs="Times New Roman"/>
          <w:b/>
          <w:color w:val="auto"/>
          <w:szCs w:val="24"/>
        </w:rPr>
      </w:pPr>
    </w:p>
    <w:p>
      <w:pPr>
        <w:pStyle w:val="2"/>
        <w:spacing w:line="480" w:lineRule="auto"/>
        <w:jc w:val="center"/>
        <w:rPr>
          <w:rFonts w:eastAsia="Times New Roman" w:cs="Times New Roman"/>
        </w:rPr>
      </w:pPr>
      <w:bookmarkStart w:id="55" w:name="_Toc203101038"/>
      <w:r>
        <w:rPr>
          <w:rFonts w:eastAsia="Times New Roman" w:cs="Times New Roman"/>
        </w:rPr>
        <w:t>CHAPTER FIVE</w:t>
      </w:r>
      <w:bookmarkEnd w:id="55"/>
    </w:p>
    <w:p>
      <w:pPr>
        <w:pStyle w:val="2"/>
        <w:spacing w:line="480" w:lineRule="auto"/>
        <w:jc w:val="center"/>
        <w:rPr>
          <w:rFonts w:eastAsia="Times New Roman" w:cs="Times New Roman"/>
        </w:rPr>
      </w:pPr>
      <w:bookmarkStart w:id="56" w:name="_Toc203101039"/>
      <w:r>
        <w:rPr>
          <w:rFonts w:eastAsia="Times New Roman" w:cs="Times New Roman"/>
        </w:rPr>
        <w:t>DISCUSSION, CONCLUSION AND RECOMMEDATION</w:t>
      </w:r>
      <w:bookmarkEnd w:id="56"/>
    </w:p>
    <w:p>
      <w:pPr>
        <w:pStyle w:val="3"/>
        <w:spacing w:line="480" w:lineRule="auto"/>
        <w:rPr>
          <w:rFonts w:eastAsia="Times New Roman" w:cs="Times New Roman"/>
        </w:rPr>
      </w:pPr>
      <w:bookmarkStart w:id="57" w:name="_Toc203101040"/>
      <w:r>
        <w:rPr>
          <w:rFonts w:eastAsia="Times New Roman" w:cs="Times New Roman"/>
        </w:rPr>
        <w:t>5.1     Discussion</w:t>
      </w:r>
      <w:bookmarkEnd w:id="57"/>
      <w:r>
        <w:rPr>
          <w:rFonts w:eastAsia="Times New Roman" w:cs="Times New Roman"/>
        </w:rPr>
        <w:t xml:space="preserve"> </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This study assessed the microbial and physicochemical quality of sachet water samples produced in Ilorin, </w:t>
      </w:r>
      <w:r>
        <w:rPr>
          <w:rFonts w:ascii="Times New Roman" w:hAnsi="Times New Roman" w:eastAsia="Times New Roman" w:cs="Times New Roman"/>
          <w:bCs/>
          <w:color w:val="auto"/>
          <w:szCs w:val="24"/>
        </w:rPr>
        <w:t>Kwara</w:t>
      </w:r>
      <w:r>
        <w:rPr>
          <w:rFonts w:ascii="Times New Roman" w:hAnsi="Times New Roman" w:eastAsia="Times New Roman" w:cs="Times New Roman"/>
          <w:bCs/>
          <w:color w:val="auto"/>
          <w:szCs w:val="24"/>
        </w:rPr>
        <w:t xml:space="preserve">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hAnsi="Times New Roman" w:eastAsia="Times New Roman" w:cs="Times New Roman"/>
          <w:bCs/>
          <w:color w:val="auto"/>
          <w:szCs w:val="24"/>
        </w:rPr>
        <w:t>Adekunle</w:t>
      </w:r>
      <w:r>
        <w:rPr>
          <w:rFonts w:ascii="Times New Roman" w:hAnsi="Times New Roman" w:eastAsia="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Turbidity in all the samples remained below the WHO maximum permissible limit of 5 NTU, consistent with the findings of </w:t>
      </w:r>
      <w:r>
        <w:rPr>
          <w:rFonts w:ascii="Times New Roman" w:hAnsi="Times New Roman" w:eastAsia="Times New Roman" w:cs="Times New Roman"/>
          <w:bCs/>
          <w:color w:val="auto"/>
          <w:szCs w:val="24"/>
        </w:rPr>
        <w:t>Nwachukwu</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color w:val="auto"/>
          <w:szCs w:val="24"/>
        </w:rPr>
        <w:t>Umeh</w:t>
      </w:r>
      <w:r>
        <w:rPr>
          <w:rFonts w:ascii="Times New Roman" w:hAnsi="Times New Roman" w:eastAsia="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hAnsi="Times New Roman" w:eastAsia="Times New Roman" w:cs="Times New Roman"/>
          <w:bCs/>
          <w:color w:val="auto"/>
          <w:szCs w:val="24"/>
        </w:rPr>
        <w:t>Eze</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color w:val="auto"/>
          <w:szCs w:val="24"/>
        </w:rPr>
        <w:t>Anurika</w:t>
      </w:r>
      <w:r>
        <w:rPr>
          <w:rFonts w:ascii="Times New Roman" w:hAnsi="Times New Roman" w:eastAsia="Times New Roman" w:cs="Times New Roman"/>
          <w:bCs/>
          <w:color w:val="auto"/>
          <w:szCs w:val="24"/>
        </w:rPr>
        <w:t xml:space="preserve"> (2021), who found similarly low TDS values in regulated sachet water sources, suggesting adequate filtration or low ionic contamination.</w:t>
      </w:r>
    </w:p>
    <w:p>
      <w:pPr>
        <w:tabs>
          <w:tab w:val="left" w:pos="1049"/>
        </w:tabs>
        <w:spacing w:after="0" w:line="480" w:lineRule="auto"/>
        <w:rPr>
          <w:rFonts w:ascii="Times New Roman" w:hAnsi="Times New Roman" w:eastAsia="Times New Roman" w:cs="Times New Roman"/>
          <w:bCs/>
          <w:color w:val="auto"/>
          <w:szCs w:val="24"/>
        </w:rPr>
      </w:pP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hAnsi="Times New Roman" w:eastAsia="Times New Roman" w:cs="Times New Roman"/>
          <w:bCs/>
          <w:color w:val="auto"/>
          <w:szCs w:val="24"/>
        </w:rPr>
        <w:t>Igbeneghu</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color w:val="auto"/>
          <w:szCs w:val="24"/>
        </w:rPr>
        <w:t>Lamikanra</w:t>
      </w:r>
      <w:r>
        <w:rPr>
          <w:rFonts w:ascii="Times New Roman" w:hAnsi="Times New Roman" w:eastAsia="Times New Roman" w:cs="Times New Roman"/>
          <w:bCs/>
          <w:color w:val="auto"/>
          <w:szCs w:val="24"/>
        </w:rPr>
        <w:t xml:space="preserve"> (2018), who reported coliform presence in unregulated sachet water brands.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No Escherichia coli </w:t>
      </w:r>
      <w:r>
        <w:rPr>
          <w:rFonts w:ascii="Times New Roman" w:hAnsi="Times New Roman" w:eastAsia="Times New Roman" w:cs="Times New Roman"/>
          <w:bCs/>
          <w:color w:val="auto"/>
          <w:szCs w:val="24"/>
        </w:rPr>
        <w:t>was</w:t>
      </w:r>
      <w:r>
        <w:rPr>
          <w:rFonts w:ascii="Times New Roman" w:hAnsi="Times New Roman" w:eastAsia="Times New Roman" w:cs="Times New Roman"/>
          <w:bCs/>
          <w:color w:val="auto"/>
          <w:szCs w:val="24"/>
        </w:rPr>
        <w:t xml:space="preserve"> detected in any of the samples, which is a positive finding as E. coli is a key fecal indicator organism. However, the presence of other potentially harmful bacteria such as Staphylococcus </w:t>
      </w:r>
      <w:r>
        <w:rPr>
          <w:rFonts w:ascii="Times New Roman" w:hAnsi="Times New Roman" w:eastAsia="Times New Roman" w:cs="Times New Roman"/>
          <w:bCs/>
          <w:color w:val="auto"/>
          <w:szCs w:val="24"/>
        </w:rPr>
        <w:t>epidermidis</w:t>
      </w:r>
      <w:r>
        <w:rPr>
          <w:rFonts w:ascii="Times New Roman" w:hAnsi="Times New Roman" w:eastAsia="Times New Roman" w:cs="Times New Roman"/>
          <w:bCs/>
          <w:color w:val="auto"/>
          <w:szCs w:val="24"/>
        </w:rPr>
        <w:t xml:space="preserve">, Pseudomonas </w:t>
      </w:r>
      <w:r>
        <w:rPr>
          <w:rFonts w:ascii="Times New Roman" w:hAnsi="Times New Roman" w:eastAsia="Times New Roman" w:cs="Times New Roman"/>
          <w:bCs/>
          <w:color w:val="auto"/>
          <w:szCs w:val="24"/>
        </w:rPr>
        <w:t>aeruginosa</w:t>
      </w:r>
      <w:r>
        <w:rPr>
          <w:rFonts w:ascii="Times New Roman" w:hAnsi="Times New Roman" w:eastAsia="Times New Roman" w:cs="Times New Roman"/>
          <w:bCs/>
          <w:color w:val="auto"/>
          <w:szCs w:val="24"/>
        </w:rPr>
        <w:t xml:space="preserve">, and Bacillus </w:t>
      </w:r>
      <w:r>
        <w:rPr>
          <w:rFonts w:ascii="Times New Roman" w:hAnsi="Times New Roman" w:eastAsia="Times New Roman" w:cs="Times New Roman"/>
          <w:bCs/>
          <w:color w:val="auto"/>
          <w:szCs w:val="24"/>
        </w:rPr>
        <w:t>subtilis</w:t>
      </w:r>
      <w:r>
        <w:rPr>
          <w:rFonts w:ascii="Times New Roman" w:hAnsi="Times New Roman" w:eastAsia="Times New Roman" w:cs="Times New Roman"/>
          <w:bCs/>
          <w:color w:val="auto"/>
          <w:szCs w:val="24"/>
        </w:rPr>
        <w:t xml:space="preserve"> raises concern. These organisms, though common in the environment, may indicate substandard hygienic practices or inadequate sterilization processes during production (</w:t>
      </w:r>
      <w:r>
        <w:rPr>
          <w:rFonts w:ascii="Times New Roman" w:hAnsi="Times New Roman" w:eastAsia="Times New Roman" w:cs="Times New Roman"/>
          <w:bCs/>
          <w:color w:val="auto"/>
          <w:szCs w:val="24"/>
        </w:rPr>
        <w:t>Olaoye</w:t>
      </w:r>
      <w:r>
        <w:rPr>
          <w:rFonts w:ascii="Times New Roman" w:hAnsi="Times New Roman" w:eastAsia="Times New Roman" w:cs="Times New Roman"/>
          <w:bCs/>
          <w:color w:val="auto"/>
          <w:szCs w:val="24"/>
        </w:rPr>
        <w:t xml:space="preserve"> &amp; </w:t>
      </w:r>
      <w:r>
        <w:rPr>
          <w:rFonts w:ascii="Times New Roman" w:hAnsi="Times New Roman" w:eastAsia="Times New Roman" w:cs="Times New Roman"/>
          <w:bCs/>
          <w:color w:val="auto"/>
          <w:szCs w:val="24"/>
        </w:rPr>
        <w:t>Onilude</w:t>
      </w:r>
      <w:r>
        <w:rPr>
          <w:rFonts w:ascii="Times New Roman" w:hAnsi="Times New Roman" w:eastAsia="Times New Roman" w:cs="Times New Roman"/>
          <w:bCs/>
          <w:color w:val="auto"/>
          <w:szCs w:val="24"/>
        </w:rPr>
        <w:t>, 2020).</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The fungal isolate identified as </w:t>
      </w:r>
      <w:r>
        <w:rPr>
          <w:rFonts w:ascii="Times New Roman" w:hAnsi="Times New Roman" w:eastAsia="Times New Roman" w:cs="Times New Roman"/>
          <w:bCs/>
          <w:color w:val="auto"/>
          <w:szCs w:val="24"/>
        </w:rPr>
        <w:t>Aspergillus</w:t>
      </w:r>
      <w:r>
        <w:rPr>
          <w:rFonts w:ascii="Times New Roman" w:hAnsi="Times New Roman" w:eastAsia="Times New Roman" w:cs="Times New Roman"/>
          <w:bCs/>
          <w:color w:val="auto"/>
          <w:szCs w:val="24"/>
        </w:rPr>
        <w:t xml:space="preserve"> species is a common environmental </w:t>
      </w:r>
      <w:r>
        <w:rPr>
          <w:rFonts w:ascii="Times New Roman" w:hAnsi="Times New Roman" w:eastAsia="Times New Roman" w:cs="Times New Roman"/>
          <w:bCs/>
          <w:color w:val="auto"/>
          <w:szCs w:val="24"/>
        </w:rPr>
        <w:t>mould</w:t>
      </w:r>
      <w:r>
        <w:rPr>
          <w:rFonts w:ascii="Times New Roman" w:hAnsi="Times New Roman" w:eastAsia="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r>
        <w:rPr>
          <w:rFonts w:ascii="Times New Roman" w:hAnsi="Times New Roman" w:eastAsia="Times New Roman" w:cs="Times New Roman"/>
          <w:bCs/>
          <w:color w:val="auto"/>
          <w:szCs w:val="24"/>
        </w:rPr>
        <w:t>while</w:t>
      </w:r>
      <w:r>
        <w:rPr>
          <w:rFonts w:ascii="Times New Roman" w:hAnsi="Times New Roman" w:eastAsia="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hAnsi="Times New Roman" w:eastAsia="Times New Roman" w:cs="Times New Roman"/>
          <w:bCs/>
          <w:color w:val="auto"/>
          <w:szCs w:val="24"/>
        </w:rPr>
        <w:t>Adegoke</w:t>
      </w:r>
      <w:r>
        <w:rPr>
          <w:rFonts w:ascii="Times New Roman" w:hAnsi="Times New Roman" w:eastAsia="Times New Roman" w:cs="Times New Roman"/>
          <w:bCs/>
          <w:color w:val="auto"/>
          <w:szCs w:val="24"/>
        </w:rPr>
        <w:t xml:space="preserve"> et al., 2022).</w:t>
      </w:r>
    </w:p>
    <w:p>
      <w:pPr>
        <w:pStyle w:val="3"/>
        <w:spacing w:line="480" w:lineRule="auto"/>
        <w:rPr>
          <w:rFonts w:eastAsia="Times New Roman" w:cs="Times New Roman"/>
        </w:rPr>
      </w:pPr>
      <w:bookmarkStart w:id="58" w:name="_Toc203101041"/>
      <w:r>
        <w:rPr>
          <w:rFonts w:eastAsia="Times New Roman" w:cs="Times New Roman"/>
        </w:rPr>
        <w:t>5.2    Conclusion</w:t>
      </w:r>
      <w:bookmarkEnd w:id="58"/>
      <w:r>
        <w:rPr>
          <w:rFonts w:eastAsia="Times New Roman" w:cs="Times New Roman"/>
        </w:rPr>
        <w:t xml:space="preserve"> </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This study assessed the physicochemical and microbiological quality of selected sachet water brands produced in Ilorin, </w:t>
      </w:r>
      <w:r>
        <w:rPr>
          <w:rFonts w:ascii="Times New Roman" w:hAnsi="Times New Roman" w:eastAsia="Times New Roman" w:cs="Times New Roman"/>
          <w:bCs/>
          <w:color w:val="auto"/>
          <w:szCs w:val="24"/>
        </w:rPr>
        <w:t>Kwara</w:t>
      </w:r>
      <w:r>
        <w:rPr>
          <w:rFonts w:ascii="Times New Roman" w:hAnsi="Times New Roman" w:eastAsia="Times New Roman" w:cs="Times New Roman"/>
          <w:bCs/>
          <w:color w:val="auto"/>
          <w:szCs w:val="24"/>
        </w:rPr>
        <w:t xml:space="preserve"> State. The results revealed that while most of the physicochemical parameters, such as turbidity, total dissolved solids, electrical conductivity, </w:t>
      </w:r>
      <w:r>
        <w:rPr>
          <w:rFonts w:ascii="Times New Roman" w:hAnsi="Times New Roman" w:eastAsia="Times New Roman" w:cs="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hAnsi="Times New Roman" w:eastAsia="Times New Roman" w:cs="Times New Roman"/>
          <w:bCs/>
          <w:i/>
          <w:iCs/>
          <w:color w:val="auto"/>
          <w:szCs w:val="24"/>
        </w:rPr>
        <w:t>Escherichia coli</w:t>
      </w:r>
      <w:r>
        <w:rPr>
          <w:rFonts w:ascii="Times New Roman" w:hAnsi="Times New Roman" w:eastAsia="Times New Roman" w:cs="Times New Roman"/>
          <w:bCs/>
          <w:color w:val="auto"/>
          <w:szCs w:val="24"/>
        </w:rPr>
        <w:t xml:space="preserve"> in all samples is encouraging, yet the presence of other environmental and opportunistic bacteria such as </w:t>
      </w:r>
      <w:r>
        <w:rPr>
          <w:rFonts w:ascii="Times New Roman" w:hAnsi="Times New Roman" w:eastAsia="Times New Roman" w:cs="Times New Roman"/>
          <w:bCs/>
          <w:i/>
          <w:iCs/>
          <w:color w:val="auto"/>
          <w:szCs w:val="24"/>
        </w:rPr>
        <w:t xml:space="preserve">Staphylococcus </w:t>
      </w:r>
      <w:r>
        <w:rPr>
          <w:rFonts w:ascii="Times New Roman" w:hAnsi="Times New Roman" w:eastAsia="Times New Roman" w:cs="Times New Roman"/>
          <w:bCs/>
          <w:i/>
          <w:iCs/>
          <w:color w:val="auto"/>
          <w:szCs w:val="24"/>
        </w:rPr>
        <w:t>epidermidis</w:t>
      </w:r>
      <w:r>
        <w:rPr>
          <w:rFonts w:ascii="Times New Roman" w:hAnsi="Times New Roman" w:eastAsia="Times New Roman" w:cs="Times New Roman"/>
          <w:bCs/>
          <w:color w:val="auto"/>
          <w:szCs w:val="24"/>
        </w:rPr>
        <w:t xml:space="preserve">, </w:t>
      </w:r>
      <w:r>
        <w:rPr>
          <w:rFonts w:ascii="Times New Roman" w:hAnsi="Times New Roman" w:eastAsia="Times New Roman" w:cs="Times New Roman"/>
          <w:bCs/>
          <w:i/>
          <w:iCs/>
          <w:color w:val="auto"/>
          <w:szCs w:val="24"/>
        </w:rPr>
        <w:t xml:space="preserve">Pseudomonas </w:t>
      </w:r>
      <w:r>
        <w:rPr>
          <w:rFonts w:ascii="Times New Roman" w:hAnsi="Times New Roman" w:eastAsia="Times New Roman" w:cs="Times New Roman"/>
          <w:bCs/>
          <w:i/>
          <w:iCs/>
          <w:color w:val="auto"/>
          <w:szCs w:val="24"/>
        </w:rPr>
        <w:t>aeruginosa</w:t>
      </w:r>
      <w:r>
        <w:rPr>
          <w:rFonts w:ascii="Times New Roman" w:hAnsi="Times New Roman" w:eastAsia="Times New Roman" w:cs="Times New Roman"/>
          <w:bCs/>
          <w:i/>
          <w:iCs/>
          <w:color w:val="auto"/>
          <w:szCs w:val="24"/>
        </w:rPr>
        <w:t>,</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i/>
          <w:iCs/>
          <w:color w:val="auto"/>
          <w:szCs w:val="24"/>
        </w:rPr>
        <w:t xml:space="preserve">Bacillus </w:t>
      </w:r>
      <w:r>
        <w:rPr>
          <w:rFonts w:ascii="Times New Roman" w:hAnsi="Times New Roman" w:eastAsia="Times New Roman" w:cs="Times New Roman"/>
          <w:bCs/>
          <w:i/>
          <w:iCs/>
          <w:color w:val="auto"/>
          <w:szCs w:val="24"/>
        </w:rPr>
        <w:t>subtilis</w:t>
      </w:r>
      <w:r>
        <w:rPr>
          <w:rFonts w:ascii="Times New Roman" w:hAnsi="Times New Roman" w:eastAsia="Times New Roman" w:cs="Times New Roman"/>
          <w:bCs/>
          <w:i/>
          <w:iCs/>
          <w:color w:val="auto"/>
          <w:szCs w:val="24"/>
        </w:rPr>
        <w:t xml:space="preserve">, </w:t>
      </w:r>
      <w:r>
        <w:rPr>
          <w:rFonts w:ascii="Times New Roman" w:hAnsi="Times New Roman" w:eastAsia="Times New Roman" w:cs="Times New Roman"/>
          <w:bCs/>
          <w:color w:val="auto"/>
          <w:szCs w:val="24"/>
        </w:rPr>
        <w:t xml:space="preserve">as well as the fungal isolate </w:t>
      </w:r>
      <w:r>
        <w:rPr>
          <w:rFonts w:ascii="Times New Roman" w:hAnsi="Times New Roman" w:eastAsia="Times New Roman" w:cs="Times New Roman"/>
          <w:bCs/>
          <w:i/>
          <w:iCs/>
          <w:color w:val="auto"/>
          <w:szCs w:val="24"/>
        </w:rPr>
        <w:t>Aspergillus</w:t>
      </w:r>
      <w:r>
        <w:rPr>
          <w:rFonts w:ascii="Times New Roman" w:hAnsi="Times New Roman" w:eastAsia="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pPr>
        <w:pStyle w:val="3"/>
        <w:spacing w:line="480" w:lineRule="auto"/>
        <w:rPr>
          <w:rFonts w:eastAsia="Times New Roman" w:cs="Times New Roman"/>
        </w:rPr>
      </w:pPr>
      <w:bookmarkStart w:id="59" w:name="_Toc203101042"/>
      <w:r>
        <w:rPr>
          <w:rFonts w:eastAsia="Times New Roman" w:cs="Times New Roman"/>
        </w:rPr>
        <w:t>5.3    Recommendations</w:t>
      </w:r>
      <w:bookmarkEnd w:id="59"/>
    </w:p>
    <w:p>
      <w:pPr>
        <w:tabs>
          <w:tab w:val="left" w:pos="1049"/>
        </w:tabs>
        <w:spacing w:after="0" w:line="480" w:lineRule="auto"/>
        <w:ind w:left="0" w:firstLine="0"/>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Based on the findings of this study, the following recommendations are proposed to enhance the safety and quality of sachet water consumed in Ilorin, </w:t>
      </w:r>
      <w:r>
        <w:rPr>
          <w:rFonts w:ascii="Times New Roman" w:hAnsi="Times New Roman" w:eastAsia="Times New Roman" w:cs="Times New Roman"/>
          <w:bCs/>
          <w:color w:val="auto"/>
          <w:szCs w:val="24"/>
        </w:rPr>
        <w:t>Kwara</w:t>
      </w:r>
      <w:r>
        <w:rPr>
          <w:rFonts w:ascii="Times New Roman" w:hAnsi="Times New Roman" w:eastAsia="Times New Roman" w:cs="Times New Roman"/>
          <w:bCs/>
          <w:color w:val="auto"/>
          <w:szCs w:val="24"/>
        </w:rPr>
        <w:t xml:space="preserve"> State:</w:t>
      </w:r>
    </w:p>
    <w:p>
      <w:pPr>
        <w:pStyle w:val="22"/>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Regulatory agencies like  NAFDAC and the </w:t>
      </w:r>
      <w:r>
        <w:rPr>
          <w:rFonts w:ascii="Times New Roman" w:hAnsi="Times New Roman" w:eastAsia="Times New Roman" w:cs="Times New Roman"/>
          <w:bCs/>
          <w:color w:val="auto"/>
          <w:szCs w:val="24"/>
        </w:rPr>
        <w:t>Kwara</w:t>
      </w:r>
      <w:r>
        <w:rPr>
          <w:rFonts w:ascii="Times New Roman" w:hAnsi="Times New Roman" w:eastAsia="Times New Roman" w:cs="Times New Roman"/>
          <w:bCs/>
          <w:color w:val="auto"/>
          <w:szCs w:val="24"/>
        </w:rPr>
        <w:t xml:space="preserve"> State Ministry of Health should intensify routine inspection and monitoring of sachet water production facilities</w:t>
      </w:r>
    </w:p>
    <w:p>
      <w:pPr>
        <w:pStyle w:val="22"/>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22"/>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22"/>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Research and academic institutions should collaborate with regulatory bodies to conduct periodic surveillance studies on the microbial quality of sachet water across different regions.</w:t>
      </w:r>
    </w:p>
    <w:p>
      <w:pPr>
        <w:pStyle w:val="22"/>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Small and medium-scale sachet water companies should be supported with technical assistance and access to affordable testing services to help them comply with safety standards. </w:t>
      </w:r>
    </w:p>
    <w:p>
      <w:pPr>
        <w:tabs>
          <w:tab w:val="left" w:pos="1049"/>
        </w:tabs>
        <w:spacing w:line="480" w:lineRule="auto"/>
        <w:rPr>
          <w:rFonts w:ascii="Times New Roman" w:hAnsi="Times New Roman" w:eastAsia="Times New Roman" w:cs="Times New Roman"/>
          <w:b/>
          <w:color w:val="auto"/>
          <w:szCs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after="160" w:line="259" w:lineRule="auto"/>
        <w:ind w:left="0" w:firstLine="0"/>
        <w:jc w:val="left"/>
        <w:rPr>
          <w:rFonts w:ascii="Times New Roman" w:hAnsi="Times New Roman" w:cs="Times New Roman"/>
        </w:rPr>
      </w:pPr>
      <w:r>
        <w:rPr>
          <w:rFonts w:ascii="Times New Roman" w:hAnsi="Times New Roman" w:cs="Times New Roman"/>
        </w:rPr>
        <w:br w:type="page"/>
      </w:r>
    </w:p>
    <w:p>
      <w:pPr>
        <w:pStyle w:val="2"/>
        <w:rPr>
          <w:rFonts w:cs="Times New Roman"/>
        </w:rPr>
      </w:pPr>
      <w:bookmarkStart w:id="60" w:name="_Toc203101043"/>
      <w:r>
        <w:rPr>
          <w:rFonts w:cs="Times New Roman"/>
        </w:rPr>
        <w:t>REFERENCES</w:t>
      </w:r>
      <w:bookmarkEnd w:id="60"/>
    </w:p>
    <w:p>
      <w:pPr>
        <w:pStyle w:val="9"/>
        <w:ind w:left="720" w:hanging="720"/>
        <w:jc w:val="both"/>
      </w:pPr>
      <w:r>
        <w:t xml:space="preserve">Abdel-Rahman, M. A., Youssif, S. H., &amp; Ebaid, M. H. (2018). Antibacterial activity of water samples: An investigation into the inhibition of bacterial growth using broth dilution method. </w:t>
      </w:r>
      <w:r>
        <w:rPr>
          <w:rStyle w:val="14"/>
          <w:rFonts w:eastAsia="Calibri"/>
        </w:rPr>
        <w:t>Environmental Science &amp; Technology</w:t>
      </w:r>
      <w:r>
        <w:t xml:space="preserve">, </w:t>
      </w:r>
      <w:r>
        <w:rPr>
          <w:rStyle w:val="14"/>
          <w:rFonts w:eastAsia="Calibri"/>
        </w:rPr>
        <w:t>52</w:t>
      </w:r>
      <w:r>
        <w:t>(14), 8432-8438.</w:t>
      </w:r>
    </w:p>
    <w:p>
      <w:pPr>
        <w:pStyle w:val="9"/>
        <w:ind w:left="720" w:hanging="720"/>
        <w:jc w:val="both"/>
      </w:pPr>
      <w:r>
        <w:t xml:space="preserve">Aborisade, W. T., Ajao, A. T., &amp; Sadiq, A. I. (2023). Assessment of surface water quality using phytoplankton as base-line indicator organisms in Ilorin, Kwara State, Nigeria. </w:t>
      </w:r>
      <w:r>
        <w:rPr>
          <w:rStyle w:val="14"/>
          <w:rFonts w:eastAsia="Calibri"/>
        </w:rPr>
        <w:t>Environmental Research Journal</w:t>
      </w:r>
      <w:r>
        <w:t xml:space="preserve">, </w:t>
      </w:r>
      <w:r>
        <w:rPr>
          <w:rStyle w:val="14"/>
          <w:rFonts w:eastAsia="Calibri"/>
        </w:rPr>
        <w:t>20</w:t>
      </w:r>
      <w:r>
        <w:t>(1), 45-58.</w:t>
      </w:r>
    </w:p>
    <w:p>
      <w:pPr>
        <w:pStyle w:val="9"/>
        <w:ind w:left="720" w:hanging="720"/>
        <w:jc w:val="both"/>
      </w:pPr>
      <w:r>
        <w:t xml:space="preserve">Adams, M., Wysocki, K., &amp; Barker, C. (2019). Evaluation of antibacterial activity of different water samples using the Kirby-Bauer disc diffusion method. </w:t>
      </w:r>
      <w:r>
        <w:rPr>
          <w:rStyle w:val="14"/>
          <w:rFonts w:eastAsia="Calibri"/>
        </w:rPr>
        <w:t>Journal of Water and Health</w:t>
      </w:r>
      <w:r>
        <w:t xml:space="preserve">, </w:t>
      </w:r>
      <w:r>
        <w:rPr>
          <w:rStyle w:val="14"/>
          <w:rFonts w:eastAsia="Calibri"/>
        </w:rPr>
        <w:t>17</w:t>
      </w:r>
      <w:r>
        <w:t>(5), 709-715.</w:t>
      </w:r>
    </w:p>
    <w:p>
      <w:pPr>
        <w:pStyle w:val="9"/>
        <w:ind w:left="720" w:hanging="720"/>
        <w:jc w:val="both"/>
      </w:pPr>
      <w:r>
        <w:t xml:space="preserve">Adegoke, O. A., Oluduro, A. O., &amp; Amoo, A. O. (2022). Quality assessment of sachet water in Nigeria: An urgent public health concern. </w:t>
      </w:r>
      <w:r>
        <w:rPr>
          <w:rStyle w:val="14"/>
          <w:rFonts w:eastAsia="Calibri"/>
        </w:rPr>
        <w:t>African Journal of Environmental Science and Technology</w:t>
      </w:r>
      <w:r>
        <w:t xml:space="preserve">, </w:t>
      </w:r>
      <w:r>
        <w:rPr>
          <w:rStyle w:val="14"/>
          <w:rFonts w:eastAsia="Calibri"/>
        </w:rPr>
        <w:t>16</w:t>
      </w:r>
      <w:r>
        <w:t>(3), 85-92. https://doi.org/10.5897/AJEST2022.3059</w:t>
      </w:r>
    </w:p>
    <w:p>
      <w:pPr>
        <w:pStyle w:val="9"/>
        <w:ind w:left="720" w:hanging="720"/>
        <w:jc w:val="both"/>
      </w:pPr>
      <w:r>
        <w:t xml:space="preserve">Adekunle, A. S., Akinyele, B. J., &amp; Adegoke, G. O. (2021). Physicochemical and bacteriological assessment of drinking water from different sources in a developing urban area. </w:t>
      </w:r>
      <w:r>
        <w:rPr>
          <w:rStyle w:val="14"/>
          <w:rFonts w:eastAsia="Calibri"/>
        </w:rPr>
        <w:t>Journal of Environmental Science and Health</w:t>
      </w:r>
      <w:r>
        <w:t xml:space="preserve">, </w:t>
      </w:r>
      <w:r>
        <w:rPr>
          <w:rStyle w:val="14"/>
          <w:rFonts w:eastAsia="Calibri"/>
        </w:rPr>
        <w:t>56</w:t>
      </w:r>
      <w:r>
        <w:t>(9), 1023-1032. https://doi.org/10.1080/10934529.2021.1882113</w:t>
      </w:r>
    </w:p>
    <w:p>
      <w:pPr>
        <w:pStyle w:val="9"/>
        <w:ind w:left="720" w:hanging="720"/>
        <w:jc w:val="both"/>
      </w:pPr>
      <w:r>
        <w:t xml:space="preserve">Adekunle, I. M., Dada, S. O., &amp; Omole, D. O. (2019). Microbiological quality of sachet water brands in Lagos, Nigeria. </w:t>
      </w:r>
      <w:r>
        <w:rPr>
          <w:rStyle w:val="14"/>
          <w:rFonts w:eastAsia="Calibri"/>
        </w:rPr>
        <w:t>International Journal of Environmental Science and Technology</w:t>
      </w:r>
      <w:r>
        <w:t xml:space="preserve">, </w:t>
      </w:r>
      <w:r>
        <w:rPr>
          <w:rStyle w:val="14"/>
          <w:rFonts w:eastAsia="Calibri"/>
        </w:rPr>
        <w:t>16</w:t>
      </w:r>
      <w:r>
        <w:t>(3), 157-164.</w:t>
      </w:r>
    </w:p>
    <w:p>
      <w:pPr>
        <w:pStyle w:val="9"/>
        <w:ind w:left="720" w:hanging="720"/>
        <w:jc w:val="both"/>
      </w:pPr>
      <w:r>
        <w:t xml:space="preserve">Adelakun, O., Ayodeji, S., &amp; Musa, A. (2021). Economic implications of waterborne diseases in rural Nigeria. </w:t>
      </w:r>
      <w:r>
        <w:rPr>
          <w:rStyle w:val="14"/>
          <w:rFonts w:eastAsia="Calibri"/>
        </w:rPr>
        <w:t>Journal of Public Health and Epidemiology</w:t>
      </w:r>
      <w:r>
        <w:t xml:space="preserve">, </w:t>
      </w:r>
      <w:r>
        <w:rPr>
          <w:rStyle w:val="14"/>
          <w:rFonts w:eastAsia="Calibri"/>
        </w:rPr>
        <w:t>13</w:t>
      </w:r>
      <w:r>
        <w:t>(7), 125-132.</w:t>
      </w:r>
    </w:p>
    <w:p>
      <w:pPr>
        <w:pStyle w:val="9"/>
        <w:ind w:left="720" w:hanging="720"/>
        <w:jc w:val="both"/>
      </w:pPr>
      <w:r>
        <w:t xml:space="preserve">Adeniran, A., Daniell, K. A., &amp; Pittock, J. (2021). Water infrastructure development in Nigeria: Trend, size, and purpose. </w:t>
      </w:r>
      <w:r>
        <w:rPr>
          <w:rStyle w:val="14"/>
          <w:rFonts w:eastAsia="Calibri"/>
        </w:rPr>
        <w:t>Water</w:t>
      </w:r>
      <w:r>
        <w:t xml:space="preserve">, </w:t>
      </w:r>
      <w:r>
        <w:rPr>
          <w:rStyle w:val="14"/>
          <w:rFonts w:eastAsia="Calibri"/>
        </w:rPr>
        <w:t>13</w:t>
      </w:r>
      <w:r>
        <w:t>(17), Article 2416. https://doi.org/10.3390/w13172416</w:t>
      </w:r>
    </w:p>
    <w:p>
      <w:pPr>
        <w:pStyle w:val="9"/>
        <w:ind w:left="720" w:hanging="720"/>
        <w:jc w:val="both"/>
      </w:pPr>
      <w:r>
        <w:t xml:space="preserve">Adewuyi, O. E., Adebayo, I. A., &amp; Ogunleye, O. O. (2022). Assessment of water quality in selected rural communities in Southwestern Nigeria. </w:t>
      </w:r>
      <w:r>
        <w:rPr>
          <w:rStyle w:val="14"/>
          <w:rFonts w:eastAsia="Calibri"/>
        </w:rPr>
        <w:t>African Journal of Environmental Science and Technology</w:t>
      </w:r>
      <w:r>
        <w:t xml:space="preserve">, </w:t>
      </w:r>
      <w:r>
        <w:rPr>
          <w:rStyle w:val="14"/>
          <w:rFonts w:eastAsia="Calibri"/>
        </w:rPr>
        <w:t>16</w:t>
      </w:r>
      <w:r>
        <w:t>(3), 145-155.</w:t>
      </w:r>
    </w:p>
    <w:p>
      <w:pPr>
        <w:pStyle w:val="9"/>
        <w:ind w:left="720" w:hanging="720"/>
        <w:jc w:val="both"/>
      </w:pPr>
      <w:r>
        <w:t xml:space="preserve">Ahmed, T., Acharjee, M., Rahman, M. S., Meghla, M. N., Jamal, J., Munshi, S. K., &amp; Noor, R. (2013). Microbiological study of drinking water: Qualitative and quantitative approach. </w:t>
      </w:r>
      <w:r>
        <w:rPr>
          <w:rStyle w:val="14"/>
          <w:rFonts w:eastAsia="Calibri"/>
        </w:rPr>
        <w:t>Stamford University Bangladesh Journal of Microbiology</w:t>
      </w:r>
      <w:r>
        <w:t xml:space="preserve">, </w:t>
      </w:r>
      <w:r>
        <w:rPr>
          <w:rStyle w:val="14"/>
          <w:rFonts w:eastAsia="Calibri"/>
        </w:rPr>
        <w:t>3</w:t>
      </w:r>
      <w:r>
        <w:t>(1), 1-8.</w:t>
      </w:r>
    </w:p>
    <w:p>
      <w:pPr>
        <w:pStyle w:val="9"/>
        <w:ind w:left="720" w:hanging="720"/>
        <w:jc w:val="both"/>
      </w:pPr>
      <w:r>
        <w:t xml:space="preserve">Aiyedun, J. O., Aina, O. O., Oludairo, O. O., &amp; Akanbi, O. B. (2022). Bacteriological analysis of water used in abattoirs within Ilorin metropolis, Kwara State, Nigeria. </w:t>
      </w:r>
      <w:r>
        <w:rPr>
          <w:rStyle w:val="14"/>
          <w:rFonts w:eastAsia="Calibri"/>
        </w:rPr>
        <w:t>Nigerian Journal of Pure and Applied Sciences</w:t>
      </w:r>
      <w:r>
        <w:t xml:space="preserve">, </w:t>
      </w:r>
      <w:r>
        <w:rPr>
          <w:rStyle w:val="14"/>
          <w:rFonts w:eastAsia="Calibri"/>
        </w:rPr>
        <w:t>35</w:t>
      </w:r>
      <w:r>
        <w:t>(2), 4300-4309. https://doi.org/10.48198/njpas/22.a09</w:t>
      </w:r>
    </w:p>
    <w:p>
      <w:pPr>
        <w:pStyle w:val="9"/>
        <w:ind w:left="720" w:hanging="720"/>
        <w:jc w:val="both"/>
      </w:pPr>
      <w:r>
        <w:t xml:space="preserve">Ajisegiri, B., Andrés, L. A., Bhatt, S., Dasgupta, B., Echenique, J. A., Gething, P. W., &amp; Joseph, G. (2019). Geo-spatial modeling of access to water and sanitation in Nigeria. </w:t>
      </w:r>
      <w:r>
        <w:rPr>
          <w:rStyle w:val="14"/>
          <w:rFonts w:eastAsia="Calibri"/>
        </w:rPr>
        <w:t>Journal of Water, Sanitation and Hygiene for Development</w:t>
      </w:r>
      <w:r>
        <w:t xml:space="preserve">, </w:t>
      </w:r>
      <w:r>
        <w:rPr>
          <w:rStyle w:val="14"/>
          <w:rFonts w:eastAsia="Calibri"/>
        </w:rPr>
        <w:t>9</w:t>
      </w:r>
      <w:r>
        <w:t>(2), 258-280. https://doi.org/10.2166/washdev.2019.089</w:t>
      </w:r>
    </w:p>
    <w:p>
      <w:pPr>
        <w:pStyle w:val="9"/>
        <w:ind w:left="720" w:hanging="720"/>
        <w:jc w:val="both"/>
      </w:pPr>
      <w:r>
        <w:t xml:space="preserve">Akinbile, C. O., &amp; Ojo, O. T. (2020). Water quality assessment of sachet water in Lagos, Nigeria. </w:t>
      </w:r>
      <w:r>
        <w:rPr>
          <w:rStyle w:val="14"/>
          <w:rFonts w:eastAsia="Calibri"/>
        </w:rPr>
        <w:t>African Journal of Environmental Science and Technology</w:t>
      </w:r>
      <w:r>
        <w:t xml:space="preserve">, </w:t>
      </w:r>
      <w:r>
        <w:rPr>
          <w:rStyle w:val="14"/>
          <w:rFonts w:eastAsia="Calibri"/>
        </w:rPr>
        <w:t>14</w:t>
      </w:r>
      <w:r>
        <w:t>(6), 225-232.</w:t>
      </w:r>
    </w:p>
    <w:p>
      <w:pPr>
        <w:pStyle w:val="9"/>
        <w:ind w:left="720" w:hanging="720"/>
        <w:jc w:val="both"/>
      </w:pPr>
      <w:r>
        <w:t xml:space="preserve">Akinbile, C. O., Oladele, M. S., &amp; Adedayo, T. (2022). Microbiological assessment of domestic water sources in Nigeria. </w:t>
      </w:r>
      <w:r>
        <w:rPr>
          <w:rStyle w:val="14"/>
          <w:rFonts w:eastAsia="Calibri"/>
        </w:rPr>
        <w:t>Journal of Water and Health</w:t>
      </w:r>
      <w:r>
        <w:t xml:space="preserve">, </w:t>
      </w:r>
      <w:r>
        <w:rPr>
          <w:rStyle w:val="14"/>
          <w:rFonts w:eastAsia="Calibri"/>
        </w:rPr>
        <w:t>20</w:t>
      </w:r>
      <w:r>
        <w:t>(1), 89-99.</w:t>
      </w:r>
    </w:p>
    <w:p>
      <w:pPr>
        <w:pStyle w:val="9"/>
        <w:ind w:left="720" w:hanging="720"/>
        <w:jc w:val="both"/>
      </w:pPr>
      <w:r>
        <w:t xml:space="preserve">AlZaydi, K. M., Pétrier, C., Mousally, S. M., Arab, S. T., &amp; Refat, M. S. (2019). Sonochemical degradation of benzothiophene (BT) in deionized water, natural water, and seawater. </w:t>
      </w:r>
      <w:r>
        <w:rPr>
          <w:rStyle w:val="14"/>
          <w:rFonts w:eastAsia="Calibri"/>
        </w:rPr>
        <w:t>Molecules</w:t>
      </w:r>
      <w:r>
        <w:t xml:space="preserve">, </w:t>
      </w:r>
      <w:r>
        <w:rPr>
          <w:rStyle w:val="14"/>
          <w:rFonts w:eastAsia="Calibri"/>
        </w:rPr>
        <w:t>24</w:t>
      </w:r>
      <w:r>
        <w:t>(2), Article 257. https://doi.org/10.3390/molecules24020257</w:t>
      </w:r>
    </w:p>
    <w:p>
      <w:pPr>
        <w:pStyle w:val="9"/>
        <w:ind w:left="720" w:hanging="720"/>
        <w:jc w:val="both"/>
      </w:pPr>
      <w:r>
        <w:t xml:space="preserve">Amanah, A., Apriyanto, D. R., &amp; Fitriani, H. (2019). Isolation of surveillance pathogenic fungal microbial contaminant on mobile phone. </w:t>
      </w:r>
      <w:r>
        <w:rPr>
          <w:rStyle w:val="14"/>
          <w:rFonts w:eastAsia="Calibri"/>
        </w:rPr>
        <w:t>Open Access Macedonian Journal of Medical Sciences</w:t>
      </w:r>
      <w:r>
        <w:t xml:space="preserve">, </w:t>
      </w:r>
      <w:r>
        <w:rPr>
          <w:rStyle w:val="14"/>
          <w:rFonts w:eastAsia="Calibri"/>
        </w:rPr>
        <w:t>7</w:t>
      </w:r>
      <w:r>
        <w:t>(20), 3493-3496. https://doi.org/10.3889/oamjms.2019.685</w:t>
      </w:r>
    </w:p>
    <w:p>
      <w:pPr>
        <w:pStyle w:val="9"/>
        <w:ind w:left="720" w:hanging="720"/>
        <w:jc w:val="both"/>
      </w:pPr>
      <w:r>
        <w:t xml:space="preserve">Armstrong, L. E., &amp; Johnson, E. C. (2018). Water intake, water balance, and the elusive daily water requirement. </w:t>
      </w:r>
      <w:r>
        <w:rPr>
          <w:rStyle w:val="14"/>
          <w:rFonts w:eastAsia="Calibri"/>
        </w:rPr>
        <w:t>Nutrients</w:t>
      </w:r>
      <w:r>
        <w:t xml:space="preserve">, </w:t>
      </w:r>
      <w:r>
        <w:rPr>
          <w:rStyle w:val="14"/>
          <w:rFonts w:eastAsia="Calibri"/>
        </w:rPr>
        <w:t>10</w:t>
      </w:r>
      <w:r>
        <w:t>(12), Article 1928. https://doi.org/10.3390/nu10121928</w:t>
      </w:r>
    </w:p>
    <w:p>
      <w:pPr>
        <w:pStyle w:val="9"/>
        <w:ind w:left="720" w:hanging="720"/>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14"/>
          <w:rFonts w:eastAsia="Calibri"/>
        </w:rPr>
        <w:t>Separations</w:t>
      </w:r>
      <w:r>
        <w:t xml:space="preserve">, </w:t>
      </w:r>
      <w:r>
        <w:rPr>
          <w:rStyle w:val="14"/>
          <w:rFonts w:eastAsia="Calibri"/>
        </w:rPr>
        <w:t>8</w:t>
      </w:r>
      <w:r>
        <w:t>(10), Article 179. https://doi.org/10.3390/separations8100179</w:t>
      </w:r>
    </w:p>
    <w:p>
      <w:pPr>
        <w:pStyle w:val="9"/>
        <w:ind w:left="720" w:hanging="720"/>
        <w:jc w:val="both"/>
      </w:pPr>
      <w:r>
        <w:t xml:space="preserve">Bello, O. O., Oni, M. O., Bello, T., Fashola, M. O., &amp; Oluwafemi, Y. D. (2020). Microbial quality of utility water at universities in Nigeria. </w:t>
      </w:r>
      <w:r>
        <w:rPr>
          <w:rStyle w:val="14"/>
          <w:rFonts w:eastAsia="Calibri"/>
        </w:rPr>
        <w:t>Malaysian Journal of Microbiology</w:t>
      </w:r>
      <w:r>
        <w:t xml:space="preserve">, </w:t>
      </w:r>
      <w:r>
        <w:rPr>
          <w:rStyle w:val="14"/>
          <w:rFonts w:eastAsia="Calibri"/>
        </w:rPr>
        <w:t>16</w:t>
      </w:r>
      <w:r>
        <w:t>(4), 250-257. https://doi.org/10.21161/mjm.190534</w:t>
      </w:r>
    </w:p>
    <w:p>
      <w:pPr>
        <w:pStyle w:val="9"/>
        <w:ind w:left="720" w:hanging="720"/>
        <w:jc w:val="both"/>
      </w:pPr>
      <w:r>
        <w:t xml:space="preserve">Calente, T. J. N., Calente Santos, G. N., &amp; Nogueira, W. V. (2021). Physical-chemical and microbiological quality of water used for public supply in the municipality of Alvorada D'Oeste, Rondônia, Brazil. </w:t>
      </w:r>
      <w:r>
        <w:rPr>
          <w:rStyle w:val="14"/>
          <w:rFonts w:eastAsia="Calibri"/>
        </w:rPr>
        <w:t>Research, Society and Development</w:t>
      </w:r>
      <w:r>
        <w:t xml:space="preserve">, </w:t>
      </w:r>
      <w:r>
        <w:rPr>
          <w:rStyle w:val="14"/>
          <w:rFonts w:eastAsia="Calibri"/>
        </w:rPr>
        <w:t>10</w:t>
      </w:r>
      <w:r>
        <w:t>(11), Article e345101119357. https://doi.org/10.33448/rsd-v10i11.19357</w:t>
      </w:r>
    </w:p>
    <w:p>
      <w:pPr>
        <w:pStyle w:val="9"/>
        <w:ind w:left="720" w:hanging="720"/>
        <w:jc w:val="both"/>
      </w:pPr>
      <w:r>
        <w:t xml:space="preserve">Chakraborty, S., Andersen, K. H., Visser, A. W., Inomura, K., Follows, M. J., &amp; Riemann, L. (2021). Quantifying nitrogen fixation by heterotrophic bacteria in sinking marine particles. </w:t>
      </w:r>
      <w:r>
        <w:rPr>
          <w:rStyle w:val="14"/>
          <w:rFonts w:eastAsia="Calibri"/>
        </w:rPr>
        <w:t>Nature Communications</w:t>
      </w:r>
      <w:r>
        <w:t xml:space="preserve">, </w:t>
      </w:r>
      <w:r>
        <w:rPr>
          <w:rStyle w:val="14"/>
          <w:rFonts w:eastAsia="Calibri"/>
        </w:rPr>
        <w:t>12</w:t>
      </w:r>
      <w:r>
        <w:t>(1), Article 4085. https://doi.org/10.1038/s41467-021-23875-6</w:t>
      </w:r>
    </w:p>
    <w:p>
      <w:pPr>
        <w:pStyle w:val="9"/>
        <w:ind w:left="720" w:hanging="720"/>
        <w:jc w:val="both"/>
      </w:pPr>
      <w:r>
        <w:t xml:space="preserve">Cruz, B., &amp; Neuer, S. (2019). Heterotrophic bacteria enhance the aggregation of the marine picocyanobacteria Prochlorococcus and Synechococcus. </w:t>
      </w:r>
      <w:r>
        <w:rPr>
          <w:rStyle w:val="14"/>
          <w:rFonts w:eastAsia="Calibri"/>
        </w:rPr>
        <w:t>Frontiers in Microbiology</w:t>
      </w:r>
      <w:r>
        <w:t xml:space="preserve">, </w:t>
      </w:r>
      <w:r>
        <w:rPr>
          <w:rStyle w:val="14"/>
          <w:rFonts w:eastAsia="Calibri"/>
        </w:rPr>
        <w:t>10</w:t>
      </w:r>
      <w:r>
        <w:t>, Article 1864. https://doi.org/10.3389/fmicb.2019.01864</w:t>
      </w:r>
    </w:p>
    <w:p>
      <w:pPr>
        <w:pStyle w:val="9"/>
        <w:ind w:left="720" w:hanging="720"/>
        <w:jc w:val="both"/>
      </w:pPr>
      <w:r>
        <w:t xml:space="preserve">Dada, S. O., Oguntimehin, O. O., &amp; Olabode, T. O. (2020). Assessment of the bacteriological quality of sachet water in Oyo State, Nigeria. </w:t>
      </w:r>
      <w:r>
        <w:rPr>
          <w:rStyle w:val="14"/>
          <w:rFonts w:eastAsia="Calibri"/>
        </w:rPr>
        <w:t>Journal of Environmental Health Science &amp; Engineering</w:t>
      </w:r>
      <w:r>
        <w:t xml:space="preserve">, </w:t>
      </w:r>
      <w:r>
        <w:rPr>
          <w:rStyle w:val="14"/>
          <w:rFonts w:eastAsia="Calibri"/>
        </w:rPr>
        <w:t>18</w:t>
      </w:r>
      <w:r>
        <w:t>(1), 13-19.</w:t>
      </w:r>
    </w:p>
    <w:p>
      <w:pPr>
        <w:pStyle w:val="9"/>
        <w:ind w:left="720" w:hanging="720"/>
        <w:jc w:val="both"/>
      </w:pPr>
      <w:r>
        <w:t xml:space="preserve">Deutsch, J., Riedel, M., Müller, J. D., &amp; Ihlenfeldt, S. (2019). Effects of variation in measurement chain on temperature measurement calibration with resistant temperature sensors. </w:t>
      </w:r>
      <w:r>
        <w:rPr>
          <w:rStyle w:val="14"/>
          <w:rFonts w:eastAsia="Calibri"/>
        </w:rPr>
        <w:t>Journal of Machine Engineering</w:t>
      </w:r>
      <w:r>
        <w:t xml:space="preserve">, </w:t>
      </w:r>
      <w:r>
        <w:rPr>
          <w:rStyle w:val="14"/>
          <w:rFonts w:eastAsia="Calibri"/>
        </w:rPr>
        <w:t>19</w:t>
      </w:r>
      <w:r>
        <w:t>(3), 57-66. https://doi.org/10.5604/01.3001.0013.4080</w:t>
      </w:r>
    </w:p>
    <w:p>
      <w:pPr>
        <w:pStyle w:val="9"/>
        <w:ind w:left="720" w:hanging="720"/>
        <w:jc w:val="both"/>
      </w:pPr>
      <w:r>
        <w:t xml:space="preserve">Edberg, S. C., &amp; Parker, B. C. (2020). The application of PCR for waterborne pathogens: A review. </w:t>
      </w:r>
      <w:r>
        <w:rPr>
          <w:rStyle w:val="14"/>
          <w:rFonts w:eastAsia="Calibri"/>
        </w:rPr>
        <w:t>Environmental Microbiology</w:t>
      </w:r>
      <w:r>
        <w:t xml:space="preserve">, </w:t>
      </w:r>
      <w:r>
        <w:rPr>
          <w:rStyle w:val="14"/>
          <w:rFonts w:eastAsia="Calibri"/>
        </w:rPr>
        <w:t>22</w:t>
      </w:r>
      <w:r>
        <w:t>(3), 1231-1245.</w:t>
      </w:r>
    </w:p>
    <w:p>
      <w:pPr>
        <w:pStyle w:val="9"/>
        <w:ind w:left="720" w:hanging="720"/>
        <w:jc w:val="both"/>
      </w:pPr>
      <w:r>
        <w:t xml:space="preserve">Eze, A. M., &amp; Anurika, N. (2021). Comparative evaluation of the quality of sachet water in Enugu metropolis, Nigeria. </w:t>
      </w:r>
      <w:r>
        <w:rPr>
          <w:rStyle w:val="14"/>
          <w:rFonts w:eastAsia="Calibri"/>
        </w:rPr>
        <w:t>International Journal of Water Resources and Environmental Engineering</w:t>
      </w:r>
      <w:r>
        <w:t xml:space="preserve">, </w:t>
      </w:r>
      <w:r>
        <w:rPr>
          <w:rStyle w:val="14"/>
          <w:rFonts w:eastAsia="Calibri"/>
        </w:rPr>
        <w:t>13</w:t>
      </w:r>
      <w:r>
        <w:t>(4), 215-222. https://doi.org/10.5897/IJWREE2021.0967</w:t>
      </w:r>
    </w:p>
    <w:p>
      <w:pPr>
        <w:pStyle w:val="9"/>
        <w:ind w:left="720" w:hanging="720"/>
        <w:jc w:val="both"/>
      </w:pPr>
      <w:r>
        <w:t xml:space="preserve">Federal Ministry of Health. (2021). </w:t>
      </w:r>
      <w:r>
        <w:rPr>
          <w:rStyle w:val="14"/>
          <w:rFonts w:eastAsia="Calibri"/>
        </w:rPr>
        <w:t>National Cholera Report 2020-2021</w:t>
      </w:r>
      <w:r>
        <w:t>. FMoH Press.</w:t>
      </w:r>
    </w:p>
    <w:p>
      <w:pPr>
        <w:pStyle w:val="9"/>
        <w:ind w:left="720" w:hanging="720"/>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14"/>
          <w:rFonts w:eastAsia="Calibri"/>
        </w:rPr>
        <w:t>Sustainability</w:t>
      </w:r>
      <w:r>
        <w:t xml:space="preserve">, </w:t>
      </w:r>
      <w:r>
        <w:rPr>
          <w:rStyle w:val="14"/>
          <w:rFonts w:eastAsia="Calibri"/>
        </w:rPr>
        <w:t>14</w:t>
      </w:r>
      <w:r>
        <w:t>(3), Article 1769. https://doi.org/10.3390/su14031769</w:t>
      </w:r>
    </w:p>
    <w:p>
      <w:pPr>
        <w:pStyle w:val="9"/>
        <w:ind w:left="720" w:hanging="720"/>
        <w:jc w:val="both"/>
      </w:pPr>
      <w:r>
        <w:t xml:space="preserve">Gana, A., Adeniyi, I. A., Braimoh, S. O., Oguntayo, D., Ibitogbe, E. M., &amp; Ejigboye, P. (2021). Quality assessment of sachet packed water in Omu-Aran, Kwara State. </w:t>
      </w:r>
      <w:r>
        <w:rPr>
          <w:rStyle w:val="14"/>
          <w:rFonts w:eastAsia="Calibri"/>
        </w:rPr>
        <w:t>IOP Conference Series: Materials Science and Engineering</w:t>
      </w:r>
      <w:r>
        <w:t xml:space="preserve">, </w:t>
      </w:r>
      <w:r>
        <w:rPr>
          <w:rStyle w:val="14"/>
          <w:rFonts w:eastAsia="Calibri"/>
        </w:rPr>
        <w:t>1036</w:t>
      </w:r>
      <w:r>
        <w:t>(1), Article 012069. https://doi.org/10.1088/1757-899X/1036/1/012069</w:t>
      </w:r>
    </w:p>
    <w:p>
      <w:pPr>
        <w:pStyle w:val="9"/>
        <w:ind w:left="720" w:hanging="720"/>
        <w:jc w:val="both"/>
      </w:pPr>
      <w:r>
        <w:t xml:space="preserve">Goldoni, D., Ferrari, A., Piccini, M., Cattini, S., Molinari, R., &amp; Rovati, L. (2023). Blood-pH optical measurement: A model to compensate for the effects of temperature. </w:t>
      </w:r>
      <w:r>
        <w:rPr>
          <w:rStyle w:val="14"/>
          <w:rFonts w:eastAsia="Calibri"/>
        </w:rPr>
        <w:t>IEEE Transactions on Instrumentation and Measurement</w:t>
      </w:r>
      <w:r>
        <w:t xml:space="preserve">, </w:t>
      </w:r>
      <w:r>
        <w:rPr>
          <w:rStyle w:val="14"/>
          <w:rFonts w:eastAsia="Calibri"/>
        </w:rPr>
        <w:t>72</w:t>
      </w:r>
      <w:r>
        <w:t>, 1-8. https://doi.org/10.1109/tim.2023.3250282</w:t>
      </w:r>
    </w:p>
    <w:p>
      <w:pPr>
        <w:pStyle w:val="9"/>
        <w:ind w:left="720" w:hanging="720"/>
        <w:jc w:val="both"/>
      </w:pPr>
      <w:r>
        <w:t xml:space="preserve">Helard, D., Indah, S., &amp; Wilandari, M. (2019). Spatial distribution of coliform bacteria in Batang Arau River, Padang, West Sumatera, Indonesia. </w:t>
      </w:r>
      <w:r>
        <w:rPr>
          <w:rStyle w:val="14"/>
          <w:rFonts w:eastAsia="Calibri"/>
        </w:rPr>
        <w:t>IOP Conference Series: Materials Science and Engineering</w:t>
      </w:r>
      <w:r>
        <w:t xml:space="preserve">, </w:t>
      </w:r>
      <w:r>
        <w:rPr>
          <w:rStyle w:val="14"/>
          <w:rFonts w:eastAsia="Calibri"/>
        </w:rPr>
        <w:t>602</w:t>
      </w:r>
      <w:r>
        <w:t>(1), Article 012062. https://doi.org/10.1088/1757-899x/602/1/012062</w:t>
      </w:r>
    </w:p>
    <w:p>
      <w:pPr>
        <w:pStyle w:val="9"/>
        <w:ind w:left="720" w:hanging="720"/>
        <w:jc w:val="both"/>
      </w:pPr>
      <w:r>
        <w:t xml:space="preserve">Ibrahim, M. S., Lawal, M., &amp; Sani, U. (2019). Impact of artisanal mining on water quality in Zamfara State, Nigeria. </w:t>
      </w:r>
      <w:r>
        <w:rPr>
          <w:rStyle w:val="14"/>
          <w:rFonts w:eastAsia="Calibri"/>
        </w:rPr>
        <w:t>Environmental Monitoring and Assessment</w:t>
      </w:r>
      <w:r>
        <w:t xml:space="preserve">, </w:t>
      </w:r>
      <w:r>
        <w:rPr>
          <w:rStyle w:val="14"/>
          <w:rFonts w:eastAsia="Calibri"/>
        </w:rPr>
        <w:t>191</w:t>
      </w:r>
      <w:r>
        <w:t>(5), Article 322.</w:t>
      </w:r>
    </w:p>
    <w:p>
      <w:pPr>
        <w:pStyle w:val="9"/>
        <w:ind w:left="720" w:hanging="720"/>
        <w:jc w:val="both"/>
      </w:pPr>
      <w:r>
        <w:t xml:space="preserve">Igbeneghu, O. A., &amp; Lamikanra, A. (2018). The bacteriological quality of different brands of sachet water in Ibadan, Nigeria. </w:t>
      </w:r>
      <w:r>
        <w:rPr>
          <w:rStyle w:val="14"/>
          <w:rFonts w:eastAsia="Calibri"/>
        </w:rPr>
        <w:t>African Journal of Medicine and Medical Sciences</w:t>
      </w:r>
      <w:r>
        <w:t xml:space="preserve">, </w:t>
      </w:r>
      <w:r>
        <w:rPr>
          <w:rStyle w:val="14"/>
          <w:rFonts w:eastAsia="Calibri"/>
        </w:rPr>
        <w:t>47</w:t>
      </w:r>
      <w:r>
        <w:t>(1), 69-74.</w:t>
      </w:r>
    </w:p>
    <w:p>
      <w:pPr>
        <w:pStyle w:val="9"/>
        <w:ind w:left="720" w:hanging="720"/>
        <w:jc w:val="both"/>
      </w:pPr>
      <w:r>
        <w:t xml:space="preserve">Intriago Zambrano, J. C., Michavila, J., Arenas, E., Diehl, J. C., &amp; Ertsen, M. (2019). Water lifting water: A comprehensive spatiotemporal review on the hydro-powered water pumping technologies. </w:t>
      </w:r>
      <w:r>
        <w:rPr>
          <w:rStyle w:val="14"/>
          <w:rFonts w:eastAsia="Calibri"/>
        </w:rPr>
        <w:t>Water</w:t>
      </w:r>
      <w:r>
        <w:t xml:space="preserve">, </w:t>
      </w:r>
      <w:r>
        <w:rPr>
          <w:rStyle w:val="14"/>
          <w:rFonts w:eastAsia="Calibri"/>
        </w:rPr>
        <w:t>11</w:t>
      </w:r>
      <w:r>
        <w:t>(8), Article 1677. https://doi.org/10.3390/w11081677</w:t>
      </w:r>
    </w:p>
    <w:p>
      <w:pPr>
        <w:pStyle w:val="9"/>
        <w:ind w:left="720" w:hanging="720"/>
        <w:jc w:val="both"/>
      </w:pPr>
      <w:r>
        <w:t xml:space="preserve">Jia, X., Varbanov, P. S., &amp; Wan Alwi, S. R. (2019). Water availability footprint addressing water quality. </w:t>
      </w:r>
      <w:r>
        <w:rPr>
          <w:rStyle w:val="14"/>
          <w:rFonts w:eastAsia="Calibri"/>
        </w:rPr>
        <w:t>Journal of Sustainable Development of Energy, Water and Environment Systems</w:t>
      </w:r>
      <w:r>
        <w:t xml:space="preserve">, </w:t>
      </w:r>
      <w:r>
        <w:rPr>
          <w:rStyle w:val="14"/>
          <w:rFonts w:eastAsia="Calibri"/>
        </w:rPr>
        <w:t>7</w:t>
      </w:r>
      <w:r>
        <w:t>(1), 72-86. https://doi.org/10.13044/j.sdewes.d6.0223</w:t>
      </w:r>
    </w:p>
    <w:p>
      <w:pPr>
        <w:pStyle w:val="9"/>
        <w:ind w:left="720" w:hanging="720"/>
        <w:jc w:val="both"/>
      </w:pPr>
      <w:r>
        <w:t xml:space="preserve">Johnson, E. C., &amp; Adams, W. M. (2020). Water intake, body water regulation, and health. </w:t>
      </w:r>
      <w:r>
        <w:rPr>
          <w:rStyle w:val="14"/>
          <w:rFonts w:eastAsia="Calibri"/>
        </w:rPr>
        <w:t>Nutrients</w:t>
      </w:r>
      <w:r>
        <w:t xml:space="preserve">, </w:t>
      </w:r>
      <w:r>
        <w:rPr>
          <w:rStyle w:val="14"/>
          <w:rFonts w:eastAsia="Calibri"/>
        </w:rPr>
        <w:t>12</w:t>
      </w:r>
      <w:r>
        <w:t>(3), Article 702. https://doi.org/10.3390/nu12030702</w:t>
      </w:r>
    </w:p>
    <w:p>
      <w:pPr>
        <w:pStyle w:val="9"/>
        <w:ind w:left="720" w:hanging="720"/>
        <w:jc w:val="both"/>
      </w:pPr>
      <w:r>
        <w:t xml:space="preserve">Kapusta, Ł. J., Sutkowski, M., Rogóż, R., Zommara, M., &amp; Teodorczyk, A. (2019). Characteristics of water and urea-water solution sprays. </w:t>
      </w:r>
      <w:r>
        <w:rPr>
          <w:rStyle w:val="14"/>
          <w:rFonts w:eastAsia="Calibri"/>
        </w:rPr>
        <w:t>Catalysts</w:t>
      </w:r>
      <w:r>
        <w:t xml:space="preserve">, </w:t>
      </w:r>
      <w:r>
        <w:rPr>
          <w:rStyle w:val="14"/>
          <w:rFonts w:eastAsia="Calibri"/>
        </w:rPr>
        <w:t>9</w:t>
      </w:r>
      <w:r>
        <w:t>(9), Article 750. https://doi.org/10.3390/catal9090750</w:t>
      </w:r>
    </w:p>
    <w:p>
      <w:pPr>
        <w:pStyle w:val="9"/>
        <w:ind w:left="720" w:hanging="720"/>
        <w:jc w:val="both"/>
      </w:pPr>
      <w:r>
        <w:t xml:space="preserve">Kim, B.-S., Youm, S., &amp; Kim, Y.-K. (2020). Measurement of turbidity using an 850 nm light-emitting diode. </w:t>
      </w:r>
      <w:r>
        <w:rPr>
          <w:rStyle w:val="14"/>
          <w:rFonts w:eastAsia="Calibri"/>
        </w:rPr>
        <w:t>Sensors and Materials</w:t>
      </w:r>
      <w:r>
        <w:t xml:space="preserve">, </w:t>
      </w:r>
      <w:r>
        <w:rPr>
          <w:rStyle w:val="14"/>
          <w:rFonts w:eastAsia="Calibri"/>
        </w:rPr>
        <w:t>32</w:t>
      </w:r>
      <w:r>
        <w:t>(12), 4169-4178. https://doi.org/10.18494/sam.2020.2760</w:t>
      </w:r>
    </w:p>
    <w:p>
      <w:pPr>
        <w:pStyle w:val="9"/>
        <w:ind w:left="720" w:hanging="720"/>
        <w:jc w:val="both"/>
      </w:pPr>
      <w:r>
        <w:t xml:space="preserve">Kumar, P. (2021). Water quality assessments for urban water environment. </w:t>
      </w:r>
      <w:r>
        <w:rPr>
          <w:rStyle w:val="14"/>
          <w:rFonts w:eastAsia="Calibri"/>
        </w:rPr>
        <w:t>Water</w:t>
      </w:r>
      <w:r>
        <w:t xml:space="preserve">, </w:t>
      </w:r>
      <w:r>
        <w:rPr>
          <w:rStyle w:val="14"/>
          <w:rFonts w:eastAsia="Calibri"/>
        </w:rPr>
        <w:t>13</w:t>
      </w:r>
      <w:r>
        <w:t>(12), Article 1686. https://doi.org/10.3390/w13121686</w:t>
      </w:r>
    </w:p>
    <w:p>
      <w:pPr>
        <w:pStyle w:val="9"/>
        <w:ind w:left="720" w:hanging="720"/>
        <w:jc w:val="both"/>
      </w:pPr>
      <w:r>
        <w:t xml:space="preserve">Lee, S.-H., Mun, K.-H., Kim, N.-Y.-S., &amp; Kim, J.-B. (2019). Isolation and identification of false positive and false negative strains on coliform dry rehydratable film. </w:t>
      </w:r>
      <w:r>
        <w:rPr>
          <w:rStyle w:val="14"/>
          <w:rFonts w:eastAsia="Calibri"/>
        </w:rPr>
        <w:t>Food Science and Preservation</w:t>
      </w:r>
      <w:r>
        <w:t xml:space="preserve">, </w:t>
      </w:r>
      <w:r>
        <w:rPr>
          <w:rStyle w:val="14"/>
          <w:rFonts w:eastAsia="Calibri"/>
        </w:rPr>
        <w:t>26</w:t>
      </w:r>
      <w:r>
        <w:t>(3), 330-335. https://doi.org/10.11002/kjfp.2019.26.3.330</w:t>
      </w:r>
    </w:p>
    <w:p>
      <w:pPr>
        <w:pStyle w:val="9"/>
        <w:ind w:left="720" w:hanging="720"/>
        <w:jc w:val="both"/>
      </w:pPr>
      <w:r>
        <w:t xml:space="preserve">Liu, H., Ren, L., Zhuo, H. S., &amp; Fu, S. (2019). Water footprint and water pinch analysis in ethanol industrial production for water management. </w:t>
      </w:r>
      <w:r>
        <w:rPr>
          <w:rStyle w:val="14"/>
          <w:rFonts w:eastAsia="Calibri"/>
        </w:rPr>
        <w:t>Water</w:t>
      </w:r>
      <w:r>
        <w:t xml:space="preserve">, </w:t>
      </w:r>
      <w:r>
        <w:rPr>
          <w:rStyle w:val="14"/>
          <w:rFonts w:eastAsia="Calibri"/>
        </w:rPr>
        <w:t>11</w:t>
      </w:r>
      <w:r>
        <w:t>(3), Article 518. https://doi.org/10.3390/w11030518</w:t>
      </w:r>
    </w:p>
    <w:p>
      <w:pPr>
        <w:pStyle w:val="9"/>
        <w:ind w:left="720" w:hanging="720"/>
        <w:jc w:val="both"/>
      </w:pPr>
      <w:r>
        <w:t>Majid, A. (2018). The activity of antioxidants enzymes and NPK contents as affected by water quality, kinetin, bio, and organic fertilization in lettuce (</w:t>
      </w:r>
      <w:r>
        <w:rPr>
          <w:rStyle w:val="14"/>
          <w:rFonts w:eastAsia="Calibri"/>
        </w:rPr>
        <w:t>Lactuca sativa</w:t>
      </w:r>
      <w:r>
        <w:t xml:space="preserve"> L.). </w:t>
      </w:r>
      <w:r>
        <w:rPr>
          <w:rStyle w:val="14"/>
          <w:rFonts w:eastAsia="Calibri"/>
        </w:rPr>
        <w:t>Iraqi Journal of Agricultural Science</w:t>
      </w:r>
      <w:r>
        <w:t xml:space="preserve">, </w:t>
      </w:r>
      <w:r>
        <w:rPr>
          <w:rStyle w:val="14"/>
          <w:rFonts w:eastAsia="Calibri"/>
        </w:rPr>
        <w:t>49</w:t>
      </w:r>
      <w:r>
        <w:t>(3), 408-415. https://doi.org/10.36103/ijas.v49i3.123</w:t>
      </w:r>
    </w:p>
    <w:p>
      <w:pPr>
        <w:pStyle w:val="9"/>
        <w:ind w:left="720" w:hanging="720"/>
        <w:jc w:val="both"/>
      </w:pPr>
      <w:r>
        <w:t xml:space="preserve">McDonald, N., Achterberg, E. P., Carlson, C. A., Gledhill, M., Liu, S., Matheson-Barker, J. R., &amp; Parsons, R. (2019). The role of heterotrophic bacteria and archaea in the transformation of lignin in the open ocean. </w:t>
      </w:r>
      <w:r>
        <w:rPr>
          <w:rStyle w:val="14"/>
          <w:rFonts w:eastAsia="Calibri"/>
        </w:rPr>
        <w:t>Frontiers in Marine Science</w:t>
      </w:r>
      <w:r>
        <w:t xml:space="preserve">, </w:t>
      </w:r>
      <w:r>
        <w:rPr>
          <w:rStyle w:val="14"/>
          <w:rFonts w:eastAsia="Calibri"/>
        </w:rPr>
        <w:t>6</w:t>
      </w:r>
      <w:r>
        <w:t>, Article 743. https://doi.org/10.3389/fmars.2019.00743</w:t>
      </w:r>
    </w:p>
    <w:p>
      <w:pPr>
        <w:pStyle w:val="9"/>
        <w:ind w:left="720" w:hanging="720"/>
        <w:jc w:val="both"/>
      </w:pPr>
      <w:r>
        <w:t xml:space="preserve">Mennane, Z., Abrini, J., &amp; El Mtili, N. (2021). Hygienic quality, study of enterobacteria isolated from table olives and antimicrobial activity of </w:t>
      </w:r>
      <w:r>
        <w:rPr>
          <w:rStyle w:val="14"/>
          <w:rFonts w:eastAsia="Calibri"/>
        </w:rPr>
        <w:t>Olea europaea</w:t>
      </w:r>
      <w:r>
        <w:t xml:space="preserve"> L. from Tetouan, Morocco. </w:t>
      </w:r>
      <w:r>
        <w:rPr>
          <w:rStyle w:val="14"/>
          <w:rFonts w:eastAsia="Calibri"/>
        </w:rPr>
        <w:t>E3S Web of Conferences</w:t>
      </w:r>
      <w:r>
        <w:t xml:space="preserve">, </w:t>
      </w:r>
      <w:r>
        <w:rPr>
          <w:rStyle w:val="14"/>
          <w:rFonts w:eastAsia="Calibri"/>
        </w:rPr>
        <w:t>319</w:t>
      </w:r>
      <w:r>
        <w:t>, Article 01088. https://doi.org/10.1051/e3sconf/202131901088</w:t>
      </w:r>
    </w:p>
    <w:p>
      <w:pPr>
        <w:pStyle w:val="9"/>
        <w:ind w:left="720" w:hanging="720"/>
        <w:jc w:val="both"/>
      </w:pPr>
      <w:r>
        <w:t xml:space="preserve">Morley, M. S., &amp; Savić, D. (2020). Water resource systems analysis for water scarcity management: The Thames Water case study. </w:t>
      </w:r>
      <w:r>
        <w:rPr>
          <w:rStyle w:val="14"/>
          <w:rFonts w:eastAsia="Calibri"/>
        </w:rPr>
        <w:t>Water</w:t>
      </w:r>
      <w:r>
        <w:t xml:space="preserve">, </w:t>
      </w:r>
      <w:r>
        <w:rPr>
          <w:rStyle w:val="14"/>
          <w:rFonts w:eastAsia="Calibri"/>
        </w:rPr>
        <w:t>12</w:t>
      </w:r>
      <w:r>
        <w:t>(6), Article 1761. https://doi.org/10.3390/w12061761</w:t>
      </w:r>
    </w:p>
    <w:p>
      <w:pPr>
        <w:pStyle w:val="9"/>
        <w:ind w:left="720" w:hanging="720"/>
        <w:jc w:val="both"/>
      </w:pPr>
      <w:r>
        <w:t xml:space="preserve">Mourad, K. A. (2020). A water compact for sustainable water management. </w:t>
      </w:r>
      <w:r>
        <w:rPr>
          <w:rStyle w:val="14"/>
          <w:rFonts w:eastAsia="Calibri"/>
        </w:rPr>
        <w:t>Sustainability</w:t>
      </w:r>
      <w:r>
        <w:t xml:space="preserve">, </w:t>
      </w:r>
      <w:r>
        <w:rPr>
          <w:rStyle w:val="14"/>
          <w:rFonts w:eastAsia="Calibri"/>
        </w:rPr>
        <w:t>12</w:t>
      </w:r>
      <w:r>
        <w:t>(18), Article 7339. https://doi.org/10.3390/su12187339</w:t>
      </w:r>
    </w:p>
    <w:p>
      <w:pPr>
        <w:pStyle w:val="9"/>
        <w:ind w:left="720" w:hanging="720"/>
        <w:jc w:val="both"/>
      </w:pPr>
      <w:r>
        <w:t xml:space="preserve">Myles, I. A., &amp; Hope, J. M. (2019). PCR-based detection of pathogens in environmental water samples: A comparison of methodologies. </w:t>
      </w:r>
      <w:r>
        <w:rPr>
          <w:rStyle w:val="14"/>
          <w:rFonts w:eastAsia="Calibri"/>
        </w:rPr>
        <w:t>Applied and Environmental Microbiology</w:t>
      </w:r>
      <w:r>
        <w:t xml:space="preserve">, </w:t>
      </w:r>
      <w:r>
        <w:rPr>
          <w:rStyle w:val="14"/>
          <w:rFonts w:eastAsia="Calibri"/>
        </w:rPr>
        <w:t>85</w:t>
      </w:r>
      <w:r>
        <w:t>(6), e00001-19.</w:t>
      </w:r>
    </w:p>
    <w:p>
      <w:pPr>
        <w:pStyle w:val="9"/>
        <w:ind w:left="720" w:hanging="720"/>
        <w:jc w:val="both"/>
      </w:pPr>
      <w:r>
        <w:t xml:space="preserve">Nwachukwu, M. I., &amp; Umeh, A. C. (2022). Physicochemical and microbiological quality of packaged drinking water sold in Owerri, Nigeria. </w:t>
      </w:r>
      <w:r>
        <w:rPr>
          <w:rStyle w:val="14"/>
          <w:rFonts w:eastAsia="Calibri"/>
        </w:rPr>
        <w:t>Scientific African</w:t>
      </w:r>
      <w:r>
        <w:t xml:space="preserve">, </w:t>
      </w:r>
      <w:r>
        <w:rPr>
          <w:rStyle w:val="14"/>
          <w:rFonts w:eastAsia="Calibri"/>
        </w:rPr>
        <w:t>15</w:t>
      </w:r>
      <w:r>
        <w:t>, Article e01031. https://doi.org/10.1016/j.sciaf.2022.e01031</w:t>
      </w:r>
    </w:p>
    <w:p>
      <w:pPr>
        <w:pStyle w:val="9"/>
        <w:ind w:left="720" w:hanging="720"/>
        <w:jc w:val="both"/>
      </w:pPr>
      <w:r>
        <w:t xml:space="preserve">Ogundele, A. A., Omotayo, M. I., &amp; Akintunde, O. E. (2021). Seasonal variations in the turbidity of water sources in Southwestern Nigeria. </w:t>
      </w:r>
      <w:r>
        <w:rPr>
          <w:rStyle w:val="14"/>
          <w:rFonts w:eastAsia="Calibri"/>
        </w:rPr>
        <w:t>Hydrology Research Journal</w:t>
      </w:r>
      <w:r>
        <w:t xml:space="preserve">, </w:t>
      </w:r>
      <w:r>
        <w:rPr>
          <w:rStyle w:val="14"/>
          <w:rFonts w:eastAsia="Calibri"/>
        </w:rPr>
        <w:t>12</w:t>
      </w:r>
      <w:r>
        <w:t>(2), 201-212.</w:t>
      </w:r>
    </w:p>
    <w:p>
      <w:pPr>
        <w:pStyle w:val="9"/>
        <w:ind w:left="720" w:hanging="720"/>
        <w:jc w:val="both"/>
      </w:pPr>
      <w:r>
        <w:t xml:space="preserve">Ogungbe, O., Fashola, A. A., &amp; Oduola, A. (2022). Climate change and water resource challenges in Nigeria: A review. </w:t>
      </w:r>
      <w:r>
        <w:rPr>
          <w:rStyle w:val="14"/>
          <w:rFonts w:eastAsia="Calibri"/>
        </w:rPr>
        <w:t>Environmental Sustainability Journal</w:t>
      </w:r>
      <w:r>
        <w:t xml:space="preserve">, </w:t>
      </w:r>
      <w:r>
        <w:rPr>
          <w:rStyle w:val="14"/>
          <w:rFonts w:eastAsia="Calibri"/>
        </w:rPr>
        <w:t>7</w:t>
      </w:r>
      <w:r>
        <w:t>(1), 34-49.</w:t>
      </w:r>
    </w:p>
    <w:p>
      <w:pPr>
        <w:pStyle w:val="9"/>
        <w:ind w:left="720" w:hanging="720"/>
        <w:jc w:val="both"/>
      </w:pPr>
      <w:r>
        <w:t xml:space="preserve">Ogunjobi, A. O., &amp; Ayodele, M. M. (2021). Challenges in the regulation of sachet water production in Nigeria. </w:t>
      </w:r>
      <w:r>
        <w:rPr>
          <w:rStyle w:val="14"/>
          <w:rFonts w:eastAsia="Calibri"/>
        </w:rPr>
        <w:t>Journal of Water and Health</w:t>
      </w:r>
      <w:r>
        <w:t xml:space="preserve">, </w:t>
      </w:r>
      <w:r>
        <w:rPr>
          <w:rStyle w:val="14"/>
          <w:rFonts w:eastAsia="Calibri"/>
        </w:rPr>
        <w:t>19</w:t>
      </w:r>
      <w:r>
        <w:t>(2), 251-259.</w:t>
      </w:r>
    </w:p>
    <w:p>
      <w:pPr>
        <w:pStyle w:val="9"/>
        <w:ind w:left="720" w:hanging="720"/>
        <w:jc w:val="both"/>
      </w:pPr>
      <w:r>
        <w:t xml:space="preserve">Ojekunle, O. Z., Adedapo, M. O., &amp; Akinola, S. O. (2020). Eutrophication and its impact on aquatic biodiversity in Ogun River. </w:t>
      </w:r>
      <w:r>
        <w:rPr>
          <w:rStyle w:val="14"/>
          <w:rFonts w:eastAsia="Calibri"/>
        </w:rPr>
        <w:t>Nigerian Journal of Environmental Studies</w:t>
      </w:r>
      <w:r>
        <w:t xml:space="preserve">, </w:t>
      </w:r>
      <w:r>
        <w:rPr>
          <w:rStyle w:val="14"/>
          <w:rFonts w:eastAsia="Calibri"/>
        </w:rPr>
        <w:t>15</w:t>
      </w:r>
      <w:r>
        <w:t>(4), 250-267.</w:t>
      </w:r>
    </w:p>
    <w:p>
      <w:pPr>
        <w:pStyle w:val="9"/>
        <w:ind w:left="720" w:hanging="720"/>
        <w:jc w:val="both"/>
      </w:pPr>
      <w:r>
        <w:t xml:space="preserve">Okeola, F. O., Abu, T., Mohammed, A. A., Orosun, M. M., Obinaike, M., &amp; Mariam, A. (2021). Investigation on the storage stability of packaged water commonly produced in Ilorin Metropolis, Kwara State, Nigeria. </w:t>
      </w:r>
      <w:r>
        <w:rPr>
          <w:rStyle w:val="14"/>
          <w:rFonts w:eastAsia="Calibri"/>
        </w:rPr>
        <w:t>Research Square</w:t>
      </w:r>
      <w:r>
        <w:t>. https://doi.org/10.21203/rs.3.rs-848220/v1</w:t>
      </w:r>
    </w:p>
    <w:p>
      <w:pPr>
        <w:pStyle w:val="9"/>
        <w:ind w:left="720" w:hanging="720"/>
        <w:jc w:val="both"/>
      </w:pPr>
      <w:r>
        <w:t xml:space="preserve">Okonko, I. O., Adejoye, O. D., Ogunnusi, T. A., Fajobi, E. A., &amp; Shittu, O. B. (2020). Microbiological and physicochemical analysis of different sachet water brands in Abeokuta, Nigeria. </w:t>
      </w:r>
      <w:r>
        <w:rPr>
          <w:rStyle w:val="14"/>
          <w:rFonts w:eastAsia="Calibri"/>
        </w:rPr>
        <w:t>African Journal of Biotechnology</w:t>
      </w:r>
      <w:r>
        <w:t xml:space="preserve">, </w:t>
      </w:r>
      <w:r>
        <w:rPr>
          <w:rStyle w:val="14"/>
          <w:rFonts w:eastAsia="Calibri"/>
        </w:rPr>
        <w:t>19</w:t>
      </w:r>
      <w:r>
        <w:t>(22), 1137-1145. https://doi.org/10.5897/AJB2020.17221</w:t>
      </w:r>
    </w:p>
    <w:p>
      <w:pPr>
        <w:pStyle w:val="9"/>
        <w:ind w:left="720" w:hanging="720"/>
        <w:jc w:val="both"/>
      </w:pPr>
      <w:r>
        <w:t xml:space="preserve">Olaoye, O. A., &amp; Onilude, A. A. (2020). Microbiological quality of sachet-packaged drinking water in Western Nigeria and its public health significance. </w:t>
      </w:r>
      <w:r>
        <w:rPr>
          <w:rStyle w:val="14"/>
          <w:rFonts w:eastAsia="Calibri"/>
        </w:rPr>
        <w:t>Public Health Research</w:t>
      </w:r>
      <w:r>
        <w:t xml:space="preserve">, </w:t>
      </w:r>
      <w:r>
        <w:rPr>
          <w:rStyle w:val="14"/>
          <w:rFonts w:eastAsia="Calibri"/>
        </w:rPr>
        <w:t>10</w:t>
      </w:r>
      <w:r>
        <w:t>(1), 1-7. https://doi.org/10.5923/j.phr.20201001.01</w:t>
      </w:r>
    </w:p>
    <w:p>
      <w:pPr>
        <w:pStyle w:val="9"/>
        <w:ind w:left="720" w:hanging="720"/>
        <w:jc w:val="both"/>
      </w:pPr>
      <w:r>
        <w:t xml:space="preserve">Otobrise, C., Azuh, T. C., Mmakwe, E. I., Ogbakpa, E., &amp; Tolorun, C. O. (2021). Physicochemical characteristics of selected sachet and bottled water in Abraka, Delta State. </w:t>
      </w:r>
      <w:r>
        <w:rPr>
          <w:rStyle w:val="14"/>
          <w:rFonts w:eastAsia="Calibri"/>
        </w:rPr>
        <w:t>Nigerian Journal of Engineering Science and Technology Research</w:t>
      </w:r>
      <w:r>
        <w:t xml:space="preserve">, </w:t>
      </w:r>
      <w:r>
        <w:rPr>
          <w:rStyle w:val="14"/>
          <w:rFonts w:eastAsia="Calibri"/>
        </w:rPr>
        <w:t>5</w:t>
      </w:r>
      <w:r>
        <w:t>(1), 47-56. https://doi.org/10.36263/nijest.2021.01.0248</w:t>
      </w:r>
    </w:p>
    <w:p>
      <w:pPr>
        <w:pStyle w:val="9"/>
        <w:ind w:left="720" w:hanging="720"/>
        <w:jc w:val="both"/>
      </w:pPr>
      <w:r>
        <w:t xml:space="preserve">Pei, X., Meng, C., Li, M., Yang, W., &amp; Zhou, P. (2019). Measurement of soil electrical conductivity based on direct digital synthesizer (DDS) and digital oscilloscope. </w:t>
      </w:r>
      <w:r>
        <w:rPr>
          <w:rStyle w:val="14"/>
          <w:rFonts w:eastAsia="Calibri"/>
        </w:rPr>
        <w:t>International Journal of Agricultural and Biological Engineering</w:t>
      </w:r>
      <w:r>
        <w:t xml:space="preserve">, </w:t>
      </w:r>
      <w:r>
        <w:rPr>
          <w:rStyle w:val="14"/>
          <w:rFonts w:eastAsia="Calibri"/>
        </w:rPr>
        <w:t>12</w:t>
      </w:r>
      <w:r>
        <w:t>(6), 162-168. https://doi.org/10.25165/j.ijabe.20191205.4840</w:t>
      </w:r>
    </w:p>
    <w:p>
      <w:pPr>
        <w:pStyle w:val="9"/>
        <w:ind w:left="720" w:hanging="720"/>
        <w:jc w:val="both"/>
      </w:pPr>
      <w:r>
        <w:t xml:space="preserve">Posacka, A., Semeniuk, D. M., &amp; Maldonado, M. T. (2019). Effects of copper availability on the physiology of marine heterotrophic bacteria. </w:t>
      </w:r>
      <w:r>
        <w:rPr>
          <w:rStyle w:val="14"/>
          <w:rFonts w:eastAsia="Calibri"/>
        </w:rPr>
        <w:t>Frontiers in Marine Science</w:t>
      </w:r>
      <w:r>
        <w:t xml:space="preserve">, </w:t>
      </w:r>
      <w:r>
        <w:rPr>
          <w:rStyle w:val="14"/>
          <w:rFonts w:eastAsia="Calibri"/>
        </w:rPr>
        <w:t>5</w:t>
      </w:r>
      <w:r>
        <w:t>, Article 523. https://doi.org/10.3389/fmars.2018.00523</w:t>
      </w:r>
    </w:p>
    <w:p>
      <w:pPr>
        <w:pStyle w:val="9"/>
        <w:ind w:left="720" w:hanging="720"/>
        <w:jc w:val="both"/>
      </w:pPr>
      <w:r>
        <w:t xml:space="preserve">Qiuhua, S., Wang, X., Enfeng, C., &amp; Ma, Z. (2019). Comparative study on test methods of total coliforms in domestic drinking water. </w:t>
      </w:r>
      <w:r>
        <w:rPr>
          <w:rStyle w:val="14"/>
          <w:rFonts w:eastAsia="Calibri"/>
        </w:rPr>
        <w:t>IOP Conference Series: Earth and Environmental Science</w:t>
      </w:r>
      <w:r>
        <w:t xml:space="preserve">, </w:t>
      </w:r>
      <w:r>
        <w:rPr>
          <w:rStyle w:val="14"/>
          <w:rFonts w:eastAsia="Calibri"/>
        </w:rPr>
        <w:t>310</w:t>
      </w:r>
      <w:r>
        <w:t>(4), Article 042002. https://doi.org/10.1088/1755-1315/310/4/042002</w:t>
      </w:r>
    </w:p>
    <w:p>
      <w:pPr>
        <w:pStyle w:val="9"/>
        <w:ind w:left="720" w:hanging="720"/>
        <w:jc w:val="both"/>
      </w:pPr>
      <w:r>
        <w:t xml:space="preserve">Rusova, D. A., &amp; Martyushev, L. M. (2019). Thermal dendrites on the surface of water and water solution. </w:t>
      </w:r>
      <w:r>
        <w:rPr>
          <w:rStyle w:val="14"/>
          <w:rFonts w:eastAsia="Calibri"/>
        </w:rPr>
        <w:t>AIP Conference Proceedings</w:t>
      </w:r>
      <w:r>
        <w:t xml:space="preserve">, </w:t>
      </w:r>
      <w:r>
        <w:rPr>
          <w:rStyle w:val="14"/>
          <w:rFonts w:eastAsia="Calibri"/>
        </w:rPr>
        <w:t>2171</w:t>
      </w:r>
      <w:r>
        <w:t>(1), Article 030024. https://doi.org/10.1063/1.5134313</w:t>
      </w:r>
    </w:p>
    <w:p>
      <w:pPr>
        <w:pStyle w:val="9"/>
        <w:ind w:left="720" w:hanging="720"/>
        <w:jc w:val="both"/>
      </w:pPr>
      <w:r>
        <w:t xml:space="preserve">Saheed, D. O., Ajibola, I. M., &amp; Adedoyin, L. (2021). Efficacy of audit fee on audit quality of selected pharmaceutical firms in Nigeria. </w:t>
      </w:r>
      <w:r>
        <w:rPr>
          <w:rStyle w:val="14"/>
          <w:rFonts w:eastAsia="Calibri"/>
        </w:rPr>
        <w:t>Copernican Journal of Finance and Accounting</w:t>
      </w:r>
      <w:r>
        <w:t xml:space="preserve">, </w:t>
      </w:r>
      <w:r>
        <w:rPr>
          <w:rStyle w:val="14"/>
          <w:rFonts w:eastAsia="Calibri"/>
        </w:rPr>
        <w:t>10</w:t>
      </w:r>
      <w:r>
        <w:t>(1), 53-66. https://doi.org/10.12775/cjfa.2021.003</w:t>
      </w:r>
    </w:p>
    <w:p>
      <w:pPr>
        <w:pStyle w:val="9"/>
        <w:ind w:left="720" w:hanging="720"/>
        <w:jc w:val="both"/>
      </w:pPr>
      <w:r>
        <w:t xml:space="preserve">Sanni, E. O., Olawumi, H. O., Durotoye, I. A., Olanrewaju, T. O., Babatunde, A. S., Shittu, O. A., &amp; Adepoju, A. M. (2022). Functional iron status of chronic kidney disease patients at the University of Ilorin Teaching Hospital, Ilorin, Nigeria. </w:t>
      </w:r>
      <w:r>
        <w:rPr>
          <w:rStyle w:val="14"/>
          <w:rFonts w:eastAsia="Calibri"/>
        </w:rPr>
        <w:t>African Health Sciences</w:t>
      </w:r>
      <w:r>
        <w:t xml:space="preserve">, </w:t>
      </w:r>
      <w:r>
        <w:rPr>
          <w:rStyle w:val="14"/>
          <w:rFonts w:eastAsia="Calibri"/>
        </w:rPr>
        <w:t>22</w:t>
      </w:r>
      <w:r>
        <w:t>(3), 718-725. https://doi.org/10.4314/ahs.v22i3.77</w:t>
      </w:r>
    </w:p>
    <w:p>
      <w:pPr>
        <w:pStyle w:val="9"/>
        <w:ind w:left="720" w:hanging="720"/>
        <w:jc w:val="both"/>
      </w:pPr>
      <w:r>
        <w:t xml:space="preserve">Sério, J., Marques, A. P., Huertas, R., Crespo, J. G., &amp; Pereira, V. J. (2023). Occurrence and treatment of antibiotic-resistant bacteria present in surface water. </w:t>
      </w:r>
      <w:r>
        <w:rPr>
          <w:rStyle w:val="14"/>
          <w:rFonts w:eastAsia="Calibri"/>
        </w:rPr>
        <w:t>Membranes</w:t>
      </w:r>
      <w:r>
        <w:t xml:space="preserve">, </w:t>
      </w:r>
      <w:r>
        <w:rPr>
          <w:rStyle w:val="14"/>
          <w:rFonts w:eastAsia="Calibri"/>
        </w:rPr>
        <w:t>13</w:t>
      </w:r>
      <w:r>
        <w:t>(4), Article 425. https://doi.org/10.3390/membranes13040425</w:t>
      </w:r>
    </w:p>
    <w:p>
      <w:pPr>
        <w:pStyle w:val="9"/>
        <w:ind w:left="720" w:hanging="720"/>
        <w:jc w:val="both"/>
      </w:pPr>
      <w:r>
        <w:t xml:space="preserve">Setiaji, J., Feliatra, F., Teruna, H. Y., &amp; Lukistyowati, I. (2019). Antimicrobial agents derived from heterotrophic bacteria against pathogenic bacteria. </w:t>
      </w:r>
      <w:r>
        <w:rPr>
          <w:rStyle w:val="14"/>
          <w:rFonts w:eastAsia="Calibri"/>
        </w:rPr>
        <w:t>IOP Conference Series: Earth and Environmental Science</w:t>
      </w:r>
      <w:r>
        <w:t xml:space="preserve">, </w:t>
      </w:r>
      <w:r>
        <w:rPr>
          <w:rStyle w:val="14"/>
          <w:rFonts w:eastAsia="Calibri"/>
        </w:rPr>
        <w:t>348</w:t>
      </w:r>
      <w:r>
        <w:t>(1), Article 012029. https://doi.org/10.1088/1755-1315/348/1/012029</w:t>
      </w:r>
    </w:p>
    <w:p>
      <w:pPr>
        <w:pStyle w:val="9"/>
        <w:ind w:left="720" w:hanging="720"/>
        <w:jc w:val="both"/>
      </w:pPr>
      <w:r>
        <w:t xml:space="preserve">Shiru, M. S., Shahid, S., &amp; Park, I.-H. (2021). Projection of water availability and sustainability in Nigeria due to climate change. </w:t>
      </w:r>
      <w:r>
        <w:rPr>
          <w:rStyle w:val="14"/>
          <w:rFonts w:eastAsia="Calibri"/>
        </w:rPr>
        <w:t>Sustainability</w:t>
      </w:r>
      <w:r>
        <w:t xml:space="preserve">, </w:t>
      </w:r>
      <w:r>
        <w:rPr>
          <w:rStyle w:val="14"/>
          <w:rFonts w:eastAsia="Calibri"/>
        </w:rPr>
        <w:t>13</w:t>
      </w:r>
      <w:r>
        <w:t>(11), Article 6284. https://doi.org/10.3390/su13116284</w:t>
      </w:r>
    </w:p>
    <w:p>
      <w:pPr>
        <w:pStyle w:val="9"/>
        <w:ind w:left="720" w:hanging="720"/>
        <w:jc w:val="both"/>
      </w:pPr>
      <w:r>
        <w:t xml:space="preserve">Silva, M., Inza, I., &amp; Figueras, M. J. (2023). Heterotrophic plate count can predict the presence of </w:t>
      </w:r>
      <w:r>
        <w:rPr>
          <w:rStyle w:val="14"/>
          <w:rFonts w:eastAsia="Calibri"/>
        </w:rPr>
        <w:t>Legionella</w:t>
      </w:r>
      <w:r>
        <w:t xml:space="preserve"> spp. in cooling towers. </w:t>
      </w:r>
      <w:r>
        <w:rPr>
          <w:rStyle w:val="14"/>
          <w:rFonts w:eastAsia="Calibri"/>
        </w:rPr>
        <w:t>Pathogens</w:t>
      </w:r>
      <w:r>
        <w:t xml:space="preserve">, </w:t>
      </w:r>
      <w:r>
        <w:rPr>
          <w:rStyle w:val="14"/>
          <w:rFonts w:eastAsia="Calibri"/>
        </w:rPr>
        <w:t>12</w:t>
      </w:r>
      <w:r>
        <w:t>(3), Article 466. https://doi.org/10.3390/pathogens12030466</w:t>
      </w:r>
    </w:p>
    <w:p>
      <w:pPr>
        <w:pStyle w:val="9"/>
        <w:ind w:left="720" w:hanging="720"/>
        <w:jc w:val="both"/>
      </w:pPr>
      <w:r>
        <w:t xml:space="preserve">Solaiman, S., Allard, S., Callahan, M. T., Jiang, C., Handy, E. T., East, C., &amp; Micallef, S. A. (2020). Longitudinal assessment of the dynamics of </w:t>
      </w:r>
      <w:r>
        <w:rPr>
          <w:rStyle w:val="14"/>
          <w:rFonts w:eastAsia="Calibri"/>
        </w:rPr>
        <w:t>Escherichia coli</w:t>
      </w:r>
      <w:r>
        <w:t xml:space="preserve">, total coliforms, </w:t>
      </w:r>
      <w:r>
        <w:rPr>
          <w:rStyle w:val="14"/>
          <w:rFonts w:eastAsia="Calibri"/>
        </w:rPr>
        <w:t>Enterococcus</w:t>
      </w:r>
      <w:r>
        <w:t xml:space="preserve"> spp., and </w:t>
      </w:r>
      <w:r>
        <w:rPr>
          <w:rStyle w:val="14"/>
          <w:rFonts w:eastAsia="Calibri"/>
        </w:rPr>
        <w:t>Aeromonas</w:t>
      </w:r>
      <w:r>
        <w:t xml:space="preserve"> spp. in alternative irrigation water sources: A CONSERVE study. </w:t>
      </w:r>
      <w:r>
        <w:rPr>
          <w:rStyle w:val="14"/>
          <w:rFonts w:eastAsia="Calibri"/>
        </w:rPr>
        <w:t>Applied and Environmental Microbiology</w:t>
      </w:r>
      <w:r>
        <w:t xml:space="preserve">, </w:t>
      </w:r>
      <w:r>
        <w:rPr>
          <w:rStyle w:val="14"/>
          <w:rFonts w:eastAsia="Calibri"/>
        </w:rPr>
        <w:t>86</w:t>
      </w:r>
      <w:r>
        <w:t>(20), Article e00342-20. https://doi.org/10.1128/aem.00342-20</w:t>
      </w:r>
    </w:p>
    <w:p>
      <w:pPr>
        <w:pStyle w:val="9"/>
        <w:ind w:left="720" w:hanging="720"/>
        <w:jc w:val="both"/>
      </w:pPr>
      <w:r>
        <w:t xml:space="preserve">Venter, M., Wright, J. D., &amp; Adams, R. (2019). Exploring the use of next-generation sequencing for microbial community analysis of waterborne pathogens. </w:t>
      </w:r>
      <w:r>
        <w:rPr>
          <w:rStyle w:val="14"/>
          <w:rFonts w:eastAsia="Calibri"/>
        </w:rPr>
        <w:t>Journal of Applied Microbiology</w:t>
      </w:r>
      <w:r>
        <w:t xml:space="preserve">, </w:t>
      </w:r>
      <w:r>
        <w:rPr>
          <w:rStyle w:val="14"/>
          <w:rFonts w:eastAsia="Calibri"/>
        </w:rPr>
        <w:t>127</w:t>
      </w:r>
      <w:r>
        <w:t>(5), 1303-1314.</w:t>
      </w:r>
    </w:p>
    <w:p>
      <w:pPr>
        <w:pStyle w:val="9"/>
        <w:ind w:left="720" w:hanging="720"/>
        <w:jc w:val="both"/>
      </w:pPr>
      <w:r>
        <w:t xml:space="preserve">World Health Organization. (2017). </w:t>
      </w:r>
      <w:r>
        <w:rPr>
          <w:rStyle w:val="14"/>
          <w:rFonts w:eastAsia="Calibri"/>
        </w:rPr>
        <w:t>Guidelines for drinking-water quality</w:t>
      </w:r>
      <w:r>
        <w:t xml:space="preserve"> (4th ed., incorporating the 1st addendum). https://www.who.int/publications/i/item/9789241549950</w:t>
      </w:r>
    </w:p>
    <w:p>
      <w:pPr>
        <w:pStyle w:val="9"/>
        <w:ind w:left="720" w:hanging="720"/>
        <w:jc w:val="both"/>
      </w:pPr>
      <w:r>
        <w:t xml:space="preserve">World Health Organization. (2023). </w:t>
      </w:r>
      <w:r>
        <w:rPr>
          <w:rStyle w:val="14"/>
          <w:rFonts w:eastAsia="Calibri"/>
        </w:rPr>
        <w:t>Drinking-water: Key facts</w:t>
      </w:r>
      <w:r>
        <w:t>. https://www.who.int/news-room/fact-sheets/detail/drinking-water</w:t>
      </w:r>
    </w:p>
    <w:p>
      <w:pPr>
        <w:pStyle w:val="9"/>
        <w:spacing w:before="0" w:beforeAutospacing="0" w:after="240" w:afterAutospacing="0"/>
        <w:ind w:left="567" w:hanging="567"/>
        <w:jc w:val="both"/>
        <w:rPr>
          <w:bCs/>
        </w:rPr>
      </w:pPr>
    </w:p>
    <w:p>
      <w:pPr>
        <w:tabs>
          <w:tab w:val="left" w:pos="1049"/>
        </w:tabs>
        <w:spacing w:after="0" w:line="240" w:lineRule="auto"/>
        <w:rPr>
          <w:rFonts w:ascii="Times New Roman" w:hAnsi="Times New Roman" w:eastAsia="Times New Roman" w:cs="Times New Roman"/>
          <w:bCs/>
          <w:color w:val="auto"/>
          <w:szCs w:val="24"/>
        </w:rPr>
      </w:pPr>
    </w:p>
    <w:p>
      <w:pPr>
        <w:tabs>
          <w:tab w:val="left" w:pos="1049"/>
        </w:tabs>
        <w:spacing w:after="0" w:line="240" w:lineRule="auto"/>
        <w:rPr>
          <w:rFonts w:ascii="Times New Roman" w:hAnsi="Times New Roman" w:eastAsia="Times New Roman" w:cs="Times New Roman"/>
          <w:b/>
          <w:color w:val="auto"/>
          <w:szCs w:val="24"/>
        </w:rPr>
      </w:pPr>
    </w:p>
    <w:p>
      <w:pPr>
        <w:tabs>
          <w:tab w:val="left" w:pos="1049"/>
        </w:tabs>
        <w:spacing w:after="0" w:line="240" w:lineRule="auto"/>
        <w:rPr>
          <w:rFonts w:ascii="Times New Roman" w:hAnsi="Times New Roman" w:eastAsia="Times New Roman" w:cs="Times New Roman"/>
          <w:b/>
          <w:color w:val="auto"/>
          <w:szCs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1049"/>
        </w:tabs>
        <w:spacing w:after="0" w:line="240" w:lineRule="auto"/>
        <w:jc w:val="cente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APPENDIX</w:t>
      </w:r>
    </w:p>
    <w:p>
      <w:pPr>
        <w:tabs>
          <w:tab w:val="left" w:pos="1049"/>
        </w:tabs>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anchor>
        </w:drawing>
      </w:r>
    </w:p>
    <w:p>
      <w:pPr>
        <w:tabs>
          <w:tab w:val="left" w:pos="1049"/>
        </w:tabs>
        <w:spacing w:after="0" w:line="240" w:lineRule="auto"/>
        <w:rPr>
          <w:rFonts w:ascii="Times New Roman" w:hAnsi="Times New Roman" w:eastAsia="Times New Roman" w:cs="Times New Roman"/>
          <w:b/>
          <w:i/>
          <w:iCs/>
          <w:color w:val="auto"/>
          <w:szCs w:val="24"/>
        </w:rPr>
      </w:pPr>
      <w:r>
        <w:rPr>
          <w:rFonts w:ascii="Times New Roman" w:hAnsi="Times New Roman" w:eastAsia="Times New Roman" w:cs="Times New Roman"/>
          <w:b/>
          <w:color w:val="auto"/>
          <w:szCs w:val="24"/>
        </w:rPr>
        <w:t xml:space="preserve">Plate 1: </w:t>
      </w:r>
      <w:r>
        <w:rPr>
          <w:rFonts w:ascii="Times New Roman" w:hAnsi="Times New Roman" w:eastAsia="Times New Roman" w:cs="Times New Roman"/>
          <w:b/>
          <w:i/>
          <w:iCs/>
          <w:color w:val="auto"/>
          <w:szCs w:val="24"/>
        </w:rPr>
        <w:t>Aspergillus</w:t>
      </w:r>
      <w:r>
        <w:rPr>
          <w:rFonts w:ascii="Times New Roman" w:hAnsi="Times New Roman" w:eastAsia="Times New Roman" w:cs="Times New Roman"/>
          <w:b/>
          <w:i/>
          <w:iCs/>
          <w:color w:val="auto"/>
          <w:szCs w:val="24"/>
        </w:rPr>
        <w:t xml:space="preserve"> </w:t>
      </w:r>
      <w:r>
        <w:rPr>
          <w:rFonts w:ascii="Times New Roman" w:hAnsi="Times New Roman" w:eastAsia="Times New Roman" w:cs="Times New Roman"/>
          <w:b/>
          <w:i/>
          <w:iCs/>
          <w:color w:val="auto"/>
          <w:szCs w:val="24"/>
        </w:rPr>
        <w:t>sp</w:t>
      </w:r>
      <w:r>
        <w:rPr>
          <w:rFonts w:ascii="Times New Roman" w:hAnsi="Times New Roman" w:eastAsia="Times New Roman" w:cs="Times New Roman"/>
          <w:b/>
          <w:i/>
          <w:iCs/>
          <w:color w:val="auto"/>
          <w:szCs w:val="24"/>
        </w:rPr>
        <w:t xml:space="preserve"> (Microscopic view)</w:t>
      </w:r>
    </w:p>
    <w:p>
      <w:pPr>
        <w:tabs>
          <w:tab w:val="left" w:pos="1049"/>
        </w:tabs>
        <w:spacing w:after="0" w:line="240" w:lineRule="auto"/>
        <w:rPr>
          <w:rFonts w:ascii="Times New Roman" w:hAnsi="Times New Roman" w:eastAsia="Times New Roman" w:cs="Times New Roman"/>
          <w:b/>
          <w:i/>
          <w:iCs/>
          <w:color w:val="auto"/>
          <w:szCs w:val="24"/>
        </w:rPr>
      </w:pPr>
    </w:p>
    <w:p>
      <w:pPr>
        <w:tabs>
          <w:tab w:val="left" w:pos="1049"/>
        </w:tabs>
        <w:spacing w:after="0" w:line="240" w:lineRule="auto"/>
        <w:rPr>
          <w:rFonts w:ascii="Times New Roman" w:hAnsi="Times New Roman" w:eastAsia="Times New Roman" w:cs="Times New Roman"/>
          <w:b/>
          <w:i/>
          <w:iCs/>
          <w:color w:val="auto"/>
          <w:szCs w:val="24"/>
        </w:rPr>
      </w:pPr>
    </w:p>
    <w:p>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anchor>
        </w:drawing>
      </w:r>
      <w:r>
        <w:rPr>
          <w:rFonts w:ascii="Times New Roman" w:hAnsi="Times New Roman" w:cs="Times New Roman"/>
        </w:rPr>
        <w:tab/>
      </w: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5"/>
                    <pic:cNvPicPr>
                      <a:picLocks noChangeAspect="1"/>
                    </pic:cNvPicPr>
                  </pic:nvPicPr>
                  <pic:blipFill>
                    <a:blip r:embed="rId9" cstate="print">
                      <a:extLst>
                        <a:ext uri="{28A0092B-C50C-407E-A947-70E740481C1C}">
                          <a14:useLocalDpi xmlns:a14="http://schemas.microsoft.com/office/drawing/2010/main" val="0"/>
                        </a:ext>
                      </a:extLst>
                    </a:blip>
                    <a:srcRect l="11853" t="17777" r="19547" b="32817"/>
                    <a:stretch>
                      <a:fillRect/>
                    </a:stretch>
                  </pic:blipFill>
                  <pic:spPr>
                    <a:xfrm>
                      <a:off x="0" y="0"/>
                      <a:ext cx="2663825" cy="255778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6"/>
                    <pic:cNvPicPr>
                      <a:picLocks noChangeAspect="1"/>
                    </pic:cNvPicPr>
                  </pic:nvPicPr>
                  <pic:blipFill>
                    <a:blip r:embed="rId10" cstate="print">
                      <a:extLst>
                        <a:ext uri="{28A0092B-C50C-407E-A947-70E740481C1C}">
                          <a14:useLocalDpi xmlns:a14="http://schemas.microsoft.com/office/drawing/2010/main" val="0"/>
                        </a:ext>
                      </a:extLst>
                    </a:blip>
                    <a:srcRect l="14587" t="10940" r="17491" b="36924"/>
                    <a:stretch>
                      <a:fillRect/>
                    </a:stretch>
                  </pic:blipFill>
                  <pic:spPr>
                    <a:xfrm>
                      <a:off x="0" y="0"/>
                      <a:ext cx="2590800" cy="265176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
                    <pic:cNvPicPr>
                      <a:picLocks noChangeAspect="1"/>
                    </pic:cNvPicPr>
                  </pic:nvPicPr>
                  <pic:blipFill>
                    <a:blip r:embed="rId11" cstate="print">
                      <a:extLst>
                        <a:ext uri="{28A0092B-C50C-407E-A947-70E740481C1C}">
                          <a14:useLocalDpi xmlns:a14="http://schemas.microsoft.com/office/drawing/2010/main" val="0"/>
                        </a:ext>
                      </a:extLst>
                    </a:blip>
                    <a:srcRect l="16866" t="24616" r="11798" b="16074"/>
                    <a:stretch>
                      <a:fillRect/>
                    </a:stretch>
                  </pic:blipFill>
                  <pic:spPr>
                    <a:xfrm>
                      <a:off x="0" y="0"/>
                      <a:ext cx="2677795" cy="296799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3"/>
                    <pic:cNvPicPr>
                      <a:picLocks noChangeAspect="1"/>
                    </pic:cNvPicPr>
                  </pic:nvPicPr>
                  <pic:blipFill>
                    <a:blip r:embed="rId12" cstate="print">
                      <a:extLst>
                        <a:ext uri="{28A0092B-C50C-407E-A947-70E740481C1C}">
                          <a14:useLocalDpi xmlns:a14="http://schemas.microsoft.com/office/drawing/2010/main" val="0"/>
                        </a:ext>
                      </a:extLst>
                    </a:blip>
                    <a:srcRect r="9519"/>
                    <a:stretch>
                      <a:fillRect/>
                    </a:stretch>
                  </pic:blipFill>
                  <pic:spPr>
                    <a:xfrm>
                      <a:off x="0" y="0"/>
                      <a:ext cx="2631440" cy="2814320"/>
                    </a:xfrm>
                    <a:prstGeom prst="rect">
                      <a:avLst/>
                    </a:prstGeom>
                    <a:ln>
                      <a:noFill/>
                    </a:ln>
                  </pic:spPr>
                </pic:pic>
              </a:graphicData>
            </a:graphic>
          </wp:anchor>
        </w:drawing>
      </w: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rPr>
          <w:rFonts w:ascii="Times New Roman" w:hAnsi="Times New Roman" w:cs="Times New Roman"/>
        </w:rPr>
      </w:pPr>
      <w:r>
        <w:rPr>
          <w:rFonts w:ascii="Times New Roman" w:hAnsi="Times New Roman" w:cs="Times New Roman"/>
          <w:b/>
          <w:i/>
        </w:rPr>
        <w:t>Plate: 3-4 Pictures showing Citrate activity on Isolates</w:t>
      </w:r>
    </w:p>
    <w:p>
      <w:pPr>
        <w:rPr>
          <w:rFonts w:ascii="Times New Roman" w:hAnsi="Times New Roman" w:cs="Times New Roman"/>
        </w:rPr>
      </w:pPr>
    </w:p>
    <w:sectPr>
      <w:footerReference r:id="rId4"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362305"/>
    </w:sdtPr>
    <w:sdtContent>
      <w:p>
        <w:pPr>
          <w:pStyle w:val="7"/>
          <w:jc w:val="center"/>
        </w:pPr>
        <w:r>
          <w:fldChar w:fldCharType="begin"/>
        </w:r>
        <w:r>
          <w:instrText xml:space="preserve"> PAGE   \* MERGEFORMAT </w:instrText>
        </w:r>
        <w:r>
          <w:fldChar w:fldCharType="separate"/>
        </w:r>
        <w:r>
          <w:t>v</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737768"/>
    </w:sdtPr>
    <w:sdtContent>
      <w:p>
        <w:pPr>
          <w:pStyle w:val="7"/>
          <w:jc w:val="center"/>
        </w:pPr>
        <w:r>
          <w:fldChar w:fldCharType="begin"/>
        </w:r>
        <w:r>
          <w:instrText xml:space="preserve"> PAGE   \* MERGEFORMAT </w:instrText>
        </w:r>
        <w:r>
          <w:fldChar w:fldCharType="separate"/>
        </w:r>
        <w:r>
          <w:t>53</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A51D8"/>
    <w:multiLevelType w:val="multilevel"/>
    <w:tmpl w:val="29DA51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3D79EF"/>
    <w:multiLevelType w:val="multilevel"/>
    <w:tmpl w:val="323D79EF"/>
    <w:lvl w:ilvl="0" w:tentative="0">
      <w:start w:val="1"/>
      <w:numFmt w:val="decimal"/>
      <w:lvlText w:val="%1."/>
      <w:lvlJc w:val="left"/>
      <w:pPr>
        <w:ind w:left="720" w:hanging="360"/>
      </w:pPr>
      <w:rPr>
        <w:rFonts w:hint="default" w:eastAsia="Times New Roman"/>
        <w:color w:val="auto"/>
      </w:rPr>
    </w:lvl>
    <w:lvl w:ilvl="1" w:tentative="0">
      <w:start w:val="1"/>
      <w:numFmt w:val="decimal"/>
      <w:isLgl/>
      <w:lvlText w:val="%1.%2"/>
      <w:lvlJc w:val="left"/>
      <w:pPr>
        <w:ind w:left="1018" w:hanging="658"/>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48" w:lineRule="auto"/>
      <w:ind w:left="29" w:hanging="10"/>
      <w:jc w:val="both"/>
    </w:pPr>
    <w:rPr>
      <w:rFonts w:ascii="Calibri" w:hAnsi="Calibri" w:eastAsia="Calibri" w:cs="Calibri"/>
      <w:color w:val="000000"/>
      <w:sz w:val="24"/>
      <w:szCs w:val="22"/>
      <w:lang w:val="en-US" w:eastAsia="en-US" w:bidi="ar-SA"/>
    </w:rPr>
  </w:style>
  <w:style w:type="paragraph" w:styleId="2">
    <w:name w:val="heading 1"/>
    <w:basedOn w:val="1"/>
    <w:next w:val="1"/>
    <w:link w:val="26"/>
    <w:qFormat/>
    <w:uiPriority w:val="9"/>
    <w:pPr>
      <w:keepNext/>
      <w:keepLines/>
      <w:spacing w:before="240" w:after="0"/>
      <w:outlineLvl w:val="0"/>
    </w:pPr>
    <w:rPr>
      <w:rFonts w:ascii="Times New Roman" w:hAnsi="Times New Roman" w:eastAsiaTheme="majorEastAsia" w:cstheme="majorBidi"/>
      <w:b/>
      <w:color w:val="000000" w:themeColor="text1"/>
      <w:szCs w:val="32"/>
      <w14:textFill>
        <w14:solidFill>
          <w14:schemeClr w14:val="tx1"/>
        </w14:solidFill>
      </w14:textFill>
    </w:rPr>
  </w:style>
  <w:style w:type="paragraph" w:styleId="3">
    <w:name w:val="heading 2"/>
    <w:basedOn w:val="1"/>
    <w:next w:val="1"/>
    <w:link w:val="27"/>
    <w:unhideWhenUsed/>
    <w:qFormat/>
    <w:uiPriority w:val="9"/>
    <w:pPr>
      <w:keepNext/>
      <w:keepLines/>
      <w:spacing w:before="40" w:after="0"/>
      <w:outlineLvl w:val="1"/>
    </w:pPr>
    <w:rPr>
      <w:rFonts w:ascii="Times New Roman" w:hAnsi="Times New Roman" w:eastAsiaTheme="majorEastAsia" w:cstheme="majorBidi"/>
      <w:b/>
      <w:color w:val="000000" w:themeColor="text1"/>
      <w:szCs w:val="26"/>
      <w14:textFill>
        <w14:solidFill>
          <w14:schemeClr w14:val="tx1"/>
        </w14:solidFill>
      </w14:textFill>
    </w:rPr>
  </w:style>
  <w:style w:type="paragraph" w:styleId="4">
    <w:name w:val="heading 3"/>
    <w:basedOn w:val="1"/>
    <w:next w:val="1"/>
    <w:link w:val="23"/>
    <w:unhideWhenUsed/>
    <w:qFormat/>
    <w:uiPriority w:val="9"/>
    <w:pPr>
      <w:keepNext/>
      <w:keepLines/>
      <w:spacing w:before="40" w:after="0" w:line="259" w:lineRule="auto"/>
      <w:ind w:left="10"/>
      <w:outlineLvl w:val="2"/>
    </w:pPr>
    <w:rPr>
      <w:rFonts w:ascii="Times New Roman" w:hAnsi="Times New Roman" w:eastAsiaTheme="majorEastAsia" w:cstheme="majorBidi"/>
      <w:b/>
      <w:color w:val="000000" w:themeColor="text1"/>
      <w:szCs w:val="24"/>
      <w14:textFill>
        <w14:solidFill>
          <w14:schemeClr w14:val="tx1"/>
        </w14:solidFill>
      </w14:textFill>
    </w:rPr>
  </w:style>
  <w:style w:type="paragraph" w:styleId="5">
    <w:name w:val="heading 4"/>
    <w:basedOn w:val="1"/>
    <w:next w:val="1"/>
    <w:link w:val="21"/>
    <w:unhideWhenUsed/>
    <w:qFormat/>
    <w:uiPriority w:val="9"/>
    <w:pPr>
      <w:spacing w:before="100" w:beforeAutospacing="1" w:after="100" w:afterAutospacing="1" w:line="240" w:lineRule="auto"/>
      <w:ind w:left="0" w:firstLine="0"/>
      <w:jc w:val="left"/>
      <w:outlineLvl w:val="3"/>
    </w:pPr>
    <w:rPr>
      <w:rFonts w:ascii="Times New Roman" w:hAnsi="Times New Roman" w:eastAsia="Times New Roman" w:cs="Times New Roman"/>
      <w:b/>
      <w:bCs/>
      <w:color w:val="auto"/>
      <w:szCs w:val="24"/>
    </w:rPr>
  </w:style>
  <w:style w:type="character" w:default="1" w:styleId="13">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29"/>
    <w:unhideWhenUsed/>
    <w:uiPriority w:val="99"/>
    <w:pPr>
      <w:spacing w:after="0" w:line="240" w:lineRule="auto"/>
    </w:pPr>
    <w:rPr>
      <w:rFonts w:ascii="Tahoma" w:hAnsi="Tahoma" w:cs="Tahoma"/>
      <w:sz w:val="16"/>
      <w:szCs w:val="16"/>
    </w:rPr>
  </w:style>
  <w:style w:type="paragraph" w:styleId="7">
    <w:name w:val="footer"/>
    <w:basedOn w:val="1"/>
    <w:link w:val="19"/>
    <w:unhideWhenUsed/>
    <w:uiPriority w:val="99"/>
    <w:pPr>
      <w:tabs>
        <w:tab w:val="center" w:pos="4680"/>
        <w:tab w:val="right" w:pos="9360"/>
      </w:tabs>
      <w:spacing w:after="0" w:line="240" w:lineRule="auto"/>
    </w:pPr>
  </w:style>
  <w:style w:type="paragraph" w:styleId="8">
    <w:name w:val="header"/>
    <w:basedOn w:val="1"/>
    <w:link w:val="18"/>
    <w:unhideWhenUsed/>
    <w:uiPriority w:val="99"/>
    <w:pPr>
      <w:tabs>
        <w:tab w:val="center" w:pos="4680"/>
        <w:tab w:val="right" w:pos="9360"/>
      </w:tabs>
      <w:spacing w:after="0" w:line="240" w:lineRule="auto"/>
    </w:pPr>
  </w:style>
  <w:style w:type="paragraph" w:styleId="9">
    <w:name w:val="Normal (Web)"/>
    <w:basedOn w:val="1"/>
    <w:unhideWhenUsed/>
    <w:uiPriority w:val="99"/>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paragraph" w:styleId="10">
    <w:name w:val="toc 1"/>
    <w:basedOn w:val="1"/>
    <w:next w:val="1"/>
    <w:unhideWhenUsed/>
    <w:uiPriority w:val="39"/>
    <w:pPr>
      <w:spacing w:after="100"/>
      <w:ind w:left="0"/>
    </w:pPr>
  </w:style>
  <w:style w:type="paragraph" w:styleId="11">
    <w:name w:val="toc 2"/>
    <w:basedOn w:val="1"/>
    <w:next w:val="1"/>
    <w:unhideWhenUsed/>
    <w:uiPriority w:val="39"/>
    <w:pPr>
      <w:spacing w:after="100"/>
      <w:ind w:left="240"/>
    </w:pPr>
  </w:style>
  <w:style w:type="paragraph" w:styleId="12">
    <w:name w:val="toc 3"/>
    <w:basedOn w:val="1"/>
    <w:next w:val="1"/>
    <w:unhideWhenUsed/>
    <w:uiPriority w:val="39"/>
    <w:pPr>
      <w:spacing w:after="100"/>
      <w:ind w:left="480"/>
    </w:pPr>
  </w:style>
  <w:style w:type="character" w:styleId="14">
    <w:name w:val="Emphasis"/>
    <w:basedOn w:val="13"/>
    <w:qFormat/>
    <w:uiPriority w:val="20"/>
    <w:rPr>
      <w:i/>
      <w:iCs/>
    </w:rPr>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styleId="16">
    <w:name w:val="Strong"/>
    <w:basedOn w:val="13"/>
    <w:qFormat/>
    <w:uiPriority w:val="22"/>
    <w:rPr>
      <w:b/>
      <w:bCs/>
    </w:rPr>
  </w:style>
  <w:style w:type="character" w:customStyle="1" w:styleId="18">
    <w:name w:val="Header Char"/>
    <w:basedOn w:val="13"/>
    <w:link w:val="8"/>
    <w:uiPriority w:val="99"/>
    <w:rPr>
      <w:rFonts w:ascii="Calibri" w:hAnsi="Calibri" w:eastAsia="Calibri" w:cs="Calibri"/>
      <w:color w:val="000000"/>
      <w:sz w:val="24"/>
      <w:lang w:val="en-US"/>
    </w:rPr>
  </w:style>
  <w:style w:type="character" w:customStyle="1" w:styleId="19">
    <w:name w:val="Footer Char"/>
    <w:basedOn w:val="13"/>
    <w:link w:val="7"/>
    <w:uiPriority w:val="99"/>
    <w:rPr>
      <w:rFonts w:ascii="Calibri" w:hAnsi="Calibri" w:eastAsia="Calibri" w:cs="Calibri"/>
      <w:color w:val="000000"/>
      <w:sz w:val="24"/>
      <w:lang w:val="en-US"/>
    </w:rPr>
  </w:style>
  <w:style w:type="paragraph" w:customStyle="1" w:styleId="20">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1">
    <w:name w:val="Heading 4 Char"/>
    <w:basedOn w:val="13"/>
    <w:link w:val="5"/>
    <w:uiPriority w:val="9"/>
    <w:rPr>
      <w:rFonts w:ascii="Times New Roman" w:hAnsi="Times New Roman" w:eastAsia="Times New Roman" w:cs="Times New Roman"/>
      <w:b/>
      <w:bCs/>
      <w:sz w:val="24"/>
      <w:szCs w:val="24"/>
      <w:lang w:val="en-US"/>
    </w:rPr>
  </w:style>
  <w:style w:type="paragraph" w:customStyle="1" w:styleId="22">
    <w:name w:val="List Paragraph"/>
    <w:basedOn w:val="1"/>
    <w:qFormat/>
    <w:uiPriority w:val="34"/>
    <w:pPr>
      <w:spacing w:after="2" w:line="259" w:lineRule="auto"/>
      <w:ind w:left="720"/>
      <w:contextualSpacing/>
    </w:pPr>
    <w:rPr>
      <w:rFonts w:ascii="Arial" w:hAnsi="Arial" w:eastAsia="Arial" w:cs="Arial"/>
    </w:rPr>
  </w:style>
  <w:style w:type="character" w:customStyle="1" w:styleId="23">
    <w:name w:val="Heading 3 Char"/>
    <w:basedOn w:val="13"/>
    <w:link w:val="4"/>
    <w:uiPriority w:val="9"/>
    <w:rPr>
      <w:rFonts w:ascii="Times New Roman" w:hAnsi="Times New Roman" w:eastAsiaTheme="majorEastAsia" w:cstheme="majorBidi"/>
      <w:b/>
      <w:color w:val="000000" w:themeColor="text1"/>
      <w:sz w:val="24"/>
      <w:szCs w:val="24"/>
      <w:lang w:val="en-US"/>
      <w14:textFill>
        <w14:solidFill>
          <w14:schemeClr w14:val="tx1"/>
        </w14:solidFill>
      </w14:textFill>
    </w:rPr>
  </w:style>
  <w:style w:type="table" w:customStyle="1" w:styleId="24">
    <w:name w:val="List Table 6 Colorful"/>
    <w:basedOn w:val="17"/>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CellMar>
        <w:top w:w="0" w:type="dxa"/>
        <w:left w:w="108" w:type="dxa"/>
        <w:bottom w:w="0" w:type="dxa"/>
        <w:right w:w="108" w:type="dxa"/>
      </w:tblCellMar>
    </w:tblPr>
    <w:tblStylePr w:type="firstRow">
      <w:rPr>
        <w:b/>
        <w:bCs/>
      </w:rPr>
      <w:tblPr>
        <w:tblLayout w:type="fixed"/>
      </w:tblPr>
      <w:tcPr>
        <w:tcBorders>
          <w:bottom w:val="single" w:color="000000" w:themeColor="text1" w:sz="4" w:space="0"/>
        </w:tcBorders>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paragraph" w:customStyle="1" w:styleId="25">
    <w:name w:val="whitespace-normal"/>
    <w:basedOn w:val="1"/>
    <w:uiPriority w:val="0"/>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customStyle="1" w:styleId="26">
    <w:name w:val="Heading 1 Char"/>
    <w:basedOn w:val="13"/>
    <w:link w:val="2"/>
    <w:uiPriority w:val="9"/>
    <w:rPr>
      <w:rFonts w:ascii="Times New Roman" w:hAnsi="Times New Roman" w:eastAsiaTheme="majorEastAsia" w:cstheme="majorBidi"/>
      <w:b/>
      <w:color w:val="000000" w:themeColor="text1"/>
      <w:sz w:val="24"/>
      <w:szCs w:val="32"/>
      <w:lang w:val="en-US"/>
      <w14:textFill>
        <w14:solidFill>
          <w14:schemeClr w14:val="tx1"/>
        </w14:solidFill>
      </w14:textFill>
    </w:rPr>
  </w:style>
  <w:style w:type="character" w:customStyle="1" w:styleId="27">
    <w:name w:val="Heading 2 Char"/>
    <w:basedOn w:val="13"/>
    <w:link w:val="3"/>
    <w:uiPriority w:val="9"/>
    <w:rPr>
      <w:rFonts w:ascii="Times New Roman" w:hAnsi="Times New Roman" w:eastAsiaTheme="majorEastAsia" w:cstheme="majorBidi"/>
      <w:b/>
      <w:color w:val="000000" w:themeColor="text1"/>
      <w:sz w:val="24"/>
      <w:szCs w:val="26"/>
      <w:lang w:val="en-US"/>
      <w14:textFill>
        <w14:solidFill>
          <w14:schemeClr w14:val="tx1"/>
        </w14:solidFill>
      </w14:textFill>
    </w:rPr>
  </w:style>
  <w:style w:type="paragraph" w:customStyle="1" w:styleId="28">
    <w:name w:val="TOC Heading"/>
    <w:basedOn w:val="2"/>
    <w:next w:val="1"/>
    <w:unhideWhenUsed/>
    <w:qFormat/>
    <w:uiPriority w:val="39"/>
    <w:pPr>
      <w:spacing w:line="259" w:lineRule="auto"/>
      <w:ind w:left="0" w:firstLine="0"/>
      <w:jc w:val="left"/>
      <w:outlineLvl w:val="9"/>
    </w:pPr>
    <w:rPr>
      <w:rFonts w:asciiTheme="majorHAnsi" w:hAnsiTheme="majorHAnsi"/>
      <w:b w:val="0"/>
      <w:color w:val="2F5597" w:themeColor="accent1" w:themeShade="BF"/>
      <w:sz w:val="32"/>
    </w:rPr>
  </w:style>
  <w:style w:type="character" w:customStyle="1" w:styleId="29">
    <w:name w:val="Balloon Text Char"/>
    <w:basedOn w:val="13"/>
    <w:link w:val="6"/>
    <w:semiHidden/>
    <w:uiPriority w:val="99"/>
    <w:rPr>
      <w:rFonts w:ascii="Tahoma" w:hAnsi="Tahoma" w:eastAsia="Calibri" w:cs="Tahoma"/>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13302</Words>
  <Characters>75826</Characters>
  <Lines>631</Lines>
  <Paragraphs>177</Paragraphs>
  <ScaleCrop>false</ScaleCrop>
  <LinksUpToDate>false</LinksUpToDate>
  <CharactersWithSpaces>88951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2025-07-12T22:15:00Z</dcterms:created>
  <dc:creator>Hassan Musa</dc:creator>
  <cp:lastModifiedBy>iPhone</cp:lastModifiedBy>
  <dcterms:modified xsi:type="dcterms:W3CDTF">2025-08-14T11:03:35Z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C5A075B90865ED469D9F9D689907B83E_33</vt:lpwstr>
  </property>
  <property fmtid="{D5CDD505-2E9C-101B-9397-08002B2CF9AE}" pid="3" name="KSOProductBuildVer">
    <vt:lpwstr>3081-11.34.12</vt:lpwstr>
  </property>
</Properties>
</file>