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4C" w:rsidRPr="007438B0" w:rsidRDefault="00FB724C" w:rsidP="00FB724C">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Pr="007438B0">
        <w:rPr>
          <w:rFonts w:ascii="Arial Black" w:hAnsi="Arial Black" w:cs="Arial"/>
          <w:b/>
          <w:bCs/>
          <w:sz w:val="32"/>
          <w:szCs w:val="40"/>
        </w:rPr>
        <w:t xml:space="preserve"> ON INDOMETHACIN-INDUCED ULCEROGENIC RATS</w:t>
      </w:r>
    </w:p>
    <w:p w:rsidR="00FB724C" w:rsidRPr="009768EC" w:rsidRDefault="00FB724C" w:rsidP="00FB724C">
      <w:pPr>
        <w:spacing w:after="0" w:line="480" w:lineRule="auto"/>
        <w:jc w:val="center"/>
        <w:rPr>
          <w:rFonts w:ascii="Algerian" w:hAnsi="Algerian"/>
          <w:b/>
          <w:bCs/>
        </w:rPr>
      </w:pPr>
    </w:p>
    <w:p w:rsidR="00FB724C" w:rsidRDefault="00FB724C" w:rsidP="00FB724C">
      <w:pPr>
        <w:spacing w:after="0" w:line="480" w:lineRule="auto"/>
        <w:jc w:val="center"/>
        <w:rPr>
          <w:rFonts w:ascii="Algerian" w:hAnsi="Algerian"/>
          <w:b/>
          <w:bCs/>
          <w:sz w:val="36"/>
          <w:szCs w:val="24"/>
        </w:rPr>
      </w:pPr>
      <w:r w:rsidRPr="009768EC">
        <w:rPr>
          <w:rFonts w:ascii="Algerian" w:hAnsi="Algerian"/>
          <w:b/>
          <w:bCs/>
          <w:sz w:val="36"/>
          <w:szCs w:val="24"/>
        </w:rPr>
        <w:t>BY</w:t>
      </w:r>
    </w:p>
    <w:p w:rsidR="0076280D" w:rsidRPr="0076280D" w:rsidRDefault="00247D17" w:rsidP="00FB724C">
      <w:pPr>
        <w:spacing w:after="0" w:line="240" w:lineRule="auto"/>
        <w:jc w:val="center"/>
        <w:rPr>
          <w:rFonts w:ascii="Arial Black" w:hAnsi="Arial Black"/>
          <w:b/>
          <w:bCs/>
          <w:sz w:val="44"/>
          <w:szCs w:val="24"/>
        </w:rPr>
      </w:pPr>
      <w:r>
        <w:rPr>
          <w:rFonts w:ascii="Arial Black" w:hAnsi="Arial Black"/>
          <w:b/>
          <w:bCs/>
          <w:sz w:val="44"/>
          <w:szCs w:val="24"/>
        </w:rPr>
        <w:t>ADES</w:t>
      </w:r>
      <w:r w:rsidR="00965292">
        <w:rPr>
          <w:rFonts w:ascii="Arial Black" w:hAnsi="Arial Black"/>
          <w:b/>
          <w:bCs/>
          <w:sz w:val="44"/>
          <w:szCs w:val="24"/>
        </w:rPr>
        <w:t>H</w:t>
      </w:r>
      <w:r>
        <w:rPr>
          <w:rFonts w:ascii="Arial Black" w:hAnsi="Arial Black"/>
          <w:b/>
          <w:bCs/>
          <w:sz w:val="44"/>
          <w:szCs w:val="24"/>
        </w:rPr>
        <w:t>INA ARIKE ABISOLA</w:t>
      </w:r>
    </w:p>
    <w:p w:rsidR="00FB724C" w:rsidRPr="0076280D" w:rsidRDefault="00247D17" w:rsidP="00FB724C">
      <w:pPr>
        <w:spacing w:after="0" w:line="240" w:lineRule="auto"/>
        <w:jc w:val="center"/>
        <w:rPr>
          <w:rFonts w:ascii="Arial Black" w:hAnsi="Arial Black"/>
          <w:b/>
          <w:bCs/>
          <w:sz w:val="44"/>
          <w:szCs w:val="24"/>
        </w:rPr>
      </w:pPr>
      <w:r>
        <w:rPr>
          <w:rFonts w:ascii="Arial Black" w:hAnsi="Arial Black"/>
          <w:b/>
          <w:bCs/>
          <w:sz w:val="44"/>
          <w:szCs w:val="24"/>
        </w:rPr>
        <w:t>HND/23/SLT/FT/0348</w:t>
      </w:r>
    </w:p>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w:t>
      </w:r>
      <w:bookmarkStart w:id="1" w:name="_GoBack"/>
      <w:bookmarkEnd w:id="1"/>
      <w:r w:rsidRPr="00A013B4">
        <w:rPr>
          <w:b/>
          <w:bCs/>
          <w:szCs w:val="24"/>
        </w:rPr>
        <w:t>TUTE OF APPLIED SCIENCES, (IAS), KWARA STATE POLYTECHNIC, ILORIN, NIGERIA</w:t>
      </w: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 w:val="24"/>
          <w:szCs w:val="24"/>
        </w:rPr>
      </w:pPr>
    </w:p>
    <w:p w:rsidR="00FB724C" w:rsidRDefault="00FB724C" w:rsidP="00FB724C">
      <w:pPr>
        <w:spacing w:after="0" w:line="480" w:lineRule="auto"/>
        <w:ind w:left="2160"/>
        <w:jc w:val="both"/>
        <w:rPr>
          <w:b/>
          <w:bCs/>
          <w:sz w:val="24"/>
          <w:szCs w:val="24"/>
        </w:rPr>
      </w:pPr>
      <w:r w:rsidRPr="00611489">
        <w:rPr>
          <w:b/>
          <w:bCs/>
          <w:sz w:val="24"/>
          <w:szCs w:val="24"/>
        </w:rPr>
        <w:tab/>
      </w:r>
    </w:p>
    <w:p w:rsidR="00FB724C" w:rsidRPr="00A013B4" w:rsidRDefault="00FB724C" w:rsidP="00FB724C">
      <w:pPr>
        <w:spacing w:after="0" w:line="480" w:lineRule="auto"/>
        <w:jc w:val="center"/>
        <w:rPr>
          <w:b/>
          <w:bCs/>
        </w:rPr>
      </w:pPr>
      <w:r w:rsidRPr="00A013B4">
        <w:rPr>
          <w:b/>
          <w:bCs/>
        </w:rPr>
        <w:t>JULY, 2025</w:t>
      </w:r>
    </w:p>
    <w:p w:rsidR="00FB724C" w:rsidRDefault="00FB724C" w:rsidP="00FB724C">
      <w:pPr>
        <w:spacing w:after="0" w:line="480" w:lineRule="auto"/>
        <w:ind w:left="2160"/>
        <w:jc w:val="both"/>
        <w:rPr>
          <w:b/>
          <w:bCs/>
          <w:sz w:val="24"/>
          <w:szCs w:val="24"/>
        </w:rPr>
      </w:pPr>
      <w:r w:rsidRPr="00611489">
        <w:rPr>
          <w:b/>
          <w:bCs/>
          <w:sz w:val="24"/>
          <w:szCs w:val="24"/>
        </w:rPr>
        <w:tab/>
      </w:r>
    </w:p>
    <w:p w:rsidR="00FB724C" w:rsidRDefault="00FB724C" w:rsidP="00FB724C">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B64CEE" w:rsidRDefault="00FB724C" w:rsidP="00FB724C">
      <w:pPr>
        <w:spacing w:line="278" w:lineRule="auto"/>
        <w:jc w:val="center"/>
        <w:rPr>
          <w:b/>
          <w:bCs/>
          <w:noProof/>
          <w:sz w:val="24"/>
          <w:szCs w:val="24"/>
        </w:rPr>
      </w:pPr>
      <w:r>
        <w:rPr>
          <w:b/>
          <w:bCs/>
          <w:sz w:val="24"/>
          <w:szCs w:val="24"/>
        </w:rPr>
        <w:br w:type="page"/>
      </w:r>
    </w:p>
    <w:p w:rsidR="00B64CEE" w:rsidRDefault="00247D17" w:rsidP="00FB724C">
      <w:pPr>
        <w:spacing w:line="278" w:lineRule="auto"/>
        <w:jc w:val="center"/>
        <w:rPr>
          <w:b/>
          <w:bCs/>
          <w:sz w:val="24"/>
          <w:szCs w:val="24"/>
        </w:rPr>
      </w:pPr>
      <w:r w:rsidRPr="00247D17">
        <w:rPr>
          <w:b/>
          <w:bCs/>
          <w:noProof/>
          <w:sz w:val="24"/>
          <w:szCs w:val="24"/>
        </w:rPr>
        <w:lastRenderedPageBreak/>
        <w:drawing>
          <wp:inline distT="0" distB="0" distL="0" distR="0">
            <wp:extent cx="5943600" cy="7785219"/>
            <wp:effectExtent l="0" t="0" r="0" b="6350"/>
            <wp:docPr id="7" name="Picture 7" descr="C:\Users\DELL\Desktop\IMG-202508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20250814-WA00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785219"/>
                    </a:xfrm>
                    <a:prstGeom prst="rect">
                      <a:avLst/>
                    </a:prstGeom>
                    <a:noFill/>
                    <a:ln>
                      <a:noFill/>
                    </a:ln>
                  </pic:spPr>
                </pic:pic>
              </a:graphicData>
            </a:graphic>
          </wp:inline>
        </w:drawing>
      </w:r>
    </w:p>
    <w:p w:rsidR="00247D17" w:rsidRDefault="00247D17" w:rsidP="00FB724C">
      <w:pPr>
        <w:spacing w:line="278" w:lineRule="auto"/>
        <w:jc w:val="center"/>
        <w:rPr>
          <w:b/>
          <w:bCs/>
          <w:sz w:val="24"/>
          <w:szCs w:val="24"/>
        </w:rPr>
      </w:pPr>
    </w:p>
    <w:p w:rsidR="00FB724C" w:rsidRPr="00611489" w:rsidRDefault="00FB724C" w:rsidP="00FB724C">
      <w:pPr>
        <w:spacing w:line="278" w:lineRule="auto"/>
        <w:jc w:val="center"/>
        <w:rPr>
          <w:b/>
          <w:bCs/>
          <w:sz w:val="24"/>
          <w:szCs w:val="24"/>
        </w:rPr>
      </w:pPr>
      <w:r w:rsidRPr="00611489">
        <w:rPr>
          <w:b/>
          <w:bCs/>
          <w:sz w:val="24"/>
          <w:szCs w:val="24"/>
        </w:rPr>
        <w:lastRenderedPageBreak/>
        <w:t>DEDICATION</w:t>
      </w:r>
    </w:p>
    <w:p w:rsidR="00FB724C" w:rsidRDefault="00FB724C" w:rsidP="00FB724C">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FB724C" w:rsidRPr="00611489" w:rsidRDefault="00FB724C" w:rsidP="00FB724C">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Pr="006A22C8">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Default="00FB724C" w:rsidP="00FB724C">
      <w:pPr>
        <w:rPr>
          <w:b/>
          <w:bCs/>
          <w:sz w:val="24"/>
          <w:szCs w:val="24"/>
        </w:rPr>
      </w:pPr>
      <w:r>
        <w:rPr>
          <w:b/>
          <w:bCs/>
          <w:sz w:val="24"/>
          <w:szCs w:val="24"/>
        </w:rPr>
        <w:br w:type="page"/>
      </w:r>
    </w:p>
    <w:p w:rsidR="00FB724C" w:rsidRPr="00611489" w:rsidRDefault="00FB724C" w:rsidP="00FB724C">
      <w:pPr>
        <w:spacing w:after="0" w:line="480" w:lineRule="auto"/>
        <w:ind w:left="2160" w:firstLine="720"/>
        <w:jc w:val="both"/>
        <w:rPr>
          <w:b/>
          <w:bCs/>
          <w:sz w:val="24"/>
          <w:szCs w:val="24"/>
        </w:rPr>
      </w:pPr>
      <w:r w:rsidRPr="00611489">
        <w:rPr>
          <w:b/>
          <w:bCs/>
          <w:sz w:val="24"/>
          <w:szCs w:val="24"/>
        </w:rPr>
        <w:lastRenderedPageBreak/>
        <w:t>ACKNOWLEDGEMENT</w:t>
      </w:r>
    </w:p>
    <w:p w:rsidR="00FB724C" w:rsidRPr="000A2363" w:rsidRDefault="00FB724C" w:rsidP="00FB724C">
      <w:pPr>
        <w:spacing w:after="0" w:line="480" w:lineRule="auto"/>
        <w:jc w:val="both"/>
        <w:rPr>
          <w:sz w:val="24"/>
          <w:szCs w:val="24"/>
        </w:rPr>
      </w:pPr>
      <w:r w:rsidRPr="000A2363">
        <w:rPr>
          <w:sz w:val="24"/>
          <w:szCs w:val="24"/>
        </w:rPr>
        <w:t xml:space="preserve">     Special thanks goes to God almighty the author of success, wisdom and knowledge for His sustenance, provision and guidance during the period of this work.</w:t>
      </w:r>
    </w:p>
    <w:p w:rsidR="00FB724C" w:rsidRPr="000A2363" w:rsidRDefault="00FB724C" w:rsidP="00FB724C">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w:t>
      </w:r>
      <w:r w:rsidRPr="000A2363">
        <w:rPr>
          <w:sz w:val="24"/>
          <w:szCs w:val="24"/>
        </w:rPr>
        <w:t xml:space="preserve"> SALAUDEEN</w:t>
      </w:r>
      <w:r>
        <w:rPr>
          <w:sz w:val="24"/>
          <w:szCs w:val="24"/>
        </w:rPr>
        <w:t>,</w:t>
      </w:r>
      <w:r w:rsidRPr="000A2363">
        <w:rPr>
          <w:sz w:val="24"/>
          <w:szCs w:val="24"/>
        </w:rPr>
        <w:t xml:space="preserve"> K.A. and all our lecturers for an excellent impact of knowledge.</w:t>
      </w:r>
    </w:p>
    <w:p w:rsidR="00FB724C" w:rsidRPr="000A2363" w:rsidRDefault="00FB724C" w:rsidP="00FB724C">
      <w:pPr>
        <w:spacing w:after="0" w:line="480" w:lineRule="auto"/>
        <w:jc w:val="both"/>
        <w:rPr>
          <w:sz w:val="24"/>
          <w:szCs w:val="24"/>
        </w:rPr>
      </w:pPr>
      <w:r w:rsidRPr="000A2363">
        <w:rPr>
          <w:sz w:val="24"/>
          <w:szCs w:val="24"/>
        </w:rPr>
        <w:t xml:space="preserve">      We will not forget to</w:t>
      </w:r>
      <w:r w:rsidR="00B64CEE">
        <w:rPr>
          <w:sz w:val="24"/>
          <w:szCs w:val="24"/>
        </w:rPr>
        <w:t xml:space="preserve"> appreciate our lovely parents </w:t>
      </w:r>
      <w:r w:rsidRPr="000A2363">
        <w:rPr>
          <w:sz w:val="24"/>
          <w:szCs w:val="24"/>
        </w:rPr>
        <w:t>Mr</w:t>
      </w:r>
      <w:r>
        <w:rPr>
          <w:sz w:val="24"/>
          <w:szCs w:val="24"/>
        </w:rPr>
        <w:t>.</w:t>
      </w:r>
      <w:r w:rsidR="00247D17">
        <w:rPr>
          <w:sz w:val="24"/>
          <w:szCs w:val="24"/>
        </w:rPr>
        <w:t xml:space="preserve"> </w:t>
      </w:r>
      <w:r w:rsidRPr="000A2363">
        <w:rPr>
          <w:sz w:val="24"/>
          <w:szCs w:val="24"/>
        </w:rPr>
        <w:t xml:space="preserve"> &amp; Mrs</w:t>
      </w:r>
      <w:r>
        <w:rPr>
          <w:sz w:val="24"/>
          <w:szCs w:val="24"/>
        </w:rPr>
        <w:t>.</w:t>
      </w:r>
      <w:r w:rsidRPr="000A2363">
        <w:rPr>
          <w:sz w:val="24"/>
          <w:szCs w:val="24"/>
        </w:rPr>
        <w:t xml:space="preserve"> </w:t>
      </w:r>
      <w:proofErr w:type="gramStart"/>
      <w:r w:rsidR="00247D17">
        <w:rPr>
          <w:sz w:val="24"/>
          <w:szCs w:val="24"/>
        </w:rPr>
        <w:t>ADES</w:t>
      </w:r>
      <w:r w:rsidR="00965292">
        <w:rPr>
          <w:sz w:val="24"/>
          <w:szCs w:val="24"/>
        </w:rPr>
        <w:t>H</w:t>
      </w:r>
      <w:r w:rsidR="00247D17">
        <w:rPr>
          <w:sz w:val="24"/>
          <w:szCs w:val="24"/>
        </w:rPr>
        <w:t xml:space="preserve">INA </w:t>
      </w:r>
      <w:r w:rsidRPr="000A2363">
        <w:rPr>
          <w:sz w:val="24"/>
          <w:szCs w:val="24"/>
        </w:rPr>
        <w:t xml:space="preserve"> who</w:t>
      </w:r>
      <w:proofErr w:type="gramEnd"/>
      <w:r w:rsidRPr="000A2363">
        <w:rPr>
          <w:sz w:val="24"/>
          <w:szCs w:val="24"/>
        </w:rPr>
        <w:t xml:space="preserve"> has been supporting us financially and through their word of encouragement, we say a big thanks to you all.</w:t>
      </w:r>
    </w:p>
    <w:p w:rsidR="00FB724C" w:rsidRDefault="00FB724C" w:rsidP="00FB724C">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B64CEE" w:rsidRDefault="00B64CEE"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Pr="00C662D9" w:rsidRDefault="00FB724C" w:rsidP="00FB724C">
      <w:pPr>
        <w:spacing w:line="240" w:lineRule="auto"/>
        <w:jc w:val="center"/>
        <w:rPr>
          <w:b/>
          <w:sz w:val="24"/>
          <w:szCs w:val="24"/>
        </w:rPr>
      </w:pPr>
      <w:r w:rsidRPr="00C662D9">
        <w:rPr>
          <w:b/>
          <w:sz w:val="24"/>
          <w:szCs w:val="24"/>
        </w:rPr>
        <w:lastRenderedPageBreak/>
        <w:t>TABLE OF CONTENTS</w:t>
      </w:r>
    </w:p>
    <w:p w:rsidR="00FB724C" w:rsidRPr="00C662D9" w:rsidRDefault="00FB724C" w:rsidP="00FB724C">
      <w:pPr>
        <w:spacing w:line="240" w:lineRule="auto"/>
        <w:rPr>
          <w:bCs/>
          <w:sz w:val="24"/>
          <w:szCs w:val="24"/>
        </w:rPr>
      </w:pPr>
      <w:r w:rsidRPr="00C662D9">
        <w:rPr>
          <w:bCs/>
          <w:sz w:val="24"/>
          <w:szCs w:val="24"/>
        </w:rPr>
        <w:t>Title page</w:t>
      </w:r>
    </w:p>
    <w:p w:rsidR="00FB724C" w:rsidRPr="00C662D9" w:rsidRDefault="00FB724C" w:rsidP="00FB724C">
      <w:pPr>
        <w:spacing w:line="240" w:lineRule="auto"/>
        <w:rPr>
          <w:bCs/>
          <w:sz w:val="24"/>
          <w:szCs w:val="24"/>
        </w:rPr>
      </w:pPr>
      <w:r w:rsidRPr="00C662D9">
        <w:rPr>
          <w:bCs/>
          <w:sz w:val="24"/>
          <w:szCs w:val="24"/>
        </w:rPr>
        <w:t>Certification</w:t>
      </w:r>
    </w:p>
    <w:p w:rsidR="00FB724C" w:rsidRPr="00C662D9" w:rsidRDefault="00FB724C" w:rsidP="00FB724C">
      <w:pPr>
        <w:spacing w:line="240" w:lineRule="auto"/>
        <w:rPr>
          <w:bCs/>
          <w:sz w:val="24"/>
          <w:szCs w:val="24"/>
        </w:rPr>
      </w:pPr>
      <w:r w:rsidRPr="00C662D9">
        <w:rPr>
          <w:bCs/>
          <w:sz w:val="24"/>
          <w:szCs w:val="24"/>
        </w:rPr>
        <w:t>Dedication</w:t>
      </w:r>
    </w:p>
    <w:p w:rsidR="00FB724C" w:rsidRPr="00C662D9" w:rsidRDefault="00FB724C" w:rsidP="00FB724C">
      <w:pPr>
        <w:spacing w:line="240" w:lineRule="auto"/>
        <w:rPr>
          <w:bCs/>
          <w:sz w:val="24"/>
          <w:szCs w:val="24"/>
        </w:rPr>
      </w:pPr>
      <w:r w:rsidRPr="00C662D9">
        <w:rPr>
          <w:bCs/>
          <w:sz w:val="24"/>
          <w:szCs w:val="24"/>
        </w:rPr>
        <w:t>Acknowledgement</w:t>
      </w:r>
    </w:p>
    <w:p w:rsidR="00FB724C" w:rsidRPr="00C662D9" w:rsidRDefault="00FB724C" w:rsidP="00FB724C">
      <w:pPr>
        <w:spacing w:line="240" w:lineRule="auto"/>
        <w:rPr>
          <w:bCs/>
          <w:sz w:val="24"/>
          <w:szCs w:val="24"/>
        </w:rPr>
      </w:pPr>
      <w:r w:rsidRPr="00C662D9">
        <w:rPr>
          <w:bCs/>
          <w:sz w:val="24"/>
          <w:szCs w:val="24"/>
        </w:rPr>
        <w:t>Table of contents</w:t>
      </w:r>
    </w:p>
    <w:p w:rsidR="00FB724C" w:rsidRPr="00C662D9" w:rsidRDefault="00FB724C" w:rsidP="00FB724C">
      <w:pPr>
        <w:spacing w:line="240" w:lineRule="auto"/>
        <w:rPr>
          <w:bCs/>
          <w:sz w:val="24"/>
          <w:szCs w:val="24"/>
        </w:rPr>
      </w:pPr>
      <w:r w:rsidRPr="00C662D9">
        <w:rPr>
          <w:bCs/>
          <w:sz w:val="24"/>
          <w:szCs w:val="24"/>
        </w:rPr>
        <w:t>Abstracts</w:t>
      </w:r>
    </w:p>
    <w:bookmarkEnd w:id="0"/>
    <w:p w:rsidR="00FB724C" w:rsidRPr="00D1711F" w:rsidRDefault="00FB724C" w:rsidP="00FB724C">
      <w:pPr>
        <w:spacing w:after="0" w:line="480" w:lineRule="auto"/>
        <w:rPr>
          <w:b/>
          <w:bCs/>
        </w:rPr>
      </w:pPr>
      <w:r w:rsidRPr="00D1711F">
        <w:rPr>
          <w:b/>
          <w:bCs/>
        </w:rPr>
        <w:t>CHAPTER ONE</w:t>
      </w:r>
    </w:p>
    <w:p w:rsidR="00FB724C" w:rsidRPr="00D1711F" w:rsidRDefault="00FB724C" w:rsidP="00FB724C">
      <w:pPr>
        <w:spacing w:after="0" w:line="480" w:lineRule="auto"/>
        <w:jc w:val="both"/>
        <w:rPr>
          <w:bCs/>
        </w:rPr>
      </w:pPr>
      <w:r w:rsidRPr="00D1711F">
        <w:rPr>
          <w:bCs/>
        </w:rPr>
        <w:t>1.0</w:t>
      </w:r>
      <w:r w:rsidRPr="00D1711F">
        <w:rPr>
          <w:bCs/>
        </w:rPr>
        <w:tab/>
        <w:t xml:space="preserve">INTRODUCTION </w:t>
      </w:r>
    </w:p>
    <w:p w:rsidR="00FB724C" w:rsidRPr="00D1711F" w:rsidRDefault="00FB724C" w:rsidP="00FB724C">
      <w:pPr>
        <w:spacing w:before="100" w:beforeAutospacing="1" w:after="0" w:line="480" w:lineRule="auto"/>
        <w:outlineLvl w:val="1"/>
        <w:rPr>
          <w:rFonts w:eastAsia="Times New Roman"/>
          <w:bCs/>
        </w:rPr>
      </w:pPr>
      <w:r w:rsidRPr="00D1711F">
        <w:rPr>
          <w:rFonts w:eastAsia="Times New Roman"/>
          <w:bCs/>
        </w:rPr>
        <w:t>1.1 Background of the Study</w:t>
      </w:r>
    </w:p>
    <w:p w:rsidR="00FB724C" w:rsidRPr="00D1711F" w:rsidRDefault="00FB724C" w:rsidP="00FB724C">
      <w:pPr>
        <w:spacing w:before="100" w:beforeAutospacing="1" w:after="0" w:line="480" w:lineRule="auto"/>
        <w:outlineLvl w:val="1"/>
        <w:rPr>
          <w:rFonts w:eastAsia="Times New Roman"/>
          <w:bCs/>
        </w:rPr>
      </w:pPr>
      <w:r w:rsidRPr="00D1711F">
        <w:rPr>
          <w:rFonts w:eastAsia="Times New Roman"/>
          <w:bCs/>
        </w:rPr>
        <w:t>1.2 Statement of the Problem</w:t>
      </w:r>
    </w:p>
    <w:p w:rsidR="00FB724C" w:rsidRPr="00D1711F" w:rsidRDefault="00FB724C" w:rsidP="00FB724C">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FB724C" w:rsidRPr="00D1711F" w:rsidRDefault="00FB724C" w:rsidP="00FB724C">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FB724C" w:rsidRPr="00D1711F" w:rsidRDefault="00FB724C" w:rsidP="00FB724C">
      <w:pPr>
        <w:spacing w:after="0" w:line="480" w:lineRule="auto"/>
        <w:rPr>
          <w:b/>
          <w:bCs/>
        </w:rPr>
      </w:pPr>
      <w:r w:rsidRPr="00D1711F">
        <w:rPr>
          <w:b/>
          <w:bCs/>
        </w:rPr>
        <w:t>CHAPTER TWO</w:t>
      </w:r>
    </w:p>
    <w:p w:rsidR="00FB724C" w:rsidRPr="00D1711F" w:rsidRDefault="00FB724C" w:rsidP="00FB724C">
      <w:pPr>
        <w:spacing w:after="0" w:line="480" w:lineRule="auto"/>
        <w:rPr>
          <w:bCs/>
        </w:rPr>
      </w:pPr>
      <w:r w:rsidRPr="00D1711F">
        <w:rPr>
          <w:bCs/>
        </w:rPr>
        <w:t>2.0 LITERATURE REVIEW</w:t>
      </w:r>
    </w:p>
    <w:p w:rsidR="00FB724C" w:rsidRPr="00D1711F" w:rsidRDefault="00FB724C" w:rsidP="00FB724C">
      <w:pPr>
        <w:spacing w:after="0" w:line="480" w:lineRule="auto"/>
        <w:jc w:val="both"/>
      </w:pPr>
      <w:r w:rsidRPr="00D1711F">
        <w:t>2.1 Ulcer</w:t>
      </w:r>
    </w:p>
    <w:p w:rsidR="00FB724C" w:rsidRPr="00D1711F" w:rsidRDefault="00FB724C" w:rsidP="00FB724C">
      <w:pPr>
        <w:spacing w:after="0" w:line="480" w:lineRule="auto"/>
        <w:jc w:val="both"/>
      </w:pPr>
      <w:r w:rsidRPr="00D1711F">
        <w:t>2.2 Types of Ulcer</w:t>
      </w:r>
    </w:p>
    <w:p w:rsidR="00FB724C" w:rsidRPr="00D1711F" w:rsidRDefault="00FB724C" w:rsidP="00FB724C">
      <w:pPr>
        <w:spacing w:after="0" w:line="480" w:lineRule="auto"/>
        <w:jc w:val="both"/>
      </w:pPr>
      <w:r w:rsidRPr="00D1711F">
        <w:t>2.2.1 Peptic Ulcer</w:t>
      </w:r>
    </w:p>
    <w:p w:rsidR="00FB724C" w:rsidRPr="00D1711F" w:rsidRDefault="00FB724C" w:rsidP="00FB724C">
      <w:pPr>
        <w:spacing w:after="0" w:line="480" w:lineRule="auto"/>
        <w:jc w:val="both"/>
      </w:pPr>
      <w:r w:rsidRPr="00D1711F">
        <w:t>2.2.2 Skin Ulcer</w:t>
      </w:r>
    </w:p>
    <w:p w:rsidR="00FB724C" w:rsidRPr="00D1711F" w:rsidRDefault="00FB724C" w:rsidP="00FB724C">
      <w:pPr>
        <w:spacing w:after="0" w:line="480" w:lineRule="auto"/>
        <w:jc w:val="both"/>
      </w:pPr>
      <w:r w:rsidRPr="00D1711F">
        <w:t>2.2.3 Mouth Ulcer</w:t>
      </w:r>
    </w:p>
    <w:p w:rsidR="00FB724C" w:rsidRPr="00D1711F" w:rsidRDefault="00FB724C" w:rsidP="00FB724C">
      <w:pPr>
        <w:spacing w:after="0" w:line="480" w:lineRule="auto"/>
        <w:jc w:val="both"/>
      </w:pPr>
      <w:r w:rsidRPr="00D1711F">
        <w:t>2.2.4 Corneal Ulcer</w:t>
      </w:r>
    </w:p>
    <w:p w:rsidR="00FB724C" w:rsidRPr="00D1711F" w:rsidRDefault="00FB724C" w:rsidP="00FB724C">
      <w:pPr>
        <w:spacing w:after="0" w:line="480" w:lineRule="auto"/>
        <w:jc w:val="both"/>
      </w:pPr>
      <w:r w:rsidRPr="00D1711F">
        <w:lastRenderedPageBreak/>
        <w:t>2.2.5 Diabetic Ulcer</w:t>
      </w:r>
    </w:p>
    <w:p w:rsidR="00FB724C" w:rsidRPr="00D1711F" w:rsidRDefault="00FB724C" w:rsidP="00FB724C">
      <w:pPr>
        <w:spacing w:after="0" w:line="480" w:lineRule="auto"/>
        <w:jc w:val="both"/>
      </w:pPr>
      <w:r w:rsidRPr="00D1711F">
        <w:t>2.2.6 Stomach Ulcer</w:t>
      </w:r>
    </w:p>
    <w:p w:rsidR="00FB724C" w:rsidRPr="00D1711F" w:rsidRDefault="00FB724C" w:rsidP="00FB724C">
      <w:pPr>
        <w:spacing w:after="0" w:line="480" w:lineRule="auto"/>
        <w:jc w:val="both"/>
        <w:rPr>
          <w:bCs/>
        </w:rPr>
      </w:pPr>
      <w:r w:rsidRPr="00D1711F">
        <w:rPr>
          <w:bCs/>
        </w:rPr>
        <w:t>2.3 Causes of Ulcer</w:t>
      </w:r>
    </w:p>
    <w:p w:rsidR="00FB724C" w:rsidRPr="00D1711F" w:rsidRDefault="00FB724C" w:rsidP="00FB724C">
      <w:pPr>
        <w:spacing w:after="0" w:line="480" w:lineRule="auto"/>
        <w:jc w:val="both"/>
        <w:rPr>
          <w:bCs/>
        </w:rPr>
      </w:pPr>
      <w:r w:rsidRPr="00D1711F">
        <w:rPr>
          <w:bCs/>
        </w:rPr>
        <w:t>2.3.1 Psychological Causes</w:t>
      </w:r>
    </w:p>
    <w:p w:rsidR="00FB724C" w:rsidRPr="00D1711F" w:rsidRDefault="00FB724C" w:rsidP="00FB724C">
      <w:pPr>
        <w:spacing w:after="0" w:line="480" w:lineRule="auto"/>
        <w:jc w:val="both"/>
        <w:rPr>
          <w:bCs/>
        </w:rPr>
      </w:pPr>
      <w:r w:rsidRPr="00D1711F">
        <w:rPr>
          <w:bCs/>
        </w:rPr>
        <w:t>2.3.2 Medication</w:t>
      </w:r>
    </w:p>
    <w:p w:rsidR="00FB724C" w:rsidRPr="00D1711F" w:rsidRDefault="00FB724C" w:rsidP="00FB724C">
      <w:pPr>
        <w:spacing w:after="0" w:line="480" w:lineRule="auto"/>
        <w:jc w:val="both"/>
        <w:rPr>
          <w:bCs/>
        </w:rPr>
      </w:pPr>
      <w:r w:rsidRPr="00D1711F">
        <w:rPr>
          <w:bCs/>
        </w:rPr>
        <w:t>2.3.3 Dietary Factors</w:t>
      </w:r>
    </w:p>
    <w:p w:rsidR="00FB724C" w:rsidRPr="00D1711F" w:rsidRDefault="00FB724C" w:rsidP="00FB724C">
      <w:pPr>
        <w:spacing w:after="0" w:line="480" w:lineRule="auto"/>
        <w:jc w:val="both"/>
        <w:rPr>
          <w:bCs/>
        </w:rPr>
      </w:pPr>
      <w:r w:rsidRPr="00D1711F">
        <w:rPr>
          <w:bCs/>
        </w:rPr>
        <w:t>2.4 Pathophysiology of Ulcer</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2.5 Antioxidants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 Types of antioxidant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 Non enzymatic antioxidant</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2.6.1.1 Total phenolic content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2.6.1.2 Total flavonoid content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2.6.1.3 Ferric reducing antioxidant power (FRAP)</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2.6.2 Enzymatic antioxidant</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2.6.2.2 Catalase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 Lipid peroxidation parameters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2.7.1 Glutathione transferase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2.7.2 Glutathione peroxidase</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2.7.3 Glutathione reductase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2.7.4 Reduced glutathione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2.7.5 Malondialdehyde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2.7.6 Mycloperoxidase </w:t>
      </w:r>
    </w:p>
    <w:p w:rsidR="00FB724C" w:rsidRPr="00D1711F" w:rsidRDefault="00FB724C" w:rsidP="00FB724C">
      <w:pPr>
        <w:spacing w:after="0" w:line="480" w:lineRule="auto"/>
        <w:rPr>
          <w:b/>
          <w:bCs/>
        </w:rPr>
      </w:pPr>
      <w:r w:rsidRPr="00D1711F">
        <w:rPr>
          <w:b/>
          <w:bCs/>
        </w:rPr>
        <w:t>CHAPTER THREE</w:t>
      </w:r>
    </w:p>
    <w:p w:rsidR="00FB724C" w:rsidRPr="00D1711F" w:rsidRDefault="00FB724C" w:rsidP="00FB724C">
      <w:pPr>
        <w:spacing w:after="0" w:line="480" w:lineRule="auto"/>
      </w:pPr>
      <w:r w:rsidRPr="00D1711F">
        <w:rPr>
          <w:bCs/>
        </w:rPr>
        <w:t>3.0</w:t>
      </w:r>
      <w:r w:rsidRPr="00D1711F">
        <w:rPr>
          <w:bCs/>
        </w:rPr>
        <w:tab/>
        <w:t>MATERIALS AND METHODS</w:t>
      </w:r>
    </w:p>
    <w:p w:rsidR="00FB724C" w:rsidRPr="00D1711F" w:rsidRDefault="00FB724C" w:rsidP="00FB724C">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FB724C" w:rsidRPr="00D1711F" w:rsidRDefault="00FB724C" w:rsidP="00FB724C">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FB724C" w:rsidRPr="00D1711F" w:rsidRDefault="00FB724C" w:rsidP="00FB724C">
      <w:pPr>
        <w:spacing w:after="0" w:line="480" w:lineRule="auto"/>
        <w:jc w:val="both"/>
        <w:rPr>
          <w:bCs/>
        </w:rPr>
      </w:pPr>
      <w:r w:rsidRPr="00D1711F">
        <w:rPr>
          <w:bCs/>
        </w:rPr>
        <w:t xml:space="preserve">3.3 Experimental design </w:t>
      </w:r>
    </w:p>
    <w:p w:rsidR="00FB724C" w:rsidRPr="00D1711F" w:rsidRDefault="00FB724C" w:rsidP="00FB724C">
      <w:pPr>
        <w:spacing w:after="0" w:line="480" w:lineRule="auto"/>
        <w:jc w:val="both"/>
        <w:rPr>
          <w:bCs/>
        </w:rPr>
      </w:pPr>
      <w:r w:rsidRPr="00D1711F">
        <w:rPr>
          <w:bCs/>
        </w:rPr>
        <w:t xml:space="preserve">3.3.1 Determination of antioxidant properties </w:t>
      </w:r>
    </w:p>
    <w:p w:rsidR="00FB724C" w:rsidRPr="00D1711F" w:rsidRDefault="00FB724C" w:rsidP="00FB724C">
      <w:pPr>
        <w:spacing w:after="0" w:line="480" w:lineRule="auto"/>
        <w:jc w:val="both"/>
        <w:rPr>
          <w:bCs/>
        </w:rPr>
      </w:pPr>
      <w:r w:rsidRPr="00D1711F">
        <w:rPr>
          <w:bCs/>
        </w:rPr>
        <w:t>3.3.2 Determination of Ferric Reducing Antioxidant Power (FRAP)</w:t>
      </w:r>
    </w:p>
    <w:p w:rsidR="00FB724C" w:rsidRPr="00D1711F" w:rsidRDefault="00FB724C" w:rsidP="00FB724C">
      <w:pPr>
        <w:spacing w:after="0" w:line="480" w:lineRule="auto"/>
        <w:jc w:val="both"/>
        <w:rPr>
          <w:bCs/>
        </w:rPr>
      </w:pPr>
      <w:r w:rsidRPr="00D1711F">
        <w:rPr>
          <w:bCs/>
        </w:rPr>
        <w:lastRenderedPageBreak/>
        <w:t>3.3.2 Determination of Azino-bis C3 ethyl Benzothiazoline-b- sulphonic acid (ABTs)</w:t>
      </w:r>
    </w:p>
    <w:p w:rsidR="00FB724C" w:rsidRPr="00D1711F" w:rsidRDefault="00FB724C" w:rsidP="00FB724C">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FB724C" w:rsidRPr="00D1711F" w:rsidRDefault="00FB724C" w:rsidP="00FB724C">
      <w:pPr>
        <w:spacing w:after="0" w:line="480" w:lineRule="auto"/>
        <w:jc w:val="both"/>
        <w:rPr>
          <w:bCs/>
        </w:rPr>
      </w:pPr>
      <w:r w:rsidRPr="00D1711F">
        <w:rPr>
          <w:bCs/>
        </w:rPr>
        <w:t>3.3.4 Determination of total flavonoid content (TFC)</w:t>
      </w:r>
    </w:p>
    <w:p w:rsidR="00FB724C" w:rsidRPr="00D1711F" w:rsidRDefault="00FB724C" w:rsidP="00FB724C">
      <w:pPr>
        <w:spacing w:after="0" w:line="480" w:lineRule="auto"/>
        <w:jc w:val="both"/>
        <w:rPr>
          <w:bCs/>
        </w:rPr>
      </w:pPr>
      <w:r w:rsidRPr="00D1711F">
        <w:rPr>
          <w:bCs/>
        </w:rPr>
        <w:t>3.3.5 Determination of total phenolic content (TPC)</w:t>
      </w:r>
    </w:p>
    <w:p w:rsidR="00FB724C" w:rsidRPr="00D1711F" w:rsidRDefault="00FB724C" w:rsidP="00FB724C">
      <w:pPr>
        <w:spacing w:after="0" w:line="480" w:lineRule="auto"/>
        <w:jc w:val="both"/>
      </w:pPr>
      <w:r w:rsidRPr="00D1711F">
        <w:t>3.3.6</w:t>
      </w:r>
      <w:r w:rsidRPr="00D1711F">
        <w:tab/>
        <w:t>Determination of Enzymatic Antioxidant</w:t>
      </w:r>
    </w:p>
    <w:p w:rsidR="00FB724C" w:rsidRPr="00D1711F" w:rsidRDefault="00FB724C" w:rsidP="00FB724C">
      <w:pPr>
        <w:spacing w:after="0" w:line="480" w:lineRule="auto"/>
        <w:jc w:val="both"/>
      </w:pPr>
      <w:r w:rsidRPr="00D1711F">
        <w:t>3.4 Malondialdehyde</w:t>
      </w:r>
    </w:p>
    <w:p w:rsidR="00FB724C" w:rsidRPr="00D1711F" w:rsidRDefault="00FB724C" w:rsidP="00FB724C">
      <w:pPr>
        <w:spacing w:after="0" w:line="480" w:lineRule="auto"/>
        <w:outlineLvl w:val="1"/>
        <w:rPr>
          <w:rFonts w:eastAsia="Times New Roman"/>
          <w:b/>
          <w:bCs/>
        </w:rPr>
      </w:pPr>
      <w:r w:rsidRPr="00D1711F">
        <w:rPr>
          <w:rFonts w:eastAsia="Times New Roman"/>
          <w:b/>
          <w:bCs/>
        </w:rPr>
        <w:t>CHAPTER FOUR</w:t>
      </w:r>
    </w:p>
    <w:p w:rsidR="00FB724C" w:rsidRPr="00D1711F" w:rsidRDefault="00FB724C" w:rsidP="00FB724C">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FB724C" w:rsidRPr="00D1711F" w:rsidRDefault="00FB724C" w:rsidP="00FB724C">
      <w:pPr>
        <w:spacing w:after="0" w:line="480" w:lineRule="auto"/>
        <w:jc w:val="both"/>
        <w:outlineLvl w:val="3"/>
        <w:rPr>
          <w:rFonts w:eastAsia="Times New Roman"/>
          <w:bCs/>
        </w:rPr>
      </w:pPr>
      <w:r w:rsidRPr="00D1711F">
        <w:rPr>
          <w:rFonts w:eastAsia="Times New Roman"/>
          <w:bCs/>
        </w:rPr>
        <w:t>4.1 BIOCHEMICAL RESULTS</w:t>
      </w:r>
    </w:p>
    <w:p w:rsidR="00FB724C" w:rsidRPr="00D1711F" w:rsidRDefault="00FB724C" w:rsidP="00FB724C">
      <w:pPr>
        <w:spacing w:after="0" w:line="480" w:lineRule="auto"/>
        <w:jc w:val="both"/>
        <w:outlineLvl w:val="2"/>
        <w:rPr>
          <w:rFonts w:eastAsia="Times New Roman"/>
          <w:bCs/>
        </w:rPr>
      </w:pPr>
      <w:r w:rsidRPr="00D1711F">
        <w:rPr>
          <w:rFonts w:eastAsia="Times New Roman"/>
          <w:bCs/>
        </w:rPr>
        <w:t>4.2 INTERPRETATION OF RESULTS</w:t>
      </w:r>
    </w:p>
    <w:p w:rsidR="00FB724C" w:rsidRPr="00D1711F" w:rsidRDefault="00FB724C" w:rsidP="00FB724C">
      <w:pPr>
        <w:spacing w:after="0" w:line="480" w:lineRule="auto"/>
        <w:jc w:val="both"/>
        <w:outlineLvl w:val="2"/>
        <w:rPr>
          <w:rFonts w:eastAsia="Times New Roman"/>
          <w:bCs/>
        </w:rPr>
      </w:pPr>
      <w:r w:rsidRPr="00D1711F">
        <w:rPr>
          <w:rFonts w:eastAsia="Times New Roman"/>
          <w:bCs/>
        </w:rPr>
        <w:t>4.3 Histopathological Findings</w:t>
      </w:r>
    </w:p>
    <w:p w:rsidR="00FB724C" w:rsidRPr="00D1711F" w:rsidRDefault="00FB724C" w:rsidP="00FB724C">
      <w:pPr>
        <w:spacing w:after="0" w:line="480" w:lineRule="auto"/>
        <w:rPr>
          <w:rFonts w:eastAsia="Times New Roman"/>
          <w:bCs/>
        </w:rPr>
      </w:pPr>
      <w:r w:rsidRPr="00D1711F">
        <w:rPr>
          <w:rFonts w:eastAsia="Times New Roman"/>
          <w:bCs/>
        </w:rPr>
        <w:t>CHAPTER FIVE</w:t>
      </w:r>
    </w:p>
    <w:p w:rsidR="00FB724C" w:rsidRPr="00D1711F" w:rsidRDefault="00FB724C" w:rsidP="00FB724C">
      <w:pPr>
        <w:spacing w:after="0" w:line="480" w:lineRule="auto"/>
        <w:outlineLvl w:val="2"/>
        <w:rPr>
          <w:rFonts w:eastAsia="Times New Roman"/>
          <w:bCs/>
        </w:rPr>
      </w:pPr>
      <w:r w:rsidRPr="00D1711F">
        <w:rPr>
          <w:rFonts w:eastAsia="Times New Roman"/>
          <w:bCs/>
        </w:rPr>
        <w:t>5.1 SUMMARY</w:t>
      </w:r>
    </w:p>
    <w:p w:rsidR="00FB724C" w:rsidRPr="00D1711F" w:rsidRDefault="00FB724C" w:rsidP="00FB724C">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FB724C" w:rsidRPr="00D1711F" w:rsidRDefault="00FB724C" w:rsidP="00FB724C">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FB724C" w:rsidRPr="00D1711F" w:rsidRDefault="00FB724C" w:rsidP="00FB724C">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FB724C" w:rsidRPr="00D1711F" w:rsidRDefault="00FB724C" w:rsidP="00FB724C">
      <w:pPr>
        <w:pStyle w:val="Heading2"/>
        <w:spacing w:before="0" w:beforeAutospacing="0" w:afterAutospacing="0" w:line="480" w:lineRule="auto"/>
        <w:rPr>
          <w:b w:val="0"/>
          <w:sz w:val="28"/>
          <w:szCs w:val="28"/>
        </w:rPr>
      </w:pPr>
      <w:r w:rsidRPr="00D1711F">
        <w:rPr>
          <w:rStyle w:val="Strong"/>
          <w:sz w:val="28"/>
          <w:szCs w:val="28"/>
        </w:rPr>
        <w:t>REFERENCES</w:t>
      </w:r>
    </w:p>
    <w:p w:rsidR="00FB724C" w:rsidRDefault="00FB724C" w:rsidP="00FB724C">
      <w:pPr>
        <w:spacing w:after="0" w:line="360" w:lineRule="auto"/>
        <w:jc w:val="center"/>
        <w:rPr>
          <w:b/>
          <w:i/>
          <w:sz w:val="24"/>
          <w:szCs w:val="24"/>
        </w:rPr>
      </w:pPr>
    </w:p>
    <w:p w:rsidR="00FB724C" w:rsidRDefault="00FB724C" w:rsidP="00FB724C">
      <w:pPr>
        <w:spacing w:after="0" w:line="360" w:lineRule="auto"/>
        <w:jc w:val="center"/>
        <w:rPr>
          <w:b/>
          <w:i/>
          <w:sz w:val="24"/>
          <w:szCs w:val="24"/>
        </w:rPr>
      </w:pPr>
      <w:r>
        <w:rPr>
          <w:b/>
          <w:i/>
          <w:sz w:val="24"/>
          <w:szCs w:val="24"/>
        </w:rPr>
        <w:t>ABSTRACT</w:t>
      </w:r>
    </w:p>
    <w:p w:rsidR="00FB724C" w:rsidRPr="008D4738" w:rsidRDefault="00FB724C" w:rsidP="00FB724C">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FB724C" w:rsidRPr="008D4738" w:rsidRDefault="00FB724C" w:rsidP="00FB724C">
      <w:pPr>
        <w:spacing w:after="0" w:line="360" w:lineRule="auto"/>
        <w:jc w:val="both"/>
        <w:rPr>
          <w:i/>
        </w:rPr>
      </w:pPr>
      <w:r w:rsidRPr="008D4738">
        <w:rPr>
          <w:i/>
        </w:rPr>
        <w:t xml:space="preserve">Fifty two (52) adult Wistar rats were divided into seven groups: a normal control, an ulcer control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FB724C" w:rsidRDefault="00FB724C" w:rsidP="00FB724C">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FB724C" w:rsidRPr="008D4738" w:rsidRDefault="00FB724C" w:rsidP="00FB724C">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FB724C"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r w:rsidRPr="00D7082F">
        <w:rPr>
          <w:b/>
          <w:bCs/>
          <w:color w:val="000000" w:themeColor="text1"/>
        </w:rPr>
        <w:t>CHAPTER ONE</w:t>
      </w:r>
    </w:p>
    <w:p w:rsidR="00FB724C" w:rsidRPr="00D7082F" w:rsidRDefault="00FB724C" w:rsidP="00FB724C">
      <w:pPr>
        <w:spacing w:line="360" w:lineRule="auto"/>
        <w:jc w:val="both"/>
        <w:rPr>
          <w:b/>
          <w:bCs/>
          <w:color w:val="000000" w:themeColor="text1"/>
        </w:rPr>
      </w:pPr>
      <w:r>
        <w:rPr>
          <w:b/>
          <w:bCs/>
          <w:color w:val="000000" w:themeColor="text1"/>
        </w:rPr>
        <w:lastRenderedPageBreak/>
        <w:t>1.0</w:t>
      </w:r>
      <w:r>
        <w:rPr>
          <w:b/>
          <w:bCs/>
          <w:color w:val="000000" w:themeColor="text1"/>
        </w:rPr>
        <w:tab/>
      </w:r>
      <w:r w:rsidRPr="00D7082F">
        <w:rPr>
          <w:b/>
          <w:bCs/>
          <w:color w:val="000000" w:themeColor="text1"/>
        </w:rPr>
        <w:t xml:space="preserve">INTRODUCTION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management </w:t>
      </w:r>
      <w:r w:rsidRPr="00E96164">
        <w:rPr>
          <w:rFonts w:eastAsia="Times New Roman"/>
          <w:i/>
          <w:color w:val="000000" w:themeColor="text1"/>
        </w:rPr>
        <w:t>(Femoe et al., 2022).</w:t>
      </w:r>
    </w:p>
    <w:p w:rsidR="00FB724C" w:rsidRPr="00D7082F" w:rsidRDefault="00FB724C" w:rsidP="00FB724C">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urease, which neutralizes gastric acid, and the ability to adhere to the gastric epithelium, leading to inflammation and mucosal damage </w:t>
      </w:r>
      <w:r w:rsidRPr="00E96164">
        <w:rPr>
          <w:rFonts w:eastAsia="Times New Roman"/>
          <w:i/>
          <w:color w:val="000000" w:themeColor="text1"/>
        </w:rPr>
        <w:t>(Hunt et al., 2011).</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FB724C"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strains </w:t>
      </w:r>
      <w:r w:rsidRPr="00E96164">
        <w:rPr>
          <w:rFonts w:eastAsia="Times New Roman"/>
          <w:i/>
          <w:color w:val="000000" w:themeColor="text1"/>
        </w:rPr>
        <w:t>(Zatorski, 2017).</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damage in gastric tissue, even gastrointestinal bleeding when combined with antithrombotic agents. Inhibition of the COX-2 enzyme is thought to be responsible for </w:t>
      </w:r>
      <w:r w:rsidRPr="00D7082F">
        <w:rPr>
          <w:color w:val="000000" w:themeColor="text1"/>
        </w:rPr>
        <w:lastRenderedPageBreak/>
        <w:t xml:space="preserve">indomethacin’s anti-inflammatory effect, while inhibition of COX-1 is responsible for its gastrointestinal system (GIS) side effects </w:t>
      </w:r>
      <w:r w:rsidRPr="00E96164">
        <w:rPr>
          <w:i/>
          <w:color w:val="000000" w:themeColor="text1"/>
        </w:rPr>
        <w:t>(Delaney et al., 2007).</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r w:rsidRPr="00E96164">
        <w:rPr>
          <w:color w:val="000000" w:themeColor="text1"/>
        </w:rPr>
        <w:t>enzyme</w:t>
      </w:r>
      <w:r w:rsidRPr="00E96164">
        <w:rPr>
          <w:i/>
          <w:color w:val="000000" w:themeColor="text1"/>
        </w:rPr>
        <w:t xml:space="preserve"> (</w:t>
      </w:r>
      <w:r w:rsidRPr="00E96164">
        <w:rPr>
          <w:i/>
          <w:color w:val="000000" w:themeColor="text1"/>
          <w:shd w:val="clear" w:color="auto" w:fill="FFFFFF"/>
        </w:rPr>
        <w:t>Adewoye and Salami, 2013</w:t>
      </w:r>
      <w:r w:rsidRPr="00E96164">
        <w:rPr>
          <w:i/>
          <w:color w:val="000000" w:themeColor="text1"/>
        </w:rPr>
        <w:t>).</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complaints </w:t>
      </w:r>
      <w:r w:rsidRPr="00E96164">
        <w:rPr>
          <w:rFonts w:eastAsia="Times New Roman"/>
          <w:i/>
          <w:color w:val="000000" w:themeColor="text1"/>
        </w:rPr>
        <w:t>(Asusheyi et al., 2010)</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antiulcerogenic effects by reinforcing the mucosal barrier, inhibiting inflammatory cytokines, and modulating gastric acid secretion. Several in vivo studies have demonstrated the efficacy of plant extracts in protecting against NSAID-induced gastric ulcers in animal models. These studies report reductions in ulcer index, </w:t>
      </w:r>
      <w:r w:rsidRPr="00D7082F">
        <w:rPr>
          <w:rFonts w:eastAsia="Times New Roman"/>
          <w:color w:val="000000" w:themeColor="text1"/>
        </w:rPr>
        <w:lastRenderedPageBreak/>
        <w:t xml:space="preserve">restoration of antioxidant enzyme levels, and histological improvements in the gastric mucosa. The affordability, accessibility, and minimal side effects associated with medicinal plants make them attractive options for populations with limited access to modern healthcare systems </w:t>
      </w:r>
      <w:r w:rsidRPr="00E96164">
        <w:rPr>
          <w:rFonts w:eastAsia="Times New Roman"/>
          <w:i/>
          <w:color w:val="000000" w:themeColor="text1"/>
        </w:rPr>
        <w:t>(Yousef et al., 2019).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FB724C" w:rsidRPr="00D7082F" w:rsidRDefault="00FB724C" w:rsidP="00FB724C">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 xml:space="preserve">-induced </w:t>
      </w:r>
      <w:r w:rsidRPr="00D7082F">
        <w:rPr>
          <w:rFonts w:eastAsia="Times New Roman"/>
          <w:color w:val="000000" w:themeColor="text1"/>
        </w:rPr>
        <w:lastRenderedPageBreak/>
        <w:t>ulcer models. This lack of data hampers the integration of such herbal therapies into mainstream ulcer management.</w:t>
      </w: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 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FB724C"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FB724C"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lastRenderedPageBreak/>
        <w:t>1.4 Aim and objectives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rPr>
          <w:b/>
          <w:bCs/>
          <w:color w:val="000000" w:themeColor="text1"/>
        </w:rPr>
      </w:pPr>
    </w:p>
    <w:p w:rsidR="00FB724C" w:rsidRDefault="00FB724C" w:rsidP="00FB724C">
      <w:pPr>
        <w:spacing w:line="360" w:lineRule="auto"/>
        <w:jc w:val="center"/>
        <w:rPr>
          <w:b/>
          <w:bCs/>
          <w:color w:val="000000" w:themeColor="text1"/>
        </w:rPr>
      </w:pPr>
    </w:p>
    <w:p w:rsidR="00FB724C" w:rsidRDefault="00FB724C" w:rsidP="00FB724C">
      <w:pPr>
        <w:rPr>
          <w:b/>
          <w:bCs/>
          <w:color w:val="000000" w:themeColor="text1"/>
        </w:rPr>
      </w:pPr>
      <w:r>
        <w:rPr>
          <w:b/>
          <w:bCs/>
          <w:color w:val="000000" w:themeColor="text1"/>
        </w:rPr>
        <w:br w:type="page"/>
      </w:r>
    </w:p>
    <w:p w:rsidR="00FB724C" w:rsidRPr="00D7082F" w:rsidRDefault="00FB724C" w:rsidP="00FB724C">
      <w:pPr>
        <w:spacing w:line="360" w:lineRule="auto"/>
        <w:jc w:val="center"/>
        <w:rPr>
          <w:b/>
          <w:bCs/>
          <w:color w:val="000000" w:themeColor="text1"/>
        </w:rPr>
      </w:pPr>
      <w:r w:rsidRPr="00D7082F">
        <w:rPr>
          <w:b/>
          <w:bCs/>
          <w:color w:val="000000" w:themeColor="text1"/>
        </w:rPr>
        <w:lastRenderedPageBreak/>
        <w:t>CHAPTER TWO</w:t>
      </w:r>
    </w:p>
    <w:p w:rsidR="00FB724C" w:rsidRPr="00D7082F" w:rsidRDefault="00FB724C" w:rsidP="00FB724C">
      <w:pPr>
        <w:spacing w:line="360" w:lineRule="auto"/>
        <w:rPr>
          <w:b/>
          <w:bCs/>
          <w:color w:val="000000" w:themeColor="text1"/>
        </w:rPr>
      </w:pPr>
      <w:r w:rsidRPr="00D7082F">
        <w:rPr>
          <w:b/>
          <w:bCs/>
          <w:color w:val="000000" w:themeColor="text1"/>
        </w:rPr>
        <w:t>2.0 LITERATURE REVIEW</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a pressing public health issue globally, particularly in low-resource settings where </w:t>
      </w:r>
      <w:r w:rsidRPr="00D7082F">
        <w:rPr>
          <w:rFonts w:eastAsia="Times New Roman"/>
          <w:color w:val="000000" w:themeColor="text1"/>
        </w:rPr>
        <w:lastRenderedPageBreak/>
        <w:t xml:space="preserve">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FB724C" w:rsidRPr="00D7082F" w:rsidRDefault="00FB724C" w:rsidP="00FB724C">
      <w:pPr>
        <w:spacing w:line="360" w:lineRule="auto"/>
        <w:jc w:val="both"/>
        <w:rPr>
          <w:b/>
          <w:color w:val="000000" w:themeColor="text1"/>
        </w:rPr>
      </w:pPr>
      <w:r w:rsidRPr="00D7082F">
        <w:rPr>
          <w:b/>
          <w:color w:val="000000" w:themeColor="text1"/>
        </w:rPr>
        <w:t>2.1 Ulcer</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dietary practices, the availability of healthcare services, and the rate of </w:t>
      </w:r>
      <w:r w:rsidRPr="00D7082F">
        <w:rPr>
          <w:rFonts w:eastAsia="Times New Roman"/>
          <w:i/>
          <w:iCs/>
          <w:color w:val="000000" w:themeColor="text1"/>
        </w:rPr>
        <w:t xml:space="preserve">Helicobacter </w:t>
      </w:r>
      <w:r w:rsidRPr="00D7082F">
        <w:rPr>
          <w:rFonts w:eastAsia="Times New Roman"/>
          <w:i/>
          <w:iCs/>
          <w:color w:val="000000" w:themeColor="text1"/>
        </w:rPr>
        <w:lastRenderedPageBreak/>
        <w:t>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medicine approaches—particularly those involving stem cell therapy—have been explored for managing chronic ulcers, demonstrating encouraging outcomes in terms of tissue regeneration and recovery (Liesegang, 2019). The field of phytomedicine has also advanced, leading to studies </w:t>
      </w:r>
      <w:r w:rsidRPr="00D7082F">
        <w:rPr>
          <w:rFonts w:eastAsia="Times New Roman"/>
          <w:color w:val="000000" w:themeColor="text1"/>
        </w:rPr>
        <w:lastRenderedPageBreak/>
        <w:t xml:space="preserve">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FB724C" w:rsidRPr="00D7082F" w:rsidRDefault="00FB724C" w:rsidP="00FB724C">
      <w:pPr>
        <w:spacing w:line="360" w:lineRule="auto"/>
        <w:jc w:val="both"/>
        <w:rPr>
          <w:b/>
          <w:color w:val="000000" w:themeColor="text1"/>
        </w:rPr>
      </w:pPr>
      <w:r w:rsidRPr="00D7082F">
        <w:rPr>
          <w:b/>
          <w:color w:val="000000" w:themeColor="text1"/>
        </w:rPr>
        <w:t>2.2 Types of Ulcer</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FB724C" w:rsidRPr="00D7082F"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2.2.1 Peptic Ulcer</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 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cytotoxin-associated gene (cag) island within its genome, both of which contribute to its ulcerogenic potential (Nilsson et al., 2003). Infected individuals typically exhibit elevated basal and meal-induced gastrin secretion, along with diminished production of gastric </w:t>
      </w:r>
      <w:r w:rsidRPr="00D7082F">
        <w:rPr>
          <w:rFonts w:eastAsia="Times New Roman"/>
          <w:color w:val="000000" w:themeColor="text1"/>
        </w:rPr>
        <w:lastRenderedPageBreak/>
        <w:t xml:space="preserve">mucus and duodenal bicarbonate—conditions that collectively promote ulcer development </w:t>
      </w:r>
      <w:r w:rsidRPr="00B811FF">
        <w:rPr>
          <w:rFonts w:eastAsia="Times New Roman"/>
          <w:i/>
          <w:color w:val="000000" w:themeColor="text1"/>
        </w:rPr>
        <w:t>(Nilsson et al., 2003).</w:t>
      </w: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735C589E" wp14:editId="38C08E00">
            <wp:extent cx="2926899"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427"/>
                    <a:stretch/>
                  </pic:blipFill>
                  <pic:spPr bwMode="auto">
                    <a:xfrm>
                      <a:off x="0" y="0"/>
                      <a:ext cx="2929971" cy="2803289"/>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Cs/>
          <w:color w:val="000000" w:themeColor="text1"/>
        </w:rPr>
      </w:pPr>
      <w:r>
        <w:rPr>
          <w:bCs/>
          <w:color w:val="000000" w:themeColor="text1"/>
        </w:rPr>
        <w:t>Source: lauret (2015)</w:t>
      </w:r>
    </w:p>
    <w:p w:rsidR="00FB724C" w:rsidRPr="00D7082F" w:rsidRDefault="00FB724C" w:rsidP="00FB724C">
      <w:pPr>
        <w:spacing w:line="360" w:lineRule="auto"/>
        <w:jc w:val="both"/>
        <w:rPr>
          <w:b/>
          <w:color w:val="000000" w:themeColor="text1"/>
        </w:rPr>
      </w:pPr>
      <w:r w:rsidRPr="00D7082F">
        <w:rPr>
          <w:b/>
          <w:color w:val="000000" w:themeColor="text1"/>
        </w:rPr>
        <w:t>2.2.2 Skin Ulcer</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significant health concern globally, affecting individuals across various age groups and socioeconomic backgrounds. These chronic wounds result from multiple underlying conditions, including vascular insufficiency, prolonged pressure, infection, and </w:t>
      </w:r>
      <w:r w:rsidRPr="00D7082F">
        <w:rPr>
          <w:color w:val="000000" w:themeColor="text1"/>
        </w:rPr>
        <w:lastRenderedPageBreak/>
        <w:t xml:space="preserve">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w:t>
      </w:r>
      <w:r w:rsidRPr="00D7082F">
        <w:rPr>
          <w:color w:val="000000" w:themeColor="text1"/>
        </w:rPr>
        <w:lastRenderedPageBreak/>
        <w:t xml:space="preserve">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acute,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FB724C" w:rsidRPr="00B811FF" w:rsidRDefault="00FB724C" w:rsidP="00FB724C">
      <w:pPr>
        <w:spacing w:line="360" w:lineRule="auto"/>
        <w:jc w:val="both"/>
        <w:rPr>
          <w:b/>
          <w:i/>
          <w:color w:val="000000" w:themeColor="text1"/>
        </w:rPr>
      </w:pP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4E145F5B" wp14:editId="7E9AF93A">
            <wp:extent cx="3357677" cy="2069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9">
                      <a:extLst>
                        <a:ext uri="{28A0092B-C50C-407E-A947-70E740481C1C}">
                          <a14:useLocalDpi xmlns:a14="http://schemas.microsoft.com/office/drawing/2010/main"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Cs/>
          <w:color w:val="000000" w:themeColor="text1"/>
          <w:lang w:val="fr-FR"/>
        </w:rPr>
      </w:pPr>
      <w:r>
        <w:rPr>
          <w:bCs/>
          <w:color w:val="000000" w:themeColor="text1"/>
          <w:lang w:val="fr-FR"/>
        </w:rPr>
        <w:t xml:space="preserve">Source: kuma (2004) </w:t>
      </w:r>
    </w:p>
    <w:p w:rsidR="00FB724C" w:rsidRDefault="00FB724C" w:rsidP="00FB724C">
      <w:pPr>
        <w:spacing w:line="360" w:lineRule="auto"/>
        <w:jc w:val="both"/>
        <w:rPr>
          <w:b/>
          <w:color w:val="000000" w:themeColor="text1"/>
        </w:rPr>
      </w:pPr>
    </w:p>
    <w:p w:rsidR="00FB724C"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2.2.3 Mouth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w:t>
      </w:r>
      <w:r w:rsidRPr="00D7082F">
        <w:rPr>
          <w:rFonts w:eastAsia="Times New Roman"/>
          <w:color w:val="000000" w:themeColor="text1"/>
        </w:rPr>
        <w:lastRenderedPageBreak/>
        <w:t xml:space="preserve">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1A5817BD" wp14:editId="40937644">
            <wp:extent cx="2794000" cy="27178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0">
                      <a:extLst>
                        <a:ext uri="{28A0092B-C50C-407E-A947-70E740481C1C}">
                          <a14:useLocalDpi xmlns:a14="http://schemas.microsoft.com/office/drawing/2010/main" val="0"/>
                        </a:ext>
                      </a:extLst>
                    </a:blip>
                    <a:stretch>
                      <a:fillRect/>
                    </a:stretch>
                  </pic:blipFill>
                  <pic:spPr>
                    <a:xfrm>
                      <a:off x="0" y="0"/>
                      <a:ext cx="2794000" cy="2717800"/>
                    </a:xfrm>
                    <a:prstGeom prst="rect">
                      <a:avLst/>
                    </a:prstGeom>
                  </pic:spPr>
                </pic:pic>
              </a:graphicData>
            </a:graphic>
          </wp:inline>
        </w:drawing>
      </w:r>
    </w:p>
    <w:p w:rsidR="00FB724C" w:rsidRPr="00D7082F" w:rsidRDefault="00FB724C" w:rsidP="00FB724C">
      <w:pPr>
        <w:spacing w:line="360" w:lineRule="auto"/>
        <w:jc w:val="center"/>
        <w:rPr>
          <w:b/>
          <w:color w:val="000000" w:themeColor="text1"/>
        </w:rPr>
      </w:pPr>
      <w:r>
        <w:rPr>
          <w:bCs/>
          <w:color w:val="000000" w:themeColor="text1"/>
        </w:rPr>
        <w:t>Source: Crispian and Rosemary (2000)</w:t>
      </w: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2.2.4 Corneal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w:t>
      </w:r>
      <w:r w:rsidRPr="00D7082F">
        <w:rPr>
          <w:rFonts w:eastAsia="Times New Roman"/>
          <w:color w:val="000000" w:themeColor="text1"/>
        </w:rPr>
        <w:lastRenderedPageBreak/>
        <w:t xml:space="preserve">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FB724C" w:rsidRPr="00D7082F" w:rsidRDefault="00FB724C" w:rsidP="00FB724C">
      <w:pPr>
        <w:spacing w:line="360" w:lineRule="auto"/>
        <w:jc w:val="center"/>
        <w:rPr>
          <w:rFonts w:eastAsia="Times New Roman"/>
          <w:color w:val="000000" w:themeColor="text1"/>
        </w:rPr>
      </w:pPr>
      <w:r w:rsidRPr="00D7082F">
        <w:rPr>
          <w:rFonts w:eastAsia="Times New Roman"/>
          <w:noProof/>
          <w:color w:val="000000" w:themeColor="text1"/>
        </w:rPr>
        <w:lastRenderedPageBreak/>
        <w:drawing>
          <wp:inline distT="0" distB="0" distL="0" distR="0" wp14:anchorId="742CE8EA" wp14:editId="79F04D85">
            <wp:extent cx="3204057" cy="19458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9114" cy="1954987"/>
                    </a:xfrm>
                    <a:prstGeom prst="rect">
                      <a:avLst/>
                    </a:prstGeom>
                  </pic:spPr>
                </pic:pic>
              </a:graphicData>
            </a:graphic>
          </wp:inline>
        </w:drawing>
      </w:r>
    </w:p>
    <w:p w:rsidR="00FB724C" w:rsidRPr="00D7082F" w:rsidRDefault="00FB724C" w:rsidP="00FB724C">
      <w:pPr>
        <w:spacing w:line="360" w:lineRule="auto"/>
        <w:jc w:val="center"/>
        <w:rPr>
          <w:bCs/>
          <w:color w:val="000000" w:themeColor="text1"/>
        </w:rPr>
      </w:pPr>
      <w:r>
        <w:rPr>
          <w:bCs/>
          <w:color w:val="000000" w:themeColor="text1"/>
        </w:rPr>
        <w:t>Source: WHO (2015)</w:t>
      </w:r>
    </w:p>
    <w:p w:rsidR="00FB724C" w:rsidRPr="00D7082F"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t>2.2.5 Diabetic Ulcer</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w:t>
      </w:r>
      <w:r w:rsidRPr="00D7082F">
        <w:rPr>
          <w:color w:val="000000" w:themeColor="text1"/>
        </w:rPr>
        <w:lastRenderedPageBreak/>
        <w:t xml:space="preserve">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FB724C" w:rsidRPr="00D7082F" w:rsidRDefault="00FB724C" w:rsidP="00FB724C">
      <w:pPr>
        <w:spacing w:line="360" w:lineRule="auto"/>
        <w:jc w:val="both"/>
        <w:rPr>
          <w:rFonts w:eastAsia="Times New Roman"/>
          <w:noProof/>
          <w:color w:val="000000" w:themeColor="text1"/>
        </w:rPr>
      </w:pPr>
    </w:p>
    <w:p w:rsidR="00FB724C" w:rsidRPr="00D7082F" w:rsidRDefault="00FB724C" w:rsidP="00FB724C">
      <w:pPr>
        <w:spacing w:line="360" w:lineRule="auto"/>
        <w:jc w:val="both"/>
        <w:rPr>
          <w:rFonts w:eastAsia="Times New Roman"/>
          <w:color w:val="000000" w:themeColor="text1"/>
        </w:rPr>
      </w:pPr>
      <w:r w:rsidRPr="00D7082F">
        <w:rPr>
          <w:rFonts w:eastAsia="Times New Roman"/>
          <w:noProof/>
          <w:color w:val="000000" w:themeColor="text1"/>
        </w:rPr>
        <w:drawing>
          <wp:inline distT="0" distB="0" distL="0" distR="0" wp14:anchorId="12DAD28B" wp14:editId="6FCBCF46">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12" cstate="print">
                      <a:extLs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
          <w:color w:val="000000" w:themeColor="text1"/>
        </w:rPr>
      </w:pPr>
      <w:r>
        <w:rPr>
          <w:bCs/>
          <w:color w:val="000000" w:themeColor="text1"/>
        </w:rPr>
        <w:t>Source: Raja (2023)</w:t>
      </w: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lastRenderedPageBreak/>
        <w:drawing>
          <wp:inline distT="0" distB="0" distL="0" distR="0" wp14:anchorId="78DB93C8" wp14:editId="1AC15A77">
            <wp:extent cx="2633472" cy="3352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3">
                      <a:extLst>
                        <a:ext uri="{28A0092B-C50C-407E-A947-70E740481C1C}">
                          <a14:useLocalDpi xmlns:a14="http://schemas.microsoft.com/office/drawing/2010/main"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a:ext>
                    </a:extLst>
                  </pic:spPr>
                </pic:pic>
              </a:graphicData>
            </a:graphic>
          </wp:inline>
        </w:drawing>
      </w:r>
    </w:p>
    <w:p w:rsidR="00FB724C" w:rsidRDefault="00FB724C" w:rsidP="00FB724C">
      <w:pPr>
        <w:spacing w:line="360" w:lineRule="auto"/>
        <w:jc w:val="center"/>
        <w:rPr>
          <w:rFonts w:eastAsia="Times New Roman"/>
          <w:color w:val="000000" w:themeColor="text1"/>
        </w:rPr>
      </w:pPr>
      <w:r>
        <w:rPr>
          <w:rFonts w:eastAsia="Times New Roman"/>
          <w:color w:val="000000" w:themeColor="text1"/>
        </w:rPr>
        <w:t>Source: RACGP (2022)</w:t>
      </w:r>
    </w:p>
    <w:p w:rsidR="00FB724C" w:rsidRPr="00D7082F" w:rsidRDefault="00FB724C" w:rsidP="00FB724C">
      <w:pPr>
        <w:spacing w:line="360" w:lineRule="auto"/>
        <w:jc w:val="both"/>
        <w:rPr>
          <w:b/>
          <w:color w:val="000000" w:themeColor="text1"/>
        </w:rPr>
      </w:pPr>
      <w:r w:rsidRPr="00D7082F">
        <w:rPr>
          <w:b/>
          <w:color w:val="000000" w:themeColor="text1"/>
        </w:rPr>
        <w:t>2.2.6 Stomach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w:t>
      </w:r>
      <w:r w:rsidRPr="00D7082F">
        <w:rPr>
          <w:rFonts w:eastAsia="Times New Roman"/>
          <w:color w:val="000000" w:themeColor="text1"/>
        </w:rPr>
        <w:lastRenderedPageBreak/>
        <w:t xml:space="preserve">contributing factors include smoking, heavy alcohol use, stress, and poor dietary habits </w:t>
      </w:r>
      <w:r w:rsidRPr="00B811FF">
        <w:rPr>
          <w:rFonts w:eastAsia="Times New Roman"/>
          <w:i/>
          <w:color w:val="000000" w:themeColor="text1"/>
        </w:rPr>
        <w:t>(Sung et al., 2020).</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xml:space="preserve"> produces 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FB724C" w:rsidRPr="00D7082F" w:rsidRDefault="00FB724C" w:rsidP="00FB724C">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14:anchorId="06B855FC" wp14:editId="68C75459">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p>
    <w:p w:rsidR="00FB724C" w:rsidRPr="00D7082F" w:rsidRDefault="00FB724C" w:rsidP="00FB724C">
      <w:pPr>
        <w:spacing w:before="100" w:beforeAutospacing="1" w:after="100" w:afterAutospacing="1" w:line="360" w:lineRule="auto"/>
        <w:jc w:val="center"/>
        <w:rPr>
          <w:color w:val="000000" w:themeColor="text1"/>
        </w:rPr>
      </w:pPr>
      <w:r>
        <w:rPr>
          <w:color w:val="000000" w:themeColor="text1"/>
        </w:rPr>
        <w:t xml:space="preserve">Source: Nagm (2011) </w:t>
      </w:r>
    </w:p>
    <w:p w:rsidR="00FB724C" w:rsidRDefault="00FB724C" w:rsidP="00FB724C">
      <w:pPr>
        <w:spacing w:line="360" w:lineRule="auto"/>
        <w:jc w:val="both"/>
        <w:rPr>
          <w:b/>
          <w:bCs/>
          <w:color w:val="000000" w:themeColor="text1"/>
        </w:rPr>
      </w:pPr>
    </w:p>
    <w:p w:rsidR="00FB724C" w:rsidRPr="00D7082F" w:rsidRDefault="00FB724C" w:rsidP="00FB724C">
      <w:pPr>
        <w:spacing w:line="360" w:lineRule="auto"/>
        <w:jc w:val="both"/>
        <w:rPr>
          <w:b/>
          <w:bCs/>
          <w:color w:val="000000" w:themeColor="text1"/>
        </w:rPr>
      </w:pPr>
      <w:r w:rsidRPr="00D7082F">
        <w:rPr>
          <w:b/>
          <w:bCs/>
          <w:color w:val="000000" w:themeColor="text1"/>
        </w:rPr>
        <w:lastRenderedPageBreak/>
        <w:t>2.3 Causes of Ulcer</w:t>
      </w:r>
    </w:p>
    <w:p w:rsidR="00FB724C" w:rsidRPr="00D7082F" w:rsidRDefault="00FB724C" w:rsidP="00FB724C">
      <w:pPr>
        <w:spacing w:line="360" w:lineRule="auto"/>
        <w:jc w:val="both"/>
        <w:rPr>
          <w:b/>
          <w:bCs/>
          <w:color w:val="000000" w:themeColor="text1"/>
        </w:rPr>
      </w:pPr>
      <w:r w:rsidRPr="00D7082F">
        <w:rPr>
          <w:b/>
          <w:bCs/>
          <w:color w:val="000000" w:themeColor="text1"/>
        </w:rPr>
        <w:t>2.3.1 Psychological Causes</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lastRenderedPageBreak/>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who were unable to control the shocks they received, were more prone to ulcers. Stressful life events, measured by tools such as Holmes and Rahe's Schedule of Recent Events, are associated with greater </w:t>
      </w:r>
      <w:r w:rsidRPr="00D7082F">
        <w:rPr>
          <w:rFonts w:eastAsia="Times New Roman"/>
          <w:color w:val="000000" w:themeColor="text1"/>
        </w:rPr>
        <w:lastRenderedPageBreak/>
        <w:t>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FB724C" w:rsidRPr="00054A97" w:rsidRDefault="00FB724C" w:rsidP="00FB724C">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who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FB724C" w:rsidRPr="00D7082F" w:rsidRDefault="00FB724C" w:rsidP="00FB724C">
      <w:pPr>
        <w:spacing w:line="360" w:lineRule="auto"/>
        <w:jc w:val="both"/>
        <w:rPr>
          <w:b/>
          <w:bCs/>
          <w:color w:val="000000" w:themeColor="text1"/>
        </w:rPr>
      </w:pPr>
      <w:r w:rsidRPr="00D7082F">
        <w:rPr>
          <w:b/>
          <w:bCs/>
          <w:color w:val="000000" w:themeColor="text1"/>
        </w:rPr>
        <w:t>2.3.2 Medication</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ulceration, with a flat surface showing slightly </w:t>
      </w:r>
      <w:r w:rsidRPr="00D7082F">
        <w:rPr>
          <w:color w:val="000000" w:themeColor="text1"/>
        </w:rPr>
        <w:lastRenderedPageBreak/>
        <w:t xml:space="preserve">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FB724C" w:rsidRPr="00D7082F" w:rsidRDefault="00FB724C" w:rsidP="00FB724C">
      <w:pPr>
        <w:spacing w:line="360" w:lineRule="auto"/>
        <w:jc w:val="center"/>
        <w:rPr>
          <w:b/>
          <w:bCs/>
          <w:color w:val="000000" w:themeColor="text1"/>
        </w:rPr>
      </w:pPr>
      <w:r w:rsidRPr="00D7082F">
        <w:rPr>
          <w:b/>
          <w:bCs/>
          <w:noProof/>
          <w:color w:val="000000" w:themeColor="text1"/>
        </w:rPr>
        <w:lastRenderedPageBreak/>
        <w:drawing>
          <wp:inline distT="0" distB="0" distL="0" distR="0" wp14:anchorId="41FBD630" wp14:editId="7554D2F0">
            <wp:extent cx="3871295" cy="28653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1295" cy="2865368"/>
                    </a:xfrm>
                    <a:prstGeom prst="rect">
                      <a:avLst/>
                    </a:prstGeom>
                  </pic:spPr>
                </pic:pic>
              </a:graphicData>
            </a:graphic>
          </wp:inline>
        </w:drawing>
      </w:r>
    </w:p>
    <w:p w:rsidR="00FB724C" w:rsidRDefault="00FB724C" w:rsidP="00FB724C">
      <w:pPr>
        <w:spacing w:line="360" w:lineRule="auto"/>
        <w:jc w:val="center"/>
        <w:rPr>
          <w:color w:val="000000" w:themeColor="text1"/>
        </w:rPr>
      </w:pPr>
      <w:r>
        <w:rPr>
          <w:color w:val="000000" w:themeColor="text1"/>
          <w:shd w:val="clear" w:color="auto" w:fill="FFFFFF"/>
        </w:rPr>
        <w:t>Source: Jinbu and Demitsu (2014)</w:t>
      </w:r>
    </w:p>
    <w:p w:rsidR="00FB724C" w:rsidRDefault="00FB724C" w:rsidP="00FB724C">
      <w:pPr>
        <w:spacing w:line="360" w:lineRule="auto"/>
        <w:ind w:firstLine="720"/>
        <w:jc w:val="both"/>
        <w:rPr>
          <w:i/>
          <w:color w:val="000000" w:themeColor="text1"/>
        </w:rPr>
      </w:pPr>
      <w:r w:rsidRPr="00D7082F">
        <w:rPr>
          <w:color w:val="000000" w:themeColor="text1"/>
        </w:rPr>
        <w:t>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w:t>
      </w:r>
      <w:r w:rsidRPr="00D7082F">
        <w:rPr>
          <w:color w:val="000000" w:themeColor="text1"/>
          <w:shd w:val="clear" w:color="auto" w:fill="FFFFFF"/>
        </w:rPr>
        <w:t xml:space="preserve"> </w:t>
      </w:r>
      <w:r w:rsidRPr="00D7082F">
        <w:rPr>
          <w:color w:val="000000" w:themeColor="text1"/>
        </w:rPr>
        <w:t xml:space="preserve">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prostaglandins,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FB724C" w:rsidRDefault="00FB724C" w:rsidP="00FB724C">
      <w:pPr>
        <w:spacing w:line="360" w:lineRule="auto"/>
        <w:ind w:firstLine="720"/>
        <w:jc w:val="both"/>
        <w:rPr>
          <w:i/>
          <w:color w:val="000000" w:themeColor="text1"/>
        </w:rPr>
      </w:pPr>
    </w:p>
    <w:p w:rsidR="00FB724C" w:rsidRPr="00D7082F" w:rsidRDefault="00FB724C" w:rsidP="00FB724C">
      <w:pPr>
        <w:spacing w:line="360" w:lineRule="auto"/>
        <w:ind w:firstLine="720"/>
        <w:jc w:val="both"/>
        <w:rPr>
          <w:color w:val="000000" w:themeColor="text1"/>
        </w:rPr>
      </w:pPr>
    </w:p>
    <w:p w:rsidR="00FB724C" w:rsidRPr="00D7082F" w:rsidRDefault="00FB724C" w:rsidP="00FB724C">
      <w:pPr>
        <w:spacing w:line="360" w:lineRule="auto"/>
        <w:jc w:val="both"/>
        <w:rPr>
          <w:b/>
          <w:bCs/>
          <w:color w:val="000000" w:themeColor="text1"/>
        </w:rPr>
      </w:pPr>
      <w:r w:rsidRPr="00D7082F">
        <w:rPr>
          <w:b/>
          <w:bCs/>
          <w:color w:val="000000" w:themeColor="text1"/>
        </w:rPr>
        <w:lastRenderedPageBreak/>
        <w:t>2.3.3 Dietary Factors</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xml:space="preserve">., 2021). Acidic drinks, such as </w:t>
      </w:r>
      <w:r w:rsidRPr="00D7082F">
        <w:rPr>
          <w:color w:val="000000" w:themeColor="text1"/>
          <w:sz w:val="28"/>
          <w:szCs w:val="28"/>
        </w:rPr>
        <w:lastRenderedPageBreak/>
        <w:t>citrus juices, may also irritate the gastric lining, further contributing to mucosal damage.</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FB724C" w:rsidRPr="00D7082F" w:rsidRDefault="00FB724C" w:rsidP="00FB724C">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14:anchorId="522D49C8" wp14:editId="2E745C97">
            <wp:extent cx="5448300" cy="4870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a:extLst>
                        <a:ext uri="{28A0092B-C50C-407E-A947-70E740481C1C}">
                          <a14:useLocalDpi xmlns:a14="http://schemas.microsoft.com/office/drawing/2010/main"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7"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FB724C" w:rsidRPr="00D7082F" w:rsidRDefault="00FB724C" w:rsidP="00FB724C">
      <w:pPr>
        <w:spacing w:line="360" w:lineRule="auto"/>
        <w:jc w:val="both"/>
        <w:rPr>
          <w:b/>
          <w:bCs/>
          <w:color w:val="000000" w:themeColor="text1"/>
        </w:rPr>
      </w:pPr>
      <w:r w:rsidRPr="00D7082F">
        <w:rPr>
          <w:b/>
          <w:bCs/>
          <w:color w:val="000000" w:themeColor="text1"/>
        </w:rPr>
        <w:t>2.4 Pathophysiology of Ulcer</w:t>
      </w:r>
    </w:p>
    <w:p w:rsidR="00FB724C" w:rsidRPr="008A6B85" w:rsidRDefault="00FB724C" w:rsidP="00FB724C">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t xml:space="preserve">(Kumar </w:t>
      </w:r>
      <w:r w:rsidRPr="008A6B85">
        <w:rPr>
          <w:i/>
          <w:iCs/>
          <w:color w:val="000000" w:themeColor="text1"/>
        </w:rPr>
        <w:t xml:space="preserve">et </w:t>
      </w:r>
      <w:r w:rsidRPr="008A6B85">
        <w:rPr>
          <w:i/>
          <w:iCs/>
          <w:color w:val="000000" w:themeColor="text1"/>
        </w:rPr>
        <w:lastRenderedPageBreak/>
        <w:t>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 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FB724C" w:rsidRPr="00D7082F" w:rsidRDefault="00FB724C" w:rsidP="00FB724C">
      <w:pPr>
        <w:spacing w:line="360" w:lineRule="auto"/>
        <w:ind w:firstLine="720"/>
        <w:jc w:val="both"/>
        <w:rPr>
          <w:color w:val="000000" w:themeColor="text1"/>
          <w:shd w:val="clear" w:color="auto" w:fill="FFFFFF"/>
        </w:rPr>
      </w:pPr>
      <w:r w:rsidRPr="00D7082F">
        <w:rPr>
          <w:color w:val="000000" w:themeColor="text1"/>
        </w:rPr>
        <w:t>What are the changes brought about by stimulation that protect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10 mEq/h. Some 50-70% of DU are hyperacidic with a 50% increase in the maximal acid output MAO. The cephalic phase also brings an increase in secretion response of 50-70% (</w:t>
      </w:r>
      <w:r w:rsidRPr="00D7082F">
        <w:rPr>
          <w:color w:val="000000" w:themeColor="text1"/>
          <w:shd w:val="clear" w:color="auto" w:fill="FFFFFF"/>
        </w:rPr>
        <w:t>Holle, 2010).</w:t>
      </w:r>
    </w:p>
    <w:p w:rsidR="00FB724C" w:rsidRPr="00D7082F" w:rsidRDefault="00FB724C" w:rsidP="00FB724C">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pylori releases cytotoxins such as CagA (cytotoxin-associated gene A) and VacA (vacuolating cytotoxin A), leading to epithelial cell damage, inflammation, and disruption of gastric mucosal integrity (Chey and Leontiadis, 2018).</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ulcer healed within 4 weeks, but only 41-48% of the Helicobacter organism were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w:t>
      </w:r>
      <w:r w:rsidRPr="00D7082F">
        <w:rPr>
          <w:color w:val="000000" w:themeColor="text1"/>
        </w:rPr>
        <w:lastRenderedPageBreak/>
        <w:t>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FB724C" w:rsidRPr="008A6B85"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gastrin production, leading to elevated acid levels that overwhelm bicarbonate buffering in the duodenum (Feldman and Graham, 2021). Gastric metaplasia, where gastric-type epithelial cells </w:t>
      </w:r>
      <w:r w:rsidRPr="00D7082F">
        <w:rPr>
          <w:color w:val="000000" w:themeColor="text1"/>
          <w:sz w:val="28"/>
          <w:szCs w:val="28"/>
        </w:rPr>
        <w:lastRenderedPageBreak/>
        <w:t xml:space="preserve">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2.5 Antioxidants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maintaining a diet rich in natural antioxidant sources is recommended for overall health and disease prevention </w:t>
      </w:r>
      <w:r w:rsidRPr="008A6B85">
        <w:rPr>
          <w:i/>
          <w:color w:val="000000" w:themeColor="text1"/>
          <w:sz w:val="28"/>
          <w:szCs w:val="28"/>
        </w:rPr>
        <w:t>(Lobo et al., 2010).</w:t>
      </w:r>
      <w:r w:rsidRPr="00D7082F">
        <w:rPr>
          <w:color w:val="000000" w:themeColor="text1"/>
          <w:sz w:val="28"/>
          <w:szCs w:val="28"/>
        </w:rPr>
        <w:t xml:space="preserve"> </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2.6 Types of antioxidant </w:t>
      </w:r>
    </w:p>
    <w:p w:rsidR="00FB724C" w:rsidRPr="00D7082F" w:rsidRDefault="00FB724C" w:rsidP="00FB724C">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b/>
          <w:bCs/>
          <w:color w:val="000000" w:themeColor="text1"/>
          <w:sz w:val="28"/>
          <w:szCs w:val="28"/>
        </w:rPr>
        <w:t xml:space="preserve"> </w:t>
      </w:r>
      <w:r w:rsidRPr="00D7082F">
        <w:rPr>
          <w:color w:val="000000" w:themeColor="text1"/>
          <w:sz w:val="28"/>
          <w:szCs w:val="28"/>
        </w:rPr>
        <w:t>and</w:t>
      </w:r>
      <w:r w:rsidRPr="00D7082F">
        <w:rPr>
          <w:b/>
          <w:bCs/>
          <w:color w:val="000000" w:themeColor="text1"/>
          <w:sz w:val="28"/>
          <w:szCs w:val="28"/>
        </w:rPr>
        <w:t xml:space="preserve"> </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FB724C"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FB724C" w:rsidRPr="008A6B85"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w:t>
      </w:r>
      <w:r w:rsidRPr="00D7082F">
        <w:rPr>
          <w:rFonts w:eastAsia="Times New Roman"/>
          <w:color w:val="000000" w:themeColor="text1"/>
        </w:rPr>
        <w:lastRenderedPageBreak/>
        <w:t xml:space="preserve">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 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w:t>
      </w:r>
      <w:r w:rsidRPr="00D7082F">
        <w:rPr>
          <w:rFonts w:eastAsia="Times New Roman"/>
          <w:color w:val="000000" w:themeColor="text1"/>
        </w:rPr>
        <w:lastRenderedPageBreak/>
        <w:t xml:space="preserve">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a high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Helicobacter pylori</w:t>
      </w:r>
      <w:r w:rsidRPr="00D7082F">
        <w:rPr>
          <w:rFonts w:eastAsia="Times New Roman"/>
          <w:color w:val="000000" w:themeColor="text1"/>
        </w:rPr>
        <w:t xml:space="preserve">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2.6.1.3 Ferric reducing antioxidant power (FRAP)</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w:t>
      </w:r>
      <w:r w:rsidRPr="00D7082F">
        <w:rPr>
          <w:rFonts w:eastAsia="Times New Roman"/>
          <w:color w:val="000000" w:themeColor="text1"/>
        </w:rPr>
        <w:lastRenderedPageBreak/>
        <w:t xml:space="preserve">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ABTS [2,</w:t>
      </w:r>
      <w:r>
        <w:rPr>
          <w:rFonts w:eastAsia="Times New Roman"/>
          <w:color w:val="000000" w:themeColor="text1"/>
        </w:rPr>
        <w:t xml:space="preserve"> </w:t>
      </w:r>
      <w:r w:rsidRPr="00D7082F">
        <w:rPr>
          <w:rFonts w:eastAsia="Times New Roman"/>
          <w:color w:val="000000" w:themeColor="text1"/>
        </w:rPr>
        <w:t>2′-azino-</w:t>
      </w:r>
      <w:proofErr w:type="gramStart"/>
      <w:r w:rsidRPr="00D7082F">
        <w:rPr>
          <w:rFonts w:eastAsia="Times New Roman"/>
          <w:color w:val="000000" w:themeColor="text1"/>
        </w:rPr>
        <w:t>bis(</w:t>
      </w:r>
      <w:proofErr w:type="gramEnd"/>
      <w:r w:rsidRPr="00D7082F">
        <w:rPr>
          <w:rFonts w:eastAsia="Times New Roman"/>
          <w:color w:val="000000" w:themeColor="text1"/>
        </w:rPr>
        <w:t xml:space="preserve">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w:t>
      </w:r>
      <w:r w:rsidRPr="00D7082F">
        <w:rPr>
          <w:rFonts w:eastAsia="Times New Roman"/>
          <w:color w:val="000000" w:themeColor="text1"/>
        </w:rPr>
        <w:lastRenderedPageBreak/>
        <w:t xml:space="preserve">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FB724C" w:rsidRPr="008D6EF1"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w:t>
      </w:r>
      <w:r w:rsidRPr="00D7082F">
        <w:rPr>
          <w:rFonts w:eastAsia="Times New Roman"/>
          <w:color w:val="000000" w:themeColor="text1"/>
        </w:rPr>
        <w:lastRenderedPageBreak/>
        <w:t xml:space="preserve">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FB724C" w:rsidRPr="00D7082F" w:rsidRDefault="00FB724C" w:rsidP="00FB724C">
      <w:pPr>
        <w:pStyle w:val="NormalWeb"/>
        <w:spacing w:line="360" w:lineRule="auto"/>
        <w:ind w:firstLine="720"/>
        <w:jc w:val="both"/>
        <w:rPr>
          <w:b/>
          <w:bCs/>
          <w:color w:val="000000" w:themeColor="text1"/>
          <w:sz w:val="28"/>
          <w:szCs w:val="28"/>
        </w:rPr>
      </w:pPr>
      <w:r w:rsidRPr="00D7082F">
        <w:rPr>
          <w:color w:val="000000" w:themeColor="text1"/>
          <w:sz w:val="28"/>
          <w:szCs w:val="28"/>
        </w:rPr>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w:t>
      </w:r>
      <w:r w:rsidRPr="00D7082F">
        <w:rPr>
          <w:color w:val="000000" w:themeColor="text1"/>
          <w:sz w:val="28"/>
          <w:szCs w:val="28"/>
        </w:rPr>
        <w:lastRenderedPageBreak/>
        <w:t xml:space="preserve">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FB724C" w:rsidRPr="00282F4A"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w:t>
      </w:r>
      <w:r w:rsidRPr="00D7082F">
        <w:rPr>
          <w:color w:val="000000" w:themeColor="text1"/>
          <w:sz w:val="28"/>
          <w:szCs w:val="28"/>
        </w:rPr>
        <w:lastRenderedPageBreak/>
        <w:t xml:space="preserve">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FB724C" w:rsidRPr="00D7082F" w:rsidRDefault="00FB724C" w:rsidP="00FB724C">
      <w:pPr>
        <w:pStyle w:val="NormalWeb"/>
        <w:spacing w:line="360" w:lineRule="auto"/>
        <w:jc w:val="both"/>
        <w:rPr>
          <w:b/>
          <w:bCs/>
          <w:color w:val="000000" w:themeColor="text1"/>
          <w:sz w:val="28"/>
          <w:szCs w:val="28"/>
        </w:rPr>
      </w:pPr>
      <w:r w:rsidRPr="00D7082F">
        <w:rPr>
          <w:b/>
          <w:bCs/>
          <w:noProof/>
          <w:color w:val="000000" w:themeColor="text1"/>
          <w:sz w:val="28"/>
          <w:szCs w:val="28"/>
        </w:rPr>
        <w:drawing>
          <wp:inline distT="0" distB="0" distL="0" distR="0" wp14:anchorId="4110EC04" wp14:editId="413B2327">
            <wp:extent cx="2417197" cy="637665"/>
            <wp:effectExtent l="0" t="0" r="2540" b="0"/>
            <wp:docPr id="1320329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8"/>
                    <a:stretch>
                      <a:fillRect/>
                    </a:stretch>
                  </pic:blipFill>
                  <pic:spPr>
                    <a:xfrm>
                      <a:off x="0" y="0"/>
                      <a:ext cx="2429697" cy="640963"/>
                    </a:xfrm>
                    <a:prstGeom prst="rect">
                      <a:avLst/>
                    </a:prstGeom>
                  </pic:spPr>
                </pic:pic>
              </a:graphicData>
            </a:graphic>
          </wp:inline>
        </w:drawing>
      </w:r>
    </w:p>
    <w:p w:rsidR="00FB724C" w:rsidRPr="00282F4A" w:rsidRDefault="00FB724C" w:rsidP="00FB724C">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w:t>
      </w:r>
      <w:r w:rsidRPr="00D7082F">
        <w:rPr>
          <w:color w:val="000000" w:themeColor="text1"/>
          <w:sz w:val="28"/>
          <w:szCs w:val="28"/>
        </w:rPr>
        <w:lastRenderedPageBreak/>
        <w:t xml:space="preserve">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FB724C" w:rsidRPr="00282F4A"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FB724C" w:rsidRDefault="00FB724C" w:rsidP="00FB724C">
      <w:pPr>
        <w:pStyle w:val="NormalWeb"/>
        <w:spacing w:line="360" w:lineRule="auto"/>
        <w:jc w:val="both"/>
        <w:rPr>
          <w:b/>
          <w:bCs/>
          <w:color w:val="000000" w:themeColor="text1"/>
          <w:sz w:val="28"/>
          <w:szCs w:val="28"/>
        </w:rPr>
      </w:pPr>
    </w:p>
    <w:p w:rsidR="00FB724C" w:rsidRDefault="00FB724C" w:rsidP="00FB724C">
      <w:pPr>
        <w:pStyle w:val="NormalWeb"/>
        <w:spacing w:line="360" w:lineRule="auto"/>
        <w:jc w:val="both"/>
        <w:rPr>
          <w:b/>
          <w:bCs/>
          <w:color w:val="000000" w:themeColor="text1"/>
          <w:sz w:val="28"/>
          <w:szCs w:val="28"/>
        </w:rPr>
      </w:pP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 Lipid peroxidation parameters </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autoxidation, the formal insertion of one molecule of oxygen in the C-H bond of a hydrocarbon to afford a hydroperoxide: </w:t>
      </w:r>
    </w:p>
    <w:p w:rsidR="00FB724C" w:rsidRPr="00D7082F" w:rsidRDefault="00FB724C" w:rsidP="00FB724C">
      <w:pPr>
        <w:autoSpaceDE w:val="0"/>
        <w:autoSpaceDN w:val="0"/>
        <w:adjustRightInd w:val="0"/>
        <w:spacing w:after="0" w:line="360" w:lineRule="auto"/>
        <w:jc w:val="cente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14C076DF" wp14:editId="369D0B79">
                <wp:simplePos x="0" y="0"/>
                <wp:positionH relativeFrom="column">
                  <wp:posOffset>2787015</wp:posOffset>
                </wp:positionH>
                <wp:positionV relativeFrom="paragraph">
                  <wp:posOffset>95885</wp:posOffset>
                </wp:positionV>
                <wp:extent cx="453390" cy="14605"/>
                <wp:effectExtent l="5715" t="61595" r="17145" b="3810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14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E35C58" id="_x0000_t32" coordsize="21600,21600" o:spt="32" o:oned="t" path="m,l21600,21600e" filled="f">
                <v:path arrowok="t" fillok="f" o:connecttype="none"/>
                <o:lock v:ext="edit" shapetype="t"/>
              </v:shapetype>
              <v:shape id="AutoShape 5" o:spid="_x0000_s1026" type="#_x0000_t32" style="position:absolute;margin-left:219.45pt;margin-top:7.55pt;width:35.7pt;height:1.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mc:Fallback>
        </mc:AlternateContent>
      </w:r>
      <w:r w:rsidRPr="00D7082F">
        <w:rPr>
          <w:color w:val="000000" w:themeColor="text1"/>
        </w:rPr>
        <w:t xml:space="preserve"> R-H + O</w:t>
      </w:r>
      <w:r w:rsidRPr="00D7082F">
        <w:rPr>
          <w:color w:val="000000" w:themeColor="text1"/>
          <w:vertAlign w:val="subscript"/>
        </w:rPr>
        <w:t>2</w:t>
      </w:r>
      <w:r w:rsidRPr="00D7082F">
        <w:rPr>
          <w:color w:val="000000" w:themeColor="text1"/>
        </w:rPr>
        <w:t xml:space="preserve">           R-OO-H.</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 xml:space="preserve">Indeed, lipid peroxidation is one embodiment of hydrocarbon autoxidation. While the direct reaction with ground state (triplet) oxygen is spin restricted and too 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w:t>
      </w:r>
      <w:r w:rsidRPr="00D7082F">
        <w:rPr>
          <w:color w:val="000000" w:themeColor="text1"/>
        </w:rPr>
        <w:lastRenderedPageBreak/>
        <w:t>organisms, and it can be blocked or prevented by antioxidants. LP is a radical chain reaction composed of the canonical three stages of initiation,</w:t>
      </w:r>
    </w:p>
    <w:p w:rsidR="00FB724C" w:rsidRPr="00D7082F" w:rsidRDefault="00FB724C" w:rsidP="00FB724C">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FB724C" w:rsidRPr="00D7082F" w:rsidRDefault="00FB724C" w:rsidP="00FB724C">
      <w:pPr>
        <w:autoSpaceDE w:val="0"/>
        <w:autoSpaceDN w:val="0"/>
        <w:adjustRightInd w:val="0"/>
        <w:spacing w:after="0" w:line="360" w:lineRule="auto"/>
        <w:jc w:val="both"/>
        <w:rPr>
          <w:color w:val="000000" w:themeColor="text1"/>
        </w:rPr>
      </w:pPr>
      <w:r w:rsidRPr="00D7082F">
        <w:rPr>
          <w:noProof/>
          <w:color w:val="000000" w:themeColor="text1"/>
        </w:rPr>
        <w:drawing>
          <wp:inline distT="0" distB="0" distL="0" distR="0" wp14:anchorId="41CDFF38" wp14:editId="16C4CE27">
            <wp:extent cx="6496216" cy="4470739"/>
            <wp:effectExtent l="0" t="0" r="0" b="6350"/>
            <wp:docPr id="112931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9"/>
                    <a:stretch>
                      <a:fillRect/>
                    </a:stretch>
                  </pic:blipFill>
                  <pic:spPr>
                    <a:xfrm>
                      <a:off x="0" y="0"/>
                      <a:ext cx="6502084" cy="4474777"/>
                    </a:xfrm>
                    <a:prstGeom prst="rect">
                      <a:avLst/>
                    </a:prstGeom>
                  </pic:spPr>
                </pic:pic>
              </a:graphicData>
            </a:graphic>
          </wp:inline>
        </w:drawing>
      </w:r>
    </w:p>
    <w:p w:rsidR="00FB724C" w:rsidRPr="00D7082F" w:rsidRDefault="00FB724C" w:rsidP="00FB724C">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r w:rsidRPr="00D7082F">
        <w:rPr>
          <w:b/>
          <w:bCs/>
          <w:color w:val="000000" w:themeColor="text1"/>
          <w:sz w:val="28"/>
          <w:szCs w:val="28"/>
        </w:rPr>
        <w:t xml:space="preserv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t>
      </w:r>
      <w:r w:rsidRPr="00D7082F">
        <w:rPr>
          <w:color w:val="000000" w:themeColor="text1"/>
          <w:sz w:val="28"/>
          <w:szCs w:val="28"/>
        </w:rPr>
        <w:lastRenderedPageBreak/>
        <w:t xml:space="preserve">which the most important are reduced glutathione (GSH) and oxidized glutathione (GSSG).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w:t>
      </w:r>
      <w:r w:rsidRPr="00D7082F">
        <w:rPr>
          <w:rFonts w:eastAsia="Times New Roman"/>
          <w:color w:val="000000" w:themeColor="text1"/>
        </w:rPr>
        <w:lastRenderedPageBreak/>
        <w:t xml:space="preserve">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lipid peroxidation products such as 4-hydroxynonenal (4-HNE), which are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 xml:space="preserve"> 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w:t>
      </w:r>
      <w:r w:rsidRPr="00D7082F">
        <w:rPr>
          <w:rFonts w:eastAsia="Times New Roman"/>
          <w:color w:val="000000" w:themeColor="text1"/>
        </w:rPr>
        <w:lastRenderedPageBreak/>
        <w:t>reducing lipid hydroperoxides within membranes and lipoproteins (Lubos, Loscalzo, and Handy, 2011). GPx4, in particular, is crucial for protecting against lipid peroxidation and is essential for embryonic development and cellular viability.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 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D7082F">
        <w:rPr>
          <w:color w:val="000000" w:themeColor="text1"/>
          <w:sz w:val="28"/>
          <w:szCs w:val="28"/>
        </w:rPr>
        <w:t xml:space="preserve"> </w:t>
      </w:r>
      <w:r w:rsidRPr="00054883">
        <w:rPr>
          <w:i/>
          <w:color w:val="000000" w:themeColor="text1"/>
          <w:sz w:val="28"/>
          <w:szCs w:val="28"/>
        </w:rPr>
        <w:t>(Fauziah et al., 2018).</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with </w:t>
      </w:r>
      <w:r w:rsidRPr="00D7082F">
        <w:rPr>
          <w:color w:val="000000" w:themeColor="text1"/>
          <w:sz w:val="28"/>
          <w:szCs w:val="28"/>
        </w:rPr>
        <w:lastRenderedPageBreak/>
        <w:t xml:space="preserve">another PUFA, perpetuating the chain reaction in the propagation phase. The resulting lipid hydroperoxides are unstable and degrade into reactive aldehydes,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FB724C" w:rsidRPr="00F51377"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 Moreover, in psychiatric conditions such as </w:t>
      </w:r>
      <w:r w:rsidRPr="00D7082F">
        <w:rPr>
          <w:rStyle w:val="Strong"/>
          <w:color w:val="000000" w:themeColor="text1"/>
          <w:sz w:val="28"/>
          <w:szCs w:val="28"/>
        </w:rPr>
        <w:t>schizophrenia</w:t>
      </w:r>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 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assessment </w:t>
      </w:r>
      <w:r w:rsidRPr="00F51377">
        <w:rPr>
          <w:i/>
          <w:color w:val="000000" w:themeColor="text1"/>
          <w:sz w:val="28"/>
          <w:szCs w:val="28"/>
        </w:rPr>
        <w:t>(Del Rio et al., 2005).</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(Klebanoff, 2005). </w:t>
      </w:r>
      <w:r w:rsidRPr="00D7082F">
        <w:rPr>
          <w:rFonts w:eastAsia="Times New Roman"/>
          <w:color w:val="000000" w:themeColor="text1"/>
        </w:rPr>
        <w:lastRenderedPageBreak/>
        <w:t xml:space="preserve">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line="360" w:lineRule="auto"/>
        <w:rPr>
          <w:rFonts w:eastAsia="Times New Roman"/>
          <w:color w:val="000000" w:themeColor="text1"/>
        </w:rPr>
      </w:pPr>
    </w:p>
    <w:p w:rsidR="00FB724C" w:rsidRPr="00D7082F" w:rsidRDefault="00FB724C" w:rsidP="00FB724C">
      <w:pPr>
        <w:spacing w:line="360" w:lineRule="auto"/>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E1580C" w:rsidRDefault="00FB724C" w:rsidP="00FB724C">
      <w:pPr>
        <w:spacing w:line="360" w:lineRule="auto"/>
        <w:jc w:val="center"/>
        <w:rPr>
          <w:b/>
          <w:bCs/>
        </w:rPr>
      </w:pPr>
    </w:p>
    <w:p w:rsidR="00FB724C" w:rsidRPr="00E1580C" w:rsidRDefault="00FB724C" w:rsidP="00FB724C">
      <w:pPr>
        <w:spacing w:after="0" w:line="480" w:lineRule="auto"/>
        <w:jc w:val="center"/>
        <w:rPr>
          <w:b/>
          <w:bCs/>
        </w:rPr>
      </w:pPr>
      <w:r w:rsidRPr="00E1580C">
        <w:rPr>
          <w:b/>
          <w:bCs/>
        </w:rPr>
        <w:lastRenderedPageBreak/>
        <w:t>CHAPTER THREE</w:t>
      </w:r>
    </w:p>
    <w:p w:rsidR="00FB724C" w:rsidRPr="00E1580C" w:rsidRDefault="00FB724C" w:rsidP="00FB724C">
      <w:pPr>
        <w:spacing w:after="0" w:line="480" w:lineRule="auto"/>
      </w:pPr>
      <w:r>
        <w:rPr>
          <w:b/>
          <w:bCs/>
        </w:rPr>
        <w:t>3.0</w:t>
      </w:r>
      <w:r>
        <w:rPr>
          <w:b/>
          <w:bCs/>
        </w:rPr>
        <w:tab/>
      </w:r>
      <w:r w:rsidRPr="00E1580C">
        <w:rPr>
          <w:b/>
          <w:bCs/>
        </w:rPr>
        <w:t>MATERIALS AND METHODS</w:t>
      </w:r>
    </w:p>
    <w:p w:rsidR="00FB724C" w:rsidRPr="00E1580C" w:rsidRDefault="00FB724C" w:rsidP="00FB724C">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FB724C" w:rsidRPr="00E1580C" w:rsidRDefault="00FB724C" w:rsidP="00FB724C">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by a biochemistry students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Indomethacin (Sigma-Aldrich, USA)</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Ethanol (analytical grade)</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Omeprazole (reference drug)</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Thiobarbituric Acid (TBA)</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Trichloroacetic Acid (TCA)</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Hydrogen Peroxide (H₂O₂)</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Ellman’s reagent (DTNB)</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Phosphate buffer solution (PBS)</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FB724C" w:rsidRPr="00E1580C" w:rsidRDefault="00FB724C" w:rsidP="00FB724C">
      <w:pPr>
        <w:pStyle w:val="NormalWeb"/>
        <w:spacing w:after="0" w:afterAutospacing="0" w:line="360" w:lineRule="auto"/>
        <w:rPr>
          <w:sz w:val="28"/>
          <w:szCs w:val="28"/>
        </w:rPr>
      </w:pPr>
      <w:r w:rsidRPr="00E1580C">
        <w:rPr>
          <w:sz w:val="28"/>
          <w:szCs w:val="28"/>
        </w:rPr>
        <w:t xml:space="preserve">Fifty two (52) adult male Wistar rats (150–200 g) were obtained from the animal house,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FB724C" w:rsidRPr="00E1580C" w:rsidRDefault="00FB724C" w:rsidP="00FB724C">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FB724C" w:rsidRPr="00E1580C" w:rsidRDefault="00FB724C" w:rsidP="00FB724C">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FB724C" w:rsidRPr="00E1580C" w:rsidRDefault="00FB724C" w:rsidP="00FB724C">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then air-dried at room temperature for </w:t>
      </w:r>
      <w:r w:rsidRPr="00E1580C">
        <w:rPr>
          <w:rStyle w:val="Strong"/>
          <w:sz w:val="28"/>
          <w:szCs w:val="28"/>
        </w:rPr>
        <w:t>7–10 days</w:t>
      </w:r>
      <w:r w:rsidRPr="00E1580C">
        <w:rPr>
          <w:sz w:val="28"/>
          <w:szCs w:val="28"/>
        </w:rPr>
        <w:t xml:space="preserve"> to avoid degradation of heat-sensitive phytochemicals.</w:t>
      </w:r>
    </w:p>
    <w:p w:rsidR="00FB724C" w:rsidRPr="00E1580C" w:rsidRDefault="00FB724C" w:rsidP="00FB724C">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FB724C" w:rsidRPr="00E1580C" w:rsidRDefault="00FB724C" w:rsidP="00FB724C">
      <w:pPr>
        <w:pStyle w:val="NormalWeb"/>
        <w:spacing w:after="0" w:afterAutospacing="0" w:line="360" w:lineRule="auto"/>
        <w:rPr>
          <w:sz w:val="28"/>
          <w:szCs w:val="28"/>
        </w:rPr>
      </w:pPr>
      <w:r w:rsidRPr="00E1580C">
        <w:rPr>
          <w:sz w:val="28"/>
          <w:szCs w:val="28"/>
        </w:rPr>
        <w:t>The percentage yield of the extract was calculated using the formula:</w:t>
      </w:r>
    </w:p>
    <w:p w:rsidR="00FB724C" w:rsidRPr="00E1580C" w:rsidRDefault="00FB724C" w:rsidP="00FB724C">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r w:rsidRPr="00E1580C">
        <w:t xml:space="preserve"> </w:t>
      </w:r>
    </w:p>
    <w:p w:rsidR="00FB724C" w:rsidRPr="00E1580C" w:rsidRDefault="00FB724C" w:rsidP="00FB724C">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FB724C" w:rsidRPr="00E1580C" w:rsidRDefault="00FB724C" w:rsidP="00FB724C">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FB724C" w:rsidRPr="00E1580C" w:rsidRDefault="00FB724C" w:rsidP="00FB724C">
      <w:pPr>
        <w:spacing w:after="0" w:line="360" w:lineRule="auto"/>
        <w:jc w:val="both"/>
        <w:rPr>
          <w:b/>
          <w:bCs/>
        </w:rPr>
      </w:pPr>
      <w:r w:rsidRPr="00E1580C">
        <w:rPr>
          <w:b/>
          <w:bCs/>
        </w:rPr>
        <w:t xml:space="preserve"> 3.3 Experimental design </w:t>
      </w:r>
    </w:p>
    <w:p w:rsidR="00FB724C" w:rsidRPr="00E1580C" w:rsidRDefault="00FB724C" w:rsidP="00FB724C">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 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FB724C" w:rsidRPr="00E1580C" w:rsidRDefault="00FB724C" w:rsidP="00FB724C">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FB724C" w:rsidRPr="00E1580C" w:rsidRDefault="00FB724C" w:rsidP="00FB724C">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25"/>
        <w:gridCol w:w="3150"/>
      </w:tblGrid>
      <w:tr w:rsidR="00FB724C" w:rsidRPr="00E1580C" w:rsidTr="00FF1768">
        <w:trPr>
          <w:tblHeader/>
          <w:tblCellSpacing w:w="15" w:type="dxa"/>
          <w:jc w:val="center"/>
        </w:trPr>
        <w:tc>
          <w:tcPr>
            <w:tcW w:w="3780" w:type="dxa"/>
            <w:tcBorders>
              <w:top w:val="single" w:sz="4" w:space="0" w:color="auto"/>
              <w:bottom w:val="single" w:sz="4" w:space="0" w:color="auto"/>
            </w:tcBorders>
            <w:vAlign w:val="center"/>
            <w:hideMark/>
          </w:tcPr>
          <w:p w:rsidR="00FB724C" w:rsidRPr="00E1580C" w:rsidRDefault="00FB724C" w:rsidP="00FF1768">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FB724C" w:rsidRPr="00E1580C" w:rsidRDefault="00FB724C" w:rsidP="00FF1768">
            <w:pPr>
              <w:spacing w:after="0" w:line="360" w:lineRule="auto"/>
              <w:jc w:val="center"/>
              <w:rPr>
                <w:b/>
                <w:bCs/>
              </w:rPr>
            </w:pPr>
            <w:r w:rsidRPr="00E1580C">
              <w:rPr>
                <w:rStyle w:val="Strong"/>
              </w:rPr>
              <w:t>Treatment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1</w:t>
            </w:r>
          </w:p>
        </w:tc>
        <w:tc>
          <w:tcPr>
            <w:tcW w:w="3105" w:type="dxa"/>
            <w:vAlign w:val="center"/>
            <w:hideMark/>
          </w:tcPr>
          <w:p w:rsidR="00FB724C" w:rsidRPr="00E1580C" w:rsidRDefault="00FB724C" w:rsidP="00FF1768">
            <w:pPr>
              <w:spacing w:after="0" w:line="360" w:lineRule="auto"/>
            </w:pPr>
            <w:r w:rsidRPr="00E1580C">
              <w:t>Control vector group</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2</w:t>
            </w:r>
          </w:p>
        </w:tc>
        <w:tc>
          <w:tcPr>
            <w:tcW w:w="3105" w:type="dxa"/>
            <w:vAlign w:val="center"/>
            <w:hideMark/>
          </w:tcPr>
          <w:p w:rsidR="00FB724C" w:rsidRPr="00E1580C" w:rsidRDefault="00FB724C" w:rsidP="00FF1768">
            <w:pPr>
              <w:spacing w:after="0" w:line="360" w:lineRule="auto"/>
            </w:pPr>
            <w:r w:rsidRPr="00E1580C">
              <w:t>Untreated group</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3</w:t>
            </w:r>
          </w:p>
        </w:tc>
        <w:tc>
          <w:tcPr>
            <w:tcW w:w="3105" w:type="dxa"/>
            <w:vAlign w:val="center"/>
            <w:hideMark/>
          </w:tcPr>
          <w:p w:rsidR="00FB724C" w:rsidRPr="00E1580C" w:rsidRDefault="00FB724C" w:rsidP="00FF1768">
            <w:pPr>
              <w:spacing w:after="0" w:line="360" w:lineRule="auto"/>
            </w:pPr>
            <w:r w:rsidRPr="00E1580C">
              <w:t>Treated with standard drug</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4</w:t>
            </w:r>
          </w:p>
        </w:tc>
        <w:tc>
          <w:tcPr>
            <w:tcW w:w="3105" w:type="dxa"/>
            <w:vAlign w:val="center"/>
            <w:hideMark/>
          </w:tcPr>
          <w:p w:rsidR="00FB724C" w:rsidRPr="00E1580C" w:rsidRDefault="00FB724C" w:rsidP="00FF1768">
            <w:pPr>
              <w:spacing w:after="0" w:line="360" w:lineRule="auto"/>
            </w:pPr>
            <w:r w:rsidRPr="00E1580C">
              <w:t>100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5</w:t>
            </w:r>
          </w:p>
        </w:tc>
        <w:tc>
          <w:tcPr>
            <w:tcW w:w="3105" w:type="dxa"/>
            <w:vAlign w:val="center"/>
            <w:hideMark/>
          </w:tcPr>
          <w:p w:rsidR="00FB724C" w:rsidRPr="00E1580C" w:rsidRDefault="00FB724C" w:rsidP="00FF1768">
            <w:pPr>
              <w:spacing w:after="0" w:line="360" w:lineRule="auto"/>
            </w:pPr>
            <w:r w:rsidRPr="00E1580C">
              <w:t>200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6</w:t>
            </w:r>
          </w:p>
        </w:tc>
        <w:tc>
          <w:tcPr>
            <w:tcW w:w="3105" w:type="dxa"/>
            <w:vAlign w:val="center"/>
            <w:hideMark/>
          </w:tcPr>
          <w:p w:rsidR="00FB724C" w:rsidRPr="00E1580C" w:rsidRDefault="00FB724C" w:rsidP="00FF1768">
            <w:pPr>
              <w:spacing w:after="0" w:line="360" w:lineRule="auto"/>
            </w:pPr>
            <w:r w:rsidRPr="00E1580C">
              <w:t>400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7</w:t>
            </w:r>
          </w:p>
        </w:tc>
        <w:tc>
          <w:tcPr>
            <w:tcW w:w="3105" w:type="dxa"/>
            <w:vAlign w:val="center"/>
            <w:hideMark/>
          </w:tcPr>
          <w:p w:rsidR="00FB724C" w:rsidRPr="00E1580C" w:rsidRDefault="00FB724C" w:rsidP="00FF1768">
            <w:pPr>
              <w:spacing w:after="0" w:line="360" w:lineRule="auto"/>
            </w:pPr>
            <w:r w:rsidRPr="00E1580C">
              <w:t>800 mg/kg of the extract</w:t>
            </w:r>
          </w:p>
        </w:tc>
      </w:tr>
    </w:tbl>
    <w:p w:rsidR="00FB724C" w:rsidRPr="00E1580C" w:rsidRDefault="00FB724C" w:rsidP="00FB724C">
      <w:pPr>
        <w:spacing w:after="0" w:line="360" w:lineRule="auto"/>
        <w:jc w:val="both"/>
        <w:rPr>
          <w:b/>
          <w:bCs/>
        </w:rPr>
      </w:pPr>
    </w:p>
    <w:p w:rsidR="00FB724C" w:rsidRPr="00E1580C" w:rsidRDefault="00FB724C" w:rsidP="00FB724C">
      <w:pPr>
        <w:spacing w:after="0" w:line="360" w:lineRule="auto"/>
        <w:jc w:val="both"/>
        <w:rPr>
          <w:b/>
          <w:bCs/>
        </w:rPr>
      </w:pPr>
      <w:r w:rsidRPr="00E1580C">
        <w:rPr>
          <w:b/>
          <w:bCs/>
        </w:rPr>
        <w:t xml:space="preserve">3.3.1 Determination of antioxidant properties </w:t>
      </w:r>
    </w:p>
    <w:p w:rsidR="00FB724C" w:rsidRPr="00E1580C" w:rsidRDefault="00FB724C" w:rsidP="00FB724C">
      <w:pPr>
        <w:spacing w:after="0" w:line="360" w:lineRule="auto"/>
        <w:jc w:val="both"/>
        <w:rPr>
          <w:b/>
          <w:bCs/>
        </w:rPr>
      </w:pPr>
      <w:r w:rsidRPr="00E1580C">
        <w:rPr>
          <w:b/>
          <w:bCs/>
        </w:rPr>
        <w:t>3.3.2 Determination of Ferric Reducing Antioxidant Power (FRAP)</w:t>
      </w:r>
    </w:p>
    <w:p w:rsidR="00FB724C" w:rsidRPr="00E1580C" w:rsidRDefault="00FB724C" w:rsidP="00FB724C">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FB724C" w:rsidRPr="00E1580C" w:rsidRDefault="00FB724C" w:rsidP="00FB724C">
      <w:pPr>
        <w:spacing w:before="100" w:beforeAutospacing="1" w:after="0" w:line="360" w:lineRule="auto"/>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Acetate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w:t>
      </w:r>
      <w:r w:rsidRPr="00E1580C">
        <w:rPr>
          <w:rFonts w:eastAsia="Times New Roman"/>
          <w:b/>
          <w:bCs/>
        </w:rPr>
        <w:t xml:space="preserve"> </w:t>
      </w:r>
      <w:r w:rsidRPr="00E1580C">
        <w:rPr>
          <w:rFonts w:eastAsia="Times New Roman"/>
        </w:rPr>
        <w:t>and FRAP reagent (prepared by mixing acetate buffer, TPTZ, and FeCl₃ in 10:1:1 ratio)</w:t>
      </w:r>
    </w:p>
    <w:p w:rsidR="00FB724C" w:rsidRPr="00E1580C" w:rsidRDefault="00FB724C" w:rsidP="00FB724C">
      <w:pPr>
        <w:spacing w:before="100" w:beforeAutospacing="1" w:after="0" w:line="360" w:lineRule="auto"/>
        <w:jc w:val="both"/>
        <w:outlineLvl w:val="3"/>
        <w:rPr>
          <w:rFonts w:eastAsia="Times New Roman"/>
          <w:b/>
          <w:bCs/>
        </w:rPr>
      </w:pPr>
      <w:r w:rsidRPr="00E1580C">
        <w:rPr>
          <w:rFonts w:eastAsia="Times New Roman"/>
        </w:rPr>
        <w:lastRenderedPageBreak/>
        <w:t>Procedure:</w:t>
      </w:r>
      <w:r w:rsidRPr="00E1580C">
        <w:rPr>
          <w:rFonts w:eastAsia="Times New Roman"/>
          <w:b/>
          <w:bCs/>
        </w:rPr>
        <w:t xml:space="preserve"> </w:t>
      </w:r>
      <w:r w:rsidRPr="00E1580C">
        <w:t>100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FB724C" w:rsidRPr="00E1580C" w:rsidRDefault="00FB724C" w:rsidP="00FB724C">
      <w:pPr>
        <w:spacing w:after="0" w:line="360" w:lineRule="auto"/>
        <w:jc w:val="both"/>
        <w:rPr>
          <w:b/>
          <w:bCs/>
        </w:rPr>
      </w:pPr>
      <w:r w:rsidRPr="00E1580C">
        <w:rPr>
          <w:b/>
          <w:bCs/>
        </w:rPr>
        <w:t>3.3.2 Determination of Azino-bis C3 ethyl Benzothiazoline-b- sulphonic acid (ABTs)</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ABTS (7 mM)</w:t>
      </w:r>
      <w:r w:rsidRPr="00E1580C">
        <w:rPr>
          <w:rFonts w:eastAsia="Times New Roman"/>
          <w:b/>
          <w:bCs/>
        </w:rPr>
        <w:t xml:space="preserve"> </w:t>
      </w:r>
      <w:r w:rsidRPr="00E1580C">
        <w:rPr>
          <w:rFonts w:eastAsia="Times New Roman"/>
        </w:rPr>
        <w:t>and Potassium persulfate (2.45 mM)</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 xml:space="preserve">: </w:t>
      </w:r>
      <w:r w:rsidRPr="00E1580C">
        <w:rPr>
          <w:rFonts w:eastAsia="Times New Roman"/>
        </w:rPr>
        <w:t>ABTS⁺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 compared with Trolox standard and the results was expressed as µmol Trolox equivalents.</w:t>
      </w:r>
    </w:p>
    <w:p w:rsidR="00FB724C" w:rsidRPr="00E1580C" w:rsidRDefault="00FB724C" w:rsidP="00FB724C">
      <w:pPr>
        <w:spacing w:line="360" w:lineRule="auto"/>
        <w:jc w:val="both"/>
        <w:rPr>
          <w:b/>
          <w:bCs/>
        </w:rPr>
      </w:pPr>
      <w:r w:rsidRPr="00E1580C">
        <w:rPr>
          <w:b/>
          <w:bCs/>
        </w:rPr>
        <w:t xml:space="preserve">3.3.3 Determination of Diphenyl -1 </w:t>
      </w:r>
      <w:proofErr w:type="gramStart"/>
      <w:r w:rsidRPr="00E1580C">
        <w:rPr>
          <w:b/>
          <w:bCs/>
        </w:rPr>
        <w:t>pycrylhydraxyl  (</w:t>
      </w:r>
      <w:proofErr w:type="gramEnd"/>
      <w:r w:rsidRPr="00E1580C">
        <w:rPr>
          <w:b/>
          <w:bCs/>
        </w:rPr>
        <w:t>DPPH)</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Principle:</w:t>
      </w:r>
      <w:r w:rsidRPr="00E1580C">
        <w:rPr>
          <w:rFonts w:eastAsia="Times New Roman"/>
          <w:b/>
          <w:bCs/>
        </w:rPr>
        <w:t xml:space="preserve"> </w:t>
      </w:r>
      <w:r w:rsidRPr="00E1580C">
        <w:rPr>
          <w:rFonts w:eastAsia="Times New Roman"/>
        </w:rPr>
        <w:t>DPPH is a stable free radical that changes color (deep violet to yellow) upon reduction by an antioxidant.</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Reagents: DPPH solution (0.1 mM in methanol)</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 xml:space="preserve">Procedure: 1 mL of DPPH </w:t>
      </w:r>
      <w:proofErr w:type="gramStart"/>
      <w:r w:rsidRPr="00E1580C">
        <w:rPr>
          <w:rFonts w:eastAsia="Times New Roman"/>
        </w:rPr>
        <w:t>solution  was</w:t>
      </w:r>
      <w:proofErr w:type="gramEnd"/>
      <w:r w:rsidRPr="00E1580C">
        <w:rPr>
          <w:rFonts w:eastAsia="Times New Roman"/>
        </w:rPr>
        <w:t xml:space="preserve"> mixed with 1 mL of extract. Incubated in the dark for 30 minutes at room temperature. Absorbance was measured at 517 nm.</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FB724C" w:rsidRPr="00E1580C" w:rsidRDefault="00FB724C" w:rsidP="00FB724C">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14:anchorId="440D5462" wp14:editId="4E6AFAB5">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20"/>
                    <a:stretch>
                      <a:fillRect/>
                    </a:stretch>
                  </pic:blipFill>
                  <pic:spPr>
                    <a:xfrm>
                      <a:off x="0" y="0"/>
                      <a:ext cx="2724530" cy="590632"/>
                    </a:xfrm>
                    <a:prstGeom prst="rect">
                      <a:avLst/>
                    </a:prstGeom>
                  </pic:spPr>
                </pic:pic>
              </a:graphicData>
            </a:graphic>
          </wp:inline>
        </w:drawing>
      </w:r>
      <w:r w:rsidRPr="00E1580C">
        <w:rPr>
          <w:rFonts w:eastAsia="Times New Roman"/>
        </w:rPr>
        <w:t>.</w:t>
      </w:r>
    </w:p>
    <w:p w:rsidR="00FB724C" w:rsidRPr="00E1580C" w:rsidRDefault="00FB724C" w:rsidP="00FB724C">
      <w:pPr>
        <w:spacing w:before="100" w:beforeAutospacing="1" w:after="100" w:afterAutospacing="1" w:line="360" w:lineRule="auto"/>
        <w:ind w:left="1080"/>
        <w:jc w:val="both"/>
        <w:rPr>
          <w:rFonts w:eastAsia="Times New Roman"/>
        </w:rPr>
      </w:pPr>
      <w:proofErr w:type="gramStart"/>
      <w:r w:rsidRPr="00E1580C">
        <w:t>where</w:t>
      </w:r>
      <w:proofErr w:type="gramEnd"/>
      <w:r w:rsidRPr="00E1580C">
        <w:t xml:space="preserve"> </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FB724C" w:rsidRPr="00E1580C" w:rsidRDefault="00FB724C" w:rsidP="00FB724C">
      <w:pPr>
        <w:spacing w:line="360" w:lineRule="auto"/>
        <w:jc w:val="both"/>
        <w:rPr>
          <w:b/>
          <w:bCs/>
        </w:rPr>
      </w:pPr>
      <w:r w:rsidRPr="00E1580C">
        <w:rPr>
          <w:b/>
          <w:bCs/>
        </w:rPr>
        <w:t>3.3.4 Determination of total flavonoid content (TFC)</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FB724C" w:rsidRPr="00E1580C" w:rsidRDefault="00FB724C" w:rsidP="00FB724C">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2% Aluminum chloride in methanol</w:t>
      </w:r>
      <w:r w:rsidRPr="00E1580C">
        <w:rPr>
          <w:rFonts w:eastAsia="Times New Roman"/>
          <w:b/>
          <w:bCs/>
        </w:rPr>
        <w:t xml:space="preserve"> </w:t>
      </w:r>
      <w:r w:rsidRPr="00E1580C">
        <w:rPr>
          <w:rFonts w:eastAsia="Times New Roman"/>
        </w:rPr>
        <w:t>and Potassium acetate</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 xml:space="preserve"> </w:t>
      </w:r>
      <w:r w:rsidRPr="00E1580C">
        <w:rPr>
          <w:rFonts w:eastAsia="Times New Roman"/>
        </w:rPr>
        <w:t>0.5 mL of extract was mixed with 0.5 mL of 2% AlCl₃. Incubated for 30 minutes at room temperature. Absorbance was measured at 415 nm. Use quercetin as the standard and express results in mg quercetin equivalents (QE)/g of extract.</w:t>
      </w:r>
    </w:p>
    <w:p w:rsidR="00FB724C" w:rsidRPr="00E1580C" w:rsidRDefault="00FB724C" w:rsidP="00FB724C">
      <w:pPr>
        <w:spacing w:line="360" w:lineRule="auto"/>
        <w:jc w:val="both"/>
        <w:rPr>
          <w:b/>
          <w:bCs/>
        </w:rPr>
      </w:pPr>
      <w:r w:rsidRPr="00E1580C">
        <w:rPr>
          <w:b/>
          <w:bCs/>
        </w:rPr>
        <w:t>3.3.5 Determination of total phenolic content (TPC)</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Principle: The Folin–Ciocalteu reagent reacts with phenolics to produce a blue complex detectable at 765 nm.</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Reagents: Folin–Ciocalteu reagent (diluted 1:10) and Sodium carbonate (7.5%)</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Procedure: 0.5 mL of sample was mixed with 2.5 mL of Folin–Ciocalteu reagent. After 5 minutes, 2 mL of sodium carbonate was added. Incubated for 30 minutes at room temperature. The absorbance was measured at 765 nm using gallic acid as standard and results was expressed as mg gallic acid equivalents (GAE)/g of extract.</w:t>
      </w:r>
    </w:p>
    <w:p w:rsidR="00FB724C" w:rsidRPr="00E1580C" w:rsidRDefault="00FB724C" w:rsidP="00FB724C">
      <w:pPr>
        <w:spacing w:after="0" w:line="480" w:lineRule="auto"/>
        <w:jc w:val="both"/>
        <w:rPr>
          <w:b/>
        </w:rPr>
      </w:pPr>
      <w:r w:rsidRPr="00E1580C">
        <w:rPr>
          <w:b/>
        </w:rPr>
        <w:lastRenderedPageBreak/>
        <w:t>3.3.6</w:t>
      </w:r>
      <w:r w:rsidRPr="00E1580C">
        <w:rPr>
          <w:b/>
        </w:rPr>
        <w:tab/>
        <w:t>Determination of Enzymatic Antioxidant</w:t>
      </w:r>
    </w:p>
    <w:p w:rsidR="00FB724C" w:rsidRPr="00E1580C" w:rsidRDefault="00FB724C" w:rsidP="00FB724C">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FB724C" w:rsidRPr="00E1580C" w:rsidRDefault="00FB724C" w:rsidP="00FB724C">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Procedure:</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lastRenderedPageBreak/>
        <w:t xml:space="preserve"> Catalase (CAT) Activity</w:t>
      </w:r>
    </w:p>
    <w:p w:rsidR="00FB724C" w:rsidRPr="00E1580C" w:rsidRDefault="00FB724C" w:rsidP="00FB724C">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Procedure: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FB724C" w:rsidRPr="00E1580C" w:rsidRDefault="00FB724C" w:rsidP="00FB724C">
      <w:pPr>
        <w:pStyle w:val="NormalWeb"/>
        <w:rPr>
          <w:sz w:val="28"/>
          <w:szCs w:val="28"/>
        </w:rPr>
      </w:pPr>
      <w:r w:rsidRPr="00E1580C">
        <w:rPr>
          <w:sz w:val="28"/>
          <w:szCs w:val="28"/>
        </w:rPr>
        <w:t>Reduced glutathione levels were estimated using the method of Ellman (1959).</w:t>
      </w:r>
    </w:p>
    <w:p w:rsidR="00FB724C" w:rsidRPr="00E1580C" w:rsidRDefault="00FB724C" w:rsidP="00FB724C">
      <w:pPr>
        <w:pStyle w:val="NormalWeb"/>
        <w:rPr>
          <w:sz w:val="28"/>
          <w:szCs w:val="28"/>
        </w:rPr>
      </w:pPr>
      <w:r w:rsidRPr="00E1580C">
        <w:rPr>
          <w:rStyle w:val="Strong"/>
          <w:sz w:val="28"/>
          <w:szCs w:val="28"/>
        </w:rPr>
        <w:t>Procedure:</w:t>
      </w:r>
    </w:p>
    <w:p w:rsidR="00FB724C" w:rsidRPr="00E1580C" w:rsidRDefault="00FB724C" w:rsidP="00FB724C">
      <w:pPr>
        <w:pStyle w:val="NormalWeb"/>
        <w:numPr>
          <w:ilvl w:val="0"/>
          <w:numId w:val="30"/>
        </w:numPr>
        <w:rPr>
          <w:sz w:val="28"/>
          <w:szCs w:val="28"/>
        </w:rPr>
      </w:pPr>
      <w:r w:rsidRPr="00E1580C">
        <w:rPr>
          <w:sz w:val="28"/>
          <w:szCs w:val="28"/>
        </w:rPr>
        <w:t>Tissue homogenate was treated with 5% trichloroacetic acid (TCA) and centrifuged.</w:t>
      </w:r>
    </w:p>
    <w:p w:rsidR="00FB724C" w:rsidRPr="00E1580C" w:rsidRDefault="00FB724C" w:rsidP="00FB724C">
      <w:pPr>
        <w:pStyle w:val="NormalWeb"/>
        <w:numPr>
          <w:ilvl w:val="0"/>
          <w:numId w:val="30"/>
        </w:numPr>
        <w:rPr>
          <w:sz w:val="28"/>
          <w:szCs w:val="28"/>
        </w:rPr>
      </w:pPr>
      <w:r w:rsidRPr="00E1580C">
        <w:rPr>
          <w:sz w:val="28"/>
          <w:szCs w:val="28"/>
        </w:rPr>
        <w:t>The supernatant was mixed with Ellman’s reagent (DTNB) and phosphate buffer.</w:t>
      </w:r>
    </w:p>
    <w:p w:rsidR="00FB724C" w:rsidRPr="00E1580C" w:rsidRDefault="00FB724C" w:rsidP="00FB724C">
      <w:pPr>
        <w:pStyle w:val="NormalWeb"/>
        <w:numPr>
          <w:ilvl w:val="0"/>
          <w:numId w:val="30"/>
        </w:numPr>
        <w:rPr>
          <w:sz w:val="28"/>
          <w:szCs w:val="28"/>
        </w:rPr>
      </w:pPr>
      <w:r w:rsidRPr="00E1580C">
        <w:rPr>
          <w:sz w:val="28"/>
          <w:szCs w:val="28"/>
        </w:rPr>
        <w:t xml:space="preserve">The yellow color formed was measured at </w:t>
      </w:r>
      <w:r w:rsidRPr="00E1580C">
        <w:rPr>
          <w:rStyle w:val="Strong"/>
          <w:sz w:val="28"/>
          <w:szCs w:val="28"/>
        </w:rPr>
        <w:t>412 nm</w:t>
      </w:r>
      <w:r w:rsidRPr="00E1580C">
        <w:rPr>
          <w:sz w:val="28"/>
          <w:szCs w:val="28"/>
        </w:rPr>
        <w:t xml:space="preserve"> using a spectrophotometer.</w:t>
      </w:r>
    </w:p>
    <w:p w:rsidR="00FB724C" w:rsidRPr="00E1580C" w:rsidRDefault="00FB724C" w:rsidP="00FB724C">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FB724C" w:rsidRPr="00E1580C" w:rsidRDefault="00FB724C" w:rsidP="00FB724C">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lastRenderedPageBreak/>
        <w:t>Protein Estimation</w:t>
      </w:r>
    </w:p>
    <w:p w:rsidR="00FB724C" w:rsidRPr="00E1580C" w:rsidRDefault="00FB724C" w:rsidP="00FB724C">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FB724C" w:rsidRPr="00E1580C" w:rsidRDefault="00FB724C" w:rsidP="00FB724C">
      <w:pPr>
        <w:jc w:val="both"/>
      </w:pPr>
      <w:r w:rsidRPr="00E1580C">
        <w:rPr>
          <w:b/>
        </w:rPr>
        <w:t>3.4 Malondialdehyde</w:t>
      </w:r>
    </w:p>
    <w:p w:rsidR="00FB724C" w:rsidRPr="00D7082F" w:rsidRDefault="00FB724C" w:rsidP="00FB724C">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FB724C" w:rsidRPr="000D313C" w:rsidRDefault="00FB724C" w:rsidP="00FB724C">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FB724C" w:rsidRPr="000D313C" w:rsidRDefault="00FB724C" w:rsidP="00FB724C">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Conc.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FB724C" w:rsidRPr="000D313C" w:rsidRDefault="00FB724C" w:rsidP="00FB724C">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                             </w:t>
      </w:r>
      <w:r w:rsidRPr="000D313C">
        <w:rPr>
          <w:color w:val="000000" w:themeColor="text1"/>
        </w:rPr>
        <w:tab/>
      </w:r>
      <w:r w:rsidRPr="000D313C">
        <w:rPr>
          <w:color w:val="000000" w:themeColor="text1"/>
        </w:rPr>
        <w:tab/>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Extinction Coeff.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FB724C" w:rsidRPr="000D313C" w:rsidRDefault="00FB724C" w:rsidP="00FB724C">
      <w:pPr>
        <w:spacing w:line="480" w:lineRule="auto"/>
        <w:rPr>
          <w:rFonts w:eastAsia="Times New Roman"/>
          <w:b/>
          <w:bCs/>
          <w:color w:val="000000" w:themeColor="text1"/>
        </w:rPr>
      </w:pPr>
      <w:r w:rsidRPr="000D313C">
        <w:rPr>
          <w:rFonts w:eastAsia="Times New Roman"/>
          <w:b/>
          <w:bCs/>
          <w:color w:val="000000" w:themeColor="text1"/>
        </w:rPr>
        <w:br w:type="page"/>
      </w:r>
    </w:p>
    <w:p w:rsidR="00FB724C" w:rsidRPr="000D313C" w:rsidRDefault="00FB724C" w:rsidP="00FB724C">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FB724C" w:rsidRPr="000D313C" w:rsidRDefault="00FB724C" w:rsidP="00FB724C">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FB724C" w:rsidRPr="000D313C" w:rsidRDefault="00FB724C" w:rsidP="00FB724C">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FB724C" w:rsidRPr="000D313C" w:rsidRDefault="00FB724C" w:rsidP="00FB724C">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FB724C" w:rsidRPr="000D313C" w:rsidRDefault="00FB724C" w:rsidP="00FB724C">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3"/>
        <w:gridCol w:w="2106"/>
        <w:gridCol w:w="1762"/>
        <w:gridCol w:w="1770"/>
        <w:gridCol w:w="1389"/>
      </w:tblGrid>
      <w:tr w:rsidR="00FB724C" w:rsidRPr="000D313C" w:rsidTr="00FF1768">
        <w:trPr>
          <w:tblHeader/>
          <w:tblCellSpacing w:w="15" w:type="dxa"/>
        </w:trPr>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FB724C" w:rsidRPr="000D313C" w:rsidTr="00FF1768">
        <w:trPr>
          <w:tblCellSpacing w:w="15" w:type="dxa"/>
        </w:trPr>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5.13 ± 0.18</w:t>
            </w:r>
          </w:p>
        </w:tc>
      </w:tr>
      <w:tr w:rsidR="00FB724C" w:rsidRPr="000D313C" w:rsidTr="00FF1768">
        <w:trPr>
          <w:tblCellSpacing w:w="15" w:type="dxa"/>
        </w:trPr>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1.74 ± 0.25</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4.92 ± 0.22</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4.05 ± 0.30</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SOD: Superoxide dismutase</w:t>
      </w:r>
    </w:p>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FB724C"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GSH: Glutathione</w:t>
      </w:r>
    </w:p>
    <w:p w:rsidR="00FB724C" w:rsidRPr="007D1E62"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w:t>
      </w:r>
      <w:r w:rsidRPr="00FD2E88">
        <w:rPr>
          <w:rStyle w:val="Emphasis"/>
          <w:rFonts w:eastAsiaTheme="majorEastAsia"/>
          <w:color w:val="000000" w:themeColor="text1"/>
        </w:rPr>
        <w:t>Sida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w:t>
      </w:r>
      <w:r w:rsidRPr="00FD2E88">
        <w:rPr>
          <w:rStyle w:val="Emphasis"/>
          <w:rFonts w:eastAsiaTheme="majorEastAsia"/>
          <w:color w:val="000000" w:themeColor="text1"/>
        </w:rPr>
        <w:t>Sida acuta</w:t>
      </w:r>
      <w:r w:rsidRPr="00D7082F">
        <w:rPr>
          <w:color w:val="000000" w:themeColor="text1"/>
          <w:sz w:val="28"/>
          <w:szCs w:val="28"/>
        </w:rPr>
        <w:t xml:space="preserve"> has hematopoietic properties, possibly correcting NSAID-induced blood loss or oxidative anemia.</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FB724C" w:rsidRDefault="00FB724C" w:rsidP="00FB724C">
      <w:pPr>
        <w:spacing w:after="0" w:line="360" w:lineRule="auto"/>
        <w:jc w:val="both"/>
        <w:outlineLvl w:val="3"/>
        <w:rPr>
          <w:rFonts w:eastAsia="Times New Roman"/>
          <w:b/>
          <w:bCs/>
          <w:color w:val="000000" w:themeColor="text1"/>
        </w:rPr>
      </w:pP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FB724C" w:rsidRPr="00D7082F"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FB724C" w:rsidRPr="00D7082F" w:rsidRDefault="00FB724C" w:rsidP="00FB724C">
      <w:pPr>
        <w:spacing w:after="0" w:line="360" w:lineRule="auto"/>
        <w:jc w:val="both"/>
        <w:rPr>
          <w:rFonts w:eastAsia="Times New Roman"/>
          <w:color w:val="000000" w:themeColor="text1"/>
        </w:rPr>
      </w:pP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gridCol w:w="2045"/>
        <w:gridCol w:w="1677"/>
        <w:gridCol w:w="1572"/>
        <w:gridCol w:w="2716"/>
      </w:tblGrid>
      <w:tr w:rsidR="00FB724C" w:rsidRPr="00D7082F" w:rsidTr="00FF1768">
        <w:trPr>
          <w:tblHeader/>
          <w:tblCellSpacing w:w="15" w:type="dxa"/>
        </w:trPr>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FB724C" w:rsidRPr="00D7082F" w:rsidRDefault="00FB724C" w:rsidP="00FF1768">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FB724C" w:rsidRPr="00D7082F" w:rsidRDefault="00FB724C" w:rsidP="00FF1768">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Observation</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WBC</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(6.5–7.1)</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(8.9–12.9)</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(7.5–8.8)</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Immune-stimulating effect</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RBC</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Normal–High</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(6.4)</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Hematinic activity</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HB</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10.5–12.7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9.5–14.7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9.2–13.1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Protective/restorative</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PCV</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32–38%</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29–44%</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28–39%</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Dose-dependent increase</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Indices</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 toxic morphological effect</w:t>
            </w:r>
          </w:p>
        </w:tc>
      </w:tr>
    </w:tbl>
    <w:p w:rsidR="00FB724C" w:rsidRPr="00D7082F"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FB724C" w:rsidRPr="007D1E62" w:rsidRDefault="00FB724C" w:rsidP="00FB724C">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FB724C" w:rsidRPr="007D1E62" w:rsidRDefault="00FB724C" w:rsidP="00FB724C">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FB724C" w:rsidRPr="007D1E62" w:rsidRDefault="00FB724C" w:rsidP="00FB724C">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FB724C" w:rsidRPr="007D1E62" w:rsidRDefault="00FB724C" w:rsidP="00FB724C">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FB724C" w:rsidRPr="00D7082F" w:rsidRDefault="00FB724C" w:rsidP="00FB724C">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FB724C" w:rsidRPr="001235E5"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FB724C" w:rsidRPr="001235E5" w:rsidRDefault="00FB724C" w:rsidP="00FB724C">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FB724C" w:rsidRPr="001235E5" w:rsidRDefault="00FB724C" w:rsidP="00FB724C">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FB724C" w:rsidRPr="001235E5" w:rsidRDefault="00FB724C" w:rsidP="00FB724C">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FB724C" w:rsidRPr="001235E5" w:rsidRDefault="00FB724C" w:rsidP="00FB724C">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FB724C" w:rsidRPr="001235E5" w:rsidRDefault="00FB724C" w:rsidP="00FB724C">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FB724C" w:rsidRPr="001235E5" w:rsidRDefault="00FB724C" w:rsidP="00FB724C">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FB724C" w:rsidRDefault="00FB724C" w:rsidP="00FB724C">
      <w:pPr>
        <w:spacing w:after="0" w:line="360" w:lineRule="auto"/>
        <w:jc w:val="both"/>
        <w:outlineLvl w:val="3"/>
        <w:rPr>
          <w:rFonts w:eastAsia="Times New Roman"/>
          <w:b/>
          <w:bCs/>
          <w:color w:val="000000" w:themeColor="text1"/>
        </w:rPr>
      </w:pPr>
    </w:p>
    <w:p w:rsidR="00FB724C" w:rsidRDefault="00FB724C" w:rsidP="00FB724C">
      <w:pPr>
        <w:spacing w:after="0" w:line="360" w:lineRule="auto"/>
        <w:jc w:val="both"/>
        <w:outlineLvl w:val="3"/>
        <w:rPr>
          <w:rFonts w:eastAsia="Times New Roman"/>
          <w:b/>
          <w:bCs/>
          <w:color w:val="000000" w:themeColor="text1"/>
        </w:rPr>
      </w:pP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FB724C" w:rsidRPr="001235E5" w:rsidRDefault="00FB724C" w:rsidP="00FB724C">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FB724C" w:rsidRPr="001235E5" w:rsidRDefault="00FB724C" w:rsidP="00FB724C">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FB724C" w:rsidRPr="00D7082F" w:rsidRDefault="00FB724C" w:rsidP="00FB724C">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gastric lesions and inflammation.</w:t>
      </w:r>
    </w:p>
    <w:p w:rsidR="00FB724C" w:rsidRPr="00D7082F" w:rsidRDefault="00FB724C" w:rsidP="00FB724C">
      <w:pPr>
        <w:spacing w:after="0" w:line="360" w:lineRule="auto"/>
        <w:jc w:val="both"/>
        <w:rPr>
          <w:rFonts w:eastAsia="Times New Roman"/>
          <w:color w:val="000000" w:themeColor="text1"/>
        </w:rPr>
      </w:pPr>
    </w:p>
    <w:p w:rsidR="00FB724C" w:rsidRPr="001235E5" w:rsidRDefault="00FB724C" w:rsidP="00FB724C">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FB724C" w:rsidRPr="001235E5" w:rsidRDefault="00FB724C" w:rsidP="00FB724C">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FB724C" w:rsidRPr="001235E5" w:rsidRDefault="00FB724C" w:rsidP="00FB724C">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FB724C" w:rsidRPr="001235E5" w:rsidRDefault="00FB724C" w:rsidP="00FB724C">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FB724C" w:rsidRPr="001235E5" w:rsidRDefault="00FB724C" w:rsidP="00FB724C">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FB724C" w:rsidRPr="001235E5" w:rsidRDefault="00FB724C" w:rsidP="00FB724C">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FB724C" w:rsidRDefault="00FB724C" w:rsidP="00FB724C">
      <w:pPr>
        <w:spacing w:after="0" w:line="360" w:lineRule="auto"/>
        <w:jc w:val="both"/>
        <w:outlineLvl w:val="2"/>
        <w:rPr>
          <w:rFonts w:eastAsia="Times New Roman"/>
          <w:b/>
          <w:bCs/>
          <w:color w:val="000000" w:themeColor="text1"/>
        </w:rPr>
      </w:pPr>
    </w:p>
    <w:p w:rsidR="00FB724C" w:rsidRDefault="00FB724C" w:rsidP="00FB724C">
      <w:pPr>
        <w:spacing w:line="360" w:lineRule="auto"/>
        <w:jc w:val="center"/>
        <w:rPr>
          <w:rFonts w:eastAsia="Times New Roman"/>
          <w:b/>
          <w:bCs/>
          <w:color w:val="000000" w:themeColor="text1"/>
        </w:rPr>
      </w:pPr>
    </w:p>
    <w:p w:rsidR="00FB724C" w:rsidRPr="00367A1C" w:rsidRDefault="00FB724C" w:rsidP="00FB724C">
      <w:pPr>
        <w:spacing w:line="360" w:lineRule="auto"/>
        <w:jc w:val="center"/>
        <w:rPr>
          <w:rFonts w:eastAsia="Times New Roman"/>
          <w:b/>
          <w:bCs/>
          <w:color w:val="000000" w:themeColor="text1"/>
        </w:rPr>
      </w:pPr>
      <w:r w:rsidRPr="00D7082F">
        <w:rPr>
          <w:rFonts w:eastAsia="Times New Roman"/>
          <w:b/>
          <w:bCs/>
          <w:color w:val="000000" w:themeColor="text1"/>
        </w:rPr>
        <w:lastRenderedPageBreak/>
        <w:t>CHAPTER FIVE</w:t>
      </w:r>
    </w:p>
    <w:p w:rsidR="00FB724C" w:rsidRPr="00367A1C" w:rsidRDefault="00FB724C" w:rsidP="00FB724C">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w:t>
      </w:r>
      <w:r w:rsidRPr="00367A1C">
        <w:rPr>
          <w:rFonts w:eastAsia="Times New Roman"/>
          <w:color w:val="000000" w:themeColor="text1"/>
        </w:rPr>
        <w:lastRenderedPageBreak/>
        <w:t>GSH), hematological profiles (WBC, RBC, HGB, PCV, MCH, MCHC), and histopathological examination of gastric tissues.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FB724C" w:rsidRPr="007D1E62" w:rsidRDefault="00FB724C" w:rsidP="00FB724C">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 xml:space="preserve"> DISCUSSION</w:t>
      </w:r>
    </w:p>
    <w:p w:rsidR="00FB724C" w:rsidRPr="00D7082F" w:rsidRDefault="00FB724C" w:rsidP="00FB724C">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The higher dose (400 mg/kg) was comparable in efficacy to omeprazole, indicating strong gastroprotective potential. The histopathological observations reinforced the biochemical data, showing significant mucosal healing.</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lastRenderedPageBreak/>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FB724C" w:rsidRPr="00367A1C" w:rsidRDefault="00FB724C" w:rsidP="00FB724C">
      <w:pPr>
        <w:spacing w:after="0" w:line="360" w:lineRule="auto"/>
        <w:jc w:val="both"/>
        <w:outlineLvl w:val="2"/>
        <w:rPr>
          <w:rFonts w:eastAsia="Times New Roman"/>
          <w:b/>
          <w:bCs/>
          <w:color w:val="000000" w:themeColor="text1"/>
        </w:rPr>
      </w:pPr>
      <w:r>
        <w:rPr>
          <w:rFonts w:eastAsia="Times New Roman"/>
          <w:b/>
          <w:bCs/>
          <w:color w:val="000000" w:themeColor="text1"/>
        </w:rPr>
        <w:t>5.3</w:t>
      </w:r>
      <w:r w:rsidRPr="00D7082F">
        <w:rPr>
          <w:rFonts w:eastAsia="Times New Roman"/>
          <w:b/>
          <w:bCs/>
          <w:color w:val="000000" w:themeColor="text1"/>
        </w:rPr>
        <w:t xml:space="preserve"> CONCLUSION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w:t>
      </w:r>
      <w:r w:rsidRPr="00440084">
        <w:rPr>
          <w:rFonts w:eastAsia="Times New Roman"/>
          <w:color w:val="000000" w:themeColor="text1"/>
        </w:rPr>
        <w:lastRenderedPageBreak/>
        <w:t xml:space="preserve">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Indomethacin induces significant oxidative gastric mucosal injury</w:t>
      </w:r>
      <w:r w:rsidRPr="00367A1C">
        <w:rPr>
          <w:rFonts w:eastAsia="Times New Roman"/>
          <w:color w:val="000000" w:themeColor="text1"/>
        </w:rPr>
        <w:t>, characterized by increased lipid peroxidation and reduced antioxidant defense.</w:t>
      </w:r>
    </w:p>
    <w:p w:rsidR="00FB724C" w:rsidRPr="00367A1C" w:rsidRDefault="00FB724C" w:rsidP="00FB724C">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xml:space="preserve">, capable of enhancing endogenous defense systems (SOD, CAT, </w:t>
      </w:r>
      <w:proofErr w:type="gramStart"/>
      <w:r w:rsidRPr="00367A1C">
        <w:rPr>
          <w:rFonts w:eastAsia="Times New Roman"/>
          <w:color w:val="000000" w:themeColor="text1"/>
        </w:rPr>
        <w:t>GSH</w:t>
      </w:r>
      <w:proofErr w:type="gramEnd"/>
      <w:r w:rsidRPr="00367A1C">
        <w:rPr>
          <w:rFonts w:eastAsia="Times New Roman"/>
          <w:color w:val="000000" w:themeColor="text1"/>
        </w:rPr>
        <w:t>).</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FB724C" w:rsidRPr="00367A1C" w:rsidRDefault="00FB724C" w:rsidP="00FB724C">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lastRenderedPageBreak/>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FB724C" w:rsidRDefault="00FB724C" w:rsidP="00FB724C">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FB724C" w:rsidRPr="00367A1C"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FB724C" w:rsidRPr="00D7082F"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FB724C" w:rsidRPr="00D7082F"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FB724C" w:rsidRPr="00D7082F" w:rsidRDefault="00FB724C" w:rsidP="00FB724C">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FB724C" w:rsidRPr="00D7082F" w:rsidRDefault="00FB724C" w:rsidP="00FB724C">
      <w:pPr>
        <w:spacing w:line="360" w:lineRule="auto"/>
        <w:rPr>
          <w:rStyle w:val="Strong"/>
          <w:rFonts w:eastAsia="Times New Roman"/>
          <w:color w:val="000000" w:themeColor="text1"/>
        </w:rPr>
      </w:pPr>
      <w:r w:rsidRPr="00D7082F">
        <w:rPr>
          <w:rStyle w:val="Strong"/>
          <w:color w:val="000000" w:themeColor="text1"/>
        </w:rPr>
        <w:br w:type="page"/>
      </w:r>
    </w:p>
    <w:p w:rsidR="00FB724C" w:rsidRPr="00D7082F" w:rsidRDefault="00FB724C" w:rsidP="00FB724C">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Buege, J. A., &amp; Aust, S. D. (1978). Microsomal lipid peroxidation.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21" w:history="1">
        <w:r w:rsidRPr="00D7082F">
          <w:rPr>
            <w:rStyle w:val="Hyperlink"/>
            <w:color w:val="000000" w:themeColor="text1"/>
            <w:sz w:val="28"/>
            <w:szCs w:val="28"/>
          </w:rPr>
          <w:t>https://doi.org/10.1016/S0076-6879(78)52032-6</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Ohkawa, H., Ohishi, N., &amp; Yagi, K. (1979).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22" w:history="1">
        <w:r w:rsidRPr="00D7082F">
          <w:rPr>
            <w:rStyle w:val="Hyperlink"/>
            <w:color w:val="000000" w:themeColor="text1"/>
            <w:sz w:val="28"/>
            <w:szCs w:val="28"/>
          </w:rPr>
          <w:t>https://doi.org/10.1016/0003-2697(79)90738-3</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Wallace, J. L., &amp; Granger, D. N. (1996). The cellular and molecular basis of gastric mucosal defense.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3" w:history="1">
        <w:r w:rsidRPr="00D7082F">
          <w:rPr>
            <w:rStyle w:val="Hyperlink"/>
            <w:color w:val="000000" w:themeColor="text1"/>
            <w:sz w:val="28"/>
            <w:szCs w:val="28"/>
          </w:rPr>
          <w:t>https://doi.org/10.1096/fasebj.10.7.8635682</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Nwaehujor, C. O., Ezeigbo, I. I., &amp; Okoye, F. B. C. (2013).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4" w:history="1">
        <w:r w:rsidRPr="00D7082F">
          <w:rPr>
            <w:rStyle w:val="Hyperlink"/>
            <w:color w:val="000000" w:themeColor="text1"/>
            <w:sz w:val="28"/>
            <w:szCs w:val="28"/>
          </w:rPr>
          <w:t>https://doi.org/10.1016/j.jep.2013.06.002</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Kumar, S., &amp; Pandey, A. K. (2015).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5" w:history="1">
        <w:r w:rsidRPr="00D7082F">
          <w:rPr>
            <w:rStyle w:val="Hyperlink"/>
            <w:color w:val="000000" w:themeColor="text1"/>
            <w:sz w:val="28"/>
            <w:szCs w:val="28"/>
          </w:rPr>
          <w:t>https://doi.org/10.9734/BJMMR/2015/15129</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Sharma, V., &amp; Agrawal, R. C. (2011).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Valko, M., Leibfritz, D., Moncol, J., Cronin, M. T., Mazur, M., &amp; Telser, J. (2007). Free radicals and antioxidants in normal physiological functions and human disease.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6" w:history="1">
        <w:r w:rsidRPr="00D7082F">
          <w:rPr>
            <w:rStyle w:val="Hyperlink"/>
            <w:color w:val="000000" w:themeColor="text1"/>
            <w:sz w:val="28"/>
            <w:szCs w:val="28"/>
          </w:rPr>
          <w:t>https://doi.org/10.1016/j.biocel.2006.07.001</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Prakash, A., &amp; Kumar, A. (2013).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7" w:history="1">
        <w:r w:rsidRPr="00D7082F">
          <w:rPr>
            <w:rStyle w:val="Hyperlink"/>
            <w:color w:val="000000" w:themeColor="text1"/>
            <w:sz w:val="28"/>
            <w:szCs w:val="28"/>
          </w:rPr>
          <w:t>https://doi.org/10.1155/2013/292476</w:t>
        </w:r>
      </w:hyperlink>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r w:rsidRPr="00D7082F">
        <w:rPr>
          <w:color w:val="000000" w:themeColor="text1"/>
          <w:sz w:val="28"/>
          <w:szCs w:val="28"/>
        </w:rPr>
        <w:lastRenderedPageBreak/>
        <w:t xml:space="preserve">Halliwell, B., &amp; Gutteridge, J. M. (2015).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Oxford University Press.</w:t>
      </w:r>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r w:rsidRPr="00D7082F">
        <w:rPr>
          <w:color w:val="000000" w:themeColor="text1"/>
          <w:sz w:val="28"/>
          <w:szCs w:val="28"/>
        </w:rPr>
        <w:t xml:space="preserve">Toma, I., Stancu, M., &amp; Andrei, S. (2014).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Ejike, C. E. C. C., &amp; Ezeanyika, L. U. S. (2008).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Trease, G. E., &amp; Evans, W. C. (2002).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OECD.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Organisation for Economic Cooperation and Development.</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Chapman and Hall.</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Colorimetric assay of catalase.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8" w:history="1">
        <w:r w:rsidRPr="00D7082F">
          <w:rPr>
            <w:rStyle w:val="Hyperlink"/>
            <w:color w:val="000000" w:themeColor="text1"/>
            <w:sz w:val="28"/>
            <w:szCs w:val="28"/>
          </w:rPr>
          <w:t>https://doi.org/10.1016/0003-2697(72)90132-7</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Misra, H. P., &amp; Fridovich, I. (1972). The role of superoxide anion in the autoxidation of epinephrine and a simple assay for SOD.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Adedapo, A. A., Mogbojuri, O. M., &amp; Emikpe, B. O. (2009). 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9" w:history="1">
        <w:r w:rsidRPr="00D7082F">
          <w:rPr>
            <w:rStyle w:val="Hyperlink"/>
            <w:color w:val="000000" w:themeColor="text1"/>
            <w:sz w:val="28"/>
            <w:szCs w:val="28"/>
          </w:rPr>
          <w:t>https://doi.org/10.1177/1091581809348317</w:t>
        </w:r>
      </w:hyperlink>
    </w:p>
    <w:p w:rsidR="00FB724C" w:rsidRPr="00D7082F" w:rsidRDefault="00FB724C" w:rsidP="00FB724C">
      <w:pPr>
        <w:pStyle w:val="NormalWeb"/>
        <w:spacing w:before="0" w:beforeAutospacing="0" w:after="0" w:afterAutospacing="0" w:line="360" w:lineRule="auto"/>
        <w:ind w:left="720" w:hanging="720"/>
        <w:jc w:val="both"/>
        <w:rPr>
          <w:b/>
          <w:bCs/>
          <w:color w:val="000000" w:themeColor="text1"/>
        </w:rPr>
      </w:pPr>
      <w:r w:rsidRPr="00D7082F">
        <w:rPr>
          <w:color w:val="000000" w:themeColor="text1"/>
          <w:sz w:val="28"/>
          <w:szCs w:val="28"/>
        </w:rPr>
        <w:t xml:space="preserve">Odukoya, O. A., Ilori, O. O., Sofidiya, M. O., Aniunoh, O. A., Lawal, B. M., &amp; Tade, I. O. (2005). Antioxidant activity of Nigerian medicinal plants.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2E01F5" w:rsidRDefault="002E01F5"/>
    <w:sectPr w:rsidR="002E01F5" w:rsidSect="005A4C0E">
      <w:footerReference w:type="even"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040" w:rsidRDefault="00FB4040">
      <w:pPr>
        <w:spacing w:after="0" w:line="240" w:lineRule="auto"/>
      </w:pPr>
      <w:r>
        <w:separator/>
      </w:r>
    </w:p>
  </w:endnote>
  <w:endnote w:type="continuationSeparator" w:id="0">
    <w:p w:rsidR="00FB4040" w:rsidRDefault="00FB4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0E" w:rsidRDefault="0076280D" w:rsidP="00E27D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4C0E" w:rsidRDefault="00FB40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0E" w:rsidRDefault="0076280D" w:rsidP="00E27D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5292">
      <w:rPr>
        <w:rStyle w:val="PageNumber"/>
        <w:noProof/>
      </w:rPr>
      <w:t>21</w:t>
    </w:r>
    <w:r>
      <w:rPr>
        <w:rStyle w:val="PageNumber"/>
      </w:rPr>
      <w:fldChar w:fldCharType="end"/>
    </w:r>
  </w:p>
  <w:p w:rsidR="005A4C0E" w:rsidRDefault="00FB40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040" w:rsidRDefault="00FB4040">
      <w:pPr>
        <w:spacing w:after="0" w:line="240" w:lineRule="auto"/>
      </w:pPr>
      <w:r>
        <w:separator/>
      </w:r>
    </w:p>
  </w:footnote>
  <w:footnote w:type="continuationSeparator" w:id="0">
    <w:p w:rsidR="00FB4040" w:rsidRDefault="00FB40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4C"/>
    <w:rsid w:val="00247D17"/>
    <w:rsid w:val="002E01F5"/>
    <w:rsid w:val="006D2B50"/>
    <w:rsid w:val="0076280D"/>
    <w:rsid w:val="00965292"/>
    <w:rsid w:val="00A118A1"/>
    <w:rsid w:val="00B64CEE"/>
    <w:rsid w:val="00FB4040"/>
    <w:rsid w:val="00FB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DCC71F-C0E9-4558-89E5-1CCF5618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24C"/>
    <w:rPr>
      <w:rFonts w:ascii="Times New Roman" w:hAnsi="Times New Roman" w:cs="Times New Roman"/>
      <w:sz w:val="28"/>
      <w:szCs w:val="28"/>
    </w:rPr>
  </w:style>
  <w:style w:type="paragraph" w:styleId="Heading1">
    <w:name w:val="heading 1"/>
    <w:basedOn w:val="Normal"/>
    <w:next w:val="Normal"/>
    <w:link w:val="Heading1Char"/>
    <w:uiPriority w:val="9"/>
    <w:qFormat/>
    <w:rsid w:val="00FB724C"/>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FB724C"/>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FB72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B72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24C"/>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B72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B724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B724C"/>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FB724C"/>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FB724C"/>
    <w:rPr>
      <w:i/>
      <w:iCs/>
    </w:rPr>
  </w:style>
  <w:style w:type="character" w:styleId="Strong">
    <w:name w:val="Strong"/>
    <w:basedOn w:val="DefaultParagraphFont"/>
    <w:uiPriority w:val="22"/>
    <w:qFormat/>
    <w:rsid w:val="00FB724C"/>
    <w:rPr>
      <w:b/>
      <w:bCs/>
    </w:rPr>
  </w:style>
  <w:style w:type="paragraph" w:styleId="NormalWeb">
    <w:name w:val="Normal (Web)"/>
    <w:basedOn w:val="Normal"/>
    <w:uiPriority w:val="99"/>
    <w:unhideWhenUsed/>
    <w:rsid w:val="00FB724C"/>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FB724C"/>
    <w:pPr>
      <w:spacing w:after="200" w:line="276" w:lineRule="auto"/>
      <w:ind w:left="720"/>
      <w:contextualSpacing/>
    </w:pPr>
  </w:style>
  <w:style w:type="character" w:styleId="Hyperlink">
    <w:name w:val="Hyperlink"/>
    <w:basedOn w:val="DefaultParagraphFont"/>
    <w:uiPriority w:val="99"/>
    <w:unhideWhenUsed/>
    <w:rsid w:val="00FB724C"/>
    <w:rPr>
      <w:color w:val="0000FF"/>
      <w:u w:val="single"/>
    </w:rPr>
  </w:style>
  <w:style w:type="table" w:styleId="TableGrid">
    <w:name w:val="Table Grid"/>
    <w:basedOn w:val="TableNormal"/>
    <w:uiPriority w:val="39"/>
    <w:rsid w:val="00FB724C"/>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FB724C"/>
  </w:style>
  <w:style w:type="character" w:customStyle="1" w:styleId="vlist-s">
    <w:name w:val="vlist-s"/>
    <w:basedOn w:val="DefaultParagraphFont"/>
    <w:rsid w:val="00FB724C"/>
  </w:style>
  <w:style w:type="character" w:customStyle="1" w:styleId="mrel">
    <w:name w:val="mrel"/>
    <w:basedOn w:val="DefaultParagraphFont"/>
    <w:rsid w:val="00FB724C"/>
  </w:style>
  <w:style w:type="character" w:customStyle="1" w:styleId="mbin">
    <w:name w:val="mbin"/>
    <w:basedOn w:val="DefaultParagraphFont"/>
    <w:rsid w:val="00FB724C"/>
  </w:style>
  <w:style w:type="character" w:customStyle="1" w:styleId="A0">
    <w:name w:val="A0"/>
    <w:uiPriority w:val="99"/>
    <w:rsid w:val="00FB724C"/>
    <w:rPr>
      <w:rFonts w:cs="Trebuchet MS"/>
      <w:color w:val="000000"/>
      <w:sz w:val="20"/>
      <w:szCs w:val="20"/>
    </w:rPr>
  </w:style>
  <w:style w:type="character" w:customStyle="1" w:styleId="A6">
    <w:name w:val="A6"/>
    <w:uiPriority w:val="99"/>
    <w:rsid w:val="00FB724C"/>
    <w:rPr>
      <w:rFonts w:cs="Trebuchet MS"/>
      <w:color w:val="000000"/>
      <w:sz w:val="11"/>
      <w:szCs w:val="11"/>
    </w:rPr>
  </w:style>
  <w:style w:type="character" w:customStyle="1" w:styleId="katex-mathml">
    <w:name w:val="katex-mathml"/>
    <w:basedOn w:val="DefaultParagraphFont"/>
    <w:rsid w:val="00FB724C"/>
  </w:style>
  <w:style w:type="character" w:styleId="PlaceholderText">
    <w:name w:val="Placeholder Text"/>
    <w:basedOn w:val="DefaultParagraphFont"/>
    <w:uiPriority w:val="99"/>
    <w:semiHidden/>
    <w:rsid w:val="00FB724C"/>
    <w:rPr>
      <w:color w:val="666666"/>
    </w:rPr>
  </w:style>
  <w:style w:type="character" w:customStyle="1" w:styleId="katex-error">
    <w:name w:val="katex-error"/>
    <w:basedOn w:val="DefaultParagraphFont"/>
    <w:rsid w:val="00FB724C"/>
  </w:style>
  <w:style w:type="paragraph" w:styleId="Footer">
    <w:name w:val="footer"/>
    <w:basedOn w:val="Normal"/>
    <w:link w:val="FooterChar"/>
    <w:uiPriority w:val="99"/>
    <w:unhideWhenUsed/>
    <w:rsid w:val="00FB7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24C"/>
    <w:rPr>
      <w:rFonts w:ascii="Times New Roman" w:hAnsi="Times New Roman" w:cs="Times New Roman"/>
      <w:sz w:val="28"/>
      <w:szCs w:val="28"/>
    </w:rPr>
  </w:style>
  <w:style w:type="character" w:styleId="PageNumber">
    <w:name w:val="page number"/>
    <w:basedOn w:val="DefaultParagraphFont"/>
    <w:uiPriority w:val="99"/>
    <w:semiHidden/>
    <w:unhideWhenUsed/>
    <w:rsid w:val="00FB724C"/>
  </w:style>
  <w:style w:type="paragraph" w:styleId="BalloonText">
    <w:name w:val="Balloon Text"/>
    <w:basedOn w:val="Normal"/>
    <w:link w:val="BalloonTextChar"/>
    <w:uiPriority w:val="99"/>
    <w:semiHidden/>
    <w:unhideWhenUsed/>
    <w:rsid w:val="00FB7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2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hyperlink" Target="https://doi.org/10.1016/j.biocel.2006.07.001" TargetMode="External"/><Relationship Id="rId3" Type="http://schemas.openxmlformats.org/officeDocument/2006/relationships/settings" Target="settings.xml"/><Relationship Id="rId21" Type="http://schemas.openxmlformats.org/officeDocument/2006/relationships/hyperlink" Target="https://doi.org/10.1016/S0076-6879(78)52032-6"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sprintmedical.in" TargetMode="External"/><Relationship Id="rId25" Type="http://schemas.openxmlformats.org/officeDocument/2006/relationships/hyperlink" Target="https://doi.org/10.9734/BJMMR/2015/1512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png"/><Relationship Id="rId29" Type="http://schemas.openxmlformats.org/officeDocument/2006/relationships/hyperlink" Target="https://doi.org/10.1177/10915818093483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ep.2013.06.00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96/fasebj.10.7.8635682" TargetMode="External"/><Relationship Id="rId28" Type="http://schemas.openxmlformats.org/officeDocument/2006/relationships/hyperlink" Target="https://doi.org/10.1016/0003-2697(72)90132-7" TargetMode="Externa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doi.org/10.1016/0003-2697(79)90738-3" TargetMode="External"/><Relationship Id="rId27" Type="http://schemas.openxmlformats.org/officeDocument/2006/relationships/hyperlink" Target="https://doi.org/10.1155/2013/292476"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88</Pages>
  <Words>19077</Words>
  <Characters>108744</Characters>
  <Application>Microsoft Office Word</Application>
  <DocSecurity>0</DocSecurity>
  <Lines>906</Lines>
  <Paragraphs>255</Paragraphs>
  <ScaleCrop>false</ScaleCrop>
  <Company/>
  <LinksUpToDate>false</LinksUpToDate>
  <CharactersWithSpaces>127566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2025-07-30T10:38:00Z</dcterms:created>
  <dcterms:modified xsi:type="dcterms:W3CDTF">2025-08-14T12:50:00Z</dcterms:modified>
</cp:coreProperties>
</file>