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cs="Times New Roman" w:hAnsi="Times New Roman"/>
          <w:szCs w:val="24"/>
        </w:rPr>
      </w:pPr>
      <w:r>
        <w:rPr>
          <w:rFonts w:ascii="Times New Roman" w:cs="Times New Roman" w:hAnsi="Times New Roman"/>
          <w:noProof/>
          <w:szCs w:val="24"/>
        </w:rPr>
        <w:drawing>
          <wp:inline distL="0" distT="0" distB="0" distR="0">
            <wp:extent cx="1371600" cy="1298575"/>
            <wp:effectExtent l="0" t="0" r="0" b="0"/>
            <wp:docPr id="1026" name="Picture 1" descr="C:\Users\The Jupiter\Downloads\kwara poly logo.jpe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9332" t="-10011" r="-7814" b="-8333"/>
                    <a:stretch/>
                  </pic:blipFill>
                  <pic:spPr>
                    <a:xfrm rot="0">
                      <a:off x="0" y="0"/>
                      <a:ext cx="1371600" cy="1298575"/>
                    </a:xfrm>
                    <a:prstGeom prst="rect"/>
                    <a:ln>
                      <a:noFill/>
                    </a:ln>
                  </pic:spPr>
                </pic:pic>
              </a:graphicData>
            </a:graphic>
          </wp:inline>
        </w:drawing>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PROJECT RESEARCH WORK</w:t>
      </w:r>
    </w:p>
    <w:p>
      <w:pPr>
        <w:pStyle w:val="style0"/>
        <w:tabs>
          <w:tab w:val="center" w:leader="none" w:pos="4153"/>
          <w:tab w:val="right" w:leader="none" w:pos="8307"/>
        </w:tabs>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ON</w:t>
      </w:r>
    </w:p>
    <w:p>
      <w:pPr>
        <w:pStyle w:val="style0"/>
        <w:spacing w:before="240"/>
        <w:ind w:right="4"/>
        <w:jc w:val="center"/>
        <w:rPr>
          <w:rFonts w:ascii="Times New Roman" w:cs="Times New Roman" w:hAnsi="Times New Roman"/>
          <w:b/>
          <w:i/>
          <w:sz w:val="28"/>
          <w:szCs w:val="28"/>
        </w:rPr>
      </w:pPr>
      <w:r>
        <w:rPr>
          <w:rFonts w:ascii="Times New Roman" w:cs="Times New Roman" w:hAnsi="Times New Roman"/>
          <w:b/>
          <w:sz w:val="28"/>
          <w:szCs w:val="28"/>
        </w:rPr>
        <w:t>ANTIBACTERIAL EFFICACY OF</w:t>
      </w:r>
      <w:r>
        <w:rPr>
          <w:rFonts w:ascii="Times New Roman" w:cs="Times New Roman" w:hAnsi="Times New Roman"/>
          <w:b/>
          <w:sz w:val="28"/>
          <w:szCs w:val="28"/>
        </w:rPr>
        <w:t xml:space="preserve"> BLUE GUM</w:t>
      </w:r>
      <w:r>
        <w:rPr>
          <w:rFonts w:ascii="Times New Roman" w:cs="Times New Roman" w:hAnsi="Times New Roman"/>
          <w:b/>
          <w:sz w:val="28"/>
          <w:szCs w:val="28"/>
        </w:rPr>
        <w:t xml:space="preserve"> </w:t>
      </w:r>
      <w:r>
        <w:rPr>
          <w:rFonts w:ascii="Times New Roman" w:cs="Times New Roman" w:hAnsi="Times New Roman"/>
          <w:b/>
          <w:sz w:val="28"/>
          <w:szCs w:val="28"/>
        </w:rPr>
        <w:t>(</w:t>
      </w:r>
      <w:r>
        <w:rPr>
          <w:rFonts w:ascii="Times New Roman" w:cs="Times New Roman" w:hAnsi="Times New Roman"/>
          <w:b/>
          <w:sz w:val="28"/>
          <w:szCs w:val="28"/>
        </w:rPr>
        <w:t>EUCALYPTUS GLOBULUS</w:t>
      </w:r>
      <w:r>
        <w:rPr>
          <w:rFonts w:ascii="Times New Roman" w:cs="Times New Roman" w:hAnsi="Times New Roman"/>
          <w:b/>
          <w:sz w:val="28"/>
          <w:szCs w:val="28"/>
        </w:rPr>
        <w:t>)</w:t>
      </w:r>
      <w:r>
        <w:rPr>
          <w:rFonts w:ascii="Times New Roman" w:cs="Times New Roman" w:hAnsi="Times New Roman"/>
          <w:b/>
          <w:sz w:val="28"/>
          <w:szCs w:val="28"/>
        </w:rPr>
        <w:t xml:space="preserve"> ON METHICILLIN RESISTANT </w:t>
      </w:r>
      <w:r>
        <w:rPr>
          <w:rFonts w:ascii="Times New Roman" w:cs="Times New Roman" w:hAnsi="Times New Roman"/>
          <w:b/>
          <w:i/>
          <w:sz w:val="28"/>
          <w:szCs w:val="28"/>
        </w:rPr>
        <w:t>S</w:t>
      </w:r>
      <w:r>
        <w:rPr>
          <w:rFonts w:ascii="Times New Roman" w:cs="Times New Roman" w:hAnsi="Times New Roman"/>
          <w:b/>
          <w:i/>
          <w:sz w:val="28"/>
          <w:szCs w:val="28"/>
        </w:rPr>
        <w:t>taphylococcus</w:t>
      </w:r>
      <w:r>
        <w:rPr>
          <w:rFonts w:ascii="Times New Roman" w:cs="Times New Roman" w:hAnsi="Times New Roman"/>
          <w:b/>
          <w:i/>
          <w:sz w:val="28"/>
          <w:szCs w:val="28"/>
        </w:rPr>
        <w:t xml:space="preserve"> </w:t>
      </w:r>
      <w:r>
        <w:rPr>
          <w:rFonts w:ascii="Times New Roman" w:cs="Times New Roman" w:hAnsi="Times New Roman"/>
          <w:b/>
          <w:i/>
          <w:sz w:val="28"/>
          <w:szCs w:val="28"/>
        </w:rPr>
        <w:t>aureus</w:t>
      </w:r>
      <w:r>
        <w:rPr>
          <w:rFonts w:ascii="Times New Roman" w:cs="Times New Roman" w:hAnsi="Times New Roman"/>
          <w:b/>
          <w:sz w:val="28"/>
          <w:szCs w:val="28"/>
        </w:rPr>
        <w:t xml:space="preserve"> </w:t>
      </w:r>
      <w:r>
        <w:rPr>
          <w:rFonts w:ascii="Times New Roman" w:cs="Times New Roman" w:hAnsi="Times New Roman"/>
          <w:b/>
          <w:sz w:val="28"/>
          <w:szCs w:val="28"/>
        </w:rPr>
        <w:t>AND E</w:t>
      </w:r>
      <w:r>
        <w:rPr>
          <w:rFonts w:ascii="Times New Roman" w:cs="Times New Roman" w:hAnsi="Times New Roman"/>
          <w:b/>
          <w:i/>
          <w:sz w:val="28"/>
          <w:szCs w:val="28"/>
        </w:rPr>
        <w:t xml:space="preserve">scherichia coli </w:t>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BY</w:t>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 xml:space="preserve">ELETU ZAINAB OLUWASEUN </w:t>
      </w:r>
    </w:p>
    <w:p>
      <w:pPr>
        <w:pStyle w:val="style0"/>
        <w:spacing w:before="240" w:after="0" w:lineRule="auto" w:line="360"/>
        <w:ind w:right="4"/>
        <w:jc w:val="center"/>
        <w:rPr>
          <w:rFonts w:ascii="Times New Roman" w:cs="Times New Roman" w:hAnsi="Times New Roman"/>
          <w:b/>
          <w:bCs/>
          <w:sz w:val="28"/>
          <w:szCs w:val="28"/>
        </w:rPr>
      </w:pPr>
      <w:r>
        <w:rPr>
          <w:rFonts w:ascii="Times New Roman" w:cs="Times New Roman" w:hAnsi="Times New Roman"/>
          <w:b/>
          <w:bCs/>
          <w:sz w:val="28"/>
          <w:szCs w:val="28"/>
        </w:rPr>
        <w:t>HND/23/SLT/FT/O342</w:t>
      </w:r>
    </w:p>
    <w:p>
      <w:pPr>
        <w:pStyle w:val="style0"/>
        <w:spacing w:before="240" w:after="0" w:lineRule="auto" w:line="360"/>
        <w:ind w:right="4"/>
        <w:jc w:val="center"/>
        <w:rPr>
          <w:rFonts w:ascii="Times New Roman" w:cs="Times New Roman" w:hAnsi="Times New Roman"/>
          <w:b/>
          <w:bCs/>
          <w:sz w:val="28"/>
          <w:szCs w:val="28"/>
        </w:rPr>
      </w:pPr>
      <w:r>
        <w:rPr>
          <w:rFonts w:ascii="Times New Roman" w:cs="Times New Roman" w:hAnsi="Times New Roman"/>
          <w:b/>
          <w:bCs/>
          <w:sz w:val="28"/>
          <w:szCs w:val="28"/>
        </w:rPr>
        <w:t>SUPERVISED BY</w:t>
      </w:r>
      <w:r>
        <w:rPr>
          <w:rFonts w:ascii="Times New Roman" w:cs="Times New Roman" w:hAnsi="Times New Roman"/>
          <w:b/>
          <w:bCs/>
          <w:sz w:val="28"/>
          <w:szCs w:val="28"/>
        </w:rPr>
        <w:t xml:space="preserve">: </w:t>
      </w:r>
      <w:r>
        <w:rPr>
          <w:rFonts w:ascii="Times New Roman" w:cs="Times New Roman" w:hAnsi="Times New Roman"/>
          <w:b/>
          <w:bCs/>
          <w:sz w:val="28"/>
          <w:szCs w:val="28"/>
        </w:rPr>
        <w:t>DAGBA IB</w:t>
      </w:r>
      <w:r>
        <w:rPr>
          <w:rFonts w:ascii="Times New Roman" w:cs="Times New Roman" w:hAnsi="Times New Roman"/>
          <w:b/>
          <w:bCs/>
          <w:sz w:val="28"/>
          <w:szCs w:val="28"/>
        </w:rPr>
        <w:t xml:space="preserve"> (MRS.)</w:t>
      </w:r>
    </w:p>
    <w:p>
      <w:pPr>
        <w:pStyle w:val="style0"/>
        <w:spacing w:before="240" w:after="0" w:lineRule="auto" w:line="360"/>
        <w:ind w:right="4"/>
        <w:jc w:val="center"/>
        <w:rPr>
          <w:rFonts w:ascii="Times New Roman" w:cs="Times New Roman" w:hAnsi="Times New Roman"/>
          <w:b/>
          <w:bCs/>
          <w:sz w:val="28"/>
          <w:szCs w:val="28"/>
        </w:rPr>
      </w:pPr>
      <w:r>
        <w:rPr>
          <w:rFonts w:ascii="Times New Roman" w:cs="Times New Roman" w:hAnsi="Times New Roman"/>
          <w:b/>
          <w:bCs/>
          <w:sz w:val="28"/>
          <w:szCs w:val="28"/>
        </w:rPr>
        <w:t xml:space="preserve">SUBMITTED </w:t>
      </w:r>
      <w:r>
        <w:rPr>
          <w:rFonts w:ascii="Times New Roman" w:cs="Times New Roman" w:hAnsi="Times New Roman"/>
          <w:b/>
          <w:bCs/>
          <w:sz w:val="28"/>
          <w:szCs w:val="28"/>
        </w:rPr>
        <w:t>TO</w:t>
      </w:r>
      <w:r>
        <w:rPr>
          <w:rFonts w:ascii="Times New Roman" w:cs="Times New Roman" w:hAnsi="Times New Roman"/>
          <w:b/>
          <w:bCs/>
          <w:sz w:val="28"/>
          <w:szCs w:val="28"/>
        </w:rPr>
        <w:t>:</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THE DEPARTMENT OF SCIENCE LABORATORY TECHNOLOGY, INSTITUTE OF APPLIED SCIENCES (IAS),</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KWARA STATE POLYTECHNIC, ILORIN</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IN PARTIAL FULFILMENT OF THE REQUIREMENT FOR THE HIGHER NATIONAL DIPLOMA (HND) SCIENCE LABORATORY TECHNOLOGY (MICROBIOLOGY OPTION)</w:t>
      </w:r>
    </w:p>
    <w:p>
      <w:pPr>
        <w:pStyle w:val="style0"/>
        <w:spacing w:before="240" w:lineRule="auto" w:line="360"/>
        <w:jc w:val="right"/>
        <w:rPr>
          <w:rFonts w:ascii="Times New Roman" w:cs="Times New Roman" w:hAnsi="Times New Roman"/>
          <w:b/>
          <w:sz w:val="28"/>
          <w:szCs w:val="28"/>
        </w:rPr>
      </w:pPr>
      <w:r>
        <w:rPr>
          <w:rFonts w:ascii="Times New Roman" w:cs="Times New Roman" w:hAnsi="Times New Roman"/>
          <w:b/>
          <w:sz w:val="28"/>
          <w:szCs w:val="28"/>
        </w:rPr>
        <w:t>JULY,</w:t>
      </w:r>
      <w:r>
        <w:rPr>
          <w:rFonts w:ascii="Times New Roman" w:cs="Times New Roman" w:hAnsi="Times New Roman"/>
          <w:b/>
          <w:sz w:val="28"/>
          <w:szCs w:val="28"/>
        </w:rPr>
        <w:t xml:space="preserve"> 2025</w:t>
      </w:r>
    </w:p>
    <w:p>
      <w:pPr>
        <w:pStyle w:val="style0"/>
        <w:spacing w:before="240"/>
        <w:ind w:right="27"/>
        <w:rPr>
          <w:rFonts w:ascii="Times New Roman" w:cs="Times New Roman" w:hAnsi="Times New Roman"/>
          <w:b/>
          <w:bCs/>
          <w:sz w:val="28"/>
          <w:szCs w:val="28"/>
        </w:rPr>
      </w:pPr>
    </w:p>
    <w:bookmarkStart w:id="0" w:name="_Toc203100985"/>
    <w:p>
      <w:pPr>
        <w:pStyle w:val="style1"/>
        <w:spacing w:lineRule="auto" w:line="480"/>
        <w:jc w:val="center"/>
        <w:rPr>
          <w:rFonts w:cs="Times New Roman" w:eastAsia="Times New Roman"/>
          <w:color w:val="auto"/>
          <w:szCs w:val="24"/>
        </w:rPr>
      </w:pPr>
      <w:r>
        <w:rPr/>
        <w:drawing>
          <wp:inline distL="0" distT="0" distB="0" distR="0">
            <wp:extent cx="5877176" cy="7977882"/>
            <wp:effectExtent l="0" t="0" r="0" b="0"/>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3" cstate="print"/>
                    <a:srcRect l="0" t="522" r="6441" b="3129"/>
                    <a:stretch/>
                  </pic:blipFill>
                  <pic:spPr>
                    <a:xfrm rot="0" flipH="1">
                      <a:off x="0" y="0"/>
                      <a:ext cx="5877176" cy="7977882"/>
                    </a:xfrm>
                    <a:prstGeom prst="rect"/>
                  </pic:spPr>
                </pic:pic>
              </a:graphicData>
            </a:graphic>
          </wp:inline>
        </w:drawing>
      </w:r>
    </w:p>
    <w:p>
      <w:pPr>
        <w:pStyle w:val="style0"/>
        <w:rPr/>
      </w:pPr>
    </w:p>
    <w:p>
      <w:pPr>
        <w:pStyle w:val="style0"/>
        <w:rPr/>
      </w:pPr>
    </w:p>
    <w:bookmarkStart w:id="1" w:name="_Toc203146281"/>
    <w:p>
      <w:pPr>
        <w:pStyle w:val="style1"/>
        <w:spacing w:lineRule="auto" w:line="480"/>
        <w:jc w:val="center"/>
        <w:rPr>
          <w:b w:val="false"/>
        </w:rPr>
      </w:pPr>
      <w:r>
        <w:rPr>
          <w:rFonts w:cs="Times New Roman" w:eastAsia="Times New Roman"/>
          <w:color w:val="auto"/>
          <w:szCs w:val="24"/>
        </w:rPr>
        <w:t>DEDICATION</w:t>
      </w:r>
      <w:bookmarkEnd w:id="0"/>
      <w:bookmarkEnd w:id="1"/>
    </w:p>
    <w:p>
      <w:pPr>
        <w:pStyle w:val="style0"/>
        <w:spacing w:lineRule="auto" w:line="480"/>
        <w:rPr>
          <w:rFonts w:ascii="Times New Roman" w:cs="Times New Roman" w:eastAsia="Times New Roman" w:hAnsi="Times New Roman"/>
          <w:szCs w:val="24"/>
        </w:rPr>
      </w:pPr>
      <w:r>
        <w:rPr>
          <w:rFonts w:ascii="Times New Roman" w:cs="Times New Roman" w:eastAsia="Times New Roman" w:hAnsi="Times New Roman"/>
          <w:szCs w:val="24"/>
        </w:rPr>
        <w:t xml:space="preserve">I dedicated this project to almighty God for He is the one that makes this </w:t>
      </w:r>
      <w:r>
        <w:rPr>
          <w:rFonts w:ascii="Times New Roman" w:cs="Times New Roman" w:eastAsia="Times New Roman" w:hAnsi="Times New Roman"/>
          <w:szCs w:val="24"/>
        </w:rPr>
        <w:t>Programme</w:t>
      </w:r>
      <w:r>
        <w:rPr>
          <w:rFonts w:ascii="Times New Roman" w:cs="Times New Roman" w:eastAsia="Times New Roman" w:hAnsi="Times New Roman"/>
          <w:szCs w:val="24"/>
        </w:rPr>
        <w:t xml:space="preserve"> completion a reality </w:t>
      </w:r>
      <w:r>
        <w:rPr>
          <w:rFonts w:ascii="Times New Roman" w:cs="Times New Roman" w:eastAsia="Times New Roman" w:hAnsi="Times New Roman"/>
          <w:szCs w:val="24"/>
        </w:rPr>
        <w:t>and also</w:t>
      </w:r>
      <w:r>
        <w:rPr>
          <w:rFonts w:ascii="Times New Roman" w:cs="Times New Roman" w:eastAsia="Times New Roman" w:hAnsi="Times New Roman"/>
          <w:szCs w:val="24"/>
        </w:rPr>
        <w:t xml:space="preserve"> to my family as a whole.</w:t>
      </w:r>
    </w:p>
    <w:p>
      <w:pPr>
        <w:pStyle w:val="style0"/>
        <w:spacing w:lineRule="auto" w:line="360"/>
        <w:ind w:right="27" w:firstLine="720"/>
        <w:rPr>
          <w:rFonts w:ascii="Times New Roman" w:cs="Times New Roman" w:hAnsi="Times New Roman"/>
          <w:sz w:val="28"/>
          <w:szCs w:val="28"/>
        </w:rPr>
      </w:pPr>
    </w:p>
    <w:p>
      <w:pPr>
        <w:pStyle w:val="style0"/>
        <w:spacing w:lineRule="auto" w:line="360"/>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bookmarkStart w:id="2" w:name="_Toc203100986"/>
    <w:p>
      <w:pPr>
        <w:pStyle w:val="style1"/>
        <w:spacing w:lineRule="auto" w:line="480"/>
        <w:jc w:val="center"/>
        <w:rPr>
          <w:rFonts w:cs="Times New Roman" w:eastAsia="Times New Roman"/>
          <w:b w:val="false"/>
          <w:color w:val="auto"/>
          <w:szCs w:val="24"/>
        </w:rPr>
      </w:pPr>
    </w:p>
    <w:p>
      <w:pPr>
        <w:pStyle w:val="style0"/>
        <w:rPr/>
      </w:pPr>
    </w:p>
    <w:p>
      <w:pPr>
        <w:pStyle w:val="style0"/>
        <w:rPr/>
      </w:pPr>
    </w:p>
    <w:bookmarkStart w:id="3" w:name="_Toc203146282"/>
    <w:p>
      <w:pPr>
        <w:pStyle w:val="style1"/>
        <w:spacing w:lineRule="auto" w:line="480"/>
        <w:jc w:val="center"/>
        <w:rPr>
          <w:rFonts w:cs="Times New Roman" w:eastAsia="Times New Roman"/>
          <w:color w:val="auto"/>
          <w:szCs w:val="24"/>
        </w:rPr>
      </w:pPr>
    </w:p>
    <w:p>
      <w:pPr>
        <w:pStyle w:val="style1"/>
        <w:spacing w:lineRule="auto" w:line="480"/>
        <w:jc w:val="center"/>
        <w:rPr>
          <w:rFonts w:cs="Times New Roman" w:eastAsia="Times New Roman"/>
          <w:b w:val="false"/>
          <w:color w:val="auto"/>
          <w:szCs w:val="24"/>
        </w:rPr>
      </w:pPr>
      <w:r>
        <w:rPr>
          <w:rFonts w:cs="Times New Roman" w:eastAsia="Times New Roman"/>
          <w:color w:val="auto"/>
          <w:szCs w:val="24"/>
        </w:rPr>
        <w:t>ACKNOWLEDGEMENT</w:t>
      </w:r>
      <w:bookmarkEnd w:id="2"/>
      <w:bookmarkEnd w:id="3"/>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First and foremost</w:t>
      </w:r>
      <w:r>
        <w:rPr>
          <w:rFonts w:ascii="Times New Roman" w:cs="Times New Roman" w:eastAsia="Times New Roman" w:hAnsi="Times New Roman"/>
          <w:sz w:val="24"/>
          <w:szCs w:val="24"/>
        </w:rPr>
        <w:t>, I express my sincere gratitude to the Almighty God for granting me the strength, wisdom, and perseverance to successfully complete this report.</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 am deeply grateful to my supervisor, </w:t>
      </w:r>
      <w:r>
        <w:rPr>
          <w:rFonts w:ascii="Times New Roman" w:cs="Times New Roman" w:eastAsia="Times New Roman" w:hAnsi="Times New Roman"/>
          <w:sz w:val="24"/>
          <w:szCs w:val="24"/>
        </w:rPr>
        <w:t>Dagba</w:t>
      </w:r>
      <w:r>
        <w:rPr>
          <w:rFonts w:ascii="Times New Roman" w:cs="Times New Roman" w:eastAsia="Times New Roman" w:hAnsi="Times New Roman"/>
          <w:sz w:val="24"/>
          <w:szCs w:val="24"/>
        </w:rPr>
        <w:t xml:space="preserve"> I</w:t>
      </w:r>
      <w:r>
        <w:rPr>
          <w:rFonts w:ascii="Times New Roman" w:cs="Times New Roman" w:eastAsia="Times New Roman" w:hAnsi="Times New Roman"/>
          <w:sz w:val="24"/>
          <w:szCs w:val="24"/>
        </w:rPr>
        <w:t xml:space="preserve">B </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Mrs</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for</w:t>
      </w:r>
      <w:r>
        <w:rPr>
          <w:rFonts w:ascii="Times New Roman" w:cs="Times New Roman" w:eastAsia="Times New Roman" w:hAnsi="Times New Roman"/>
          <w:sz w:val="24"/>
          <w:szCs w:val="24"/>
        </w:rPr>
        <w:t xml:space="preserve"> her invaluable guidance, constructive feedback, and consistent support throughout the course of this project. Her mentorship has greatly enriched my academic journey.</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 also extend my heartfelt appreciation to my beloved parents, Mr. and Mrs. </w:t>
      </w:r>
      <w:r>
        <w:rPr>
          <w:rFonts w:ascii="Times New Roman" w:cs="Times New Roman" w:eastAsia="Times New Roman" w:hAnsi="Times New Roman"/>
          <w:sz w:val="24"/>
          <w:szCs w:val="24"/>
        </w:rPr>
        <w:t>Eletu</w:t>
      </w:r>
      <w:r>
        <w:rPr>
          <w:rFonts w:ascii="Times New Roman" w:cs="Times New Roman" w:eastAsia="Times New Roman" w:hAnsi="Times New Roman"/>
          <w:sz w:val="24"/>
          <w:szCs w:val="24"/>
        </w:rPr>
        <w:t>, for their unwavering love, encouragement, and moral support. Their sacrifices and prayers have been the foundation of my success.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Special thanks to my partner, Raheem Fatai for standing by me financially, emotionally and mentally throughout this phase of my life. Your support means everything to me and i can’t thank you enough.</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 all my lecturers, colleagues, and friends who contributed directly or indirectly to the completion of this work, I say thank you.</w:t>
      </w: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center"/>
        <w:rPr>
          <w:rFonts w:ascii="Times New Roman" w:cs="Times New Roman" w:hAnsi="Times New Roman"/>
          <w:b/>
          <w:sz w:val="24"/>
          <w:szCs w:val="24"/>
        </w:rPr>
      </w:pPr>
    </w:p>
    <w:p>
      <w:pPr>
        <w:pStyle w:val="style94"/>
        <w:jc w:val="center"/>
        <w:rPr>
          <w:b/>
        </w:rPr>
      </w:pPr>
    </w:p>
    <w:p>
      <w:pPr>
        <w:pStyle w:val="style94"/>
        <w:jc w:val="center"/>
        <w:rPr>
          <w:b/>
        </w:rPr>
      </w:pPr>
    </w:p>
    <w:p>
      <w:pPr>
        <w:pStyle w:val="style94"/>
        <w:jc w:val="center"/>
        <w:rPr>
          <w:b/>
        </w:rPr>
      </w:pPr>
    </w:p>
    <w:p>
      <w:pPr>
        <w:pStyle w:val="style94"/>
        <w:jc w:val="center"/>
        <w:rPr>
          <w:b/>
        </w:rPr>
      </w:pPr>
    </w:p>
    <w:p>
      <w:pPr>
        <w:pStyle w:val="style266"/>
        <w:spacing w:lineRule="auto" w:line="480"/>
        <w:jc w:val="center"/>
        <w:rPr>
          <w:rFonts w:ascii="Times New Roman" w:cs="Times New Roman" w:eastAsia="Times New Roman" w:hAnsi="Times New Roman"/>
          <w:b/>
          <w:color w:val="auto"/>
          <w:sz w:val="24"/>
          <w:szCs w:val="24"/>
        </w:rPr>
      </w:pPr>
      <w:r>
        <w:rPr>
          <w:rFonts w:ascii="Times New Roman" w:cs="Times New Roman" w:eastAsia="Times New Roman" w:hAnsi="Times New Roman"/>
          <w:b/>
          <w:color w:val="auto"/>
          <w:sz w:val="24"/>
          <w:szCs w:val="24"/>
        </w:rPr>
        <w:t>TABLE OF CONTENTS</w:t>
      </w:r>
    </w:p>
    <w:p>
      <w:pPr>
        <w:pStyle w:val="style19"/>
        <w:tabs>
          <w:tab w:val="right" w:leader="none" w:pos="9350"/>
        </w:tabs>
        <w:rPr>
          <w:rFonts w:ascii="Times New Roman" w:cs="Times New Roman" w:eastAsia="宋体" w:hAnsi="Times New Roman"/>
          <w:noProof/>
          <w:sz w:val="24"/>
          <w:szCs w:val="24"/>
        </w:rPr>
      </w:pPr>
      <w:r>
        <w:rPr>
          <w:rFonts w:ascii="Times New Roman" w:cs="Times New Roman" w:hAnsi="Times New Roman"/>
          <w:sz w:val="24"/>
          <w:szCs w:val="24"/>
        </w:rPr>
        <w:t>TITLE PAGE</w:t>
      </w:r>
      <w:r>
        <w:rPr>
          <w:rFonts w:ascii="Times New Roman" w:cs="Times New Roman" w:hAnsi="Times New Roman"/>
          <w:sz w:val="24"/>
          <w:szCs w:val="24"/>
        </w:rPr>
        <w:tab/>
      </w:r>
      <w:r>
        <w:rPr>
          <w:rFonts w:ascii="Times New Roman" w:cs="Times New Roman" w:hAnsi="Times New Roman"/>
          <w:sz w:val="24"/>
          <w:szCs w:val="24"/>
        </w:rPr>
        <w:t>i</w:t>
      </w:r>
      <w:bookmarkStart w:id="4" w:name="_GoBack"/>
      <w:bookmarkEnd w:id="4"/>
      <w:r>
        <w:rPr>
          <w:rFonts w:ascii="Times New Roman" w:cs="Times New Roman" w:hAnsi="Times New Roman"/>
          <w:sz w:val="24"/>
          <w:szCs w:val="24"/>
        </w:rPr>
        <w:br/>
      </w:r>
      <w:r>
        <w:rPr>
          <w:rFonts w:ascii="Times New Roman" w:cs="Times New Roman" w:hAnsi="Times New Roman"/>
          <w:sz w:val="24"/>
          <w:szCs w:val="24"/>
        </w:rPr>
        <w:fldChar w:fldCharType="begin"/>
      </w:r>
      <w:r>
        <w:rPr>
          <w:rFonts w:ascii="Times New Roman" w:cs="Times New Roman" w:hAnsi="Times New Roman"/>
          <w:sz w:val="24"/>
          <w:szCs w:val="24"/>
        </w:rPr>
        <w:instrText xml:space="preserve"> TOC \o "1-3" \h \z \u </w:instrText>
      </w:r>
      <w:r>
        <w:rPr>
          <w:rFonts w:ascii="Times New Roman" w:cs="Times New Roman" w:hAnsi="Times New Roman"/>
          <w:sz w:val="24"/>
          <w:szCs w:val="24"/>
        </w:rPr>
        <w:fldChar w:fldCharType="separate"/>
      </w:r>
      <w:r>
        <w:rPr/>
        <w:fldChar w:fldCharType="begin"/>
      </w:r>
      <w:r>
        <w:instrText xml:space="preserve"> HYPERLINK \l "_Toc203146280" </w:instrText>
      </w:r>
      <w:r>
        <w:rPr/>
        <w:fldChar w:fldCharType="separate"/>
      </w:r>
      <w:r>
        <w:rPr>
          <w:rStyle w:val="style85"/>
          <w:rFonts w:ascii="Times New Roman" w:cs="Times New Roman" w:eastAsia="Times New Roman" w:hAnsi="Times New Roman"/>
          <w:noProof/>
          <w:sz w:val="24"/>
          <w:szCs w:val="24"/>
        </w:rPr>
        <w:t>CERTIFICATION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_Toc203146280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ii</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"_Toc203146281" </w:instrText>
      </w:r>
      <w:r>
        <w:rPr/>
        <w:fldChar w:fldCharType="separate"/>
      </w:r>
      <w:r>
        <w:rPr>
          <w:rStyle w:val="style85"/>
          <w:rFonts w:ascii="Times New Roman" w:cs="Times New Roman" w:eastAsia="Times New Roman" w:hAnsi="Times New Roman"/>
          <w:noProof/>
          <w:sz w:val="24"/>
          <w:szCs w:val="24"/>
        </w:rPr>
        <w:t>DEDICATION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_Toc203146281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iii</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"_Toc203146282" </w:instrText>
      </w:r>
      <w:r>
        <w:rPr/>
        <w:fldChar w:fldCharType="separate"/>
      </w:r>
      <w:r>
        <w:rPr>
          <w:rStyle w:val="style85"/>
          <w:rFonts w:ascii="Times New Roman" w:cs="Times New Roman" w:eastAsia="Times New Roman" w:hAnsi="Times New Roman"/>
          <w:noProof/>
          <w:sz w:val="24"/>
          <w:szCs w:val="24"/>
        </w:rPr>
        <w:t>ACKNOWLEDGEMENT</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_Toc203146282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iv</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"_Toc203146283" </w:instrText>
      </w:r>
      <w:r>
        <w:rPr/>
        <w:fldChar w:fldCharType="separate"/>
      </w:r>
      <w:r>
        <w:rPr>
          <w:rStyle w:val="style85"/>
          <w:rFonts w:ascii="Times New Roman" w:cs="Times New Roman" w:hAnsi="Times New Roman"/>
          <w:noProof/>
          <w:sz w:val="24"/>
          <w:szCs w:val="24"/>
        </w:rPr>
        <w:t>ABSTRACT</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_Toc203146283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vii</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"_Toc203146284" </w:instrText>
      </w:r>
      <w:r>
        <w:rPr/>
        <w:fldChar w:fldCharType="separate"/>
      </w:r>
      <w:r>
        <w:rPr>
          <w:rStyle w:val="style85"/>
          <w:rFonts w:ascii="Times New Roman" w:cs="Times New Roman" w:hAnsi="Times New Roman"/>
          <w:noProof/>
          <w:sz w:val="24"/>
          <w:szCs w:val="24"/>
        </w:rPr>
        <w:t>CHAPTER ONE</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_Toc203146284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8</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"_Toc203146285" </w:instrText>
      </w:r>
      <w:r>
        <w:rPr/>
        <w:fldChar w:fldCharType="separate"/>
      </w:r>
      <w:r>
        <w:rPr>
          <w:rStyle w:val="style85"/>
          <w:rFonts w:ascii="Times New Roman" w:cs="Times New Roman" w:hAnsi="Times New Roman"/>
          <w:noProof/>
          <w:sz w:val="24"/>
          <w:szCs w:val="24"/>
        </w:rPr>
        <w:t>INTRODUCTION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_Toc203146285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8</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"_Toc203146286" </w:instrText>
      </w:r>
      <w:r>
        <w:rPr/>
        <w:fldChar w:fldCharType="separate"/>
      </w:r>
      <w:r>
        <w:rPr>
          <w:rStyle w:val="style85"/>
          <w:rFonts w:ascii="Times New Roman" w:cs="Times New Roman" w:hAnsi="Times New Roman"/>
          <w:noProof/>
          <w:sz w:val="24"/>
          <w:szCs w:val="24"/>
        </w:rPr>
        <w:t>1.1</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Background to the Study</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_Toc203146286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8</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"_Toc203146287" </w:instrText>
      </w:r>
      <w:r>
        <w:rPr/>
        <w:fldChar w:fldCharType="separate"/>
      </w:r>
      <w:r>
        <w:rPr>
          <w:rStyle w:val="style85"/>
          <w:rFonts w:ascii="Times New Roman" w:cs="Times New Roman" w:eastAsia="Times New Roman" w:hAnsi="Times New Roman"/>
          <w:noProof/>
          <w:sz w:val="24"/>
          <w:szCs w:val="24"/>
        </w:rPr>
        <w:t>1.1</w:t>
      </w:r>
      <w:r>
        <w:rPr>
          <w:rFonts w:ascii="Times New Roman" w:cs="Times New Roman" w:eastAsia="宋体" w:hAnsi="Times New Roman"/>
          <w:noProof/>
          <w:sz w:val="24"/>
          <w:szCs w:val="24"/>
        </w:rPr>
        <w:tab/>
      </w:r>
      <w:r>
        <w:rPr>
          <w:rStyle w:val="style85"/>
          <w:rFonts w:ascii="Times New Roman" w:cs="Times New Roman" w:eastAsia="Times New Roman" w:hAnsi="Times New Roman"/>
          <w:noProof/>
          <w:sz w:val="24"/>
          <w:szCs w:val="24"/>
        </w:rPr>
        <w:t>Statement of Problem</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_Toc203146287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10</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"_Toc203146288" </w:instrText>
      </w:r>
      <w:r>
        <w:rPr/>
        <w:fldChar w:fldCharType="separate"/>
      </w:r>
      <w:r>
        <w:rPr>
          <w:rStyle w:val="style85"/>
          <w:rFonts w:ascii="Times New Roman" w:cs="Times New Roman" w:eastAsia="Times New Roman" w:hAnsi="Times New Roman"/>
          <w:noProof/>
          <w:sz w:val="24"/>
          <w:szCs w:val="24"/>
        </w:rPr>
        <w:t>1.1</w:t>
      </w:r>
      <w:r>
        <w:rPr>
          <w:rFonts w:ascii="Times New Roman" w:cs="Times New Roman" w:eastAsia="宋体" w:hAnsi="Times New Roman"/>
          <w:noProof/>
          <w:sz w:val="24"/>
          <w:szCs w:val="24"/>
        </w:rPr>
        <w:tab/>
      </w:r>
      <w:r>
        <w:rPr>
          <w:rStyle w:val="style85"/>
          <w:rFonts w:ascii="Times New Roman" w:cs="Times New Roman" w:eastAsia="Times New Roman" w:hAnsi="Times New Roman"/>
          <w:noProof/>
          <w:sz w:val="24"/>
          <w:szCs w:val="24"/>
        </w:rPr>
        <w:t>Justification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_Toc203146288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10</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"_Toc203146289" </w:instrText>
      </w:r>
      <w:r>
        <w:rPr/>
        <w:fldChar w:fldCharType="separate"/>
      </w:r>
      <w:r>
        <w:rPr>
          <w:rStyle w:val="style85"/>
          <w:rFonts w:ascii="Times New Roman" w:cs="Times New Roman" w:eastAsia="Times New Roman" w:hAnsi="Times New Roman"/>
          <w:noProof/>
          <w:sz w:val="24"/>
          <w:szCs w:val="24"/>
        </w:rPr>
        <w:t>1.3</w:t>
      </w:r>
      <w:r>
        <w:rPr>
          <w:rFonts w:ascii="Times New Roman" w:cs="Times New Roman" w:eastAsia="宋体" w:hAnsi="Times New Roman"/>
          <w:noProof/>
          <w:sz w:val="24"/>
          <w:szCs w:val="24"/>
        </w:rPr>
        <w:tab/>
      </w:r>
      <w:r>
        <w:rPr>
          <w:rStyle w:val="style85"/>
          <w:rFonts w:ascii="Times New Roman" w:cs="Times New Roman" w:eastAsia="Times New Roman" w:hAnsi="Times New Roman"/>
          <w:noProof/>
          <w:sz w:val="24"/>
          <w:szCs w:val="24"/>
        </w:rPr>
        <w:t>Aim and Objectives of Study</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_Toc203146289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11</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"_Toc203146290" </w:instrText>
      </w:r>
      <w:r>
        <w:rPr/>
        <w:fldChar w:fldCharType="separate"/>
      </w:r>
      <w:r>
        <w:rPr>
          <w:rStyle w:val="style85"/>
          <w:rFonts w:ascii="Times New Roman" w:cs="Times New Roman" w:hAnsi="Times New Roman"/>
          <w:noProof/>
          <w:sz w:val="24"/>
          <w:szCs w:val="24"/>
        </w:rPr>
        <w:t>1.3.1</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Aim of the Study</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_Toc203146290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11</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"_Toc203146291" </w:instrText>
      </w:r>
      <w:r>
        <w:rPr/>
        <w:fldChar w:fldCharType="separate"/>
      </w:r>
      <w:r>
        <w:rPr>
          <w:rStyle w:val="style85"/>
          <w:rFonts w:ascii="Times New Roman" w:cs="Times New Roman" w:hAnsi="Times New Roman"/>
          <w:noProof/>
          <w:sz w:val="24"/>
          <w:szCs w:val="24"/>
        </w:rPr>
        <w:t>1.3.2</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Specific Objectives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_Toc203146291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11</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"_Toc203146292" </w:instrText>
      </w:r>
      <w:r>
        <w:rPr/>
        <w:fldChar w:fldCharType="separate"/>
      </w:r>
      <w:r>
        <w:rPr>
          <w:rStyle w:val="style85"/>
          <w:rFonts w:ascii="Times New Roman" w:cs="Times New Roman" w:hAnsi="Times New Roman"/>
          <w:noProof/>
          <w:sz w:val="24"/>
          <w:szCs w:val="24"/>
        </w:rPr>
        <w:t>CHAPTER TWO</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_Toc203146292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12</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"_Toc203146293" </w:instrText>
      </w:r>
      <w:r>
        <w:rPr/>
        <w:fldChar w:fldCharType="separate"/>
      </w:r>
      <w:r>
        <w:rPr>
          <w:rStyle w:val="style85"/>
          <w:rFonts w:ascii="Times New Roman" w:cs="Times New Roman" w:hAnsi="Times New Roman"/>
          <w:noProof/>
          <w:sz w:val="24"/>
          <w:szCs w:val="24"/>
        </w:rPr>
        <w:t>LITERATURE REVIEW</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_Toc203146293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12</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"_Toc203146294" </w:instrText>
      </w:r>
      <w:r>
        <w:rPr/>
        <w:fldChar w:fldCharType="separate"/>
      </w:r>
      <w:r>
        <w:rPr>
          <w:rStyle w:val="style85"/>
          <w:rFonts w:ascii="Times New Roman" w:cs="Times New Roman" w:hAnsi="Times New Roman"/>
          <w:noProof/>
          <w:sz w:val="24"/>
          <w:szCs w:val="24"/>
        </w:rPr>
        <w:t>2.1</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Antibacterial Agents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_Toc203146294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12</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"_Toc203146295" </w:instrText>
      </w:r>
      <w:r>
        <w:rPr/>
        <w:fldChar w:fldCharType="separate"/>
      </w:r>
      <w:r>
        <w:rPr>
          <w:rStyle w:val="style85"/>
          <w:rFonts w:ascii="Times New Roman" w:cs="Times New Roman" w:hAnsi="Times New Roman"/>
          <w:noProof/>
          <w:sz w:val="24"/>
          <w:szCs w:val="24"/>
        </w:rPr>
        <w:t>2.1.1</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Types of Antibacterial Agents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_Toc203146295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13</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"_Toc203146296" </w:instrText>
      </w:r>
      <w:r>
        <w:rPr/>
        <w:fldChar w:fldCharType="separate"/>
      </w:r>
      <w:r>
        <w:rPr>
          <w:rStyle w:val="style85"/>
          <w:rFonts w:ascii="Times New Roman" w:cs="Times New Roman" w:hAnsi="Times New Roman"/>
          <w:noProof/>
          <w:sz w:val="24"/>
          <w:szCs w:val="24"/>
        </w:rPr>
        <w:t>2.1.2</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Spectrum of Activity</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_Toc203146296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14</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"_Toc203146297" </w:instrText>
      </w:r>
      <w:r>
        <w:rPr/>
        <w:fldChar w:fldCharType="separate"/>
      </w:r>
      <w:r>
        <w:rPr>
          <w:rStyle w:val="style85"/>
          <w:rFonts w:ascii="Times New Roman" w:cs="Times New Roman" w:hAnsi="Times New Roman"/>
          <w:noProof/>
          <w:sz w:val="24"/>
          <w:szCs w:val="24"/>
        </w:rPr>
        <w:t>2.1.3</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Mechanisms of Action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_Toc203146297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15</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"_Toc203146298" </w:instrText>
      </w:r>
      <w:r>
        <w:rPr/>
        <w:fldChar w:fldCharType="separate"/>
      </w:r>
      <w:r>
        <w:rPr>
          <w:rStyle w:val="style85"/>
          <w:rFonts w:ascii="Times New Roman" w:cs="Times New Roman" w:hAnsi="Times New Roman"/>
          <w:noProof/>
          <w:sz w:val="24"/>
          <w:szCs w:val="24"/>
        </w:rPr>
        <w:t>2.1.4</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Combination Therapy</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_Toc203146298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16</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"_Toc203146299" </w:instrText>
      </w:r>
      <w:r>
        <w:rPr/>
        <w:fldChar w:fldCharType="separate"/>
      </w:r>
      <w:r>
        <w:rPr>
          <w:rStyle w:val="style85"/>
          <w:rFonts w:ascii="Times New Roman" w:cs="Times New Roman" w:hAnsi="Times New Roman"/>
          <w:noProof/>
          <w:sz w:val="24"/>
          <w:szCs w:val="24"/>
        </w:rPr>
        <w:t>2.2</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Overview of Eucalyptus globulus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_Toc203146299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17</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"_Toc203146300" </w:instrText>
      </w:r>
      <w:r>
        <w:rPr/>
        <w:fldChar w:fldCharType="separate"/>
      </w:r>
      <w:r>
        <w:rPr>
          <w:rStyle w:val="style85"/>
          <w:rFonts w:ascii="Times New Roman" w:cs="Times New Roman" w:hAnsi="Times New Roman"/>
          <w:noProof/>
          <w:sz w:val="24"/>
          <w:szCs w:val="24"/>
        </w:rPr>
        <w:t>2.3</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 xml:space="preserve">Methicillin -Resistant Staphylococcus </w:t>
      </w:r>
      <w:r>
        <w:rPr>
          <w:rStyle w:val="style85"/>
          <w:rFonts w:ascii="Times New Roman" w:cs="Times New Roman" w:hAnsi="Times New Roman"/>
          <w:i/>
          <w:noProof/>
          <w:sz w:val="24"/>
          <w:szCs w:val="24"/>
        </w:rPr>
        <w:t>aureus</w:t>
      </w:r>
      <w:r>
        <w:rPr>
          <w:rStyle w:val="style85"/>
          <w:rFonts w:ascii="Times New Roman" w:cs="Times New Roman" w:hAnsi="Times New Roman"/>
          <w:noProof/>
          <w:sz w:val="24"/>
          <w:szCs w:val="24"/>
        </w:rPr>
        <w:t xml:space="preserve"> (MRSA)</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_Toc203146300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18</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"_Toc203146301" </w:instrText>
      </w:r>
      <w:r>
        <w:rPr/>
        <w:fldChar w:fldCharType="separate"/>
      </w:r>
      <w:r>
        <w:rPr>
          <w:rStyle w:val="style85"/>
          <w:rFonts w:ascii="Times New Roman" w:cs="Times New Roman" w:hAnsi="Times New Roman"/>
          <w:noProof/>
          <w:sz w:val="24"/>
          <w:szCs w:val="24"/>
        </w:rPr>
        <w:t>2.3.1</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Mechanisms of Resistance</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_Toc203146301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18</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"_Toc203146302" </w:instrText>
      </w:r>
      <w:r>
        <w:rPr/>
        <w:fldChar w:fldCharType="separate"/>
      </w:r>
      <w:r>
        <w:rPr>
          <w:rStyle w:val="style85"/>
          <w:rFonts w:ascii="Times New Roman" w:cs="Times New Roman" w:hAnsi="Times New Roman"/>
          <w:noProof/>
          <w:sz w:val="24"/>
          <w:szCs w:val="24"/>
        </w:rPr>
        <w:t>2.3.2</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Epidemiology and Clinical Impact</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_Toc203146302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18</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"_Toc203146303" </w:instrText>
      </w:r>
      <w:r>
        <w:rPr/>
        <w:fldChar w:fldCharType="separate"/>
      </w:r>
      <w:r>
        <w:rPr>
          <w:rStyle w:val="style85"/>
          <w:rFonts w:ascii="Times New Roman" w:cs="Times New Roman" w:hAnsi="Times New Roman"/>
          <w:noProof/>
          <w:sz w:val="24"/>
          <w:szCs w:val="24"/>
        </w:rPr>
        <w:t>2.4</w:t>
      </w:r>
      <w:r>
        <w:rPr>
          <w:rFonts w:ascii="Times New Roman" w:cs="Times New Roman" w:eastAsia="宋体" w:hAnsi="Times New Roman"/>
          <w:noProof/>
          <w:sz w:val="24"/>
          <w:szCs w:val="24"/>
        </w:rPr>
        <w:tab/>
      </w:r>
      <w:r>
        <w:rPr>
          <w:rStyle w:val="style85"/>
          <w:rFonts w:ascii="Times New Roman" w:cs="Times New Roman" w:hAnsi="Times New Roman"/>
          <w:i/>
          <w:noProof/>
          <w:sz w:val="24"/>
          <w:szCs w:val="24"/>
        </w:rPr>
        <w:t>Escherichia coli</w:t>
      </w:r>
      <w:r>
        <w:rPr>
          <w:rStyle w:val="style85"/>
          <w:rFonts w:ascii="Times New Roman" w:cs="Times New Roman" w:hAnsi="Times New Roman"/>
          <w:noProof/>
          <w:sz w:val="24"/>
          <w:szCs w:val="24"/>
        </w:rPr>
        <w:t xml:space="preserve"> Infections and Resistance</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_Toc203146303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19</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"_Toc203146304" </w:instrText>
      </w:r>
      <w:r>
        <w:rPr/>
        <w:fldChar w:fldCharType="separate"/>
      </w:r>
      <w:r>
        <w:rPr>
          <w:rStyle w:val="style85"/>
          <w:rFonts w:ascii="Times New Roman" w:cs="Times New Roman" w:hAnsi="Times New Roman"/>
          <w:noProof/>
          <w:sz w:val="24"/>
          <w:szCs w:val="24"/>
        </w:rPr>
        <w:t>2.4.1</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 xml:space="preserve">Pathogenic Strains of </w:t>
      </w:r>
      <w:r>
        <w:rPr>
          <w:rStyle w:val="style85"/>
          <w:rFonts w:ascii="Times New Roman" w:cs="Times New Roman" w:hAnsi="Times New Roman"/>
          <w:i/>
          <w:iCs/>
          <w:noProof/>
          <w:sz w:val="24"/>
          <w:szCs w:val="24"/>
        </w:rPr>
        <w:t>Escherichia coli</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_Toc203146304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19</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"_Toc203146305" </w:instrText>
      </w:r>
      <w:r>
        <w:rPr/>
        <w:fldChar w:fldCharType="separate"/>
      </w:r>
      <w:r>
        <w:rPr>
          <w:rStyle w:val="style85"/>
          <w:rFonts w:ascii="Times New Roman" w:cs="Times New Roman" w:hAnsi="Times New Roman"/>
          <w:noProof/>
          <w:sz w:val="24"/>
          <w:szCs w:val="24"/>
        </w:rPr>
        <w:t>2.4.2</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 xml:space="preserve">Mechanisms of Antibiotic Resistance in </w:t>
      </w:r>
      <w:r>
        <w:rPr>
          <w:rStyle w:val="style85"/>
          <w:rFonts w:ascii="Times New Roman" w:cs="Times New Roman" w:hAnsi="Times New Roman"/>
          <w:i/>
          <w:iCs/>
          <w:noProof/>
          <w:sz w:val="24"/>
          <w:szCs w:val="24"/>
        </w:rPr>
        <w:t>Escherichia coli</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_Toc203146305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20</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"_Toc203146306" </w:instrText>
      </w:r>
      <w:r>
        <w:rPr/>
        <w:fldChar w:fldCharType="separate"/>
      </w:r>
      <w:r>
        <w:rPr>
          <w:rStyle w:val="style85"/>
          <w:rFonts w:ascii="Times New Roman" w:cs="Times New Roman" w:hAnsi="Times New Roman"/>
          <w:noProof/>
          <w:sz w:val="24"/>
          <w:szCs w:val="24"/>
        </w:rPr>
        <w:t>2.4.3</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 xml:space="preserve">Clinical Impact of </w:t>
      </w:r>
      <w:r>
        <w:rPr>
          <w:rStyle w:val="style85"/>
          <w:rFonts w:ascii="Times New Roman" w:cs="Times New Roman" w:hAnsi="Times New Roman"/>
          <w:i/>
          <w:iCs/>
          <w:noProof/>
          <w:sz w:val="24"/>
          <w:szCs w:val="24"/>
        </w:rPr>
        <w:t xml:space="preserve">E. coli </w:t>
      </w:r>
      <w:r>
        <w:rPr>
          <w:rStyle w:val="style85"/>
          <w:rFonts w:ascii="Times New Roman" w:cs="Times New Roman" w:hAnsi="Times New Roman"/>
          <w:noProof/>
          <w:sz w:val="24"/>
          <w:szCs w:val="24"/>
        </w:rPr>
        <w:t>Resistance</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_Toc203146306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21</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"_Toc203146307" </w:instrText>
      </w:r>
      <w:r>
        <w:rPr/>
        <w:fldChar w:fldCharType="separate"/>
      </w:r>
      <w:r>
        <w:rPr>
          <w:rStyle w:val="style85"/>
          <w:rFonts w:ascii="Times New Roman" w:cs="Times New Roman" w:hAnsi="Times New Roman"/>
          <w:noProof/>
          <w:sz w:val="24"/>
          <w:szCs w:val="24"/>
        </w:rPr>
        <w:t>CHAPTER THREE</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_Toc203146307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23</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"_Toc203146308" </w:instrText>
      </w:r>
      <w:r>
        <w:rPr/>
        <w:fldChar w:fldCharType="separate"/>
      </w:r>
      <w:r>
        <w:rPr>
          <w:rStyle w:val="style85"/>
          <w:rFonts w:ascii="Times New Roman" w:cs="Times New Roman" w:hAnsi="Times New Roman"/>
          <w:noProof/>
          <w:sz w:val="24"/>
          <w:szCs w:val="24"/>
        </w:rPr>
        <w:t>MATERIALS AND METHODS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_Toc203146308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23</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"_Toc203146309" </w:instrText>
      </w:r>
      <w:r>
        <w:rPr/>
        <w:fldChar w:fldCharType="separate"/>
      </w:r>
      <w:r>
        <w:rPr>
          <w:rStyle w:val="style85"/>
          <w:rFonts w:ascii="Times New Roman" w:cs="Times New Roman" w:eastAsia="Times New Roman" w:hAnsi="Times New Roman"/>
          <w:noProof/>
          <w:sz w:val="24"/>
          <w:szCs w:val="24"/>
        </w:rPr>
        <w:t>3.1</w:t>
      </w:r>
      <w:r>
        <w:rPr>
          <w:rFonts w:ascii="Times New Roman" w:cs="Times New Roman" w:eastAsia="宋体" w:hAnsi="Times New Roman"/>
          <w:noProof/>
          <w:sz w:val="24"/>
          <w:szCs w:val="24"/>
        </w:rPr>
        <w:tab/>
      </w:r>
      <w:r>
        <w:rPr>
          <w:rStyle w:val="style85"/>
          <w:rFonts w:ascii="Times New Roman" w:cs="Times New Roman" w:eastAsia="Times New Roman" w:hAnsi="Times New Roman"/>
          <w:noProof/>
          <w:sz w:val="24"/>
          <w:szCs w:val="24"/>
        </w:rPr>
        <w:t>Study Area and Sample Collection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_Toc203146309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23</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"_Toc203146310" </w:instrText>
      </w:r>
      <w:r>
        <w:rPr/>
        <w:fldChar w:fldCharType="separate"/>
      </w:r>
      <w:r>
        <w:rPr>
          <w:rStyle w:val="style85"/>
          <w:rFonts w:ascii="Times New Roman" w:cs="Times New Roman" w:hAnsi="Times New Roman"/>
          <w:noProof/>
          <w:sz w:val="24"/>
          <w:szCs w:val="24"/>
        </w:rPr>
        <w:t>3.2</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Collection and Preparation of Plant Material</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_Toc203146310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23</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"_Toc203146311" </w:instrText>
      </w:r>
      <w:r>
        <w:rPr/>
        <w:fldChar w:fldCharType="separate"/>
      </w:r>
      <w:r>
        <w:rPr>
          <w:rStyle w:val="style85"/>
          <w:rFonts w:ascii="Times New Roman" w:cs="Times New Roman" w:hAnsi="Times New Roman"/>
          <w:noProof/>
          <w:sz w:val="24"/>
          <w:szCs w:val="24"/>
        </w:rPr>
        <w:t>3.3</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Preparation of Plant Extracts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_Toc203146311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23</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"_Toc203146312" </w:instrText>
      </w:r>
      <w:r>
        <w:rPr/>
        <w:fldChar w:fldCharType="separate"/>
      </w:r>
      <w:r>
        <w:rPr>
          <w:rStyle w:val="style85"/>
          <w:rFonts w:ascii="Times New Roman" w:cs="Times New Roman" w:hAnsi="Times New Roman"/>
          <w:noProof/>
          <w:sz w:val="24"/>
          <w:szCs w:val="24"/>
        </w:rPr>
        <w:t>3.3.1</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Ethanol Extraction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_Toc203146312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23</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"_Toc203146313" </w:instrText>
      </w:r>
      <w:r>
        <w:rPr/>
        <w:fldChar w:fldCharType="separate"/>
      </w:r>
      <w:r>
        <w:rPr>
          <w:rStyle w:val="style85"/>
          <w:rFonts w:ascii="Times New Roman" w:cs="Times New Roman" w:hAnsi="Times New Roman"/>
          <w:noProof/>
          <w:sz w:val="24"/>
          <w:szCs w:val="24"/>
        </w:rPr>
        <w:t>3.4</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Phytochemical Screening</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_Toc203146313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24</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"_Toc203146314" </w:instrText>
      </w:r>
      <w:r>
        <w:rPr/>
        <w:fldChar w:fldCharType="separate"/>
      </w:r>
      <w:r>
        <w:rPr>
          <w:rStyle w:val="style85"/>
          <w:rFonts w:ascii="Times New Roman" w:cs="Times New Roman" w:hAnsi="Times New Roman"/>
          <w:noProof/>
          <w:sz w:val="24"/>
          <w:szCs w:val="24"/>
        </w:rPr>
        <w:t>3.4.1</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Test for Alkaloids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_Toc203146314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24</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"_Toc203146315" </w:instrText>
      </w:r>
      <w:r>
        <w:rPr/>
        <w:fldChar w:fldCharType="separate"/>
      </w:r>
      <w:r>
        <w:rPr>
          <w:rStyle w:val="style85"/>
          <w:rFonts w:ascii="Times New Roman" w:cs="Times New Roman" w:hAnsi="Times New Roman"/>
          <w:noProof/>
          <w:sz w:val="24"/>
          <w:szCs w:val="24"/>
        </w:rPr>
        <w:t>3.4.2</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Test for Flavonoids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_Toc203146315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24</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"_Toc203146316" </w:instrText>
      </w:r>
      <w:r>
        <w:rPr/>
        <w:fldChar w:fldCharType="separate"/>
      </w:r>
      <w:r>
        <w:rPr>
          <w:rStyle w:val="style85"/>
          <w:rFonts w:ascii="Times New Roman" w:cs="Times New Roman" w:hAnsi="Times New Roman"/>
          <w:noProof/>
          <w:sz w:val="24"/>
          <w:szCs w:val="24"/>
        </w:rPr>
        <w:t>3.4.3</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Test for Tannins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_Toc203146316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24</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"_Toc203146317" </w:instrText>
      </w:r>
      <w:r>
        <w:rPr/>
        <w:fldChar w:fldCharType="separate"/>
      </w:r>
      <w:r>
        <w:rPr>
          <w:rStyle w:val="style85"/>
          <w:rFonts w:ascii="Times New Roman" w:cs="Times New Roman" w:hAnsi="Times New Roman"/>
          <w:noProof/>
          <w:sz w:val="24"/>
          <w:szCs w:val="24"/>
        </w:rPr>
        <w:t>3.4.4</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Test for Saponins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_Toc203146317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24</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"_Toc203146318" </w:instrText>
      </w:r>
      <w:r>
        <w:rPr/>
        <w:fldChar w:fldCharType="separate"/>
      </w:r>
      <w:r>
        <w:rPr>
          <w:rStyle w:val="style85"/>
          <w:rFonts w:ascii="Times New Roman" w:cs="Times New Roman" w:hAnsi="Times New Roman"/>
          <w:noProof/>
          <w:sz w:val="24"/>
          <w:szCs w:val="24"/>
        </w:rPr>
        <w:t>3.4.5</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Test for Phenolic Compounds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_Toc203146318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24</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"_Toc203146319" </w:instrText>
      </w:r>
      <w:r>
        <w:rPr/>
        <w:fldChar w:fldCharType="separate"/>
      </w:r>
      <w:r>
        <w:rPr>
          <w:rStyle w:val="style85"/>
          <w:rFonts w:ascii="Times New Roman" w:cs="Times New Roman" w:hAnsi="Times New Roman"/>
          <w:noProof/>
          <w:sz w:val="24"/>
          <w:szCs w:val="24"/>
        </w:rPr>
        <w:t>3.5</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Standardization of Bacterial Inoculum</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_Toc203146319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25</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"_Toc203146320" </w:instrText>
      </w:r>
      <w:r>
        <w:rPr/>
        <w:fldChar w:fldCharType="separate"/>
      </w:r>
      <w:r>
        <w:rPr>
          <w:rStyle w:val="style85"/>
          <w:rFonts w:ascii="Times New Roman" w:cs="Times New Roman" w:hAnsi="Times New Roman"/>
          <w:noProof/>
          <w:sz w:val="24"/>
          <w:szCs w:val="24"/>
        </w:rPr>
        <w:t>3.6</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Antibacterial Susceptibility Testing</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_Toc203146320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25</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"_Toc203146321" </w:instrText>
      </w:r>
      <w:r>
        <w:rPr/>
        <w:fldChar w:fldCharType="separate"/>
      </w:r>
      <w:r>
        <w:rPr>
          <w:rStyle w:val="style85"/>
          <w:rFonts w:ascii="Times New Roman" w:cs="Times New Roman" w:hAnsi="Times New Roman"/>
          <w:noProof/>
          <w:sz w:val="24"/>
          <w:szCs w:val="24"/>
        </w:rPr>
        <w:t xml:space="preserve">3.6.1 </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Agar Well Diffusion Method</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_Toc203146321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25</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"_Toc203146322" </w:instrText>
      </w:r>
      <w:r>
        <w:rPr/>
        <w:fldChar w:fldCharType="separate"/>
      </w:r>
      <w:r>
        <w:rPr>
          <w:rStyle w:val="style85"/>
          <w:rFonts w:ascii="Times New Roman" w:cs="Times New Roman" w:hAnsi="Times New Roman"/>
          <w:noProof/>
          <w:sz w:val="24"/>
          <w:szCs w:val="24"/>
        </w:rPr>
        <w:t>3.6.2</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Minimum Inhibitory Concentration (MIC) Determination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_Toc203146322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25</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"_Toc203146323" </w:instrText>
      </w:r>
      <w:r>
        <w:rPr/>
        <w:fldChar w:fldCharType="separate"/>
      </w:r>
      <w:r>
        <w:rPr>
          <w:rStyle w:val="style85"/>
          <w:rFonts w:ascii="Times New Roman" w:cs="Times New Roman" w:hAnsi="Times New Roman"/>
          <w:noProof/>
          <w:sz w:val="24"/>
          <w:szCs w:val="24"/>
        </w:rPr>
        <w:t>CHAPTER FOUR</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_Toc203146323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27</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"_Toc203146324" </w:instrText>
      </w:r>
      <w:r>
        <w:rPr/>
        <w:fldChar w:fldCharType="separate"/>
      </w:r>
      <w:r>
        <w:rPr>
          <w:rStyle w:val="style85"/>
          <w:rFonts w:ascii="Times New Roman" w:cs="Times New Roman" w:hAnsi="Times New Roman"/>
          <w:noProof/>
          <w:sz w:val="24"/>
          <w:szCs w:val="24"/>
        </w:rPr>
        <w:t>RESULTS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_Toc203146324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27</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"_Toc203146325" </w:instrText>
      </w:r>
      <w:r>
        <w:rPr/>
        <w:fldChar w:fldCharType="separate"/>
      </w:r>
      <w:r>
        <w:rPr>
          <w:rStyle w:val="style85"/>
          <w:rFonts w:ascii="Times New Roman" w:cs="Times New Roman" w:hAnsi="Times New Roman"/>
          <w:noProof/>
          <w:sz w:val="24"/>
          <w:szCs w:val="24"/>
        </w:rPr>
        <w:t>4.1</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Phytochemical Screening of Eucalyptus globulus Leaf Extracts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_Toc203146325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27</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"_Toc203146326" </w:instrText>
      </w:r>
      <w:r>
        <w:rPr/>
        <w:fldChar w:fldCharType="separate"/>
      </w:r>
      <w:r>
        <w:rPr>
          <w:rStyle w:val="style85"/>
          <w:rFonts w:ascii="Times New Roman" w:cs="Times New Roman" w:hAnsi="Times New Roman"/>
          <w:noProof/>
          <w:sz w:val="24"/>
          <w:szCs w:val="24"/>
        </w:rPr>
        <w:t>4.2</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Antibacterial Activity of Eucalyptus globulus Extracts Using Agar Well Diffusion Method</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_Toc203146326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27</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"_Toc203146327" </w:instrText>
      </w:r>
      <w:r>
        <w:rPr/>
        <w:fldChar w:fldCharType="separate"/>
      </w:r>
      <w:r>
        <w:rPr>
          <w:rStyle w:val="style85"/>
          <w:rFonts w:ascii="Times New Roman" w:cs="Times New Roman" w:hAnsi="Times New Roman"/>
          <w:noProof/>
          <w:sz w:val="24"/>
          <w:szCs w:val="24"/>
        </w:rPr>
        <w:t>4.3</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Minimum Inhibitory Concentration (MIC) Determination of Ethanol Extract</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_Toc203146327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28</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"_Toc203146328" </w:instrText>
      </w:r>
      <w:r>
        <w:rPr/>
        <w:fldChar w:fldCharType="separate"/>
      </w:r>
      <w:r>
        <w:rPr>
          <w:rStyle w:val="style85"/>
          <w:rFonts w:ascii="Times New Roman" w:cs="Times New Roman" w:hAnsi="Times New Roman"/>
          <w:noProof/>
          <w:sz w:val="24"/>
          <w:szCs w:val="24"/>
        </w:rPr>
        <w:t>4.5</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Discussion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_Toc203146328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29</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"_Toc203146329" </w:instrText>
      </w:r>
      <w:r>
        <w:rPr/>
        <w:fldChar w:fldCharType="separate"/>
      </w:r>
      <w:r>
        <w:rPr>
          <w:rStyle w:val="style85"/>
          <w:rFonts w:ascii="Times New Roman" w:cs="Times New Roman" w:hAnsi="Times New Roman"/>
          <w:noProof/>
          <w:sz w:val="24"/>
          <w:szCs w:val="24"/>
        </w:rPr>
        <w:t>CHAPTER FIVE</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_Toc203146329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32</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"_Toc203146330" </w:instrText>
      </w:r>
      <w:r>
        <w:rPr/>
        <w:fldChar w:fldCharType="separate"/>
      </w:r>
      <w:r>
        <w:rPr>
          <w:rStyle w:val="style85"/>
          <w:rFonts w:ascii="Times New Roman" w:cs="Times New Roman" w:hAnsi="Times New Roman"/>
          <w:noProof/>
          <w:sz w:val="24"/>
          <w:szCs w:val="24"/>
        </w:rPr>
        <w:t>SUMMARY, CONCLUSION AND RECOMMENDATION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_Toc203146330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32</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"_Toc203146331" </w:instrText>
      </w:r>
      <w:r>
        <w:rPr/>
        <w:fldChar w:fldCharType="separate"/>
      </w:r>
      <w:r>
        <w:rPr>
          <w:rStyle w:val="style85"/>
          <w:rFonts w:ascii="Times New Roman" w:cs="Times New Roman" w:hAnsi="Times New Roman"/>
          <w:noProof/>
          <w:sz w:val="24"/>
          <w:szCs w:val="24"/>
        </w:rPr>
        <w:t>5.1</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Summary</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_Toc203146331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32</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"_Toc203146332" </w:instrText>
      </w:r>
      <w:r>
        <w:rPr/>
        <w:fldChar w:fldCharType="separate"/>
      </w:r>
      <w:r>
        <w:rPr>
          <w:rStyle w:val="style85"/>
          <w:rFonts w:ascii="Times New Roman" w:cs="Times New Roman" w:hAnsi="Times New Roman"/>
          <w:noProof/>
          <w:sz w:val="24"/>
          <w:szCs w:val="24"/>
        </w:rPr>
        <w:t>5.2</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Conclusion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_Toc203146332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32</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"_Toc203146333" </w:instrText>
      </w:r>
      <w:r>
        <w:rPr/>
        <w:fldChar w:fldCharType="separate"/>
      </w:r>
      <w:r>
        <w:rPr>
          <w:rStyle w:val="style85"/>
          <w:rFonts w:ascii="Times New Roman" w:cs="Times New Roman" w:hAnsi="Times New Roman"/>
          <w:noProof/>
          <w:sz w:val="24"/>
          <w:szCs w:val="24"/>
        </w:rPr>
        <w:t>5.3</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Recommendations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_Toc203146333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33</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"_Toc203146334" </w:instrText>
      </w:r>
      <w:r>
        <w:rPr/>
        <w:fldChar w:fldCharType="separate"/>
      </w:r>
      <w:r>
        <w:rPr>
          <w:rStyle w:val="style85"/>
          <w:rFonts w:ascii="Times New Roman" w:cs="Times New Roman" w:hAnsi="Times New Roman"/>
          <w:noProof/>
          <w:sz w:val="24"/>
          <w:szCs w:val="24"/>
        </w:rPr>
        <w:t>REFERENCES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_Toc203146334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34</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"_Toc203146335" </w:instrText>
      </w:r>
      <w:r>
        <w:rPr/>
        <w:fldChar w:fldCharType="separate"/>
      </w:r>
      <w:r>
        <w:rPr>
          <w:rStyle w:val="style85"/>
          <w:rFonts w:ascii="Times New Roman" w:cs="Times New Roman" w:hAnsi="Times New Roman"/>
          <w:noProof/>
          <w:sz w:val="24"/>
          <w:szCs w:val="24"/>
        </w:rPr>
        <w:t>APPENDIX</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_Toc203146335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39</w:t>
      </w:r>
      <w:r>
        <w:rPr>
          <w:rFonts w:ascii="Times New Roman" w:cs="Times New Roman" w:hAnsi="Times New Roman"/>
          <w:noProof/>
          <w:webHidden/>
          <w:sz w:val="24"/>
          <w:szCs w:val="24"/>
        </w:rPr>
        <w:fldChar w:fldCharType="end"/>
      </w:r>
      <w:r>
        <w:rPr/>
        <w:fldChar w:fldCharType="end"/>
      </w:r>
    </w:p>
    <w:p>
      <w:pPr>
        <w:pStyle w:val="style0"/>
        <w:rPr>
          <w:rFonts w:ascii="Times New Roman" w:cs="Times New Roman" w:hAnsi="Times New Roman"/>
          <w:sz w:val="24"/>
          <w:szCs w:val="24"/>
        </w:rPr>
      </w:pPr>
      <w:r>
        <w:rPr>
          <w:rFonts w:ascii="Times New Roman" w:cs="Times New Roman" w:hAnsi="Times New Roman"/>
          <w:sz w:val="24"/>
          <w:szCs w:val="24"/>
        </w:rPr>
        <w:fldChar w:fldCharType="end"/>
      </w:r>
    </w:p>
    <w:p>
      <w:pPr>
        <w:pStyle w:val="style94"/>
        <w:jc w:val="center"/>
        <w:rPr>
          <w:b/>
        </w:rPr>
      </w:pPr>
    </w:p>
    <w:p>
      <w:pPr>
        <w:pStyle w:val="style94"/>
        <w:jc w:val="center"/>
        <w:rPr>
          <w:b/>
        </w:rPr>
      </w:pPr>
    </w:p>
    <w:bookmarkStart w:id="5" w:name="_Toc203146283"/>
    <w:p>
      <w:pPr>
        <w:pStyle w:val="style1"/>
        <w:spacing w:lineRule="auto" w:line="480"/>
        <w:jc w:val="center"/>
        <w:rPr/>
      </w:pPr>
      <w:r>
        <w:t>ABSTRACT</w:t>
      </w:r>
      <w:bookmarkEnd w:id="5"/>
    </w:p>
    <w:p>
      <w:pPr>
        <w:pStyle w:val="style94"/>
        <w:spacing w:before="0" w:beforeAutospacing="false" w:after="0" w:afterAutospacing="false"/>
        <w:ind w:firstLine="720"/>
        <w:jc w:val="both"/>
        <w:rPr>
          <w:i/>
          <w:iCs/>
        </w:rPr>
      </w:pPr>
      <w:r>
        <w:rPr>
          <w:i/>
          <w:iCs/>
        </w:rPr>
        <w:t xml:space="preserve">This study investigated the antibacterial efficacy of aqueous and ethanol extracts of Eucalyptus </w:t>
      </w:r>
      <w:r>
        <w:rPr>
          <w:i/>
          <w:iCs/>
        </w:rPr>
        <w:t>globulus</w:t>
      </w:r>
      <w:r>
        <w:rPr>
          <w:i/>
          <w:iCs/>
        </w:rPr>
        <w:t xml:space="preserve"> leaves against Methicillin-Resistant Staphylococcus aureus (MRSA) and Escherichia coli, two clinically important and drug-resistant bacterial pathogens. The study </w:t>
      </w:r>
      <w:r>
        <w:rPr>
          <w:i/>
          <w:iCs/>
        </w:rPr>
        <w:t>was carried out</w:t>
      </w:r>
      <w:r>
        <w:rPr>
          <w:i/>
          <w:iCs/>
        </w:rPr>
        <w:t xml:space="preserve"> at the Microbiology Laboratory Unit of Kwara State Polytechnic, Ilorin, Nigeria. Clinical isolates were obtained from the University of Ilorin Teaching Hospital (UITH</w:t>
      </w:r>
      <w:r>
        <w:rPr>
          <w:i/>
          <w:iCs/>
        </w:rPr>
        <w:t>) .</w:t>
      </w:r>
      <w:r>
        <w:rPr>
          <w:i/>
          <w:iCs/>
        </w:rPr>
        <w:t xml:space="preserve"> </w:t>
      </w:r>
      <w:r>
        <w:rPr>
          <w:i/>
          <w:iCs/>
        </w:rPr>
        <w:t xml:space="preserve">Fresh Eucalyptus </w:t>
      </w:r>
      <w:r>
        <w:rPr>
          <w:i/>
          <w:iCs/>
        </w:rPr>
        <w:t>globulus</w:t>
      </w:r>
      <w:r>
        <w:rPr>
          <w:i/>
          <w:iCs/>
        </w:rPr>
        <w:t xml:space="preserve"> leaves collected locally were processed and extracted using aqueous.</w:t>
      </w:r>
      <w:r>
        <w:rPr>
          <w:i/>
          <w:iCs/>
        </w:rPr>
        <w:t xml:space="preserve"> Phytochemical screening </w:t>
      </w:r>
      <w:r>
        <w:rPr>
          <w:i/>
          <w:iCs/>
        </w:rPr>
        <w:t>was performed</w:t>
      </w:r>
      <w:r>
        <w:rPr>
          <w:i/>
          <w:iCs/>
        </w:rPr>
        <w:t xml:space="preserve"> to identify key bioactive constituents. The antibacterial activity of the extracts </w:t>
      </w:r>
      <w:r>
        <w:rPr>
          <w:i/>
          <w:iCs/>
        </w:rPr>
        <w:t>was assessed</w:t>
      </w:r>
      <w:r>
        <w:rPr>
          <w:i/>
          <w:iCs/>
        </w:rPr>
        <w:t xml:space="preserve"> using the agar well diffusion method, and minimum inhibitory concentration (MIC) was determined through the agar dilution technique. Phytochemical analysis revealed the presence of</w:t>
      </w:r>
      <w:r>
        <w:rPr>
          <w:i/>
          <w:iCs/>
        </w:rPr>
        <w:t xml:space="preserve"> flavonoids, tannins</w:t>
      </w:r>
      <w:r>
        <w:rPr>
          <w:i/>
          <w:iCs/>
        </w:rPr>
        <w:t xml:space="preserve">, and phenolic compounds in both extracts. The agar well diffusion test demonstrated that both extracts possessed antibacterial activity, with the ethanol extract showing a significantly higher zone of inhibition compared to the aqueous extract. The zone of inhibition increased with higher volumes of extract applied, indicating a dose-dependent effect. The ethanol extract exhibited maximum inhibitory activity at 300 µl, with mean inhibition zones of 0.80 ± 0.04 mm and 0.80 ± 0.03 mm for MRSA and </w:t>
      </w:r>
      <w:r>
        <w:rPr>
          <w:i/>
          <w:iCs/>
        </w:rPr>
        <w:t>E. coli</w:t>
      </w:r>
      <w:r>
        <w:rPr>
          <w:i/>
          <w:iCs/>
        </w:rPr>
        <w:t xml:space="preserve"> respectively. The ethanol and ionized water showed significant inhibition, which confirmed their effect. MIC determination further confirmed the antibacterial potency of the ethanol extract, with complete growth inhibition observed at 0.2 v/v concentration for both bacterial isolates. The results of this study support the potential use of Eucalyptus </w:t>
      </w:r>
      <w:r>
        <w:rPr>
          <w:i/>
          <w:iCs/>
        </w:rPr>
        <w:t>globulus</w:t>
      </w:r>
      <w:r>
        <w:rPr>
          <w:i/>
          <w:iCs/>
        </w:rPr>
        <w:t xml:space="preserve"> leaf extracts, particularly ethanol-based extracts, as a source of natural antibacterial agents. The presence of multiple phytochemicals known for antimicrobial activity likely contributed to the observed effects. Further studies </w:t>
      </w:r>
      <w:r>
        <w:rPr>
          <w:i/>
          <w:iCs/>
        </w:rPr>
        <w:t>are recommended</w:t>
      </w:r>
      <w:r>
        <w:rPr>
          <w:i/>
          <w:iCs/>
        </w:rPr>
        <w:t xml:space="preserve"> to isolate active compounds, test in vivo effectiveness, and evaluate toxicity to support future applications in pharmaceutical or herbal medicine.</w:t>
      </w:r>
    </w:p>
    <w:p>
      <w:pPr>
        <w:pStyle w:val="style0"/>
        <w:rPr>
          <w:rFonts w:ascii="Times New Roman" w:cs="Times New Roman" w:hAnsi="Times New Roman"/>
          <w:b/>
          <w:i/>
          <w:iCs/>
          <w:sz w:val="24"/>
          <w:szCs w:val="24"/>
        </w:rPr>
      </w:pPr>
    </w:p>
    <w:p>
      <w:pPr>
        <w:pStyle w:val="style0"/>
        <w:spacing w:after="0" w:lineRule="auto" w:line="480"/>
        <w:rPr>
          <w:rFonts w:ascii="Times New Roman" w:cs="Times New Roman" w:hAnsi="Times New Roman"/>
          <w:b/>
          <w:sz w:val="24"/>
          <w:szCs w:val="24"/>
        </w:rPr>
        <w:sectPr>
          <w:footerReference w:type="even" r:id="rId4"/>
          <w:footerReference w:type="default" r:id="rId5"/>
          <w:pgSz w:w="12240" w:h="15840" w:orient="portrait"/>
          <w:pgMar w:top="1440" w:right="1440" w:bottom="1440" w:left="1440" w:header="708" w:footer="708" w:gutter="0"/>
          <w:pgNumType w:fmt="lowerRoman" w:start="1"/>
          <w:cols w:space="708"/>
          <w:docGrid w:linePitch="360"/>
        </w:sectPr>
      </w:pPr>
    </w:p>
    <w:bookmarkStart w:id="6" w:name="_Toc203146284"/>
    <w:p>
      <w:pPr>
        <w:pStyle w:val="style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CHAPTER ONE</w:t>
      </w:r>
      <w:bookmarkEnd w:id="6"/>
    </w:p>
    <w:bookmarkStart w:id="7" w:name="_Toc203146285"/>
    <w:p>
      <w:pPr>
        <w:pStyle w:val="style1"/>
        <w:spacing w:lineRule="auto" w:line="480"/>
        <w:jc w:val="center"/>
        <w:rPr/>
      </w:pPr>
      <w:r>
        <w:t>INTRODUCTION</w:t>
      </w:r>
      <w:bookmarkEnd w:id="7"/>
    </w:p>
    <w:bookmarkStart w:id="8" w:name="_Toc203146286"/>
    <w:p>
      <w:pPr>
        <w:pStyle w:val="style2"/>
        <w:spacing w:lineRule="auto" w:line="480"/>
        <w:rPr/>
      </w:pPr>
      <w:r>
        <w:t>1.1</w:t>
      </w:r>
      <w:r>
        <w:tab/>
      </w:r>
      <w:r>
        <w:t>Background to the Study</w:t>
      </w:r>
      <w:bookmarkEnd w:id="8"/>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growing challenge of antibiotic resistance represents one of the most serious threats to public health today. Across the world, bacterial infections are becoming harder to treat because many common antibiotics are losing their effectiveness (World Health Organization, 2020). Two notable examples of antibiotic-resistant pathogens are Methicillin-Resistant </w:t>
      </w:r>
      <w:r>
        <w:rPr>
          <w:rFonts w:ascii="Times New Roman" w:cs="Times New Roman" w:eastAsia="Times New Roman" w:hAnsi="Times New Roman"/>
          <w:i/>
          <w:iCs/>
          <w:sz w:val="24"/>
          <w:szCs w:val="24"/>
        </w:rPr>
        <w:t>Staphylococcus aureus</w:t>
      </w:r>
      <w:r>
        <w:rPr>
          <w:rFonts w:ascii="Times New Roman" w:cs="Times New Roman" w:eastAsia="Times New Roman" w:hAnsi="Times New Roman"/>
          <w:sz w:val="24"/>
          <w:szCs w:val="24"/>
        </w:rPr>
        <w:t xml:space="preserve"> (MRSA) and drug-resistant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E. coli</w:t>
      </w:r>
      <w:r>
        <w:rPr>
          <w:rFonts w:ascii="Times New Roman" w:cs="Times New Roman" w:eastAsia="Times New Roman" w:hAnsi="Times New Roman"/>
          <w:sz w:val="24"/>
          <w:szCs w:val="24"/>
        </w:rPr>
        <w:t xml:space="preserve">). MRSA is a major cause of hospital and community-acquired infections, while </w:t>
      </w:r>
      <w:r>
        <w:rPr>
          <w:rFonts w:ascii="Times New Roman" w:cs="Times New Roman" w:eastAsia="Times New Roman" w:hAnsi="Times New Roman"/>
          <w:i/>
          <w:iCs/>
          <w:sz w:val="24"/>
          <w:szCs w:val="24"/>
        </w:rPr>
        <w:t>E. coli</w:t>
      </w:r>
      <w:r>
        <w:rPr>
          <w:rFonts w:ascii="Times New Roman" w:cs="Times New Roman" w:eastAsia="Times New Roman" w:hAnsi="Times New Roman"/>
          <w:sz w:val="24"/>
          <w:szCs w:val="24"/>
        </w:rPr>
        <w:t xml:space="preserve"> strains </w:t>
      </w:r>
      <w:r>
        <w:rPr>
          <w:rFonts w:ascii="Times New Roman" w:cs="Times New Roman" w:eastAsia="Times New Roman" w:hAnsi="Times New Roman"/>
          <w:sz w:val="24"/>
          <w:szCs w:val="24"/>
        </w:rPr>
        <w:t>have been linked</w:t>
      </w:r>
      <w:r>
        <w:rPr>
          <w:rFonts w:ascii="Times New Roman" w:cs="Times New Roman" w:eastAsia="Times New Roman" w:hAnsi="Times New Roman"/>
          <w:sz w:val="24"/>
          <w:szCs w:val="24"/>
        </w:rPr>
        <w:t xml:space="preserve"> to serious infections such as urinary tract infections and bloodstream infections (</w:t>
      </w:r>
      <w:r>
        <w:rPr>
          <w:rFonts w:ascii="Times New Roman" w:cs="Times New Roman" w:eastAsia="Times New Roman" w:hAnsi="Times New Roman"/>
          <w:sz w:val="24"/>
          <w:szCs w:val="24"/>
        </w:rPr>
        <w:t>Prestinaci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Pezzotti</w:t>
      </w:r>
      <w:r>
        <w:rPr>
          <w:rFonts w:ascii="Times New Roman" w:cs="Times New Roman" w:eastAsia="Times New Roman" w:hAnsi="Times New Roman"/>
          <w:sz w:val="24"/>
          <w:szCs w:val="24"/>
        </w:rPr>
        <w:t xml:space="preserve">, &amp; </w:t>
      </w:r>
      <w:r>
        <w:rPr>
          <w:rFonts w:ascii="Times New Roman" w:cs="Times New Roman" w:eastAsia="Times New Roman" w:hAnsi="Times New Roman"/>
          <w:sz w:val="24"/>
          <w:szCs w:val="24"/>
        </w:rPr>
        <w:t>Pantosti</w:t>
      </w:r>
      <w:r>
        <w:rPr>
          <w:rFonts w:ascii="Times New Roman" w:cs="Times New Roman" w:eastAsia="Times New Roman" w:hAnsi="Times New Roman"/>
          <w:sz w:val="24"/>
          <w:szCs w:val="24"/>
        </w:rPr>
        <w:t>, 2019).</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Resistance in MRSA and </w:t>
      </w:r>
      <w:r>
        <w:rPr>
          <w:rFonts w:ascii="Times New Roman" w:cs="Times New Roman" w:eastAsia="Times New Roman" w:hAnsi="Times New Roman"/>
          <w:i/>
          <w:iCs/>
          <w:sz w:val="24"/>
          <w:szCs w:val="24"/>
        </w:rPr>
        <w:t>E. coli</w:t>
      </w:r>
      <w:r>
        <w:rPr>
          <w:rFonts w:ascii="Times New Roman" w:cs="Times New Roman" w:eastAsia="Times New Roman" w:hAnsi="Times New Roman"/>
          <w:sz w:val="24"/>
          <w:szCs w:val="24"/>
        </w:rPr>
        <w:t xml:space="preserve"> is not only making treatment difficult but is also increasing the costs of healthcare and leading to higher rates of morbidity and mortality. The Centers for Disease Control and Prevention (CDC) in 2022 reported that antibiotic-resistant infections cause over 35,000 deaths annually in the United States alone. The situation is even worse in low</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and middle-income countries where access to advanced antibiotics is limited (CDC, 2022). As a result, there is a critical need to search for new, effective, and affordable antimicrobial agents.</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Plants have always been a valuable source of medicines. Many modern antibiotics and drugs </w:t>
      </w:r>
      <w:r>
        <w:rPr>
          <w:rFonts w:ascii="Times New Roman" w:cs="Times New Roman" w:eastAsia="Times New Roman" w:hAnsi="Times New Roman"/>
          <w:sz w:val="24"/>
          <w:szCs w:val="24"/>
        </w:rPr>
        <w:t>have been derived</w:t>
      </w:r>
      <w:r>
        <w:rPr>
          <w:rFonts w:ascii="Times New Roman" w:cs="Times New Roman" w:eastAsia="Times New Roman" w:hAnsi="Times New Roman"/>
          <w:sz w:val="24"/>
          <w:szCs w:val="24"/>
        </w:rPr>
        <w:t xml:space="preserve"> directly or indirectly from plant sources. In the search for alternatives to synthetic antibiotics, medicinal plants are gaining attention for their antimicrobial activities (Ahmed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commonly known as the Blue Gum tree, is one such plant that ha</w:t>
      </w:r>
      <w:r>
        <w:rPr>
          <w:rFonts w:ascii="Times New Roman" w:cs="Times New Roman" w:eastAsia="Times New Roman" w:hAnsi="Times New Roman"/>
          <w:sz w:val="24"/>
          <w:szCs w:val="24"/>
        </w:rPr>
        <w:t>d</w:t>
      </w:r>
      <w:r>
        <w:rPr>
          <w:rFonts w:ascii="Times New Roman" w:cs="Times New Roman" w:eastAsia="Times New Roman" w:hAnsi="Times New Roman"/>
          <w:sz w:val="24"/>
          <w:szCs w:val="24"/>
        </w:rPr>
        <w:t xml:space="preserve"> shown promising antimicrobial properties. It belongs to the </w:t>
      </w:r>
      <w:r>
        <w:rPr>
          <w:rFonts w:ascii="Times New Roman" w:cs="Times New Roman" w:eastAsia="Times New Roman" w:hAnsi="Times New Roman"/>
          <w:sz w:val="24"/>
          <w:szCs w:val="24"/>
        </w:rPr>
        <w:t>Myrtaceae</w:t>
      </w:r>
      <w:r>
        <w:rPr>
          <w:rFonts w:ascii="Times New Roman" w:cs="Times New Roman" w:eastAsia="Times New Roman" w:hAnsi="Times New Roman"/>
          <w:sz w:val="24"/>
          <w:szCs w:val="24"/>
        </w:rPr>
        <w:t xml:space="preserve"> family and is widely cultivated for its essential oils, which are rich in bioactive compounds (Silva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2020).</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The essential oils extracted from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leaves are known to contain compounds </w:t>
      </w:r>
      <w:r>
        <w:rPr>
          <w:rFonts w:ascii="Times New Roman" w:cs="Times New Roman" w:eastAsia="Times New Roman" w:hAnsi="Times New Roman"/>
          <w:sz w:val="24"/>
          <w:szCs w:val="24"/>
        </w:rPr>
        <w:t>such as 1</w:t>
      </w:r>
      <w:r>
        <w:rPr>
          <w:rFonts w:ascii="Times New Roman" w:cs="Times New Roman" w:eastAsia="Times New Roman" w:hAnsi="Times New Roman"/>
          <w:sz w:val="24"/>
          <w:szCs w:val="24"/>
        </w:rPr>
        <w:t>,8</w:t>
      </w:r>
      <w:r>
        <w:rPr>
          <w:rFonts w:ascii="Times New Roman" w:cs="Times New Roman" w:eastAsia="Times New Roman" w:hAnsi="Times New Roman"/>
          <w:sz w:val="24"/>
          <w:szCs w:val="24"/>
        </w:rPr>
        <w:t>-cineole (eucalyptol), α-</w:t>
      </w:r>
      <w:r>
        <w:rPr>
          <w:rFonts w:ascii="Times New Roman" w:cs="Times New Roman" w:eastAsia="Times New Roman" w:hAnsi="Times New Roman"/>
          <w:sz w:val="24"/>
          <w:szCs w:val="24"/>
        </w:rPr>
        <w:t>pinene</w:t>
      </w:r>
      <w:r>
        <w:rPr>
          <w:rFonts w:ascii="Times New Roman" w:cs="Times New Roman" w:eastAsia="Times New Roman" w:hAnsi="Times New Roman"/>
          <w:sz w:val="24"/>
          <w:szCs w:val="24"/>
        </w:rPr>
        <w:t xml:space="preserve">, and limonene. These compounds have demonstrated antibacterial, antiviral, and antifungal activities in several studies (da Silva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2020). Notably, 1</w:t>
      </w:r>
      <w:r>
        <w:rPr>
          <w:rFonts w:ascii="Times New Roman" w:cs="Times New Roman" w:eastAsia="Times New Roman" w:hAnsi="Times New Roman"/>
          <w:sz w:val="24"/>
          <w:szCs w:val="24"/>
        </w:rPr>
        <w:t>,8</w:t>
      </w:r>
      <w:r>
        <w:rPr>
          <w:rFonts w:ascii="Times New Roman" w:cs="Times New Roman" w:eastAsia="Times New Roman" w:hAnsi="Times New Roman"/>
          <w:sz w:val="24"/>
          <w:szCs w:val="24"/>
        </w:rPr>
        <w:t xml:space="preserve">-cineole has been shown to damage bacterial cell walls, disrupt membranes, and inhibit the growth of both Gram-positive and Gram-negative bacteria (Gomes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This makes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a potential candidate for combating bacterial pathogens like MRSA and </w:t>
      </w:r>
      <w:r>
        <w:rPr>
          <w:rFonts w:ascii="Times New Roman" w:cs="Times New Roman" w:eastAsia="Times New Roman" w:hAnsi="Times New Roman"/>
          <w:i/>
          <w:iCs/>
          <w:sz w:val="24"/>
          <w:szCs w:val="24"/>
        </w:rPr>
        <w:t>E. coli</w:t>
      </w:r>
      <w:r>
        <w:rPr>
          <w:rFonts w:ascii="Times New Roman" w:cs="Times New Roman" w:eastAsia="Times New Roman" w:hAnsi="Times New Roman"/>
          <w:sz w:val="24"/>
          <w:szCs w:val="24"/>
        </w:rPr>
        <w:t>.</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Recent research indicates that essential oils could be particularly effective against resistant strains of bacteria. Unlike traditional antibiotics that often target a single cellular process, essential oils contain multiple active compounds that can attack bacteria in different ways simultaneously. This multi-target approach reduces the chance of bacteria developing resistance quickly (</w:t>
      </w:r>
      <w:r>
        <w:rPr>
          <w:rFonts w:ascii="Times New Roman" w:cs="Times New Roman" w:eastAsia="Times New Roman" w:hAnsi="Times New Roman"/>
          <w:sz w:val="24"/>
          <w:szCs w:val="24"/>
        </w:rPr>
        <w:t>Aljaafari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2022). Moreover, essential oils </w:t>
      </w:r>
      <w:r>
        <w:rPr>
          <w:rFonts w:ascii="Times New Roman" w:cs="Times New Roman" w:eastAsia="Times New Roman" w:hAnsi="Times New Roman"/>
          <w:sz w:val="24"/>
          <w:szCs w:val="24"/>
        </w:rPr>
        <w:t>are generally considered</w:t>
      </w:r>
      <w:r>
        <w:rPr>
          <w:rFonts w:ascii="Times New Roman" w:cs="Times New Roman" w:eastAsia="Times New Roman" w:hAnsi="Times New Roman"/>
          <w:sz w:val="24"/>
          <w:szCs w:val="24"/>
        </w:rPr>
        <w:t xml:space="preserve"> safe, biodegradable, and less toxic compared to synthetic antibiotics when used appropriately (</w:t>
      </w:r>
      <w:r>
        <w:rPr>
          <w:rFonts w:ascii="Times New Roman" w:cs="Times New Roman" w:eastAsia="Times New Roman" w:hAnsi="Times New Roman"/>
          <w:sz w:val="24"/>
          <w:szCs w:val="24"/>
        </w:rPr>
        <w:t>Júnior</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2020).</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Traditionally,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has been used</w:t>
      </w:r>
      <w:r>
        <w:rPr>
          <w:rFonts w:ascii="Times New Roman" w:cs="Times New Roman" w:eastAsia="Times New Roman" w:hAnsi="Times New Roman"/>
          <w:sz w:val="24"/>
          <w:szCs w:val="24"/>
        </w:rPr>
        <w:t xml:space="preserve"> in various cultures to treat infections, wounds, and respiratory problems. In modern times, scientific studies have supported some of these uses by demonstrating the antibacterial activity of </w:t>
      </w:r>
      <w:r>
        <w:rPr>
          <w:rFonts w:ascii="Times New Roman" w:cs="Times New Roman" w:eastAsia="Times New Roman" w:hAnsi="Times New Roman"/>
          <w:i/>
          <w:iCs/>
          <w:sz w:val="24"/>
          <w:szCs w:val="24"/>
        </w:rPr>
        <w:t>Eucalyptus</w:t>
      </w:r>
      <w:r>
        <w:rPr>
          <w:rFonts w:ascii="Times New Roman" w:cs="Times New Roman" w:eastAsia="Times New Roman" w:hAnsi="Times New Roman"/>
          <w:sz w:val="24"/>
          <w:szCs w:val="24"/>
        </w:rPr>
        <w:t xml:space="preserve"> extracts against a range of pathogens. For example, a study by </w:t>
      </w:r>
      <w:r>
        <w:rPr>
          <w:rFonts w:ascii="Times New Roman" w:cs="Times New Roman" w:eastAsia="Times New Roman" w:hAnsi="Times New Roman"/>
          <w:sz w:val="24"/>
          <w:szCs w:val="24"/>
        </w:rPr>
        <w:t>Salehi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found that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essential oil exhibited significant inhibitory effects against multidrug-resistant </w:t>
      </w:r>
      <w:r>
        <w:rPr>
          <w:rFonts w:ascii="Times New Roman" w:cs="Times New Roman" w:eastAsia="Times New Roman" w:hAnsi="Times New Roman"/>
          <w:i/>
          <w:iCs/>
          <w:sz w:val="24"/>
          <w:szCs w:val="24"/>
        </w:rPr>
        <w:t>E. coli</w:t>
      </w:r>
      <w:r>
        <w:rPr>
          <w:rFonts w:ascii="Times New Roman" w:cs="Times New Roman" w:eastAsia="Times New Roman" w:hAnsi="Times New Roman"/>
          <w:sz w:val="24"/>
          <w:szCs w:val="24"/>
        </w:rPr>
        <w:t xml:space="preserve"> strains isolated from clinical samples. Similarly, </w:t>
      </w:r>
      <w:r>
        <w:rPr>
          <w:rFonts w:ascii="Times New Roman" w:cs="Times New Roman" w:eastAsia="Times New Roman" w:hAnsi="Times New Roman"/>
          <w:sz w:val="24"/>
          <w:szCs w:val="24"/>
        </w:rPr>
        <w:t>Elbehiry</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(2022) reported that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oil effectively inhibited the growth of MRSA isolates collected from food and clinical settings.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Despite these findings, there are still gaps in the literature regarding the specific effectiveness of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against MRSA and </w:t>
      </w:r>
      <w:r>
        <w:rPr>
          <w:rFonts w:ascii="Times New Roman" w:cs="Times New Roman" w:eastAsia="Times New Roman" w:hAnsi="Times New Roman"/>
          <w:i/>
          <w:iCs/>
          <w:sz w:val="24"/>
          <w:szCs w:val="24"/>
        </w:rPr>
        <w:t>E. coli</w:t>
      </w:r>
      <w:r>
        <w:rPr>
          <w:rFonts w:ascii="Times New Roman" w:cs="Times New Roman" w:eastAsia="Times New Roman" w:hAnsi="Times New Roman"/>
          <w:sz w:val="24"/>
          <w:szCs w:val="24"/>
        </w:rPr>
        <w:t xml:space="preserve">, especially using local strains isolated from different environments. More laboratory-based investigations </w:t>
      </w:r>
      <w:r>
        <w:rPr>
          <w:rFonts w:ascii="Times New Roman" w:cs="Times New Roman" w:eastAsia="Times New Roman" w:hAnsi="Times New Roman"/>
          <w:sz w:val="24"/>
          <w:szCs w:val="24"/>
        </w:rPr>
        <w:t>are needed</w:t>
      </w:r>
      <w:r>
        <w:rPr>
          <w:rFonts w:ascii="Times New Roman" w:cs="Times New Roman" w:eastAsia="Times New Roman" w:hAnsi="Times New Roman"/>
          <w:sz w:val="24"/>
          <w:szCs w:val="24"/>
        </w:rPr>
        <w:t xml:space="preserve"> to confirm its antibacterial potential, explore its mechanism of action, and determine its possible applications in </w:t>
      </w:r>
      <w:r>
        <w:rPr>
          <w:rFonts w:ascii="Times New Roman" w:cs="Times New Roman" w:eastAsia="Times New Roman" w:hAnsi="Times New Roman"/>
          <w:sz w:val="24"/>
          <w:szCs w:val="24"/>
        </w:rPr>
        <w:t>healthcare settings.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In the face of the global antibiotic resistance crisis, exploring natural resources like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is not just timely but necessary. Natural products offer a rich and relatively untapped reservoir of potential solutions to one of the most pressing medical challenges of the 21st century.</w:t>
      </w:r>
    </w:p>
    <w:bookmarkStart w:id="9" w:name="_Toc203146287"/>
    <w:p>
      <w:pPr>
        <w:pStyle w:val="style2"/>
        <w:spacing w:lineRule="auto" w:line="480"/>
        <w:rPr>
          <w:rFonts w:eastAsia="Times New Roman"/>
        </w:rPr>
      </w:pPr>
      <w:r>
        <w:rPr>
          <w:rFonts w:eastAsia="Times New Roman"/>
        </w:rPr>
        <w:t>1.1</w:t>
      </w:r>
      <w:r>
        <w:rPr>
          <w:rFonts w:eastAsia="Times New Roman"/>
        </w:rPr>
        <w:tab/>
      </w:r>
      <w:r>
        <w:rPr>
          <w:rFonts w:eastAsia="Times New Roman"/>
        </w:rPr>
        <w:t>Statement of Problem</w:t>
      </w:r>
      <w:bookmarkEnd w:id="9"/>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rise of antibiotic-resistant bacteria, particularly Methicillin-Resistant </w:t>
      </w:r>
      <w:r>
        <w:rPr>
          <w:rFonts w:ascii="Times New Roman" w:cs="Times New Roman" w:eastAsia="Times New Roman" w:hAnsi="Times New Roman"/>
          <w:i/>
          <w:iCs/>
          <w:sz w:val="24"/>
          <w:szCs w:val="24"/>
        </w:rPr>
        <w:t>Staphylococcus aureus</w:t>
      </w:r>
      <w:r>
        <w:rPr>
          <w:rFonts w:ascii="Times New Roman" w:cs="Times New Roman" w:eastAsia="Times New Roman" w:hAnsi="Times New Roman"/>
          <w:sz w:val="24"/>
          <w:szCs w:val="24"/>
        </w:rPr>
        <w:t xml:space="preserve"> (MRSA) and resistant strains of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poses a major public health challenge worldwide. Traditional antibiotics that were once effective are now often failing, leading to persistent infections, increased hospital stays, higher healthcare costs, and greater risk of death (World Health Organization, 2020). Despite ongoing research and the development of new antibiotics, the speed at which bacteria are evolving resistance often outpaces drug discovery efforts (</w:t>
      </w:r>
      <w:r>
        <w:rPr>
          <w:rFonts w:ascii="Times New Roman" w:cs="Times New Roman" w:eastAsia="Times New Roman" w:hAnsi="Times New Roman"/>
          <w:sz w:val="24"/>
          <w:szCs w:val="24"/>
        </w:rPr>
        <w:t>Prestinaci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Pezzotti</w:t>
      </w:r>
      <w:r>
        <w:rPr>
          <w:rFonts w:ascii="Times New Roman" w:cs="Times New Roman" w:eastAsia="Times New Roman" w:hAnsi="Times New Roman"/>
          <w:sz w:val="24"/>
          <w:szCs w:val="24"/>
        </w:rPr>
        <w:t xml:space="preserve">, &amp; </w:t>
      </w:r>
      <w:r>
        <w:rPr>
          <w:rFonts w:ascii="Times New Roman" w:cs="Times New Roman" w:eastAsia="Times New Roman" w:hAnsi="Times New Roman"/>
          <w:sz w:val="24"/>
          <w:szCs w:val="24"/>
        </w:rPr>
        <w:t>Pantosti</w:t>
      </w:r>
      <w:r>
        <w:rPr>
          <w:rFonts w:ascii="Times New Roman" w:cs="Times New Roman" w:eastAsia="Times New Roman" w:hAnsi="Times New Roman"/>
          <w:sz w:val="24"/>
          <w:szCs w:val="24"/>
        </w:rPr>
        <w:t>, 2019).</w:t>
      </w:r>
    </w:p>
    <w:p>
      <w:pPr>
        <w:pStyle w:val="style0"/>
        <w:spacing w:after="0" w:lineRule="auto" w:line="480"/>
        <w:jc w:val="both"/>
        <w:rPr>
          <w:rFonts w:ascii="Times New Roman" w:cs="Times New Roman" w:eastAsia="Times New Roman" w:hAnsi="Times New Roman"/>
          <w:i/>
          <w:sz w:val="24"/>
          <w:szCs w:val="24"/>
        </w:rPr>
      </w:pP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widely recognized for its traditional medicinal use, has shown potential antibacterial effects against various microorganisms. However, there is limited comprehensive data on its specific efficacy against resistant strains like MRSA and </w:t>
      </w:r>
      <w:r>
        <w:rPr>
          <w:rFonts w:ascii="Times New Roman" w:cs="Times New Roman" w:eastAsia="Times New Roman" w:hAnsi="Times New Roman"/>
          <w:i/>
          <w:iCs/>
          <w:sz w:val="24"/>
          <w:szCs w:val="24"/>
        </w:rPr>
        <w:t>E. coli</w:t>
      </w:r>
      <w:r>
        <w:rPr>
          <w:rFonts w:ascii="Times New Roman" w:cs="Times New Roman" w:eastAsia="Times New Roman" w:hAnsi="Times New Roman"/>
          <w:sz w:val="24"/>
          <w:szCs w:val="24"/>
        </w:rPr>
        <w:t xml:space="preserve"> under controlled laboratory conditions (</w:t>
      </w:r>
      <w:r>
        <w:rPr>
          <w:rFonts w:ascii="Times New Roman" w:cs="Times New Roman" w:eastAsia="Times New Roman" w:hAnsi="Times New Roman"/>
          <w:sz w:val="24"/>
          <w:szCs w:val="24"/>
        </w:rPr>
        <w:t>Salehi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2021). Most available studies have focused on general antimicrobial properties, but few have directly compared its activity against these two clinically significant bacteria</w:t>
      </w:r>
      <w:r>
        <w:rPr>
          <w:rFonts w:ascii="Times New Roman" w:cs="Times New Roman" w:eastAsia="Times New Roman" w:hAnsi="Times New Roman"/>
          <w:sz w:val="24"/>
          <w:szCs w:val="24"/>
        </w:rPr>
        <w:t xml:space="preserve"> hence this study of its efficacy on </w:t>
      </w:r>
      <w:r>
        <w:rPr>
          <w:rFonts w:ascii="Times New Roman" w:cs="Times New Roman" w:eastAsia="Times New Roman" w:hAnsi="Times New Roman"/>
          <w:i/>
          <w:sz w:val="24"/>
          <w:szCs w:val="24"/>
        </w:rPr>
        <w:t>MRSA</w:t>
      </w:r>
      <w:r>
        <w:rPr>
          <w:rFonts w:ascii="Times New Roman" w:cs="Times New Roman" w:eastAsia="Times New Roman" w:hAnsi="Times New Roman"/>
          <w:sz w:val="24"/>
          <w:szCs w:val="24"/>
        </w:rPr>
        <w:t xml:space="preserve"> and </w:t>
      </w:r>
      <w:r>
        <w:rPr>
          <w:rFonts w:ascii="Times New Roman" w:cs="Times New Roman" w:eastAsia="Times New Roman" w:hAnsi="Times New Roman"/>
          <w:i/>
          <w:sz w:val="24"/>
          <w:szCs w:val="24"/>
        </w:rPr>
        <w:t>E. coli</w:t>
      </w:r>
      <w:r>
        <w:rPr>
          <w:rFonts w:ascii="Times New Roman" w:cs="Times New Roman" w:eastAsia="Times New Roman" w:hAnsi="Times New Roman"/>
          <w:i/>
          <w:sz w:val="24"/>
          <w:szCs w:val="24"/>
        </w:rPr>
        <w:t>.</w:t>
      </w:r>
    </w:p>
    <w:bookmarkStart w:id="10" w:name="_Toc203146288"/>
    <w:p>
      <w:pPr>
        <w:pStyle w:val="style2"/>
        <w:spacing w:lineRule="auto" w:line="480"/>
        <w:rPr>
          <w:rFonts w:eastAsia="Times New Roman"/>
        </w:rPr>
      </w:pPr>
      <w:r>
        <w:rPr>
          <w:rFonts w:eastAsia="Times New Roman"/>
        </w:rPr>
        <w:t>1.1</w:t>
      </w:r>
      <w:r>
        <w:rPr>
          <w:rFonts w:eastAsia="Times New Roman"/>
        </w:rPr>
        <w:tab/>
      </w:r>
      <w:r>
        <w:rPr>
          <w:rFonts w:eastAsia="Times New Roman"/>
        </w:rPr>
        <w:t>J</w:t>
      </w:r>
      <w:r>
        <w:rPr>
          <w:rFonts w:eastAsia="Times New Roman"/>
        </w:rPr>
        <w:t>ustification</w:t>
      </w:r>
      <w:bookmarkEnd w:id="10"/>
      <w:r>
        <w:rPr>
          <w:rFonts w:eastAsia="Times New Roman"/>
        </w:rPr>
        <w:tab/>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growing problem of antibiotic resistance has created an urgent need for alternative antimicrobial agents. This study is significant because it explores the antibacterial potential of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a plant known for its medicinal properties, against two important resistant bacteria: MRSA and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The study could contribute valuable knowledge to the </w:t>
      </w:r>
      <w:r>
        <w:rPr>
          <w:rFonts w:ascii="Times New Roman" w:cs="Times New Roman" w:eastAsia="Times New Roman" w:hAnsi="Times New Roman"/>
          <w:sz w:val="24"/>
          <w:szCs w:val="24"/>
        </w:rPr>
        <w:t>search for new, plant-based therapies to combat resistant infections.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If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proves effective, it could offer a safer, cheaper, and more natural alternative to synthetic antibiotics, especially in low- and middle-income countries where access to modern drugs is limited (</w:t>
      </w:r>
      <w:r>
        <w:rPr>
          <w:rFonts w:ascii="Times New Roman" w:cs="Times New Roman" w:eastAsia="Times New Roman" w:hAnsi="Times New Roman"/>
          <w:sz w:val="24"/>
          <w:szCs w:val="24"/>
        </w:rPr>
        <w:t>Salehi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Ahmed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 xml:space="preserve">The study will also add to the existing body of scientific knowledge by providing updated information on the antibacterial effects of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specifically against MRSA and </w:t>
      </w:r>
      <w:r>
        <w:rPr>
          <w:rFonts w:ascii="Times New Roman" w:cs="Times New Roman" w:eastAsia="Times New Roman" w:hAnsi="Times New Roman"/>
          <w:i/>
          <w:iCs/>
          <w:sz w:val="24"/>
          <w:szCs w:val="24"/>
        </w:rPr>
        <w:t>E. coli</w:t>
      </w:r>
      <w:r>
        <w:rPr>
          <w:rFonts w:ascii="Times New Roman" w:cs="Times New Roman" w:eastAsia="Times New Roman" w:hAnsi="Times New Roman"/>
          <w:sz w:val="24"/>
          <w:szCs w:val="24"/>
        </w:rPr>
        <w:t>. This could encourage further research, clinical trials, and the development of new natural health products. Finally, the findings could support public health efforts to integrate traditional medicinal plants into modern healthcare practices, promoting more sustainable and holistic approaches to infection management.</w:t>
      </w:r>
    </w:p>
    <w:bookmarkStart w:id="11" w:name="_Toc203146289"/>
    <w:p>
      <w:pPr>
        <w:pStyle w:val="style2"/>
        <w:spacing w:lineRule="auto" w:line="480"/>
        <w:rPr>
          <w:rFonts w:eastAsia="Times New Roman"/>
        </w:rPr>
      </w:pPr>
      <w:r>
        <w:rPr>
          <w:rFonts w:eastAsia="Times New Roman"/>
        </w:rPr>
        <w:t>1.</w:t>
      </w:r>
      <w:r>
        <w:rPr>
          <w:rFonts w:eastAsia="Times New Roman"/>
        </w:rPr>
        <w:t>3</w:t>
      </w:r>
      <w:r>
        <w:rPr>
          <w:rFonts w:eastAsia="Times New Roman"/>
        </w:rPr>
        <w:tab/>
      </w:r>
      <w:r>
        <w:rPr>
          <w:rFonts w:eastAsia="Times New Roman"/>
        </w:rPr>
        <w:t>Aim and Objectives of Study</w:t>
      </w:r>
      <w:bookmarkEnd w:id="11"/>
      <w:r>
        <w:rPr>
          <w:rFonts w:eastAsia="Times New Roman"/>
        </w:rPr>
        <w:t xml:space="preserve"> </w:t>
      </w:r>
    </w:p>
    <w:bookmarkStart w:id="12" w:name="_Toc203146290"/>
    <w:p>
      <w:pPr>
        <w:pStyle w:val="style3"/>
        <w:spacing w:before="0" w:beforeAutospacing="false" w:after="0" w:afterAutospacing="false" w:lineRule="auto" w:line="480"/>
        <w:rPr>
          <w:szCs w:val="24"/>
        </w:rPr>
      </w:pPr>
      <w:r>
        <w:rPr>
          <w:szCs w:val="24"/>
        </w:rPr>
        <w:t>1.3.1</w:t>
      </w:r>
      <w:r>
        <w:rPr>
          <w:szCs w:val="24"/>
        </w:rPr>
        <w:tab/>
      </w:r>
      <w:r>
        <w:rPr>
          <w:szCs w:val="24"/>
        </w:rPr>
        <w:t>Aim of the Study</w:t>
      </w:r>
      <w:bookmarkEnd w:id="12"/>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aim of this study is to evaluate the antibacterial efficacy of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extracts against Methicillin-Resistant </w:t>
      </w:r>
      <w:r>
        <w:rPr>
          <w:rFonts w:ascii="Times New Roman" w:cs="Times New Roman" w:eastAsia="Times New Roman" w:hAnsi="Times New Roman"/>
          <w:i/>
          <w:iCs/>
          <w:sz w:val="24"/>
          <w:szCs w:val="24"/>
        </w:rPr>
        <w:t>Staphylococcus aureus</w:t>
      </w:r>
      <w:r>
        <w:rPr>
          <w:rFonts w:ascii="Times New Roman" w:cs="Times New Roman" w:eastAsia="Times New Roman" w:hAnsi="Times New Roman"/>
          <w:sz w:val="24"/>
          <w:szCs w:val="24"/>
        </w:rPr>
        <w:t xml:space="preserve"> (MRSA) and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w:t>
      </w:r>
    </w:p>
    <w:bookmarkStart w:id="13" w:name="_Toc203146291"/>
    <w:p>
      <w:pPr>
        <w:pStyle w:val="style3"/>
        <w:rPr>
          <w:bCs w:val="false"/>
          <w:szCs w:val="24"/>
        </w:rPr>
      </w:pPr>
      <w:r>
        <w:rPr>
          <w:bCs w:val="false"/>
          <w:szCs w:val="24"/>
        </w:rPr>
        <w:t>1.3.2</w:t>
      </w:r>
      <w:r>
        <w:rPr>
          <w:bCs w:val="false"/>
          <w:szCs w:val="24"/>
        </w:rPr>
        <w:tab/>
      </w:r>
      <w:r>
        <w:rPr>
          <w:bCs w:val="false"/>
          <w:szCs w:val="24"/>
        </w:rPr>
        <w:t>Specific Objectives</w:t>
      </w:r>
      <w:bookmarkEnd w:id="13"/>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specific objectives of the study are to:</w:t>
      </w:r>
    </w:p>
    <w:p>
      <w:pPr>
        <w:pStyle w:val="style0"/>
        <w:numPr>
          <w:ilvl w:val="0"/>
          <w:numId w:val="1"/>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e</w:t>
      </w:r>
      <w:r>
        <w:rPr>
          <w:rFonts w:ascii="Times New Roman" w:cs="Times New Roman" w:eastAsia="Times New Roman" w:hAnsi="Times New Roman"/>
          <w:bCs/>
          <w:sz w:val="24"/>
          <w:szCs w:val="24"/>
        </w:rPr>
        <w:t>xtract</w:t>
      </w:r>
      <w:r>
        <w:rPr>
          <w:rFonts w:ascii="Times New Roman" w:cs="Times New Roman" w:eastAsia="Times New Roman" w:hAnsi="Times New Roman"/>
          <w:bCs/>
          <w:sz w:val="24"/>
          <w:szCs w:val="24"/>
        </w:rPr>
        <w:t xml:space="preserve"> and prepare</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an</w:t>
      </w:r>
      <w:r>
        <w:rPr>
          <w:rFonts w:ascii="Times New Roman" w:cs="Times New Roman" w:eastAsia="Times New Roman" w:hAnsi="Times New Roman"/>
          <w:sz w:val="24"/>
          <w:szCs w:val="24"/>
        </w:rPr>
        <w:t xml:space="preserve"> extracts from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leaves.</w:t>
      </w:r>
    </w:p>
    <w:p>
      <w:pPr>
        <w:pStyle w:val="style0"/>
        <w:numPr>
          <w:ilvl w:val="0"/>
          <w:numId w:val="1"/>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d</w:t>
      </w:r>
      <w:r>
        <w:rPr>
          <w:rFonts w:ascii="Times New Roman" w:cs="Times New Roman" w:eastAsia="Times New Roman" w:hAnsi="Times New Roman"/>
          <w:bCs/>
          <w:sz w:val="24"/>
          <w:szCs w:val="24"/>
        </w:rPr>
        <w:t>etermine</w:t>
      </w:r>
      <w:r>
        <w:rPr>
          <w:rFonts w:ascii="Times New Roman" w:cs="Times New Roman" w:eastAsia="Times New Roman" w:hAnsi="Times New Roman"/>
          <w:bCs/>
          <w:sz w:val="24"/>
          <w:szCs w:val="24"/>
        </w:rPr>
        <w:t xml:space="preserve"> the antibacterial activity</w:t>
      </w:r>
      <w:r>
        <w:rPr>
          <w:rFonts w:ascii="Times New Roman" w:cs="Times New Roman" w:eastAsia="Times New Roman" w:hAnsi="Times New Roman"/>
          <w:sz w:val="24"/>
          <w:szCs w:val="24"/>
        </w:rPr>
        <w:t xml:space="preserve"> of </w:t>
      </w:r>
      <w:bookmarkStart w:id="14" w:name="_Hlk199157975"/>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w:t>
      </w:r>
      <w:bookmarkEnd w:id="14"/>
      <w:r>
        <w:rPr>
          <w:rFonts w:ascii="Times New Roman" w:cs="Times New Roman" w:eastAsia="Times New Roman" w:hAnsi="Times New Roman"/>
          <w:sz w:val="24"/>
          <w:szCs w:val="24"/>
        </w:rPr>
        <w:t xml:space="preserve">extract against MRSA and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using standard microbiological methods.</w:t>
      </w:r>
    </w:p>
    <w:p>
      <w:pPr>
        <w:pStyle w:val="style0"/>
        <w:numPr>
          <w:ilvl w:val="0"/>
          <w:numId w:val="1"/>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Check the phytochemical properties of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p>
    <w:p>
      <w:pPr>
        <w:pStyle w:val="style0"/>
        <w:numPr>
          <w:ilvl w:val="0"/>
          <w:numId w:val="1"/>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a</w:t>
      </w:r>
      <w:r>
        <w:rPr>
          <w:rFonts w:ascii="Times New Roman" w:cs="Times New Roman" w:eastAsia="Times New Roman" w:hAnsi="Times New Roman"/>
          <w:bCs/>
          <w:sz w:val="24"/>
          <w:szCs w:val="24"/>
        </w:rPr>
        <w:t>ssess</w:t>
      </w:r>
      <w:r>
        <w:rPr>
          <w:rFonts w:ascii="Times New Roman" w:cs="Times New Roman" w:eastAsia="Times New Roman" w:hAnsi="Times New Roman"/>
          <w:bCs/>
          <w:sz w:val="24"/>
          <w:szCs w:val="24"/>
        </w:rPr>
        <w:t xml:space="preserve"> the minimum inhibitory concentration (MIC)</w:t>
      </w:r>
      <w:r>
        <w:rPr>
          <w:rFonts w:ascii="Times New Roman" w:cs="Times New Roman" w:eastAsia="Times New Roman" w:hAnsi="Times New Roman"/>
          <w:sz w:val="24"/>
          <w:szCs w:val="24"/>
        </w:rPr>
        <w:t xml:space="preserve"> of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extract against the two bacterial strains.</w:t>
      </w:r>
    </w:p>
    <w:p>
      <w:pPr>
        <w:pStyle w:val="style0"/>
        <w:spacing w:after="0" w:lineRule="auto" w:line="480"/>
        <w:rPr>
          <w:rFonts w:ascii="Times New Roman" w:cs="Times New Roman" w:eastAsia="Times New Roman" w:hAnsi="Times New Roman"/>
          <w:b/>
          <w:sz w:val="24"/>
          <w:szCs w:val="24"/>
        </w:rPr>
      </w:pPr>
    </w:p>
    <w:bookmarkStart w:id="15" w:name="_Toc203146292"/>
    <w:p>
      <w:pPr>
        <w:pStyle w:val="style1"/>
        <w:spacing w:lineRule="auto" w:line="480"/>
        <w:jc w:val="center"/>
        <w:rPr/>
      </w:pPr>
      <w:r>
        <w:t>CHAPTER TWO</w:t>
      </w:r>
      <w:bookmarkEnd w:id="15"/>
    </w:p>
    <w:bookmarkStart w:id="16" w:name="_Toc203146293"/>
    <w:p>
      <w:pPr>
        <w:pStyle w:val="style1"/>
        <w:spacing w:lineRule="auto" w:line="480"/>
        <w:jc w:val="center"/>
        <w:rPr/>
      </w:pPr>
      <w:r>
        <w:t>LITERATURE REVIEW</w:t>
      </w:r>
      <w:bookmarkEnd w:id="16"/>
    </w:p>
    <w:bookmarkStart w:id="17" w:name="_Toc203146294"/>
    <w:p>
      <w:pPr>
        <w:pStyle w:val="style2"/>
        <w:spacing w:lineRule="auto" w:line="480"/>
        <w:rPr/>
      </w:pPr>
      <w:r>
        <w:t>2.1</w:t>
      </w:r>
      <w:r>
        <w:tab/>
      </w:r>
      <w:r>
        <w:t>Antibacterial Agents</w:t>
      </w:r>
      <w:bookmarkEnd w:id="17"/>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Antibacterial agents are substances that kill or inhibit the growth of bacteria. They are used to treat bacterial infections and can either be synthetic (produced artificially) or natural (derived from plants, animals, or microorganisms) (</w:t>
      </w:r>
      <w:r>
        <w:rPr>
          <w:rFonts w:ascii="Times New Roman" w:cs="Times New Roman" w:hAnsi="Times New Roman"/>
          <w:bCs/>
          <w:sz w:val="24"/>
          <w:szCs w:val="24"/>
        </w:rPr>
        <w:t>Ventola</w:t>
      </w:r>
      <w:r>
        <w:rPr>
          <w:rFonts w:ascii="Times New Roman" w:cs="Times New Roman" w:hAnsi="Times New Roman"/>
          <w:bCs/>
          <w:sz w:val="24"/>
          <w:szCs w:val="24"/>
        </w:rPr>
        <w:t>, 2019). The increasing resistance of bacteria to synthetic antibiotics has led to growing interest in plant-based antibacterial agents, which often contain a wide range of bioactive compounds with potential therapeutic effects (</w:t>
      </w:r>
      <w:r>
        <w:rPr>
          <w:rFonts w:ascii="Times New Roman" w:cs="Times New Roman" w:hAnsi="Times New Roman"/>
          <w:bCs/>
          <w:sz w:val="24"/>
          <w:szCs w:val="24"/>
        </w:rPr>
        <w:t>Gajdács</w:t>
      </w:r>
      <w:r>
        <w:rPr>
          <w:rFonts w:ascii="Times New Roman" w:cs="Times New Roman" w:hAnsi="Times New Roman"/>
          <w:bCs/>
          <w:sz w:val="24"/>
          <w:szCs w:val="24"/>
        </w:rPr>
        <w:t xml:space="preserve">, 2020). Plant extracts, essential oils, and phytochemicals such as flavonoids, tannins, and </w:t>
      </w:r>
      <w:r>
        <w:rPr>
          <w:rFonts w:ascii="Times New Roman" w:cs="Times New Roman" w:hAnsi="Times New Roman"/>
          <w:bCs/>
          <w:sz w:val="24"/>
          <w:szCs w:val="24"/>
        </w:rPr>
        <w:t>terpenoids</w:t>
      </w:r>
      <w:r>
        <w:rPr>
          <w:rFonts w:ascii="Times New Roman" w:cs="Times New Roman" w:hAnsi="Times New Roman"/>
          <w:bCs/>
          <w:sz w:val="24"/>
          <w:szCs w:val="24"/>
        </w:rPr>
        <w:t xml:space="preserve"> have shown significant antibacterial activities against both Gram-positive and Gram-negative bacteria (</w:t>
      </w:r>
      <w:r>
        <w:rPr>
          <w:rFonts w:ascii="Times New Roman" w:cs="Times New Roman" w:hAnsi="Times New Roman"/>
          <w:bCs/>
          <w:sz w:val="24"/>
          <w:szCs w:val="24"/>
        </w:rPr>
        <w:t>Echeverría</w:t>
      </w:r>
      <w:r>
        <w:rPr>
          <w:rFonts w:ascii="Times New Roman" w:cs="Times New Roman" w:hAnsi="Times New Roman"/>
          <w:bCs/>
          <w:sz w:val="24"/>
          <w:szCs w:val="24"/>
        </w:rPr>
        <w:t xml:space="preserve"> &amp; Albuquerque, 2020). Their mechanisms of action include disrupting bacterial cell walls, interfering with metabolism, and inhibiting nucleic acid synthesis. Natural products offer advantages such as lower toxicity, multiple modes of action, and the potential to reduce antibiotic resistance when used properly (Borges </w:t>
      </w:r>
      <w:r>
        <w:rPr>
          <w:rFonts w:ascii="Times New Roman" w:cs="Times New Roman" w:hAnsi="Times New Roman"/>
          <w:bCs/>
          <w:i/>
          <w:sz w:val="24"/>
          <w:szCs w:val="24"/>
        </w:rPr>
        <w:t>et al</w:t>
      </w:r>
      <w:r>
        <w:rPr>
          <w:rFonts w:ascii="Times New Roman" w:cs="Times New Roman" w:hAnsi="Times New Roman"/>
          <w:bCs/>
          <w:sz w:val="24"/>
          <w:szCs w:val="24"/>
        </w:rPr>
        <w:t>., 2020).</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Today, antibacterial agents come from various sources, including natural products, chemical synthesis, and biotechnological modifications. They function by targeting essential bacterial structures or processes, such as the cell wall, protein synthesis, nucleic acid replication, and metabolic pathways, ultimately leading to bacterial death or growth inhibition (</w:t>
      </w:r>
      <w:r>
        <w:rPr>
          <w:rFonts w:ascii="Times New Roman" w:cs="Times New Roman" w:hAnsi="Times New Roman"/>
          <w:bCs/>
          <w:sz w:val="24"/>
          <w:szCs w:val="24"/>
        </w:rPr>
        <w:t>Echeverría</w:t>
      </w:r>
      <w:r>
        <w:rPr>
          <w:rFonts w:ascii="Times New Roman" w:cs="Times New Roman" w:hAnsi="Times New Roman"/>
          <w:bCs/>
          <w:sz w:val="24"/>
          <w:szCs w:val="24"/>
        </w:rPr>
        <w:t xml:space="preserve"> &amp; Albuquerque, 2020). However, despite their critical role, the growing problem of bacterial resistance to existing antibiotics presents a major challenge to global health.</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In recent years, attention has increasingly turned toward exploring new antibacterial agents, particularly those derived from natural sources like plants. Studies have shown that certain medicinal plants, such as Eucalyptus </w:t>
      </w:r>
      <w:r>
        <w:rPr>
          <w:rFonts w:ascii="Times New Roman" w:cs="Times New Roman" w:hAnsi="Times New Roman"/>
          <w:bCs/>
          <w:sz w:val="24"/>
          <w:szCs w:val="24"/>
        </w:rPr>
        <w:t>globulus</w:t>
      </w:r>
      <w:r>
        <w:rPr>
          <w:rFonts w:ascii="Times New Roman" w:cs="Times New Roman" w:hAnsi="Times New Roman"/>
          <w:bCs/>
          <w:sz w:val="24"/>
          <w:szCs w:val="24"/>
        </w:rPr>
        <w:t xml:space="preserve">, contain essential oils and phytochemicals with </w:t>
      </w:r>
      <w:r>
        <w:rPr>
          <w:rFonts w:ascii="Times New Roman" w:cs="Times New Roman" w:hAnsi="Times New Roman"/>
          <w:bCs/>
          <w:sz w:val="24"/>
          <w:szCs w:val="24"/>
        </w:rPr>
        <w:t>strong antibacterial properties (</w:t>
      </w:r>
      <w:r>
        <w:rPr>
          <w:rFonts w:ascii="Times New Roman" w:cs="Times New Roman" w:hAnsi="Times New Roman"/>
          <w:bCs/>
          <w:sz w:val="24"/>
          <w:szCs w:val="24"/>
        </w:rPr>
        <w:t>Salehi</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2021). These natural compounds offer the advantage of being less likely to induce resistance compared to synthetic antibiotics, and they may provide multiple mechanisms of action against bacterial pathogens (</w:t>
      </w:r>
      <w:r>
        <w:rPr>
          <w:rFonts w:ascii="Times New Roman" w:cs="Times New Roman" w:hAnsi="Times New Roman"/>
          <w:bCs/>
          <w:sz w:val="24"/>
          <w:szCs w:val="24"/>
        </w:rPr>
        <w:t>Boukhatem</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xml:space="preserve">., 2020). Moreover, the urgency of discovering novel antibacterial agents </w:t>
      </w:r>
      <w:r>
        <w:rPr>
          <w:rFonts w:ascii="Times New Roman" w:cs="Times New Roman" w:hAnsi="Times New Roman"/>
          <w:bCs/>
          <w:sz w:val="24"/>
          <w:szCs w:val="24"/>
        </w:rPr>
        <w:t>has been heightened</w:t>
      </w:r>
      <w:r>
        <w:rPr>
          <w:rFonts w:ascii="Times New Roman" w:cs="Times New Roman" w:hAnsi="Times New Roman"/>
          <w:bCs/>
          <w:sz w:val="24"/>
          <w:szCs w:val="24"/>
        </w:rPr>
        <w:t xml:space="preserve"> by the emergence of multidrug-resistant organisms such as Methicillin-Resistant Staphylococcus aureus (MRSA) and drug-resistant strains of Escherichia coli (</w:t>
      </w:r>
      <w:r>
        <w:rPr>
          <w:rFonts w:ascii="Times New Roman" w:cs="Times New Roman" w:hAnsi="Times New Roman"/>
          <w:bCs/>
          <w:sz w:val="24"/>
          <w:szCs w:val="24"/>
        </w:rPr>
        <w:t>Elbehiry</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2022). These resistant strains cause infections that are harder and more expensive to treat, and they lead to higher rates of mortality and prolonged hospital stays. As a result, research into plant-based antibacterial agents is gaining significant momentum, offering hope for new, effective treatments that can complement or replace existing antibiotics.</w:t>
      </w:r>
    </w:p>
    <w:bookmarkStart w:id="18" w:name="_Toc203146295"/>
    <w:p>
      <w:pPr>
        <w:pStyle w:val="style3"/>
        <w:rPr>
          <w:bCs w:val="false"/>
          <w:szCs w:val="24"/>
        </w:rPr>
      </w:pPr>
      <w:r>
        <w:rPr>
          <w:bCs w:val="false"/>
          <w:szCs w:val="24"/>
        </w:rPr>
        <w:t>2.1.1</w:t>
      </w:r>
      <w:r>
        <w:rPr>
          <w:bCs w:val="false"/>
          <w:szCs w:val="24"/>
        </w:rPr>
        <w:tab/>
      </w:r>
      <w:r>
        <w:rPr>
          <w:bCs w:val="false"/>
          <w:szCs w:val="24"/>
        </w:rPr>
        <w:t>Types of Antibacterial Agents</w:t>
      </w:r>
      <w:bookmarkEnd w:id="18"/>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Antibacterial agents </w:t>
      </w:r>
      <w:r>
        <w:rPr>
          <w:rFonts w:ascii="Times New Roman" w:cs="Times New Roman" w:hAnsi="Times New Roman"/>
          <w:bCs/>
          <w:sz w:val="24"/>
          <w:szCs w:val="24"/>
        </w:rPr>
        <w:t>can be broadly classified</w:t>
      </w:r>
      <w:r>
        <w:rPr>
          <w:rFonts w:ascii="Times New Roman" w:cs="Times New Roman" w:hAnsi="Times New Roman"/>
          <w:bCs/>
          <w:sz w:val="24"/>
          <w:szCs w:val="24"/>
        </w:rPr>
        <w:t xml:space="preserve"> based on their origin, spectrum of activity, and mechanism of action. These agents have revolutionized the treatment of bacterial infections, enabling healthcare professionals to manage diseases that </w:t>
      </w:r>
      <w:r>
        <w:rPr>
          <w:rFonts w:ascii="Times New Roman" w:cs="Times New Roman" w:hAnsi="Times New Roman"/>
          <w:bCs/>
          <w:sz w:val="24"/>
          <w:szCs w:val="24"/>
        </w:rPr>
        <w:t>were once considered</w:t>
      </w:r>
      <w:r>
        <w:rPr>
          <w:rFonts w:ascii="Times New Roman" w:cs="Times New Roman" w:hAnsi="Times New Roman"/>
          <w:bCs/>
          <w:sz w:val="24"/>
          <w:szCs w:val="24"/>
        </w:rPr>
        <w:t xml:space="preserve"> fatal. This section explores the different types of antibacterial agents, highlighting their origins, therapeutic roles, and methods of action against pathogenic bacteria.</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Origin of Antibacterial Agents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Antibacterial agents </w:t>
      </w:r>
      <w:r>
        <w:rPr>
          <w:rFonts w:ascii="Times New Roman" w:cs="Times New Roman" w:hAnsi="Times New Roman"/>
          <w:bCs/>
          <w:sz w:val="24"/>
          <w:szCs w:val="24"/>
        </w:rPr>
        <w:t>can be categorized</w:t>
      </w:r>
      <w:r>
        <w:rPr>
          <w:rFonts w:ascii="Times New Roman" w:cs="Times New Roman" w:hAnsi="Times New Roman"/>
          <w:bCs/>
          <w:sz w:val="24"/>
          <w:szCs w:val="24"/>
        </w:rPr>
        <w:t xml:space="preserve"> based on their origin, which determines their composition and the process of their development. The three main types of antibacterial agents based on origin are natural, semi-synthetic, and synthetic agents.</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Natural Antibacterial Agents </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These agents </w:t>
      </w:r>
      <w:r>
        <w:rPr>
          <w:rFonts w:ascii="Times New Roman" w:cs="Times New Roman" w:hAnsi="Times New Roman"/>
          <w:bCs/>
          <w:sz w:val="24"/>
          <w:szCs w:val="24"/>
        </w:rPr>
        <w:t>are derived</w:t>
      </w:r>
      <w:r>
        <w:rPr>
          <w:rFonts w:ascii="Times New Roman" w:cs="Times New Roman" w:hAnsi="Times New Roman"/>
          <w:bCs/>
          <w:sz w:val="24"/>
          <w:szCs w:val="24"/>
        </w:rPr>
        <w:t xml:space="preserve"> from naturally occurring sources, such as microorganisms, plants, and other natural substances. One of the most notable examples is penicillin, discovered from the mold </w:t>
      </w:r>
      <w:r>
        <w:rPr>
          <w:rFonts w:ascii="Times New Roman" w:cs="Times New Roman" w:hAnsi="Times New Roman"/>
          <w:bCs/>
          <w:sz w:val="24"/>
          <w:szCs w:val="24"/>
        </w:rPr>
        <w:t>Penicillium</w:t>
      </w:r>
      <w:r>
        <w:rPr>
          <w:rFonts w:ascii="Times New Roman" w:cs="Times New Roman" w:hAnsi="Times New Roman"/>
          <w:bCs/>
          <w:sz w:val="24"/>
          <w:szCs w:val="24"/>
        </w:rPr>
        <w:t xml:space="preserve"> .</w:t>
      </w:r>
      <w:r>
        <w:rPr>
          <w:rFonts w:ascii="Times New Roman" w:cs="Times New Roman" w:hAnsi="Times New Roman"/>
          <w:bCs/>
          <w:sz w:val="24"/>
          <w:szCs w:val="24"/>
        </w:rPr>
        <w:t xml:space="preserve"> Natural compounds have been a cornerstone of antibiotic development, with many modern antibiotics still based on their natural origins. Plant-based antibacterial agents, such as those derived from Eucalyptus </w:t>
      </w:r>
      <w:r>
        <w:rPr>
          <w:rFonts w:ascii="Times New Roman" w:cs="Times New Roman" w:hAnsi="Times New Roman"/>
          <w:bCs/>
          <w:sz w:val="24"/>
          <w:szCs w:val="24"/>
        </w:rPr>
        <w:t>globulus</w:t>
      </w:r>
      <w:r>
        <w:rPr>
          <w:rFonts w:ascii="Times New Roman" w:cs="Times New Roman" w:hAnsi="Times New Roman"/>
          <w:bCs/>
          <w:sz w:val="24"/>
          <w:szCs w:val="24"/>
        </w:rPr>
        <w:t>, have also gained attention for their promising antibacterial properties, offering an alternative to synthetic antibiotics (</w:t>
      </w:r>
      <w:r>
        <w:rPr>
          <w:rFonts w:ascii="Times New Roman" w:cs="Times New Roman" w:hAnsi="Times New Roman"/>
          <w:bCs/>
          <w:sz w:val="24"/>
          <w:szCs w:val="24"/>
        </w:rPr>
        <w:t>Salehi</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2021).</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Semi-Synthetic Antibacterial Agents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Semi-synthetic antibiotics are chemical derivatives of natural compounds. These agents </w:t>
      </w:r>
      <w:r>
        <w:rPr>
          <w:rFonts w:ascii="Times New Roman" w:cs="Times New Roman" w:hAnsi="Times New Roman"/>
          <w:bCs/>
          <w:sz w:val="24"/>
          <w:szCs w:val="24"/>
        </w:rPr>
        <w:t>are modified</w:t>
      </w:r>
      <w:r>
        <w:rPr>
          <w:rFonts w:ascii="Times New Roman" w:cs="Times New Roman" w:hAnsi="Times New Roman"/>
          <w:bCs/>
          <w:sz w:val="24"/>
          <w:szCs w:val="24"/>
        </w:rPr>
        <w:t xml:space="preserve"> to enhance their antibacterial activity or to overcome specific bacterial resistances. For example, amoxicillin, derived from penicillin, </w:t>
      </w:r>
      <w:r>
        <w:rPr>
          <w:rFonts w:ascii="Times New Roman" w:cs="Times New Roman" w:hAnsi="Times New Roman"/>
          <w:bCs/>
          <w:sz w:val="24"/>
          <w:szCs w:val="24"/>
        </w:rPr>
        <w:t>has been chemically altered</w:t>
      </w:r>
      <w:r>
        <w:rPr>
          <w:rFonts w:ascii="Times New Roman" w:cs="Times New Roman" w:hAnsi="Times New Roman"/>
          <w:bCs/>
          <w:sz w:val="24"/>
          <w:szCs w:val="24"/>
        </w:rPr>
        <w:t xml:space="preserve"> to expand its effectiveness against a broader range of bacteria, particularly Escherichia coli and Streptococcus species (Livermore, 2020).</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Synthetic Antibacterial Agents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These antibiotics </w:t>
      </w:r>
      <w:r>
        <w:rPr>
          <w:rFonts w:ascii="Times New Roman" w:cs="Times New Roman" w:hAnsi="Times New Roman"/>
          <w:bCs/>
          <w:sz w:val="24"/>
          <w:szCs w:val="24"/>
        </w:rPr>
        <w:t>are entirely chemically synthesized</w:t>
      </w:r>
      <w:r>
        <w:rPr>
          <w:rFonts w:ascii="Times New Roman" w:cs="Times New Roman" w:hAnsi="Times New Roman"/>
          <w:bCs/>
          <w:sz w:val="24"/>
          <w:szCs w:val="24"/>
        </w:rPr>
        <w:t xml:space="preserve"> in laboratories. Sulfonamides and fluoroquinolones are prime examples of synthetic agents that </w:t>
      </w:r>
      <w:r>
        <w:rPr>
          <w:rFonts w:ascii="Times New Roman" w:cs="Times New Roman" w:hAnsi="Times New Roman"/>
          <w:bCs/>
          <w:sz w:val="24"/>
          <w:szCs w:val="24"/>
        </w:rPr>
        <w:t>were developed</w:t>
      </w:r>
      <w:r>
        <w:rPr>
          <w:rFonts w:ascii="Times New Roman" w:cs="Times New Roman" w:hAnsi="Times New Roman"/>
          <w:bCs/>
          <w:sz w:val="24"/>
          <w:szCs w:val="24"/>
        </w:rPr>
        <w:t xml:space="preserve"> to target specific bacterial processes (Blair </w:t>
      </w:r>
      <w:r>
        <w:rPr>
          <w:rFonts w:ascii="Times New Roman" w:cs="Times New Roman" w:hAnsi="Times New Roman"/>
          <w:bCs/>
          <w:i/>
          <w:sz w:val="24"/>
          <w:szCs w:val="24"/>
        </w:rPr>
        <w:t>et al</w:t>
      </w:r>
      <w:r>
        <w:rPr>
          <w:rFonts w:ascii="Times New Roman" w:cs="Times New Roman" w:hAnsi="Times New Roman"/>
          <w:bCs/>
          <w:sz w:val="24"/>
          <w:szCs w:val="24"/>
        </w:rPr>
        <w:t xml:space="preserve">., 2015). The advantage of synthetic agents lies in their ability to </w:t>
      </w:r>
      <w:r>
        <w:rPr>
          <w:rFonts w:ascii="Times New Roman" w:cs="Times New Roman" w:hAnsi="Times New Roman"/>
          <w:bCs/>
          <w:sz w:val="24"/>
          <w:szCs w:val="24"/>
        </w:rPr>
        <w:t>be tailored</w:t>
      </w:r>
      <w:r>
        <w:rPr>
          <w:rFonts w:ascii="Times New Roman" w:cs="Times New Roman" w:hAnsi="Times New Roman"/>
          <w:bCs/>
          <w:sz w:val="24"/>
          <w:szCs w:val="24"/>
        </w:rPr>
        <w:t xml:space="preserve"> for specific therapeutic needs, providing a wide range of options for clinicians.</w:t>
      </w:r>
    </w:p>
    <w:bookmarkStart w:id="19" w:name="_Toc203146296"/>
    <w:p>
      <w:pPr>
        <w:pStyle w:val="style3"/>
        <w:rPr>
          <w:bCs w:val="false"/>
          <w:szCs w:val="24"/>
        </w:rPr>
      </w:pPr>
      <w:r>
        <w:rPr>
          <w:bCs w:val="false"/>
          <w:szCs w:val="24"/>
        </w:rPr>
        <w:t>2.1.2</w:t>
      </w:r>
      <w:r>
        <w:rPr>
          <w:bCs w:val="false"/>
          <w:szCs w:val="24"/>
        </w:rPr>
        <w:tab/>
      </w:r>
      <w:r>
        <w:rPr>
          <w:bCs w:val="false"/>
          <w:szCs w:val="24"/>
        </w:rPr>
        <w:t>Spectrum of Activity</w:t>
      </w:r>
      <w:bookmarkEnd w:id="19"/>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The spectrum of activity refers to the range of bacterial species that an antibacterial agent can effectively target. Based on their spectrum, antibacterial agents are classified into narrow-spectrum and broad-spectrum agents.</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Narrow-Spectrum Antibacterial Agents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These agents target specific types of bacteria. For example, vancomycin is particularly effective against Gram-positive bacteria such as Staphylococcus aureus and Clostridium difficile (Cohen, 2019). Narrow-spectrum agents are typically preferred when the causative bacterial pathogen </w:t>
      </w:r>
      <w:r>
        <w:rPr>
          <w:rFonts w:ascii="Times New Roman" w:cs="Times New Roman" w:hAnsi="Times New Roman"/>
          <w:bCs/>
          <w:sz w:val="24"/>
          <w:szCs w:val="24"/>
        </w:rPr>
        <w:t xml:space="preserve">is </w:t>
      </w:r>
      <w:r>
        <w:rPr>
          <w:rFonts w:ascii="Times New Roman" w:cs="Times New Roman" w:hAnsi="Times New Roman"/>
          <w:bCs/>
          <w:sz w:val="24"/>
          <w:szCs w:val="24"/>
        </w:rPr>
        <w:t>known</w:t>
      </w:r>
      <w:r>
        <w:rPr>
          <w:rFonts w:ascii="Times New Roman" w:cs="Times New Roman" w:hAnsi="Times New Roman"/>
          <w:bCs/>
          <w:sz w:val="24"/>
          <w:szCs w:val="24"/>
        </w:rPr>
        <w:t>, as they minimize the disruption to beneficial microbiota and reduce the likelihood of resistance development.</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Broad-Spectrum Antibacterial Agents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In contrast, broad-spectrum antibiotics are effective against a wide range of bacterial species, both Gram-positive and Gram-negative. </w:t>
      </w:r>
      <w:r>
        <w:rPr>
          <w:rFonts w:ascii="Times New Roman" w:cs="Times New Roman" w:hAnsi="Times New Roman"/>
          <w:bCs/>
          <w:sz w:val="24"/>
          <w:szCs w:val="24"/>
        </w:rPr>
        <w:t>Tetracyclines</w:t>
      </w:r>
      <w:r>
        <w:rPr>
          <w:rFonts w:ascii="Times New Roman" w:cs="Times New Roman" w:hAnsi="Times New Roman"/>
          <w:bCs/>
          <w:sz w:val="24"/>
          <w:szCs w:val="24"/>
        </w:rPr>
        <w:t xml:space="preserve"> and fluoroquinolones are prime examples of broad-spectrum antibiotics (</w:t>
      </w:r>
      <w:r>
        <w:rPr>
          <w:rFonts w:ascii="Times New Roman" w:cs="Times New Roman" w:hAnsi="Times New Roman"/>
          <w:bCs/>
          <w:sz w:val="24"/>
          <w:szCs w:val="24"/>
        </w:rPr>
        <w:t>Deo</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2018). These agents are particularly useful when the infecting pathogen is unknown, or when multiple bacteria are involved in an infection. However, overuse of broad-spectrum antibiotics is associated with the development of resistance and disruption of the normal microbiome.</w:t>
      </w:r>
    </w:p>
    <w:bookmarkStart w:id="20" w:name="_Toc203146297"/>
    <w:p>
      <w:pPr>
        <w:pStyle w:val="style3"/>
        <w:rPr/>
      </w:pPr>
      <w:r>
        <w:t>2.1.3</w:t>
      </w:r>
      <w:r>
        <w:tab/>
      </w:r>
      <w:r>
        <w:t>Mechanisms of Action</w:t>
      </w:r>
      <w:bookmarkEnd w:id="20"/>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Antibacterial agents exert their therapeutic effects by targeting specific bacterial structures or processes, thereby interfering with bacterial growth or survival. These mechanisms </w:t>
      </w:r>
      <w:r>
        <w:rPr>
          <w:rFonts w:ascii="Times New Roman" w:cs="Times New Roman" w:hAnsi="Times New Roman"/>
          <w:bCs/>
          <w:sz w:val="24"/>
          <w:szCs w:val="24"/>
        </w:rPr>
        <w:t>can be grouped</w:t>
      </w:r>
      <w:r>
        <w:rPr>
          <w:rFonts w:ascii="Times New Roman" w:cs="Times New Roman" w:hAnsi="Times New Roman"/>
          <w:bCs/>
          <w:sz w:val="24"/>
          <w:szCs w:val="24"/>
        </w:rPr>
        <w:t xml:space="preserve"> into several categories based on the target within the bacterial cell.</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1.</w:t>
      </w:r>
      <w:r>
        <w:rPr>
          <w:rFonts w:ascii="Times New Roman" w:cs="Times New Roman" w:hAnsi="Times New Roman"/>
          <w:b/>
          <w:sz w:val="24"/>
          <w:szCs w:val="24"/>
        </w:rPr>
        <w:tab/>
      </w:r>
      <w:r>
        <w:rPr>
          <w:rFonts w:ascii="Times New Roman" w:cs="Times New Roman" w:hAnsi="Times New Roman"/>
          <w:bCs/>
          <w:sz w:val="24"/>
          <w:szCs w:val="24"/>
        </w:rPr>
        <w:t>Cell Wall Synthesis Inhibitors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Many antibiotics, such as β-lactams (including penicillin and </w:t>
      </w:r>
      <w:r>
        <w:rPr>
          <w:rFonts w:ascii="Times New Roman" w:cs="Times New Roman" w:hAnsi="Times New Roman"/>
          <w:bCs/>
          <w:sz w:val="24"/>
          <w:szCs w:val="24"/>
        </w:rPr>
        <w:t>cephalosporins</w:t>
      </w:r>
      <w:r>
        <w:rPr>
          <w:rFonts w:ascii="Times New Roman" w:cs="Times New Roman" w:hAnsi="Times New Roman"/>
          <w:bCs/>
          <w:sz w:val="24"/>
          <w:szCs w:val="24"/>
        </w:rPr>
        <w:t>), target bacterial cell wall synthesis. Bacterial cell walls are crucial for maintaining the structural integrity of the cell, and when their synthesis is blocked, the bacteria are unable to survive. This leads to cell lysis and death, particularly in Gram-positive bacteria (</w:t>
      </w:r>
      <w:r>
        <w:rPr>
          <w:rFonts w:ascii="Times New Roman" w:cs="Times New Roman" w:hAnsi="Times New Roman"/>
          <w:bCs/>
          <w:sz w:val="24"/>
          <w:szCs w:val="24"/>
        </w:rPr>
        <w:t>Gajdács</w:t>
      </w:r>
      <w:r>
        <w:rPr>
          <w:rFonts w:ascii="Times New Roman" w:cs="Times New Roman" w:hAnsi="Times New Roman"/>
          <w:bCs/>
          <w:sz w:val="24"/>
          <w:szCs w:val="24"/>
        </w:rPr>
        <w:t>, 2020).</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2.</w:t>
      </w:r>
      <w:r>
        <w:rPr>
          <w:rFonts w:ascii="Times New Roman" w:cs="Times New Roman" w:hAnsi="Times New Roman"/>
          <w:bCs/>
          <w:sz w:val="24"/>
          <w:szCs w:val="24"/>
        </w:rPr>
        <w:tab/>
      </w:r>
      <w:r>
        <w:rPr>
          <w:rFonts w:ascii="Times New Roman" w:cs="Times New Roman" w:hAnsi="Times New Roman"/>
          <w:bCs/>
          <w:sz w:val="24"/>
          <w:szCs w:val="24"/>
        </w:rPr>
        <w:t>Protein Synthesis Inhibitors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Tetracyclines</w:t>
      </w:r>
      <w:r>
        <w:rPr>
          <w:rFonts w:ascii="Times New Roman" w:cs="Times New Roman" w:hAnsi="Times New Roman"/>
          <w:bCs/>
          <w:sz w:val="24"/>
          <w:szCs w:val="24"/>
        </w:rPr>
        <w:t>, macrolides, and aminoglycosides are antibiotics that inhibit bacterial protein synthesis. These agents bind to bacterial ribosomes and prevent the assembly of proteins, essential for bacterial growth and function. Without the ability to synthesize proteins, bacteria are unable to replicate or perform vital functions, leading to their death or inhibition (</w:t>
      </w:r>
      <w:r>
        <w:rPr>
          <w:rFonts w:ascii="Times New Roman" w:cs="Times New Roman" w:hAnsi="Times New Roman"/>
          <w:bCs/>
          <w:sz w:val="24"/>
          <w:szCs w:val="24"/>
        </w:rPr>
        <w:t>Boukhatem</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2020).</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3.</w:t>
      </w:r>
      <w:r>
        <w:rPr>
          <w:rFonts w:ascii="Times New Roman" w:cs="Times New Roman" w:hAnsi="Times New Roman"/>
          <w:bCs/>
          <w:sz w:val="24"/>
          <w:szCs w:val="24"/>
        </w:rPr>
        <w:tab/>
      </w:r>
      <w:r>
        <w:rPr>
          <w:rFonts w:ascii="Times New Roman" w:cs="Times New Roman" w:hAnsi="Times New Roman"/>
          <w:bCs/>
          <w:sz w:val="24"/>
          <w:szCs w:val="24"/>
        </w:rPr>
        <w:t>DNA Synthesis Inhibitors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Fluoroquinolones such as ciprofloxacin and levofloxacin work by inhibiting the enzymes involved in DNA replication, such as DNA gyrase and topoisomerase. These enzymes are necessary for maintaining the integrity of the bacterial genome, and their inhibition prevents bacterial DNA from unwinding, ultimately leading to bacterial cell death (</w:t>
      </w:r>
      <w:r>
        <w:rPr>
          <w:rFonts w:ascii="Times New Roman" w:cs="Times New Roman" w:hAnsi="Times New Roman"/>
          <w:bCs/>
          <w:sz w:val="24"/>
          <w:szCs w:val="24"/>
        </w:rPr>
        <w:t>Echeverría</w:t>
      </w:r>
      <w:r>
        <w:rPr>
          <w:rFonts w:ascii="Times New Roman" w:cs="Times New Roman" w:hAnsi="Times New Roman"/>
          <w:bCs/>
          <w:sz w:val="24"/>
          <w:szCs w:val="24"/>
        </w:rPr>
        <w:t xml:space="preserve"> &amp; Albuquerque, 2020).</w:t>
      </w:r>
    </w:p>
    <w:p>
      <w:pPr>
        <w:pStyle w:val="style0"/>
        <w:spacing w:after="0" w:lineRule="auto" w:line="480"/>
        <w:jc w:val="both"/>
        <w:rPr>
          <w:rFonts w:ascii="Times New Roman" w:cs="Times New Roman" w:hAnsi="Times New Roman"/>
          <w:bCs/>
          <w:sz w:val="24"/>
          <w:szCs w:val="24"/>
        </w:rPr>
      </w:pP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4.</w:t>
      </w:r>
      <w:r>
        <w:rPr>
          <w:rFonts w:ascii="Times New Roman" w:cs="Times New Roman" w:hAnsi="Times New Roman"/>
          <w:bCs/>
          <w:sz w:val="24"/>
          <w:szCs w:val="24"/>
        </w:rPr>
        <w:tab/>
      </w:r>
      <w:r>
        <w:rPr>
          <w:rFonts w:ascii="Times New Roman" w:cs="Times New Roman" w:hAnsi="Times New Roman"/>
          <w:bCs/>
          <w:sz w:val="24"/>
          <w:szCs w:val="24"/>
        </w:rPr>
        <w:t>Cell Membrane Disruptors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Polymyxins</w:t>
      </w:r>
      <w:r>
        <w:rPr>
          <w:rFonts w:ascii="Times New Roman" w:cs="Times New Roman" w:hAnsi="Times New Roman"/>
          <w:bCs/>
          <w:sz w:val="24"/>
          <w:szCs w:val="24"/>
        </w:rPr>
        <w:t xml:space="preserve">, such as </w:t>
      </w:r>
      <w:r>
        <w:rPr>
          <w:rFonts w:ascii="Times New Roman" w:cs="Times New Roman" w:hAnsi="Times New Roman"/>
          <w:bCs/>
          <w:sz w:val="24"/>
          <w:szCs w:val="24"/>
        </w:rPr>
        <w:t>polymyxin</w:t>
      </w:r>
      <w:r>
        <w:rPr>
          <w:rFonts w:ascii="Times New Roman" w:cs="Times New Roman" w:hAnsi="Times New Roman"/>
          <w:bCs/>
          <w:sz w:val="24"/>
          <w:szCs w:val="24"/>
        </w:rPr>
        <w:t xml:space="preserve"> B and </w:t>
      </w:r>
      <w:r>
        <w:rPr>
          <w:rFonts w:ascii="Times New Roman" w:cs="Times New Roman" w:hAnsi="Times New Roman"/>
          <w:bCs/>
          <w:sz w:val="24"/>
          <w:szCs w:val="24"/>
        </w:rPr>
        <w:t>colistin</w:t>
      </w:r>
      <w:r>
        <w:rPr>
          <w:rFonts w:ascii="Times New Roman" w:cs="Times New Roman" w:hAnsi="Times New Roman"/>
          <w:bCs/>
          <w:sz w:val="24"/>
          <w:szCs w:val="24"/>
        </w:rPr>
        <w:t xml:space="preserve">, interact with the outer membrane of Gram-negative bacteria, increasing membrane permeability. This leads to the leakage of vital cellular contents, causing cell death. </w:t>
      </w:r>
      <w:r>
        <w:rPr>
          <w:rFonts w:ascii="Times New Roman" w:cs="Times New Roman" w:hAnsi="Times New Roman"/>
          <w:bCs/>
          <w:sz w:val="24"/>
          <w:szCs w:val="24"/>
        </w:rPr>
        <w:t>Polymyxins</w:t>
      </w:r>
      <w:r>
        <w:rPr>
          <w:rFonts w:ascii="Times New Roman" w:cs="Times New Roman" w:hAnsi="Times New Roman"/>
          <w:bCs/>
          <w:sz w:val="24"/>
          <w:szCs w:val="24"/>
        </w:rPr>
        <w:t xml:space="preserve"> </w:t>
      </w:r>
      <w:r>
        <w:rPr>
          <w:rFonts w:ascii="Times New Roman" w:cs="Times New Roman" w:hAnsi="Times New Roman"/>
          <w:bCs/>
          <w:sz w:val="24"/>
          <w:szCs w:val="24"/>
        </w:rPr>
        <w:t>are often reserved</w:t>
      </w:r>
      <w:r>
        <w:rPr>
          <w:rFonts w:ascii="Times New Roman" w:cs="Times New Roman" w:hAnsi="Times New Roman"/>
          <w:bCs/>
          <w:sz w:val="24"/>
          <w:szCs w:val="24"/>
        </w:rPr>
        <w:t xml:space="preserve"> for multi-drug-resistant Gram-negative infections due to their potency and potential toxicity (</w:t>
      </w:r>
      <w:r>
        <w:rPr>
          <w:rFonts w:ascii="Times New Roman" w:cs="Times New Roman" w:hAnsi="Times New Roman"/>
          <w:bCs/>
          <w:sz w:val="24"/>
          <w:szCs w:val="24"/>
        </w:rPr>
        <w:t>Gorib</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2021).</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5.</w:t>
      </w:r>
      <w:r>
        <w:rPr>
          <w:rFonts w:ascii="Times New Roman" w:cs="Times New Roman" w:hAnsi="Times New Roman"/>
          <w:bCs/>
          <w:sz w:val="24"/>
          <w:szCs w:val="24"/>
        </w:rPr>
        <w:tab/>
      </w:r>
      <w:r>
        <w:rPr>
          <w:rFonts w:ascii="Times New Roman" w:cs="Times New Roman" w:hAnsi="Times New Roman"/>
          <w:bCs/>
          <w:sz w:val="24"/>
          <w:szCs w:val="24"/>
        </w:rPr>
        <w:t>Metabolic Pathway Inhibitors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Sulfonamides and trimethoprim inhibit bacterial folic acid synthesis, a pathway crucial for bacterial survival. By blocking the production of folic acid, which is essential for DNA synthesis and cell division, these antibiotics effectively stop bacterial replication and growth (Blair </w:t>
      </w:r>
      <w:r>
        <w:rPr>
          <w:rFonts w:ascii="Times New Roman" w:cs="Times New Roman" w:hAnsi="Times New Roman"/>
          <w:bCs/>
          <w:i/>
          <w:sz w:val="24"/>
          <w:szCs w:val="24"/>
        </w:rPr>
        <w:t>et al</w:t>
      </w:r>
      <w:r>
        <w:rPr>
          <w:rFonts w:ascii="Times New Roman" w:cs="Times New Roman" w:hAnsi="Times New Roman"/>
          <w:bCs/>
          <w:sz w:val="24"/>
          <w:szCs w:val="24"/>
        </w:rPr>
        <w:t>., 2015).</w:t>
      </w:r>
    </w:p>
    <w:bookmarkStart w:id="21" w:name="_Toc203146298"/>
    <w:p>
      <w:pPr>
        <w:pStyle w:val="style3"/>
        <w:rPr/>
      </w:pPr>
      <w:r>
        <w:t>2.1.4</w:t>
      </w:r>
      <w:r>
        <w:tab/>
      </w:r>
      <w:r>
        <w:t>Combination Therapy</w:t>
      </w:r>
      <w:bookmarkEnd w:id="21"/>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In the fight against multidrug-resistant bacteria, combination therapies have become an essential tool. These therapies involve the use of two or more antibacterial agents simultaneously, often with complementary mechanisms of action. This approach can enhance the antibacterial effect, prevent the emergence of resistance, and improve treatment outcomes (Paterson &amp; </w:t>
      </w:r>
      <w:r>
        <w:rPr>
          <w:rFonts w:ascii="Times New Roman" w:cs="Times New Roman" w:hAnsi="Times New Roman"/>
          <w:bCs/>
          <w:sz w:val="24"/>
          <w:szCs w:val="24"/>
        </w:rPr>
        <w:t>Bonomo</w:t>
      </w:r>
      <w:r>
        <w:rPr>
          <w:rFonts w:ascii="Times New Roman" w:cs="Times New Roman" w:hAnsi="Times New Roman"/>
          <w:bCs/>
          <w:sz w:val="24"/>
          <w:szCs w:val="24"/>
        </w:rPr>
        <w:t xml:space="preserve">, 2020). For example, combining β-lactams with β-lactamase inhibitors can restore the effectiveness </w:t>
      </w:r>
      <w:r>
        <w:rPr>
          <w:rFonts w:ascii="Times New Roman" w:cs="Times New Roman" w:hAnsi="Times New Roman"/>
          <w:bCs/>
          <w:sz w:val="24"/>
          <w:szCs w:val="24"/>
        </w:rPr>
        <w:t>of the former against bacteria that produce β-lactamase, an enzyme that degrades penicillin and related drugs.</w:t>
      </w:r>
    </w:p>
    <w:bookmarkStart w:id="22" w:name="_Toc203146299"/>
    <w:p>
      <w:pPr>
        <w:pStyle w:val="style2"/>
        <w:rPr/>
      </w:pPr>
      <w:r>
        <w:t>2.2</w:t>
      </w:r>
      <w:r>
        <w:tab/>
      </w:r>
      <w:r>
        <w:t xml:space="preserve">Overview of Eucalyptus </w:t>
      </w:r>
      <w:r>
        <w:t>globulus</w:t>
      </w:r>
      <w:bookmarkEnd w:id="22"/>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Eucalyptus </w:t>
      </w:r>
      <w:r>
        <w:rPr>
          <w:rFonts w:ascii="Times New Roman" w:cs="Times New Roman" w:hAnsi="Times New Roman"/>
          <w:bCs/>
          <w:sz w:val="24"/>
          <w:szCs w:val="24"/>
        </w:rPr>
        <w:t>globulus</w:t>
      </w:r>
      <w:r>
        <w:rPr>
          <w:rFonts w:ascii="Times New Roman" w:cs="Times New Roman" w:hAnsi="Times New Roman"/>
          <w:bCs/>
          <w:sz w:val="24"/>
          <w:szCs w:val="24"/>
        </w:rPr>
        <w:t xml:space="preserve"> </w:t>
      </w:r>
      <w:r>
        <w:rPr>
          <w:rFonts w:ascii="Times New Roman" w:cs="Times New Roman" w:hAnsi="Times New Roman"/>
          <w:bCs/>
          <w:sz w:val="24"/>
          <w:szCs w:val="24"/>
        </w:rPr>
        <w:t>is commonly known</w:t>
      </w:r>
      <w:r>
        <w:rPr>
          <w:rFonts w:ascii="Times New Roman" w:cs="Times New Roman" w:hAnsi="Times New Roman"/>
          <w:bCs/>
          <w:sz w:val="24"/>
          <w:szCs w:val="24"/>
        </w:rPr>
        <w:t xml:space="preserve"> as the blue gum tree and it is a species of evergreen tree native to Australia. It belongs to the </w:t>
      </w:r>
      <w:r>
        <w:rPr>
          <w:rFonts w:ascii="Times New Roman" w:cs="Times New Roman" w:hAnsi="Times New Roman"/>
          <w:bCs/>
          <w:sz w:val="24"/>
          <w:szCs w:val="24"/>
        </w:rPr>
        <w:t>Myrtaceae</w:t>
      </w:r>
      <w:r>
        <w:rPr>
          <w:rFonts w:ascii="Times New Roman" w:cs="Times New Roman" w:hAnsi="Times New Roman"/>
          <w:bCs/>
          <w:sz w:val="24"/>
          <w:szCs w:val="24"/>
        </w:rPr>
        <w:t xml:space="preserve"> family, which includes a diverse range of trees and shrubs. Eucalyptus </w:t>
      </w:r>
      <w:r>
        <w:rPr>
          <w:rFonts w:ascii="Times New Roman" w:cs="Times New Roman" w:hAnsi="Times New Roman"/>
          <w:bCs/>
          <w:sz w:val="24"/>
          <w:szCs w:val="24"/>
        </w:rPr>
        <w:t>globulus</w:t>
      </w:r>
      <w:r>
        <w:rPr>
          <w:rFonts w:ascii="Times New Roman" w:cs="Times New Roman" w:hAnsi="Times New Roman"/>
          <w:bCs/>
          <w:sz w:val="24"/>
          <w:szCs w:val="24"/>
        </w:rPr>
        <w:t xml:space="preserve"> is one of the most economically significant species within the genus Eucalyptus, due to its widespread use in the timber, paper, and medicinal industries (Sharma </w:t>
      </w:r>
      <w:r>
        <w:rPr>
          <w:rFonts w:ascii="Times New Roman" w:cs="Times New Roman" w:hAnsi="Times New Roman"/>
          <w:bCs/>
          <w:i/>
          <w:sz w:val="24"/>
          <w:szCs w:val="24"/>
        </w:rPr>
        <w:t>et al</w:t>
      </w:r>
      <w:r>
        <w:rPr>
          <w:rFonts w:ascii="Times New Roman" w:cs="Times New Roman" w:hAnsi="Times New Roman"/>
          <w:bCs/>
          <w:sz w:val="24"/>
          <w:szCs w:val="24"/>
        </w:rPr>
        <w:t xml:space="preserve">., 2020). The tree </w:t>
      </w:r>
      <w:r>
        <w:rPr>
          <w:rFonts w:ascii="Times New Roman" w:cs="Times New Roman" w:hAnsi="Times New Roman"/>
          <w:bCs/>
          <w:sz w:val="24"/>
          <w:szCs w:val="24"/>
        </w:rPr>
        <w:t>is recognized</w:t>
      </w:r>
      <w:r>
        <w:rPr>
          <w:rFonts w:ascii="Times New Roman" w:cs="Times New Roman" w:hAnsi="Times New Roman"/>
          <w:bCs/>
          <w:sz w:val="24"/>
          <w:szCs w:val="24"/>
        </w:rPr>
        <w:t xml:space="preserve"> for its tall stature, with some specimens reaching over 70 meters in height, and its distinctive blue-green leaves that give it the common name "blue gum" (Sharma </w:t>
      </w:r>
      <w:r>
        <w:rPr>
          <w:rFonts w:ascii="Times New Roman" w:cs="Times New Roman" w:hAnsi="Times New Roman"/>
          <w:bCs/>
          <w:i/>
          <w:sz w:val="24"/>
          <w:szCs w:val="24"/>
        </w:rPr>
        <w:t>et al</w:t>
      </w:r>
      <w:r>
        <w:rPr>
          <w:rFonts w:ascii="Times New Roman" w:cs="Times New Roman" w:hAnsi="Times New Roman"/>
          <w:bCs/>
          <w:sz w:val="24"/>
          <w:szCs w:val="24"/>
        </w:rPr>
        <w:t>., 2020).</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Eucalyptus </w:t>
      </w:r>
      <w:r>
        <w:rPr>
          <w:rFonts w:ascii="Times New Roman" w:cs="Times New Roman" w:hAnsi="Times New Roman"/>
          <w:bCs/>
          <w:sz w:val="24"/>
          <w:szCs w:val="24"/>
        </w:rPr>
        <w:t>globulus</w:t>
      </w:r>
      <w:r>
        <w:rPr>
          <w:rFonts w:ascii="Times New Roman" w:cs="Times New Roman" w:hAnsi="Times New Roman"/>
          <w:bCs/>
          <w:sz w:val="24"/>
          <w:szCs w:val="24"/>
        </w:rPr>
        <w:t xml:space="preserve"> is renowned for its medicinal properties, particularly its antimicrobial, anti-inflammatory, and analgesic activities. The essential oil extracted from the leaves of the tree </w:t>
      </w:r>
      <w:r>
        <w:rPr>
          <w:rFonts w:ascii="Times New Roman" w:cs="Times New Roman" w:hAnsi="Times New Roman"/>
          <w:bCs/>
          <w:sz w:val="24"/>
          <w:szCs w:val="24"/>
        </w:rPr>
        <w:t>has long been used</w:t>
      </w:r>
      <w:r>
        <w:rPr>
          <w:rFonts w:ascii="Times New Roman" w:cs="Times New Roman" w:hAnsi="Times New Roman"/>
          <w:bCs/>
          <w:sz w:val="24"/>
          <w:szCs w:val="24"/>
        </w:rPr>
        <w:t xml:space="preserve"> in traditional medicine, and its therapeutic potential is now being explored through modern pharmacological research (Mackenzie </w:t>
      </w:r>
      <w:r>
        <w:rPr>
          <w:rFonts w:ascii="Times New Roman" w:cs="Times New Roman" w:hAnsi="Times New Roman"/>
          <w:bCs/>
          <w:i/>
          <w:sz w:val="24"/>
          <w:szCs w:val="24"/>
        </w:rPr>
        <w:t>et al</w:t>
      </w:r>
      <w:r>
        <w:rPr>
          <w:rFonts w:ascii="Times New Roman" w:cs="Times New Roman" w:hAnsi="Times New Roman"/>
          <w:bCs/>
          <w:sz w:val="24"/>
          <w:szCs w:val="24"/>
        </w:rPr>
        <w:t>., 2019). This essential oil is rich in compounds such as eucalyptol (also known as 1</w:t>
      </w:r>
      <w:r>
        <w:rPr>
          <w:rFonts w:ascii="Times New Roman" w:cs="Times New Roman" w:hAnsi="Times New Roman"/>
          <w:bCs/>
          <w:sz w:val="24"/>
          <w:szCs w:val="24"/>
        </w:rPr>
        <w:t>,8</w:t>
      </w:r>
      <w:r>
        <w:rPr>
          <w:rFonts w:ascii="Times New Roman" w:cs="Times New Roman" w:hAnsi="Times New Roman"/>
          <w:bCs/>
          <w:sz w:val="24"/>
          <w:szCs w:val="24"/>
        </w:rPr>
        <w:t xml:space="preserve">-cineole), which is the primary bioactive compound responsible for the plant's antimicrobial properties (Sani </w:t>
      </w:r>
      <w:r>
        <w:rPr>
          <w:rFonts w:ascii="Times New Roman" w:cs="Times New Roman" w:hAnsi="Times New Roman"/>
          <w:bCs/>
          <w:i/>
          <w:sz w:val="24"/>
          <w:szCs w:val="24"/>
        </w:rPr>
        <w:t>et al</w:t>
      </w:r>
      <w:r>
        <w:rPr>
          <w:rFonts w:ascii="Times New Roman" w:cs="Times New Roman" w:hAnsi="Times New Roman"/>
          <w:bCs/>
          <w:sz w:val="24"/>
          <w:szCs w:val="24"/>
        </w:rPr>
        <w:t xml:space="preserve">., 2020). The wide application of Eucalyptus </w:t>
      </w:r>
      <w:r>
        <w:rPr>
          <w:rFonts w:ascii="Times New Roman" w:cs="Times New Roman" w:hAnsi="Times New Roman"/>
          <w:bCs/>
          <w:sz w:val="24"/>
          <w:szCs w:val="24"/>
        </w:rPr>
        <w:t>globulus</w:t>
      </w:r>
      <w:r>
        <w:rPr>
          <w:rFonts w:ascii="Times New Roman" w:cs="Times New Roman" w:hAnsi="Times New Roman"/>
          <w:bCs/>
          <w:sz w:val="24"/>
          <w:szCs w:val="24"/>
        </w:rPr>
        <w:t xml:space="preserve"> in various sectors ranging from the pharmaceutical to the agricultural industries—has fueled interest in its biological activities, particularly its role as a potential source of natural antibacterial agents. Given the rise in antimicrobial resistance, the antibacterial efficacy of Eucalyptus </w:t>
      </w:r>
      <w:r>
        <w:rPr>
          <w:rFonts w:ascii="Times New Roman" w:cs="Times New Roman" w:hAnsi="Times New Roman"/>
          <w:bCs/>
          <w:sz w:val="24"/>
          <w:szCs w:val="24"/>
        </w:rPr>
        <w:t>globulus</w:t>
      </w:r>
      <w:r>
        <w:rPr>
          <w:rFonts w:ascii="Times New Roman" w:cs="Times New Roman" w:hAnsi="Times New Roman"/>
          <w:bCs/>
          <w:sz w:val="24"/>
          <w:szCs w:val="24"/>
        </w:rPr>
        <w:t xml:space="preserve"> and its essential oil has been the subject of numerous studies, which have demonstrated its effectiveness against a variety of bacterial strains, including Gram-positive and Gram-negative bacteria (</w:t>
      </w:r>
      <w:r>
        <w:rPr>
          <w:rFonts w:ascii="Times New Roman" w:cs="Times New Roman" w:hAnsi="Times New Roman"/>
          <w:bCs/>
          <w:sz w:val="24"/>
          <w:szCs w:val="24"/>
        </w:rPr>
        <w:t>Fadeyi</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xml:space="preserve">., 2018; Silva </w:t>
      </w:r>
      <w:r>
        <w:rPr>
          <w:rFonts w:ascii="Times New Roman" w:cs="Times New Roman" w:hAnsi="Times New Roman"/>
          <w:bCs/>
          <w:i/>
          <w:sz w:val="24"/>
          <w:szCs w:val="24"/>
        </w:rPr>
        <w:t>et al</w:t>
      </w:r>
      <w:r>
        <w:rPr>
          <w:rFonts w:ascii="Times New Roman" w:cs="Times New Roman" w:hAnsi="Times New Roman"/>
          <w:bCs/>
          <w:sz w:val="24"/>
          <w:szCs w:val="24"/>
        </w:rPr>
        <w:t>., 2020).</w:t>
      </w:r>
    </w:p>
    <w:bookmarkStart w:id="23" w:name="_Toc203146300"/>
    <w:p>
      <w:pPr>
        <w:pStyle w:val="style2"/>
        <w:spacing w:lineRule="auto" w:line="480"/>
        <w:rPr/>
      </w:pPr>
      <w:r>
        <w:t>2.3</w:t>
      </w:r>
      <w:r>
        <w:tab/>
      </w:r>
      <w:r>
        <w:t xml:space="preserve">Methicillin -Resistant Staphylococcus </w:t>
      </w:r>
      <w:r>
        <w:rPr>
          <w:i/>
        </w:rPr>
        <w:t>aureus</w:t>
      </w:r>
      <w:r>
        <w:t xml:space="preserve"> (MRSA)</w:t>
      </w:r>
      <w:bookmarkEnd w:id="23"/>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Staphylococcus aureus is a gram-positive bacterium that is a common pathogen in both healthcare and community settings. It </w:t>
      </w:r>
      <w:r>
        <w:rPr>
          <w:rFonts w:ascii="Times New Roman" w:cs="Times New Roman" w:hAnsi="Times New Roman"/>
          <w:bCs/>
          <w:sz w:val="24"/>
          <w:szCs w:val="24"/>
        </w:rPr>
        <w:t>is known</w:t>
      </w:r>
      <w:r>
        <w:rPr>
          <w:rFonts w:ascii="Times New Roman" w:cs="Times New Roman" w:hAnsi="Times New Roman"/>
          <w:bCs/>
          <w:sz w:val="24"/>
          <w:szCs w:val="24"/>
        </w:rPr>
        <w:t xml:space="preserve"> for causing a wide range of infections, from mild skin infections to severe conditions such as pneumonia, endocarditis, and osteomyelitis (</w:t>
      </w:r>
      <w:r>
        <w:rPr>
          <w:rFonts w:ascii="Times New Roman" w:cs="Times New Roman" w:hAnsi="Times New Roman"/>
          <w:bCs/>
          <w:sz w:val="24"/>
          <w:szCs w:val="24"/>
        </w:rPr>
        <w:t>Zong</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2020). One of the most concerning aspects of S. aureus is its ability to acquire resistance to antibiotics, particularly methicillin, which has led to the emergence of methicillin-resistant Staphylococcus aureus (MRSA).</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MRSA refers to strains of S. aureus that have developed resistance to beta-lactam antibiotics, including methicillin, </w:t>
      </w:r>
      <w:r>
        <w:rPr>
          <w:rFonts w:ascii="Times New Roman" w:cs="Times New Roman" w:hAnsi="Times New Roman"/>
          <w:bCs/>
          <w:sz w:val="24"/>
          <w:szCs w:val="24"/>
        </w:rPr>
        <w:t>oxacillin</w:t>
      </w:r>
      <w:r>
        <w:rPr>
          <w:rFonts w:ascii="Times New Roman" w:cs="Times New Roman" w:hAnsi="Times New Roman"/>
          <w:bCs/>
          <w:sz w:val="24"/>
          <w:szCs w:val="24"/>
        </w:rPr>
        <w:t xml:space="preserve">, and penicillin. This resistance is due to the acquisition of the </w:t>
      </w:r>
      <w:r>
        <w:rPr>
          <w:rFonts w:ascii="Times New Roman" w:cs="Times New Roman" w:hAnsi="Times New Roman"/>
          <w:bCs/>
          <w:sz w:val="24"/>
          <w:szCs w:val="24"/>
        </w:rPr>
        <w:t>mecA</w:t>
      </w:r>
      <w:r>
        <w:rPr>
          <w:rFonts w:ascii="Times New Roman" w:cs="Times New Roman" w:hAnsi="Times New Roman"/>
          <w:bCs/>
          <w:sz w:val="24"/>
          <w:szCs w:val="24"/>
        </w:rPr>
        <w:t xml:space="preserve"> gene, which encodes a modified penicillin-binding protein (PBP2a) that has a low affinity for beta-lactam antibiotics (</w:t>
      </w:r>
      <w:r>
        <w:rPr>
          <w:rFonts w:ascii="Times New Roman" w:cs="Times New Roman" w:hAnsi="Times New Roman"/>
          <w:bCs/>
          <w:sz w:val="24"/>
          <w:szCs w:val="24"/>
        </w:rPr>
        <w:t>Bouchiat</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xml:space="preserve">., 2019). As a result, MRSA is difficult to treat with standard antibiotic therapies, making it a major cause of hospital-acquired infections (HAIs) and a growing concern in community-associated infections (CAIs) (Nash </w:t>
      </w:r>
      <w:r>
        <w:rPr>
          <w:rFonts w:ascii="Times New Roman" w:cs="Times New Roman" w:hAnsi="Times New Roman"/>
          <w:bCs/>
          <w:i/>
          <w:sz w:val="24"/>
          <w:szCs w:val="24"/>
        </w:rPr>
        <w:t>et al</w:t>
      </w:r>
      <w:r>
        <w:rPr>
          <w:rFonts w:ascii="Times New Roman" w:cs="Times New Roman" w:hAnsi="Times New Roman"/>
          <w:bCs/>
          <w:sz w:val="24"/>
          <w:szCs w:val="24"/>
        </w:rPr>
        <w:t>., 2019).</w:t>
      </w:r>
    </w:p>
    <w:bookmarkStart w:id="24" w:name="_Toc203146301"/>
    <w:p>
      <w:pPr>
        <w:pStyle w:val="style3"/>
        <w:rPr/>
      </w:pPr>
      <w:r>
        <w:t>2.3.1</w:t>
      </w:r>
      <w:r>
        <w:tab/>
      </w:r>
      <w:r>
        <w:t>Mechanisms of Resistance</w:t>
      </w:r>
      <w:bookmarkEnd w:id="24"/>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The </w:t>
      </w:r>
      <w:r>
        <w:rPr>
          <w:rFonts w:ascii="Times New Roman" w:cs="Times New Roman" w:hAnsi="Times New Roman"/>
          <w:bCs/>
          <w:sz w:val="24"/>
          <w:szCs w:val="24"/>
        </w:rPr>
        <w:t xml:space="preserve">resistance of S. aureus to methicillin and other antibiotics is primarily mediated by the </w:t>
      </w:r>
      <w:r>
        <w:rPr>
          <w:rFonts w:ascii="Times New Roman" w:cs="Times New Roman" w:hAnsi="Times New Roman"/>
          <w:bCs/>
          <w:sz w:val="24"/>
          <w:szCs w:val="24"/>
        </w:rPr>
        <w:t>mecA</w:t>
      </w:r>
      <w:r>
        <w:rPr>
          <w:rFonts w:ascii="Times New Roman" w:cs="Times New Roman" w:hAnsi="Times New Roman"/>
          <w:bCs/>
          <w:sz w:val="24"/>
          <w:szCs w:val="24"/>
        </w:rPr>
        <w:t xml:space="preserve"> gene</w:t>
      </w:r>
      <w:r>
        <w:rPr>
          <w:rFonts w:ascii="Times New Roman" w:cs="Times New Roman" w:hAnsi="Times New Roman"/>
          <w:bCs/>
          <w:sz w:val="24"/>
          <w:szCs w:val="24"/>
        </w:rPr>
        <w:t xml:space="preserve">, which is located on a mobile genetic element known as the staphylococcal cassette chromosome </w:t>
      </w:r>
      <w:r>
        <w:rPr>
          <w:rFonts w:ascii="Times New Roman" w:cs="Times New Roman" w:hAnsi="Times New Roman"/>
          <w:bCs/>
          <w:sz w:val="24"/>
          <w:szCs w:val="24"/>
        </w:rPr>
        <w:t>mec</w:t>
      </w:r>
      <w:r>
        <w:rPr>
          <w:rFonts w:ascii="Times New Roman" w:cs="Times New Roman" w:hAnsi="Times New Roman"/>
          <w:bCs/>
          <w:sz w:val="24"/>
          <w:szCs w:val="24"/>
        </w:rPr>
        <w:t xml:space="preserve"> (</w:t>
      </w:r>
      <w:r>
        <w:rPr>
          <w:rFonts w:ascii="Times New Roman" w:cs="Times New Roman" w:hAnsi="Times New Roman"/>
          <w:bCs/>
          <w:sz w:val="24"/>
          <w:szCs w:val="24"/>
        </w:rPr>
        <w:t>SCCmec</w:t>
      </w:r>
      <w:r>
        <w:rPr>
          <w:rFonts w:ascii="Times New Roman" w:cs="Times New Roman" w:hAnsi="Times New Roman"/>
          <w:bCs/>
          <w:sz w:val="24"/>
          <w:szCs w:val="24"/>
        </w:rPr>
        <w:t>). This gene encodes PBP2a, which alters the structure of the bacterial cell wall, rendering it less susceptible to beta-lactams (</w:t>
      </w:r>
      <w:r>
        <w:rPr>
          <w:rFonts w:ascii="Times New Roman" w:cs="Times New Roman" w:hAnsi="Times New Roman"/>
          <w:bCs/>
          <w:sz w:val="24"/>
          <w:szCs w:val="24"/>
        </w:rPr>
        <w:t>Zong</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xml:space="preserve">., 2020). In addition to the </w:t>
      </w:r>
      <w:r>
        <w:rPr>
          <w:rFonts w:ascii="Times New Roman" w:cs="Times New Roman" w:hAnsi="Times New Roman"/>
          <w:bCs/>
          <w:sz w:val="24"/>
          <w:szCs w:val="24"/>
        </w:rPr>
        <w:t>mecA</w:t>
      </w:r>
      <w:r>
        <w:rPr>
          <w:rFonts w:ascii="Times New Roman" w:cs="Times New Roman" w:hAnsi="Times New Roman"/>
          <w:bCs/>
          <w:sz w:val="24"/>
          <w:szCs w:val="24"/>
        </w:rPr>
        <w:t xml:space="preserve"> gene, MRSA can also acquire resistance through other mechanisms such as the production of beta-lactamases, which degrade antibiotics, and mutations in other genes involved in cell wall synthesis (Paterson </w:t>
      </w:r>
      <w:r>
        <w:rPr>
          <w:rFonts w:ascii="Times New Roman" w:cs="Times New Roman" w:hAnsi="Times New Roman"/>
          <w:bCs/>
          <w:i/>
          <w:sz w:val="24"/>
          <w:szCs w:val="24"/>
        </w:rPr>
        <w:t>et al</w:t>
      </w:r>
      <w:r>
        <w:rPr>
          <w:rFonts w:ascii="Times New Roman" w:cs="Times New Roman" w:hAnsi="Times New Roman"/>
          <w:bCs/>
          <w:sz w:val="24"/>
          <w:szCs w:val="24"/>
        </w:rPr>
        <w:t>., 2020).</w:t>
      </w:r>
    </w:p>
    <w:bookmarkStart w:id="25" w:name="_Toc203146302"/>
    <w:p>
      <w:pPr>
        <w:pStyle w:val="style3"/>
        <w:rPr/>
      </w:pPr>
      <w:r>
        <w:t>2.3.2</w:t>
      </w:r>
      <w:r>
        <w:tab/>
      </w:r>
      <w:r>
        <w:t>Epidemiology and Clinical Impact</w:t>
      </w:r>
      <w:bookmarkEnd w:id="25"/>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The prevalence of MRSA has increased significantly over the past few decades, both in hospital and community settings. Hospital-acquired MRSA (HA-MRSA) infections are typically associated with invasive medical procedures such as surgery, catheter insertion, and mechanical ventilation (</w:t>
      </w:r>
      <w:r>
        <w:rPr>
          <w:rFonts w:ascii="Times New Roman" w:cs="Times New Roman" w:hAnsi="Times New Roman"/>
          <w:bCs/>
          <w:sz w:val="24"/>
          <w:szCs w:val="24"/>
        </w:rPr>
        <w:t>Zong</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xml:space="preserve">., 2020). These infections are often difficult to treat due to the limited number of effective antibiotics available. HA-MRSA infections are associated with higher morbidity, mortality, and healthcare costs (Nash </w:t>
      </w:r>
      <w:r>
        <w:rPr>
          <w:rFonts w:ascii="Times New Roman" w:cs="Times New Roman" w:hAnsi="Times New Roman"/>
          <w:bCs/>
          <w:i/>
          <w:sz w:val="24"/>
          <w:szCs w:val="24"/>
        </w:rPr>
        <w:t>et al</w:t>
      </w:r>
      <w:r>
        <w:rPr>
          <w:rFonts w:ascii="Times New Roman" w:cs="Times New Roman" w:hAnsi="Times New Roman"/>
          <w:bCs/>
          <w:sz w:val="24"/>
          <w:szCs w:val="24"/>
        </w:rPr>
        <w:t>., 2019).</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Community-associated MRSA (CA-MRSA), on the other hand, is a strain of S. aureus that is capable of causing infections in otherwise healthy individuals outside of healthcare settings. These strains tend to be more virulent, often causing skin and soft tissue infections (SSTIs), and have been associated with outbreaks in schools, sports teams, and correctional facilities (Paterson </w:t>
      </w:r>
      <w:r>
        <w:rPr>
          <w:rFonts w:ascii="Times New Roman" w:cs="Times New Roman" w:hAnsi="Times New Roman"/>
          <w:bCs/>
          <w:i/>
          <w:sz w:val="24"/>
          <w:szCs w:val="24"/>
        </w:rPr>
        <w:t>et al</w:t>
      </w:r>
      <w:r>
        <w:rPr>
          <w:rFonts w:ascii="Times New Roman" w:cs="Times New Roman" w:hAnsi="Times New Roman"/>
          <w:bCs/>
          <w:sz w:val="24"/>
          <w:szCs w:val="24"/>
        </w:rPr>
        <w:t>., 2020). The ability of CA-MRSA to spread in the community is a growing concern, particularly due to the ease of transmission through close contact and shared personal items.</w:t>
      </w:r>
    </w:p>
    <w:bookmarkStart w:id="26" w:name="_Toc203146303"/>
    <w:p>
      <w:pPr>
        <w:pStyle w:val="style2"/>
        <w:spacing w:lineRule="auto" w:line="480"/>
        <w:rPr/>
      </w:pPr>
      <w:r>
        <w:t>2.4</w:t>
      </w:r>
      <w:r>
        <w:tab/>
      </w:r>
      <w:r>
        <w:rPr>
          <w:i/>
        </w:rPr>
        <w:t>Escherichia coli</w:t>
      </w:r>
      <w:r>
        <w:t xml:space="preserve"> Infections and Resistance</w:t>
      </w:r>
      <w:bookmarkEnd w:id="26"/>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Escherichia coli (</w:t>
      </w:r>
      <w:r>
        <w:rPr>
          <w:rFonts w:ascii="Times New Roman" w:cs="Times New Roman" w:hAnsi="Times New Roman"/>
          <w:bCs/>
          <w:i/>
          <w:sz w:val="24"/>
          <w:szCs w:val="24"/>
        </w:rPr>
        <w:t>E. coli</w:t>
      </w:r>
      <w:r>
        <w:rPr>
          <w:rFonts w:ascii="Times New Roman" w:cs="Times New Roman" w:hAnsi="Times New Roman"/>
          <w:bCs/>
          <w:sz w:val="24"/>
          <w:szCs w:val="24"/>
        </w:rPr>
        <w:t xml:space="preserve">) is a gram-negative bacterium commonly found in the intestines of humans and animals. While many strains of </w:t>
      </w:r>
      <w:r>
        <w:rPr>
          <w:rFonts w:ascii="Times New Roman" w:cs="Times New Roman" w:hAnsi="Times New Roman"/>
          <w:bCs/>
          <w:i/>
          <w:sz w:val="24"/>
          <w:szCs w:val="24"/>
        </w:rPr>
        <w:t>E. coli</w:t>
      </w:r>
      <w:r>
        <w:rPr>
          <w:rFonts w:ascii="Times New Roman" w:cs="Times New Roman" w:hAnsi="Times New Roman"/>
          <w:bCs/>
          <w:sz w:val="24"/>
          <w:szCs w:val="24"/>
        </w:rPr>
        <w:t xml:space="preserve"> are harmless and even beneficial, certain pathogenic strains can cause a wide variety of infections. These infections range from mild urinary tract infections (UTIs) to severe diseases, including bacteremia, sepsis, and gastroenteritis (</w:t>
      </w:r>
      <w:r>
        <w:rPr>
          <w:rFonts w:ascii="Times New Roman" w:cs="Times New Roman" w:hAnsi="Times New Roman"/>
          <w:bCs/>
          <w:sz w:val="24"/>
          <w:szCs w:val="24"/>
        </w:rPr>
        <w:t>Ranjbar</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xml:space="preserve">., 2021). In recent years, the increasing resistance of </w:t>
      </w:r>
      <w:r>
        <w:rPr>
          <w:rFonts w:ascii="Times New Roman" w:cs="Times New Roman" w:hAnsi="Times New Roman"/>
          <w:bCs/>
          <w:i/>
          <w:sz w:val="24"/>
          <w:szCs w:val="24"/>
        </w:rPr>
        <w:t>E. coli</w:t>
      </w:r>
      <w:r>
        <w:rPr>
          <w:rFonts w:ascii="Times New Roman" w:cs="Times New Roman" w:hAnsi="Times New Roman"/>
          <w:bCs/>
          <w:sz w:val="24"/>
          <w:szCs w:val="24"/>
        </w:rPr>
        <w:t xml:space="preserve"> to multiple antibiotics has become a significant public health concern.</w:t>
      </w:r>
    </w:p>
    <w:bookmarkStart w:id="27" w:name="_Toc203146304"/>
    <w:p>
      <w:pPr>
        <w:pStyle w:val="style3"/>
        <w:rPr/>
      </w:pPr>
      <w:r>
        <w:t>2.4.1</w:t>
      </w:r>
      <w:r>
        <w:tab/>
      </w:r>
      <w:r>
        <w:t xml:space="preserve">Pathogenic Strains of </w:t>
      </w:r>
      <w:r>
        <w:rPr>
          <w:i/>
          <w:iCs/>
        </w:rPr>
        <w:t>Escherichia coli</w:t>
      </w:r>
      <w:bookmarkEnd w:id="27"/>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The majority of </w:t>
      </w:r>
      <w:r>
        <w:rPr>
          <w:rFonts w:ascii="Times New Roman" w:cs="Times New Roman" w:hAnsi="Times New Roman"/>
          <w:bCs/>
          <w:i/>
          <w:sz w:val="24"/>
          <w:szCs w:val="24"/>
        </w:rPr>
        <w:t>E. coli</w:t>
      </w:r>
      <w:r>
        <w:rPr>
          <w:rFonts w:ascii="Times New Roman" w:cs="Times New Roman" w:hAnsi="Times New Roman"/>
          <w:bCs/>
          <w:sz w:val="24"/>
          <w:szCs w:val="24"/>
        </w:rPr>
        <w:t xml:space="preserve"> infections </w:t>
      </w:r>
      <w:r>
        <w:rPr>
          <w:rFonts w:ascii="Times New Roman" w:cs="Times New Roman" w:hAnsi="Times New Roman"/>
          <w:bCs/>
          <w:sz w:val="24"/>
          <w:szCs w:val="24"/>
        </w:rPr>
        <w:t>are caused</w:t>
      </w:r>
      <w:r>
        <w:rPr>
          <w:rFonts w:ascii="Times New Roman" w:cs="Times New Roman" w:hAnsi="Times New Roman"/>
          <w:bCs/>
          <w:sz w:val="24"/>
          <w:szCs w:val="24"/>
        </w:rPr>
        <w:t xml:space="preserve"> by specific pathogenic strains. Among the most notable of these are </w:t>
      </w:r>
      <w:r>
        <w:rPr>
          <w:rFonts w:ascii="Times New Roman" w:cs="Times New Roman" w:hAnsi="Times New Roman"/>
          <w:bCs/>
          <w:sz w:val="24"/>
          <w:szCs w:val="24"/>
        </w:rPr>
        <w:t>Enterotoxigenic</w:t>
      </w:r>
      <w:r>
        <w:rPr>
          <w:rFonts w:ascii="Times New Roman" w:cs="Times New Roman" w:hAnsi="Times New Roman"/>
          <w:bCs/>
          <w:sz w:val="24"/>
          <w:szCs w:val="24"/>
        </w:rPr>
        <w:t xml:space="preserve"> </w:t>
      </w:r>
      <w:r>
        <w:rPr>
          <w:rFonts w:ascii="Times New Roman" w:cs="Times New Roman" w:hAnsi="Times New Roman"/>
          <w:bCs/>
          <w:i/>
          <w:sz w:val="24"/>
          <w:szCs w:val="24"/>
        </w:rPr>
        <w:t>E. coli</w:t>
      </w:r>
      <w:r>
        <w:rPr>
          <w:rFonts w:ascii="Times New Roman" w:cs="Times New Roman" w:hAnsi="Times New Roman"/>
          <w:bCs/>
          <w:sz w:val="24"/>
          <w:szCs w:val="24"/>
        </w:rPr>
        <w:t xml:space="preserve"> (ETEC), which is commonly associated with traveler's diarrhea, and </w:t>
      </w:r>
      <w:r>
        <w:rPr>
          <w:rFonts w:ascii="Times New Roman" w:cs="Times New Roman" w:hAnsi="Times New Roman"/>
          <w:bCs/>
          <w:sz w:val="24"/>
          <w:szCs w:val="24"/>
        </w:rPr>
        <w:t>Enteropathogenic</w:t>
      </w:r>
      <w:r>
        <w:rPr>
          <w:rFonts w:ascii="Times New Roman" w:cs="Times New Roman" w:hAnsi="Times New Roman"/>
          <w:bCs/>
          <w:sz w:val="24"/>
          <w:szCs w:val="24"/>
        </w:rPr>
        <w:t xml:space="preserve"> </w:t>
      </w:r>
      <w:r>
        <w:rPr>
          <w:rFonts w:ascii="Times New Roman" w:cs="Times New Roman" w:hAnsi="Times New Roman"/>
          <w:bCs/>
          <w:i/>
          <w:sz w:val="24"/>
          <w:szCs w:val="24"/>
        </w:rPr>
        <w:t>E. coli</w:t>
      </w:r>
      <w:r>
        <w:rPr>
          <w:rFonts w:ascii="Times New Roman" w:cs="Times New Roman" w:hAnsi="Times New Roman"/>
          <w:bCs/>
          <w:sz w:val="24"/>
          <w:szCs w:val="24"/>
        </w:rPr>
        <w:t xml:space="preserve"> (EPEC), a major cause of infant diarrhea. Another </w:t>
      </w:r>
      <w:r>
        <w:rPr>
          <w:rFonts w:ascii="Times New Roman" w:cs="Times New Roman" w:hAnsi="Times New Roman"/>
          <w:bCs/>
          <w:sz w:val="24"/>
          <w:szCs w:val="24"/>
        </w:rPr>
        <w:t xml:space="preserve">significant pathogenic strain, </w:t>
      </w:r>
      <w:r>
        <w:rPr>
          <w:rFonts w:ascii="Times New Roman" w:cs="Times New Roman" w:hAnsi="Times New Roman"/>
          <w:bCs/>
          <w:sz w:val="24"/>
          <w:szCs w:val="24"/>
        </w:rPr>
        <w:t>Enterohemorrhagic</w:t>
      </w:r>
      <w:r>
        <w:rPr>
          <w:rFonts w:ascii="Times New Roman" w:cs="Times New Roman" w:hAnsi="Times New Roman"/>
          <w:bCs/>
          <w:sz w:val="24"/>
          <w:szCs w:val="24"/>
        </w:rPr>
        <w:t xml:space="preserve"> </w:t>
      </w:r>
      <w:r>
        <w:rPr>
          <w:rFonts w:ascii="Times New Roman" w:cs="Times New Roman" w:hAnsi="Times New Roman"/>
          <w:bCs/>
          <w:i/>
          <w:sz w:val="24"/>
          <w:szCs w:val="24"/>
        </w:rPr>
        <w:t>E. coli</w:t>
      </w:r>
      <w:r>
        <w:rPr>
          <w:rFonts w:ascii="Times New Roman" w:cs="Times New Roman" w:hAnsi="Times New Roman"/>
          <w:bCs/>
          <w:sz w:val="24"/>
          <w:szCs w:val="24"/>
        </w:rPr>
        <w:t xml:space="preserve"> (EHEC), </w:t>
      </w:r>
      <w:r>
        <w:rPr>
          <w:rFonts w:ascii="Times New Roman" w:cs="Times New Roman" w:hAnsi="Times New Roman"/>
          <w:bCs/>
          <w:sz w:val="24"/>
          <w:szCs w:val="24"/>
        </w:rPr>
        <w:t>has been linked</w:t>
      </w:r>
      <w:r>
        <w:rPr>
          <w:rFonts w:ascii="Times New Roman" w:cs="Times New Roman" w:hAnsi="Times New Roman"/>
          <w:bCs/>
          <w:sz w:val="24"/>
          <w:szCs w:val="24"/>
        </w:rPr>
        <w:t xml:space="preserve"> to outbreaks of foodborne illness, with some strains producing Shiga toxins that can cause hemolytic uremic syndrome (HUS), a potentially fatal condition. </w:t>
      </w:r>
      <w:r>
        <w:rPr>
          <w:rFonts w:ascii="Times New Roman" w:cs="Times New Roman" w:hAnsi="Times New Roman"/>
          <w:bCs/>
          <w:sz w:val="24"/>
          <w:szCs w:val="24"/>
        </w:rPr>
        <w:t>Uropathogenic</w:t>
      </w:r>
      <w:r>
        <w:rPr>
          <w:rFonts w:ascii="Times New Roman" w:cs="Times New Roman" w:hAnsi="Times New Roman"/>
          <w:bCs/>
          <w:sz w:val="24"/>
          <w:szCs w:val="24"/>
        </w:rPr>
        <w:t xml:space="preserve"> </w:t>
      </w:r>
      <w:r>
        <w:rPr>
          <w:rFonts w:ascii="Times New Roman" w:cs="Times New Roman" w:hAnsi="Times New Roman"/>
          <w:bCs/>
          <w:i/>
          <w:sz w:val="24"/>
          <w:szCs w:val="24"/>
        </w:rPr>
        <w:t>E. coli</w:t>
      </w:r>
      <w:r>
        <w:rPr>
          <w:rFonts w:ascii="Times New Roman" w:cs="Times New Roman" w:hAnsi="Times New Roman"/>
          <w:bCs/>
          <w:sz w:val="24"/>
          <w:szCs w:val="24"/>
        </w:rPr>
        <w:t xml:space="preserve"> (UPEC) is another key strain, primarily responsible for UTIs, both in community settings and healthcare facilities (</w:t>
      </w:r>
      <w:r>
        <w:rPr>
          <w:rFonts w:ascii="Times New Roman" w:cs="Times New Roman" w:hAnsi="Times New Roman"/>
          <w:bCs/>
          <w:sz w:val="24"/>
          <w:szCs w:val="24"/>
        </w:rPr>
        <w:t>Zong</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xml:space="preserve">., 2020). These pathogenic strains are equipped with a range of virulence factors, including </w:t>
      </w:r>
      <w:r>
        <w:rPr>
          <w:rFonts w:ascii="Times New Roman" w:cs="Times New Roman" w:hAnsi="Times New Roman"/>
          <w:bCs/>
          <w:sz w:val="24"/>
          <w:szCs w:val="24"/>
        </w:rPr>
        <w:t>adhesins</w:t>
      </w:r>
      <w:r>
        <w:rPr>
          <w:rFonts w:ascii="Times New Roman" w:cs="Times New Roman" w:hAnsi="Times New Roman"/>
          <w:bCs/>
          <w:sz w:val="24"/>
          <w:szCs w:val="24"/>
        </w:rPr>
        <w:t>, toxins, and the ability to form biofilms, which enable them to adhere to and invade host tissues, evade immune responses, and resist antibiotic treatment (</w:t>
      </w:r>
      <w:r>
        <w:rPr>
          <w:rFonts w:ascii="Times New Roman" w:cs="Times New Roman" w:hAnsi="Times New Roman"/>
          <w:bCs/>
          <w:sz w:val="24"/>
          <w:szCs w:val="24"/>
        </w:rPr>
        <w:t>Nataro</w:t>
      </w:r>
      <w:r>
        <w:rPr>
          <w:rFonts w:ascii="Times New Roman" w:cs="Times New Roman" w:hAnsi="Times New Roman"/>
          <w:bCs/>
          <w:sz w:val="24"/>
          <w:szCs w:val="24"/>
        </w:rPr>
        <w:t xml:space="preserve"> &amp; </w:t>
      </w:r>
      <w:r>
        <w:rPr>
          <w:rFonts w:ascii="Times New Roman" w:cs="Times New Roman" w:hAnsi="Times New Roman"/>
          <w:bCs/>
          <w:sz w:val="24"/>
          <w:szCs w:val="24"/>
        </w:rPr>
        <w:t>Kaper</w:t>
      </w:r>
      <w:r>
        <w:rPr>
          <w:rFonts w:ascii="Times New Roman" w:cs="Times New Roman" w:hAnsi="Times New Roman"/>
          <w:bCs/>
          <w:sz w:val="24"/>
          <w:szCs w:val="24"/>
        </w:rPr>
        <w:t>, 2019).</w:t>
      </w:r>
    </w:p>
    <w:bookmarkStart w:id="28" w:name="_Toc203146305"/>
    <w:p>
      <w:pPr>
        <w:pStyle w:val="style3"/>
        <w:rPr/>
      </w:pPr>
      <w:r>
        <w:t>2.4.2</w:t>
      </w:r>
      <w:r>
        <w:tab/>
      </w:r>
      <w:r>
        <w:t xml:space="preserve">Mechanisms of Antibiotic Resistance in </w:t>
      </w:r>
      <w:r>
        <w:rPr>
          <w:i/>
          <w:iCs/>
        </w:rPr>
        <w:t>Escherichia coli</w:t>
      </w:r>
      <w:bookmarkEnd w:id="28"/>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A significant concern regarding </w:t>
      </w:r>
      <w:r>
        <w:rPr>
          <w:rFonts w:ascii="Times New Roman" w:cs="Times New Roman" w:hAnsi="Times New Roman"/>
          <w:bCs/>
          <w:i/>
          <w:sz w:val="24"/>
          <w:szCs w:val="24"/>
        </w:rPr>
        <w:t>E. coli</w:t>
      </w:r>
      <w:r>
        <w:rPr>
          <w:rFonts w:ascii="Times New Roman" w:cs="Times New Roman" w:hAnsi="Times New Roman"/>
          <w:bCs/>
          <w:sz w:val="24"/>
          <w:szCs w:val="24"/>
        </w:rPr>
        <w:t xml:space="preserve"> infections is the growing problem of antibiotic resistance. Several mechanisms contribute to the ability of </w:t>
      </w:r>
      <w:r>
        <w:rPr>
          <w:rFonts w:ascii="Times New Roman" w:cs="Times New Roman" w:hAnsi="Times New Roman"/>
          <w:bCs/>
          <w:i/>
          <w:sz w:val="24"/>
          <w:szCs w:val="24"/>
        </w:rPr>
        <w:t>E. coli</w:t>
      </w:r>
      <w:r>
        <w:rPr>
          <w:rFonts w:ascii="Times New Roman" w:cs="Times New Roman" w:hAnsi="Times New Roman"/>
          <w:bCs/>
          <w:sz w:val="24"/>
          <w:szCs w:val="24"/>
        </w:rPr>
        <w:t xml:space="preserve"> to evade the effects of antibiotics, complicating treatment options and leading to more severe clinical outcomes. One of the most common mechanisms is beta-lactam resistance, which </w:t>
      </w:r>
      <w:r>
        <w:rPr>
          <w:rFonts w:ascii="Times New Roman" w:cs="Times New Roman" w:hAnsi="Times New Roman"/>
          <w:bCs/>
          <w:sz w:val="24"/>
          <w:szCs w:val="24"/>
        </w:rPr>
        <w:t>is typically mediated</w:t>
      </w:r>
      <w:r>
        <w:rPr>
          <w:rFonts w:ascii="Times New Roman" w:cs="Times New Roman" w:hAnsi="Times New Roman"/>
          <w:bCs/>
          <w:sz w:val="24"/>
          <w:szCs w:val="24"/>
        </w:rPr>
        <w:t xml:space="preserve"> by the production of beta-lactamases. These enzymes degrade beta-lactam antibiotics, such as </w:t>
      </w:r>
      <w:r>
        <w:rPr>
          <w:rFonts w:ascii="Times New Roman" w:cs="Times New Roman" w:hAnsi="Times New Roman"/>
          <w:bCs/>
          <w:sz w:val="24"/>
          <w:szCs w:val="24"/>
        </w:rPr>
        <w:t>penicillins</w:t>
      </w:r>
      <w:r>
        <w:rPr>
          <w:rFonts w:ascii="Times New Roman" w:cs="Times New Roman" w:hAnsi="Times New Roman"/>
          <w:bCs/>
          <w:sz w:val="24"/>
          <w:szCs w:val="24"/>
        </w:rPr>
        <w:t xml:space="preserve"> and </w:t>
      </w:r>
      <w:r>
        <w:rPr>
          <w:rFonts w:ascii="Times New Roman" w:cs="Times New Roman" w:hAnsi="Times New Roman"/>
          <w:bCs/>
          <w:sz w:val="24"/>
          <w:szCs w:val="24"/>
        </w:rPr>
        <w:t>cephalosporins</w:t>
      </w:r>
      <w:r>
        <w:rPr>
          <w:rFonts w:ascii="Times New Roman" w:cs="Times New Roman" w:hAnsi="Times New Roman"/>
          <w:bCs/>
          <w:sz w:val="24"/>
          <w:szCs w:val="24"/>
        </w:rPr>
        <w:t xml:space="preserve">, rendering them ineffective. Extended-spectrum beta-lactamases (ESBLs) are particularly problematic, as they can hydrolyze third-generation </w:t>
      </w:r>
      <w:r>
        <w:rPr>
          <w:rFonts w:ascii="Times New Roman" w:cs="Times New Roman" w:hAnsi="Times New Roman"/>
          <w:bCs/>
          <w:sz w:val="24"/>
          <w:szCs w:val="24"/>
        </w:rPr>
        <w:t>cephalosporins</w:t>
      </w:r>
      <w:r>
        <w:rPr>
          <w:rFonts w:ascii="Times New Roman" w:cs="Times New Roman" w:hAnsi="Times New Roman"/>
          <w:bCs/>
          <w:sz w:val="24"/>
          <w:szCs w:val="24"/>
        </w:rPr>
        <w:t xml:space="preserve"> and </w:t>
      </w:r>
      <w:r>
        <w:rPr>
          <w:rFonts w:ascii="Times New Roman" w:cs="Times New Roman" w:hAnsi="Times New Roman"/>
          <w:bCs/>
          <w:sz w:val="24"/>
          <w:szCs w:val="24"/>
        </w:rPr>
        <w:t>monobactams</w:t>
      </w:r>
      <w:r>
        <w:rPr>
          <w:rFonts w:ascii="Times New Roman" w:cs="Times New Roman" w:hAnsi="Times New Roman"/>
          <w:bCs/>
          <w:sz w:val="24"/>
          <w:szCs w:val="24"/>
        </w:rPr>
        <w:t xml:space="preserve">, which </w:t>
      </w:r>
      <w:r>
        <w:rPr>
          <w:rFonts w:ascii="Times New Roman" w:cs="Times New Roman" w:hAnsi="Times New Roman"/>
          <w:bCs/>
          <w:sz w:val="24"/>
          <w:szCs w:val="24"/>
        </w:rPr>
        <w:t>are often used</w:t>
      </w:r>
      <w:r>
        <w:rPr>
          <w:rFonts w:ascii="Times New Roman" w:cs="Times New Roman" w:hAnsi="Times New Roman"/>
          <w:bCs/>
          <w:sz w:val="24"/>
          <w:szCs w:val="24"/>
        </w:rPr>
        <w:t xml:space="preserve"> as the first line of treatment in infections caused by </w:t>
      </w:r>
      <w:r>
        <w:rPr>
          <w:rFonts w:ascii="Times New Roman" w:cs="Times New Roman" w:hAnsi="Times New Roman"/>
          <w:bCs/>
          <w:i/>
          <w:sz w:val="24"/>
          <w:szCs w:val="24"/>
        </w:rPr>
        <w:t>E. coli</w:t>
      </w:r>
      <w:r>
        <w:rPr>
          <w:rFonts w:ascii="Times New Roman" w:cs="Times New Roman" w:hAnsi="Times New Roman"/>
          <w:bCs/>
          <w:sz w:val="24"/>
          <w:szCs w:val="24"/>
        </w:rPr>
        <w:t xml:space="preserve"> (Paterson </w:t>
      </w:r>
      <w:r>
        <w:rPr>
          <w:rFonts w:ascii="Times New Roman" w:cs="Times New Roman" w:hAnsi="Times New Roman"/>
          <w:bCs/>
          <w:i/>
          <w:sz w:val="24"/>
          <w:szCs w:val="24"/>
        </w:rPr>
        <w:t>et al</w:t>
      </w:r>
      <w:r>
        <w:rPr>
          <w:rFonts w:ascii="Times New Roman" w:cs="Times New Roman" w:hAnsi="Times New Roman"/>
          <w:bCs/>
          <w:sz w:val="24"/>
          <w:szCs w:val="24"/>
        </w:rPr>
        <w:t xml:space="preserve">., 2020). In addition to beta-lactam resistance, </w:t>
      </w:r>
      <w:r>
        <w:rPr>
          <w:rFonts w:ascii="Times New Roman" w:cs="Times New Roman" w:hAnsi="Times New Roman"/>
          <w:bCs/>
          <w:i/>
          <w:sz w:val="24"/>
          <w:szCs w:val="24"/>
        </w:rPr>
        <w:t>E. coli</w:t>
      </w:r>
      <w:r>
        <w:rPr>
          <w:rFonts w:ascii="Times New Roman" w:cs="Times New Roman" w:hAnsi="Times New Roman"/>
          <w:bCs/>
          <w:sz w:val="24"/>
          <w:szCs w:val="24"/>
        </w:rPr>
        <w:t xml:space="preserve"> has also developed resistance to other classes of antibiotics, including aminoglycosides and fluoroquinolones. Aminoglycoside resistance </w:t>
      </w:r>
      <w:r>
        <w:rPr>
          <w:rFonts w:ascii="Times New Roman" w:cs="Times New Roman" w:hAnsi="Times New Roman"/>
          <w:bCs/>
          <w:sz w:val="24"/>
          <w:szCs w:val="24"/>
        </w:rPr>
        <w:t>is primarily driven</w:t>
      </w:r>
      <w:r>
        <w:rPr>
          <w:rFonts w:ascii="Times New Roman" w:cs="Times New Roman" w:hAnsi="Times New Roman"/>
          <w:bCs/>
          <w:sz w:val="24"/>
          <w:szCs w:val="24"/>
        </w:rPr>
        <w:t xml:space="preserve"> by the production of modifying enzymes that inactivate these drugs, while fluoroquinolone resistance is often the result of mutations in the bacterial DNA gyrase and topoisomerase IV, which are the targets of these drugs (Wu </w:t>
      </w:r>
      <w:r>
        <w:rPr>
          <w:rFonts w:ascii="Times New Roman" w:cs="Times New Roman" w:hAnsi="Times New Roman"/>
          <w:bCs/>
          <w:i/>
          <w:sz w:val="24"/>
          <w:szCs w:val="24"/>
        </w:rPr>
        <w:t>et al</w:t>
      </w:r>
      <w:r>
        <w:rPr>
          <w:rFonts w:ascii="Times New Roman" w:cs="Times New Roman" w:hAnsi="Times New Roman"/>
          <w:bCs/>
          <w:sz w:val="24"/>
          <w:szCs w:val="24"/>
        </w:rPr>
        <w:t xml:space="preserve">., 2020). Another concerning development is </w:t>
      </w:r>
      <w:r>
        <w:rPr>
          <w:rFonts w:ascii="Times New Roman" w:cs="Times New Roman" w:hAnsi="Times New Roman"/>
          <w:bCs/>
          <w:sz w:val="24"/>
          <w:szCs w:val="24"/>
        </w:rPr>
        <w:t>carbapenem</w:t>
      </w:r>
      <w:r>
        <w:rPr>
          <w:rFonts w:ascii="Times New Roman" w:cs="Times New Roman" w:hAnsi="Times New Roman"/>
          <w:bCs/>
          <w:sz w:val="24"/>
          <w:szCs w:val="24"/>
        </w:rPr>
        <w:t xml:space="preserve"> resistance. </w:t>
      </w:r>
      <w:r>
        <w:rPr>
          <w:rFonts w:ascii="Times New Roman" w:cs="Times New Roman" w:hAnsi="Times New Roman"/>
          <w:bCs/>
          <w:sz w:val="24"/>
          <w:szCs w:val="24"/>
        </w:rPr>
        <w:t>Carbapenems</w:t>
      </w:r>
      <w:r>
        <w:rPr>
          <w:rFonts w:ascii="Times New Roman" w:cs="Times New Roman" w:hAnsi="Times New Roman"/>
          <w:bCs/>
          <w:sz w:val="24"/>
          <w:szCs w:val="24"/>
        </w:rPr>
        <w:t xml:space="preserve">, such as </w:t>
      </w:r>
      <w:r>
        <w:rPr>
          <w:rFonts w:ascii="Times New Roman" w:cs="Times New Roman" w:hAnsi="Times New Roman"/>
          <w:bCs/>
          <w:sz w:val="24"/>
          <w:szCs w:val="24"/>
        </w:rPr>
        <w:t>meropenem</w:t>
      </w:r>
      <w:r>
        <w:rPr>
          <w:rFonts w:ascii="Times New Roman" w:cs="Times New Roman" w:hAnsi="Times New Roman"/>
          <w:bCs/>
          <w:sz w:val="24"/>
          <w:szCs w:val="24"/>
        </w:rPr>
        <w:t xml:space="preserve">, </w:t>
      </w:r>
      <w:r>
        <w:rPr>
          <w:rFonts w:ascii="Times New Roman" w:cs="Times New Roman" w:hAnsi="Times New Roman"/>
          <w:bCs/>
          <w:sz w:val="24"/>
          <w:szCs w:val="24"/>
        </w:rPr>
        <w:t>are considered</w:t>
      </w:r>
      <w:r>
        <w:rPr>
          <w:rFonts w:ascii="Times New Roman" w:cs="Times New Roman" w:hAnsi="Times New Roman"/>
          <w:bCs/>
          <w:sz w:val="24"/>
          <w:szCs w:val="24"/>
        </w:rPr>
        <w:t xml:space="preserve"> last-resort antibiotics for treating multi-drug-resistant (MDR) </w:t>
      </w:r>
      <w:r>
        <w:rPr>
          <w:rFonts w:ascii="Times New Roman" w:cs="Times New Roman" w:hAnsi="Times New Roman"/>
          <w:bCs/>
          <w:i/>
          <w:sz w:val="24"/>
          <w:szCs w:val="24"/>
        </w:rPr>
        <w:t>E. coli</w:t>
      </w:r>
      <w:r>
        <w:rPr>
          <w:rFonts w:ascii="Times New Roman" w:cs="Times New Roman" w:hAnsi="Times New Roman"/>
          <w:bCs/>
          <w:sz w:val="24"/>
          <w:szCs w:val="24"/>
        </w:rPr>
        <w:t xml:space="preserve"> strains. The emergence of </w:t>
      </w:r>
      <w:r>
        <w:rPr>
          <w:rFonts w:ascii="Times New Roman" w:cs="Times New Roman" w:hAnsi="Times New Roman"/>
          <w:bCs/>
          <w:sz w:val="24"/>
          <w:szCs w:val="24"/>
        </w:rPr>
        <w:t>carbapenemases</w:t>
      </w:r>
      <w:r>
        <w:rPr>
          <w:rFonts w:ascii="Times New Roman" w:cs="Times New Roman" w:hAnsi="Times New Roman"/>
          <w:bCs/>
          <w:sz w:val="24"/>
          <w:szCs w:val="24"/>
        </w:rPr>
        <w:t xml:space="preserve">, such as New Delhi </w:t>
      </w:r>
      <w:r>
        <w:rPr>
          <w:rFonts w:ascii="Times New Roman" w:cs="Times New Roman" w:hAnsi="Times New Roman"/>
          <w:bCs/>
          <w:sz w:val="24"/>
          <w:szCs w:val="24"/>
        </w:rPr>
        <w:t>metallo</w:t>
      </w:r>
      <w:r>
        <w:rPr>
          <w:rFonts w:ascii="Times New Roman" w:cs="Times New Roman" w:hAnsi="Times New Roman"/>
          <w:bCs/>
          <w:sz w:val="24"/>
          <w:szCs w:val="24"/>
        </w:rPr>
        <w:t xml:space="preserve">-beta-lactamase (NDM) and </w:t>
      </w:r>
      <w:r>
        <w:rPr>
          <w:rFonts w:ascii="Times New Roman" w:cs="Times New Roman" w:hAnsi="Times New Roman"/>
          <w:bCs/>
          <w:sz w:val="24"/>
          <w:szCs w:val="24"/>
        </w:rPr>
        <w:t>Klebsiella</w:t>
      </w:r>
      <w:r>
        <w:rPr>
          <w:rFonts w:ascii="Times New Roman" w:cs="Times New Roman" w:hAnsi="Times New Roman"/>
          <w:bCs/>
          <w:sz w:val="24"/>
          <w:szCs w:val="24"/>
        </w:rPr>
        <w:t xml:space="preserve"> </w:t>
      </w:r>
      <w:r>
        <w:rPr>
          <w:rFonts w:ascii="Times New Roman" w:cs="Times New Roman" w:hAnsi="Times New Roman"/>
          <w:bCs/>
          <w:sz w:val="24"/>
          <w:szCs w:val="24"/>
        </w:rPr>
        <w:t>pneumoniae</w:t>
      </w:r>
      <w:r>
        <w:rPr>
          <w:rFonts w:ascii="Times New Roman" w:cs="Times New Roman" w:hAnsi="Times New Roman"/>
          <w:bCs/>
          <w:sz w:val="24"/>
          <w:szCs w:val="24"/>
        </w:rPr>
        <w:t xml:space="preserve"> </w:t>
      </w:r>
      <w:r>
        <w:rPr>
          <w:rFonts w:ascii="Times New Roman" w:cs="Times New Roman" w:hAnsi="Times New Roman"/>
          <w:bCs/>
          <w:sz w:val="24"/>
          <w:szCs w:val="24"/>
        </w:rPr>
        <w:t>carbapenemase</w:t>
      </w:r>
      <w:r>
        <w:rPr>
          <w:rFonts w:ascii="Times New Roman" w:cs="Times New Roman" w:hAnsi="Times New Roman"/>
          <w:bCs/>
          <w:sz w:val="24"/>
          <w:szCs w:val="24"/>
        </w:rPr>
        <w:t xml:space="preserve"> (KPC), in </w:t>
      </w:r>
      <w:r>
        <w:rPr>
          <w:rFonts w:ascii="Times New Roman" w:cs="Times New Roman" w:hAnsi="Times New Roman"/>
          <w:bCs/>
          <w:i/>
          <w:sz w:val="24"/>
          <w:szCs w:val="24"/>
        </w:rPr>
        <w:t>E. coli</w:t>
      </w:r>
      <w:r>
        <w:rPr>
          <w:rFonts w:ascii="Times New Roman" w:cs="Times New Roman" w:hAnsi="Times New Roman"/>
          <w:bCs/>
          <w:sz w:val="24"/>
          <w:szCs w:val="24"/>
        </w:rPr>
        <w:t xml:space="preserve"> poses a serious threat to public health by rendering these antibiotics ineffective and limiting treatment options (Tucker </w:t>
      </w:r>
      <w:r>
        <w:rPr>
          <w:rFonts w:ascii="Times New Roman" w:cs="Times New Roman" w:hAnsi="Times New Roman"/>
          <w:bCs/>
          <w:i/>
          <w:sz w:val="24"/>
          <w:szCs w:val="24"/>
        </w:rPr>
        <w:t>et al</w:t>
      </w:r>
      <w:r>
        <w:rPr>
          <w:rFonts w:ascii="Times New Roman" w:cs="Times New Roman" w:hAnsi="Times New Roman"/>
          <w:bCs/>
          <w:sz w:val="24"/>
          <w:szCs w:val="24"/>
        </w:rPr>
        <w:t xml:space="preserve">., 2019). The increasing prevalence of multidrug-resistant </w:t>
      </w:r>
      <w:r>
        <w:rPr>
          <w:rFonts w:ascii="Times New Roman" w:cs="Times New Roman" w:hAnsi="Times New Roman"/>
          <w:bCs/>
          <w:i/>
          <w:sz w:val="24"/>
          <w:szCs w:val="24"/>
        </w:rPr>
        <w:t>E. coli</w:t>
      </w:r>
      <w:r>
        <w:rPr>
          <w:rFonts w:ascii="Times New Roman" w:cs="Times New Roman" w:hAnsi="Times New Roman"/>
          <w:bCs/>
          <w:sz w:val="24"/>
          <w:szCs w:val="24"/>
        </w:rPr>
        <w:t xml:space="preserve"> strains has significantly </w:t>
      </w:r>
      <w:r>
        <w:rPr>
          <w:rFonts w:ascii="Times New Roman" w:cs="Times New Roman" w:hAnsi="Times New Roman"/>
          <w:bCs/>
          <w:sz w:val="24"/>
          <w:szCs w:val="24"/>
        </w:rPr>
        <w:t>impacted</w:t>
      </w:r>
      <w:r>
        <w:rPr>
          <w:rFonts w:ascii="Times New Roman" w:cs="Times New Roman" w:hAnsi="Times New Roman"/>
          <w:bCs/>
          <w:sz w:val="24"/>
          <w:szCs w:val="24"/>
        </w:rPr>
        <w:t xml:space="preserve"> clinical outcomes, as these infections are more difficult to treat, often requiring more expensive and toxic drugs. This, in turn, leads to prolonged hospital stays, higher healthcare costs, and increased morbidity and mortality (Guerra </w:t>
      </w:r>
      <w:r>
        <w:rPr>
          <w:rFonts w:ascii="Times New Roman" w:cs="Times New Roman" w:hAnsi="Times New Roman"/>
          <w:bCs/>
          <w:i/>
          <w:sz w:val="24"/>
          <w:szCs w:val="24"/>
        </w:rPr>
        <w:t>et al</w:t>
      </w:r>
      <w:r>
        <w:rPr>
          <w:rFonts w:ascii="Times New Roman" w:cs="Times New Roman" w:hAnsi="Times New Roman"/>
          <w:bCs/>
          <w:sz w:val="24"/>
          <w:szCs w:val="24"/>
        </w:rPr>
        <w:t>., 2020).</w:t>
      </w:r>
    </w:p>
    <w:bookmarkStart w:id="29" w:name="_Toc203146306"/>
    <w:p>
      <w:pPr>
        <w:pStyle w:val="style3"/>
        <w:rPr/>
      </w:pPr>
      <w:r>
        <w:t>2.4.3</w:t>
      </w:r>
      <w:r>
        <w:tab/>
      </w:r>
      <w:r>
        <w:t xml:space="preserve">Clinical Impact of </w:t>
      </w:r>
      <w:r>
        <w:rPr>
          <w:i/>
          <w:iCs/>
        </w:rPr>
        <w:t>E. coli</w:t>
      </w:r>
      <w:r>
        <w:rPr>
          <w:i/>
          <w:iCs/>
        </w:rPr>
        <w:t xml:space="preserve"> </w:t>
      </w:r>
      <w:r>
        <w:t>Resistance</w:t>
      </w:r>
      <w:bookmarkEnd w:id="29"/>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The rise of antibiotic-resistant </w:t>
      </w:r>
      <w:r>
        <w:rPr>
          <w:rFonts w:ascii="Times New Roman" w:cs="Times New Roman" w:hAnsi="Times New Roman"/>
          <w:bCs/>
          <w:i/>
          <w:sz w:val="24"/>
          <w:szCs w:val="24"/>
        </w:rPr>
        <w:t>E. coli</w:t>
      </w:r>
      <w:r>
        <w:rPr>
          <w:rFonts w:ascii="Times New Roman" w:cs="Times New Roman" w:hAnsi="Times New Roman"/>
          <w:bCs/>
          <w:sz w:val="24"/>
          <w:szCs w:val="24"/>
        </w:rPr>
        <w:t xml:space="preserve"> strains, particularly those that are multidrug-resistant (MDR), poses significant challenges for healthcare providers. These resistant strains are often more difficult to treat, requiring alternative antibiotics that may not be as effective, or even entirely unavailable in certain settings. In addition to the direct impact on patient outcomes, the spread of resistant </w:t>
      </w:r>
      <w:r>
        <w:rPr>
          <w:rFonts w:ascii="Times New Roman" w:cs="Times New Roman" w:hAnsi="Times New Roman"/>
          <w:bCs/>
          <w:i/>
          <w:sz w:val="24"/>
          <w:szCs w:val="24"/>
        </w:rPr>
        <w:t>E. coli</w:t>
      </w:r>
      <w:r>
        <w:rPr>
          <w:rFonts w:ascii="Times New Roman" w:cs="Times New Roman" w:hAnsi="Times New Roman"/>
          <w:bCs/>
          <w:sz w:val="24"/>
          <w:szCs w:val="24"/>
        </w:rPr>
        <w:t xml:space="preserve"> strains within healthcare settings can lead to outbreaks, further complicating infection control efforts. For example, resistant strains of </w:t>
      </w:r>
      <w:r>
        <w:rPr>
          <w:rFonts w:ascii="Times New Roman" w:cs="Times New Roman" w:hAnsi="Times New Roman"/>
          <w:bCs/>
          <w:i/>
          <w:sz w:val="24"/>
          <w:szCs w:val="24"/>
        </w:rPr>
        <w:t>E. coli</w:t>
      </w:r>
      <w:r>
        <w:rPr>
          <w:rFonts w:ascii="Times New Roman" w:cs="Times New Roman" w:hAnsi="Times New Roman"/>
          <w:bCs/>
          <w:sz w:val="24"/>
          <w:szCs w:val="24"/>
        </w:rPr>
        <w:t xml:space="preserve"> </w:t>
      </w:r>
      <w:r>
        <w:rPr>
          <w:rFonts w:ascii="Times New Roman" w:cs="Times New Roman" w:hAnsi="Times New Roman"/>
          <w:bCs/>
          <w:sz w:val="24"/>
          <w:szCs w:val="24"/>
        </w:rPr>
        <w:t>are frequently implicated</w:t>
      </w:r>
      <w:r>
        <w:rPr>
          <w:rFonts w:ascii="Times New Roman" w:cs="Times New Roman" w:hAnsi="Times New Roman"/>
          <w:bCs/>
          <w:sz w:val="24"/>
          <w:szCs w:val="24"/>
        </w:rPr>
        <w:t xml:space="preserve"> in nosocomial infections, where patients in hospitals or long-term care facilities acquire infections from the healthcare environment itself (Tucker </w:t>
      </w:r>
      <w:r>
        <w:rPr>
          <w:rFonts w:ascii="Times New Roman" w:cs="Times New Roman" w:hAnsi="Times New Roman"/>
          <w:bCs/>
          <w:i/>
          <w:sz w:val="24"/>
          <w:szCs w:val="24"/>
        </w:rPr>
        <w:t>et al</w:t>
      </w:r>
      <w:r>
        <w:rPr>
          <w:rFonts w:ascii="Times New Roman" w:cs="Times New Roman" w:hAnsi="Times New Roman"/>
          <w:bCs/>
          <w:sz w:val="24"/>
          <w:szCs w:val="24"/>
        </w:rPr>
        <w:t>., 2019).</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To combat the increasing prevalence of antibiotic-resistant </w:t>
      </w:r>
      <w:r>
        <w:rPr>
          <w:rFonts w:ascii="Times New Roman" w:cs="Times New Roman" w:hAnsi="Times New Roman"/>
          <w:bCs/>
          <w:i/>
          <w:sz w:val="24"/>
          <w:szCs w:val="24"/>
        </w:rPr>
        <w:t>E. coli</w:t>
      </w:r>
      <w:r>
        <w:rPr>
          <w:rFonts w:ascii="Times New Roman" w:cs="Times New Roman" w:hAnsi="Times New Roman"/>
          <w:bCs/>
          <w:sz w:val="24"/>
          <w:szCs w:val="24"/>
        </w:rPr>
        <w:t xml:space="preserve"> infections, several strategies </w:t>
      </w:r>
      <w:r>
        <w:rPr>
          <w:rFonts w:ascii="Times New Roman" w:cs="Times New Roman" w:hAnsi="Times New Roman"/>
          <w:bCs/>
          <w:sz w:val="24"/>
          <w:szCs w:val="24"/>
        </w:rPr>
        <w:t>have been proposed</w:t>
      </w:r>
      <w:r>
        <w:rPr>
          <w:rFonts w:ascii="Times New Roman" w:cs="Times New Roman" w:hAnsi="Times New Roman"/>
          <w:bCs/>
          <w:sz w:val="24"/>
          <w:szCs w:val="24"/>
        </w:rPr>
        <w:t xml:space="preserve">. Antimicrobial stewardship programs, which aim to optimize antibiotic use in clinical settings, </w:t>
      </w:r>
      <w:r>
        <w:rPr>
          <w:rFonts w:ascii="Times New Roman" w:cs="Times New Roman" w:hAnsi="Times New Roman"/>
          <w:bCs/>
          <w:sz w:val="24"/>
          <w:szCs w:val="24"/>
        </w:rPr>
        <w:t>have been shown</w:t>
      </w:r>
      <w:r>
        <w:rPr>
          <w:rFonts w:ascii="Times New Roman" w:cs="Times New Roman" w:hAnsi="Times New Roman"/>
          <w:bCs/>
          <w:sz w:val="24"/>
          <w:szCs w:val="24"/>
        </w:rPr>
        <w:t xml:space="preserve"> to be effective in reducing the overuse and misuse of antibiotics, thereby slowing the development of resistance. These programs ensure that patients receive the right antibiotic at the right dose and duration, minimizing unnecessary exposure to broad-spectrum antibiotics (Guerra </w:t>
      </w:r>
      <w:r>
        <w:rPr>
          <w:rFonts w:ascii="Times New Roman" w:cs="Times New Roman" w:hAnsi="Times New Roman"/>
          <w:bCs/>
          <w:i/>
          <w:sz w:val="24"/>
          <w:szCs w:val="24"/>
        </w:rPr>
        <w:t>et al</w:t>
      </w:r>
      <w:r>
        <w:rPr>
          <w:rFonts w:ascii="Times New Roman" w:cs="Times New Roman" w:hAnsi="Times New Roman"/>
          <w:bCs/>
          <w:sz w:val="24"/>
          <w:szCs w:val="24"/>
        </w:rPr>
        <w:t xml:space="preserve">., 2020). In addition to stewardship, stringent infection control measures, including hand hygiene, proper sanitation, and isolation of infected patients, are essential for </w:t>
      </w:r>
      <w:r>
        <w:rPr>
          <w:rFonts w:ascii="Times New Roman" w:cs="Times New Roman" w:hAnsi="Times New Roman"/>
          <w:bCs/>
          <w:sz w:val="24"/>
          <w:szCs w:val="24"/>
        </w:rPr>
        <w:t xml:space="preserve">preventing the transmission of resistant </w:t>
      </w:r>
      <w:r>
        <w:rPr>
          <w:rFonts w:ascii="Times New Roman" w:cs="Times New Roman" w:hAnsi="Times New Roman"/>
          <w:bCs/>
          <w:i/>
          <w:sz w:val="24"/>
          <w:szCs w:val="24"/>
        </w:rPr>
        <w:t>E. coli</w:t>
      </w:r>
      <w:r>
        <w:rPr>
          <w:rFonts w:ascii="Times New Roman" w:cs="Times New Roman" w:hAnsi="Times New Roman"/>
          <w:bCs/>
          <w:sz w:val="24"/>
          <w:szCs w:val="24"/>
        </w:rPr>
        <w:t xml:space="preserve"> strains in hospitals and other healthcare environments.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Research into alternative therapies is also underway to provide new options for treating resistant </w:t>
      </w:r>
      <w:r>
        <w:rPr>
          <w:rFonts w:ascii="Times New Roman" w:cs="Times New Roman" w:hAnsi="Times New Roman"/>
          <w:bCs/>
          <w:i/>
          <w:sz w:val="24"/>
          <w:szCs w:val="24"/>
        </w:rPr>
        <w:t>E. coli</w:t>
      </w:r>
      <w:r>
        <w:rPr>
          <w:rFonts w:ascii="Times New Roman" w:cs="Times New Roman" w:hAnsi="Times New Roman"/>
          <w:bCs/>
          <w:sz w:val="24"/>
          <w:szCs w:val="24"/>
        </w:rPr>
        <w:t xml:space="preserve"> infections. One promising approach is bacteriophage therapy, which involves using viruses that specifically target and kill bacteria. This technique has shown promise as an alternative to traditional antibiotics, particularly in cases where conventional treatments have failed (</w:t>
      </w:r>
      <w:r>
        <w:rPr>
          <w:rFonts w:ascii="Times New Roman" w:cs="Times New Roman" w:hAnsi="Times New Roman"/>
          <w:bCs/>
          <w:sz w:val="24"/>
          <w:szCs w:val="24"/>
        </w:rPr>
        <w:t>Nataro</w:t>
      </w:r>
      <w:r>
        <w:rPr>
          <w:rFonts w:ascii="Times New Roman" w:cs="Times New Roman" w:hAnsi="Times New Roman"/>
          <w:bCs/>
          <w:sz w:val="24"/>
          <w:szCs w:val="24"/>
        </w:rPr>
        <w:t xml:space="preserve"> &amp; </w:t>
      </w:r>
      <w:r>
        <w:rPr>
          <w:rFonts w:ascii="Times New Roman" w:cs="Times New Roman" w:hAnsi="Times New Roman"/>
          <w:bCs/>
          <w:sz w:val="24"/>
          <w:szCs w:val="24"/>
        </w:rPr>
        <w:t>Kaper</w:t>
      </w:r>
      <w:r>
        <w:rPr>
          <w:rFonts w:ascii="Times New Roman" w:cs="Times New Roman" w:hAnsi="Times New Roman"/>
          <w:bCs/>
          <w:sz w:val="24"/>
          <w:szCs w:val="24"/>
        </w:rPr>
        <w:t xml:space="preserve">, 2019). Another area of research is the development of vaccines against </w:t>
      </w:r>
      <w:r>
        <w:rPr>
          <w:rFonts w:ascii="Times New Roman" w:cs="Times New Roman" w:hAnsi="Times New Roman"/>
          <w:bCs/>
          <w:i/>
          <w:sz w:val="24"/>
          <w:szCs w:val="24"/>
        </w:rPr>
        <w:t>E. coli</w:t>
      </w:r>
      <w:r>
        <w:rPr>
          <w:rFonts w:ascii="Times New Roman" w:cs="Times New Roman" w:hAnsi="Times New Roman"/>
          <w:bCs/>
          <w:sz w:val="24"/>
          <w:szCs w:val="24"/>
        </w:rPr>
        <w:t xml:space="preserve"> strains, especially those that cause gastroenteritis and UTIs. Additionally, novel antibiotics targeting new bacterial pathways </w:t>
      </w:r>
      <w:r>
        <w:rPr>
          <w:rFonts w:ascii="Times New Roman" w:cs="Times New Roman" w:hAnsi="Times New Roman"/>
          <w:bCs/>
          <w:sz w:val="24"/>
          <w:szCs w:val="24"/>
        </w:rPr>
        <w:t>are being explored</w:t>
      </w:r>
      <w:r>
        <w:rPr>
          <w:rFonts w:ascii="Times New Roman" w:cs="Times New Roman" w:hAnsi="Times New Roman"/>
          <w:bCs/>
          <w:sz w:val="24"/>
          <w:szCs w:val="24"/>
        </w:rPr>
        <w:t xml:space="preserve">, which may provide much-needed solutions for treating resistant </w:t>
      </w:r>
      <w:r>
        <w:rPr>
          <w:rFonts w:ascii="Times New Roman" w:cs="Times New Roman" w:hAnsi="Times New Roman"/>
          <w:bCs/>
          <w:i/>
          <w:sz w:val="24"/>
          <w:szCs w:val="24"/>
        </w:rPr>
        <w:t>E. coli</w:t>
      </w:r>
      <w:r>
        <w:rPr>
          <w:rFonts w:ascii="Times New Roman" w:cs="Times New Roman" w:hAnsi="Times New Roman"/>
          <w:bCs/>
          <w:sz w:val="24"/>
          <w:szCs w:val="24"/>
        </w:rPr>
        <w:t xml:space="preserve"> infections (Wu </w:t>
      </w:r>
      <w:r>
        <w:rPr>
          <w:rFonts w:ascii="Times New Roman" w:cs="Times New Roman" w:hAnsi="Times New Roman"/>
          <w:bCs/>
          <w:i/>
          <w:sz w:val="24"/>
          <w:szCs w:val="24"/>
        </w:rPr>
        <w:t>et al</w:t>
      </w:r>
      <w:r>
        <w:rPr>
          <w:rFonts w:ascii="Times New Roman" w:cs="Times New Roman" w:hAnsi="Times New Roman"/>
          <w:bCs/>
          <w:sz w:val="24"/>
          <w:szCs w:val="24"/>
        </w:rPr>
        <w:t>., 2020).</w:t>
      </w:r>
    </w:p>
    <w:p>
      <w:pPr>
        <w:pStyle w:val="style0"/>
        <w:spacing w:after="0" w:lineRule="auto" w:line="480"/>
        <w:jc w:val="both"/>
        <w:rPr>
          <w:rFonts w:ascii="Times New Roman" w:cs="Times New Roman" w:hAnsi="Times New Roman"/>
          <w:bCs/>
          <w:sz w:val="24"/>
          <w:szCs w:val="24"/>
        </w:rPr>
      </w:pPr>
    </w:p>
    <w:p>
      <w:pPr>
        <w:pStyle w:val="style0"/>
        <w:spacing w:after="0" w:lineRule="auto" w:line="480"/>
        <w:jc w:val="both"/>
        <w:rPr>
          <w:rFonts w:ascii="Times New Roman" w:cs="Times New Roman" w:hAnsi="Times New Roman"/>
          <w:bCs/>
          <w:sz w:val="24"/>
          <w:szCs w:val="24"/>
        </w:rPr>
      </w:pPr>
    </w:p>
    <w:p>
      <w:pPr>
        <w:pStyle w:val="style0"/>
        <w:jc w:val="center"/>
        <w:rPr>
          <w:rFonts w:ascii="Times New Roman" w:cs="Times New Roman" w:hAnsi="Times New Roman"/>
          <w:b/>
          <w:sz w:val="24"/>
          <w:szCs w:val="24"/>
        </w:rPr>
      </w:pPr>
      <w:r>
        <w:rPr>
          <w:rFonts w:ascii="Times New Roman" w:cs="Times New Roman" w:hAnsi="Times New Roman"/>
          <w:b/>
          <w:sz w:val="24"/>
          <w:szCs w:val="24"/>
        </w:rPr>
        <w:t> </w:t>
      </w: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rPr>
          <w:rFonts w:ascii="Times New Roman" w:cs="Times New Roman" w:hAnsi="Times New Roman"/>
          <w:b/>
          <w:sz w:val="24"/>
          <w:szCs w:val="24"/>
        </w:rPr>
      </w:pPr>
    </w:p>
    <w:bookmarkStart w:id="30" w:name="_Toc203146307"/>
    <w:p>
      <w:pPr>
        <w:pStyle w:val="style1"/>
        <w:jc w:val="center"/>
        <w:rPr/>
      </w:pPr>
      <w:r>
        <w:t>CHAPTER THREE</w:t>
      </w:r>
      <w:bookmarkEnd w:id="30"/>
    </w:p>
    <w:bookmarkStart w:id="31" w:name="_Toc203146308"/>
    <w:p>
      <w:pPr>
        <w:pStyle w:val="style1"/>
        <w:spacing w:lineRule="auto" w:line="480"/>
        <w:jc w:val="center"/>
        <w:rPr/>
      </w:pPr>
      <w:r>
        <w:t>MATERIALS AND METHODS</w:t>
      </w:r>
      <w:bookmarkEnd w:id="31"/>
    </w:p>
    <w:bookmarkStart w:id="32" w:name="_Toc203146309"/>
    <w:p>
      <w:pPr>
        <w:pStyle w:val="style2"/>
        <w:spacing w:lineRule="auto" w:line="480"/>
        <w:rPr>
          <w:rFonts w:eastAsia="Times New Roman"/>
        </w:rPr>
      </w:pPr>
      <w:r>
        <w:rPr>
          <w:rFonts w:eastAsia="Times New Roman"/>
        </w:rPr>
        <w:t>3.1</w:t>
      </w:r>
      <w:r>
        <w:rPr>
          <w:rFonts w:eastAsia="Times New Roman"/>
        </w:rPr>
        <w:tab/>
      </w:r>
      <w:r>
        <w:rPr>
          <w:rFonts w:eastAsia="Times New Roman"/>
        </w:rPr>
        <w:t>Study Area and Sample Collection</w:t>
      </w:r>
      <w:bookmarkEnd w:id="32"/>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study </w:t>
      </w:r>
      <w:r>
        <w:rPr>
          <w:rFonts w:ascii="Times New Roman" w:cs="Times New Roman" w:eastAsia="Times New Roman" w:hAnsi="Times New Roman"/>
          <w:sz w:val="24"/>
          <w:szCs w:val="24"/>
        </w:rPr>
        <w:t>was conducted</w:t>
      </w:r>
      <w:r>
        <w:rPr>
          <w:rFonts w:ascii="Times New Roman" w:cs="Times New Roman" w:eastAsia="Times New Roman" w:hAnsi="Times New Roman"/>
          <w:sz w:val="24"/>
          <w:szCs w:val="24"/>
        </w:rPr>
        <w:t xml:space="preserve"> in the Microbiology Laboratory Unit of Kwara State Polytechnic, Ilorin, Nigeria. The clinical isolates of </w:t>
      </w:r>
      <w:r>
        <w:rPr>
          <w:rFonts w:ascii="Times New Roman" w:cs="Times New Roman" w:eastAsia="Times New Roman" w:hAnsi="Times New Roman"/>
          <w:i/>
          <w:iCs/>
          <w:sz w:val="24"/>
          <w:szCs w:val="24"/>
        </w:rPr>
        <w:t>Methicillin-Resistant Staphylococcus aureus</w:t>
      </w:r>
      <w:r>
        <w:rPr>
          <w:rFonts w:ascii="Times New Roman" w:cs="Times New Roman" w:eastAsia="Times New Roman" w:hAnsi="Times New Roman"/>
          <w:sz w:val="24"/>
          <w:szCs w:val="24"/>
        </w:rPr>
        <w:t xml:space="preserve"> (MRSA) and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w:t>
      </w:r>
      <w:r>
        <w:rPr>
          <w:rFonts w:ascii="Times New Roman" w:cs="Times New Roman" w:eastAsia="Times New Roman" w:hAnsi="Times New Roman"/>
          <w:i/>
          <w:sz w:val="24"/>
          <w:szCs w:val="24"/>
        </w:rPr>
        <w:t>. coli</w:t>
      </w:r>
      <w:r>
        <w:rPr>
          <w:rFonts w:ascii="Times New Roman" w:cs="Times New Roman" w:eastAsia="Times New Roman" w:hAnsi="Times New Roman"/>
          <w:sz w:val="24"/>
          <w:szCs w:val="24"/>
        </w:rPr>
        <w:t xml:space="preserve"> ) </w:t>
      </w:r>
      <w:r>
        <w:rPr>
          <w:rFonts w:ascii="Times New Roman" w:cs="Times New Roman" w:eastAsia="Times New Roman" w:hAnsi="Times New Roman"/>
          <w:sz w:val="24"/>
          <w:szCs w:val="24"/>
        </w:rPr>
        <w:t xml:space="preserve">were obtained from the University of Ilorin Teaching Hospital (UITH), Ilorin, Kwara State. These isolates </w:t>
      </w:r>
      <w:r>
        <w:rPr>
          <w:rFonts w:ascii="Times New Roman" w:cs="Times New Roman" w:eastAsia="Times New Roman" w:hAnsi="Times New Roman"/>
          <w:sz w:val="24"/>
          <w:szCs w:val="24"/>
        </w:rPr>
        <w:t>were selected</w:t>
      </w:r>
      <w:r>
        <w:rPr>
          <w:rFonts w:ascii="Times New Roman" w:cs="Times New Roman" w:eastAsia="Times New Roman" w:hAnsi="Times New Roman"/>
          <w:sz w:val="24"/>
          <w:szCs w:val="24"/>
        </w:rPr>
        <w:t xml:space="preserve"> for their clinical significance and resistance patterns.</w:t>
      </w:r>
    </w:p>
    <w:bookmarkStart w:id="33" w:name="_Toc203146310"/>
    <w:p>
      <w:pPr>
        <w:pStyle w:val="style2"/>
        <w:rPr/>
      </w:pPr>
      <w:r>
        <w:t>3.2</w:t>
      </w:r>
      <w:r>
        <w:tab/>
      </w:r>
      <w:r>
        <w:t>Collection and Preparation of Plant Material</w:t>
      </w:r>
      <w:bookmarkEnd w:id="33"/>
    </w:p>
    <w:p>
      <w:pPr>
        <w:pStyle w:val="style94"/>
        <w:spacing w:lineRule="auto" w:line="480"/>
        <w:jc w:val="both"/>
        <w:rPr/>
      </w:pPr>
      <w:r>
        <w:t xml:space="preserve">Fresh leaves of </w:t>
      </w:r>
      <w:r>
        <w:rPr>
          <w:rStyle w:val="style88"/>
          <w:rFonts w:eastAsia="宋体"/>
        </w:rPr>
        <w:t xml:space="preserve">Eucalyptus </w:t>
      </w:r>
      <w:r>
        <w:rPr>
          <w:rStyle w:val="style88"/>
          <w:rFonts w:eastAsia="宋体"/>
        </w:rPr>
        <w:t>globulus</w:t>
      </w:r>
      <w:r>
        <w:t xml:space="preserve"> </w:t>
      </w:r>
      <w:r>
        <w:t>were collected</w:t>
      </w:r>
      <w:r>
        <w:t xml:space="preserve"> from a natural stand in Ilorin, Kwara State, Nigeria. </w:t>
      </w:r>
      <w:r>
        <w:t>The plant was authenticated by a plant taxonomist at the Department of Plant Biology, University of Ilorin</w:t>
      </w:r>
      <w:r>
        <w:t xml:space="preserve">. The leaves were thoroughly washed with clean water to remove dirt, </w:t>
      </w:r>
      <w:r>
        <w:t>then</w:t>
      </w:r>
      <w:r>
        <w:t xml:space="preserve"> air-dried at room temperature in a shaded area for 7–10 days. The dried leaves were ground into fine powder using a sterile mortar</w:t>
      </w:r>
      <w:r>
        <w:t xml:space="preserve"> and pestle. </w:t>
      </w:r>
    </w:p>
    <w:bookmarkStart w:id="34" w:name="_Toc203146311"/>
    <w:p>
      <w:pPr>
        <w:pStyle w:val="style2"/>
        <w:rPr/>
      </w:pPr>
      <w:r>
        <w:t>3.3</w:t>
      </w:r>
      <w:r>
        <w:tab/>
      </w:r>
      <w:r>
        <w:t>Preparation of Plant Extracts</w:t>
      </w:r>
      <w:bookmarkEnd w:id="34"/>
    </w:p>
    <w:bookmarkStart w:id="35" w:name="_Toc203146312"/>
    <w:p>
      <w:pPr>
        <w:pStyle w:val="style3"/>
        <w:rPr>
          <w:rFonts w:eastAsia="Calibri"/>
        </w:rPr>
      </w:pPr>
      <w:r>
        <w:rPr>
          <w:rFonts w:eastAsia="Calibri"/>
        </w:rPr>
        <w:t>3.3.1</w:t>
      </w:r>
      <w:r>
        <w:rPr>
          <w:rFonts w:eastAsia="Calibri"/>
        </w:rPr>
        <w:tab/>
      </w:r>
      <w:r>
        <w:rPr>
          <w:rFonts w:eastAsia="Calibri"/>
        </w:rPr>
        <w:t>Ethanol Extraction</w:t>
      </w:r>
      <w:bookmarkEnd w:id="35"/>
    </w:p>
    <w:p>
      <w:pPr>
        <w:pStyle w:val="style94"/>
        <w:spacing w:before="0" w:beforeAutospacing="false" w:after="0" w:afterAutospacing="false" w:lineRule="auto" w:line="480"/>
        <w:jc w:val="both"/>
        <w:rPr/>
      </w:pPr>
      <w:r>
        <w:t xml:space="preserve">A total of 30 g portion of the powdered leaves was soaked in 150 ml of absolute ethanol in a sterile conical flask. The mixture </w:t>
      </w:r>
      <w:r>
        <w:t>was placed</w:t>
      </w:r>
      <w:r>
        <w:t xml:space="preserve"> in a shaking incubator at 42 °C and 80 rpm for 7 days. After extraction, the solution was filtered using </w:t>
      </w:r>
      <w:r>
        <w:t>Whatman</w:t>
      </w:r>
      <w:r>
        <w:t xml:space="preserve"> No.1 filter paper. The filtrate </w:t>
      </w:r>
      <w:r>
        <w:t>was concentrated by evaporation in a water bath at 40 °C to remove residual ethanol and then stored in sterile bottles at 4 °C for further analysis</w:t>
      </w:r>
      <w:r>
        <w:t xml:space="preserve">. </w:t>
      </w:r>
    </w:p>
    <w:p>
      <w:pPr>
        <w:pStyle w:val="style3"/>
        <w:spacing w:before="0"/>
        <w:rPr>
          <w:bCs w:val="false"/>
          <w:szCs w:val="24"/>
        </w:rPr>
      </w:pPr>
    </w:p>
    <w:bookmarkStart w:id="36" w:name="_Toc203146313"/>
    <w:p>
      <w:pPr>
        <w:pStyle w:val="style2"/>
        <w:rPr>
          <w:bCs/>
        </w:rPr>
      </w:pPr>
      <w:r>
        <w:t>3.4</w:t>
      </w:r>
      <w:r>
        <w:tab/>
      </w:r>
      <w:r>
        <w:t>Phytochemical Screening</w:t>
      </w:r>
      <w:bookmarkEnd w:id="36"/>
    </w:p>
    <w:p>
      <w:pPr>
        <w:pStyle w:val="style94"/>
        <w:spacing w:before="0" w:beforeAutospacing="false" w:lineRule="auto" w:line="480"/>
        <w:jc w:val="both"/>
        <w:rPr/>
      </w:pPr>
      <w:r>
        <w:t>Preliminary phytochemical screening was conducted</w:t>
      </w:r>
      <w:r>
        <w:t>,</w:t>
      </w:r>
      <w:r>
        <w:t xml:space="preserve"> ethanol extracts of </w:t>
      </w:r>
      <w:r>
        <w:rPr>
          <w:rStyle w:val="style88"/>
          <w:rFonts w:eastAsia="宋体"/>
        </w:rPr>
        <w:t xml:space="preserve">Eucalyptus </w:t>
      </w:r>
      <w:r>
        <w:rPr>
          <w:rStyle w:val="style88"/>
          <w:rFonts w:eastAsia="宋体"/>
        </w:rPr>
        <w:t>globulus</w:t>
      </w:r>
      <w:r>
        <w:t xml:space="preserve"> leaves to detect the presence of key secondary metabolites, including alkaloids, flavonoids, tannins, </w:t>
      </w:r>
      <w:r>
        <w:t>saponins</w:t>
      </w:r>
      <w:r>
        <w:t xml:space="preserve">, and phenolic compounds. These tests </w:t>
      </w:r>
      <w:r>
        <w:t>were performed</w:t>
      </w:r>
      <w:r>
        <w:t xml:space="preserve"> using standard qualitative methods described by </w:t>
      </w:r>
      <w:r>
        <w:t>Yakubu</w:t>
      </w:r>
      <w:r>
        <w:t xml:space="preserve"> </w:t>
      </w:r>
      <w:r>
        <w:rPr>
          <w:i/>
        </w:rPr>
        <w:t>et al</w:t>
      </w:r>
      <w:r>
        <w:t xml:space="preserve">. (2020). Each test </w:t>
      </w:r>
      <w:r>
        <w:t>is detailed</w:t>
      </w:r>
      <w:r>
        <w:t xml:space="preserve"> below.</w:t>
      </w:r>
    </w:p>
    <w:bookmarkStart w:id="37" w:name="_Toc203146314"/>
    <w:p>
      <w:pPr>
        <w:pStyle w:val="style3"/>
        <w:rPr/>
      </w:pPr>
      <w:r>
        <w:t>3.</w:t>
      </w:r>
      <w:r>
        <w:t>4</w:t>
      </w:r>
      <w:r>
        <w:t>.</w:t>
      </w:r>
      <w:r>
        <w:t>1</w:t>
      </w:r>
      <w:r>
        <w:tab/>
      </w:r>
      <w:r>
        <w:t>Test for Alkaloids</w:t>
      </w:r>
      <w:bookmarkEnd w:id="37"/>
    </w:p>
    <w:p>
      <w:pPr>
        <w:pStyle w:val="style94"/>
        <w:spacing w:before="0" w:beforeAutospacing="false" w:lineRule="auto" w:line="480"/>
        <w:jc w:val="both"/>
        <w:rPr/>
      </w:pPr>
      <w:r>
        <w:t>Two drops of Mayer’s reagent were added</w:t>
      </w:r>
      <w:r>
        <w:t xml:space="preserve"> to</w:t>
      </w:r>
      <w:r>
        <w:t xml:space="preserve"> 2 ml of each </w:t>
      </w:r>
      <w:r>
        <w:t>extract .</w:t>
      </w:r>
      <w:r>
        <w:t xml:space="preserve"> The formation of a cream-colored precipitate indicated the presence of alkaloids in the extract.</w:t>
      </w:r>
    </w:p>
    <w:bookmarkStart w:id="38" w:name="_Toc203146315"/>
    <w:p>
      <w:pPr>
        <w:pStyle w:val="style3"/>
        <w:rPr/>
      </w:pPr>
      <w:r>
        <w:t>3.4.2</w:t>
      </w:r>
      <w:r>
        <w:tab/>
      </w:r>
      <w:r>
        <w:t>Test for Flavonoids</w:t>
      </w:r>
      <w:bookmarkEnd w:id="38"/>
    </w:p>
    <w:p>
      <w:pPr>
        <w:pStyle w:val="style94"/>
        <w:spacing w:before="0" w:beforeAutospacing="false" w:lineRule="auto" w:line="480"/>
        <w:jc w:val="both"/>
        <w:rPr/>
      </w:pPr>
      <w:r>
        <w:t xml:space="preserve">One </w:t>
      </w:r>
      <w:r>
        <w:t>millilitre</w:t>
      </w:r>
      <w:r>
        <w:t xml:space="preserve"> of the extract </w:t>
      </w:r>
      <w:r>
        <w:t>was mixed</w:t>
      </w:r>
      <w:r>
        <w:t xml:space="preserve"> with a few drops of dilute sodium hydroxide solution. An intense yellow color </w:t>
      </w:r>
      <w:r>
        <w:t>appeared,</w:t>
      </w:r>
      <w:r>
        <w:t xml:space="preserve"> which became colorless upon the addition of dilute hydrochloric acid. This color change confirmed the presence of flavonoids.</w:t>
      </w:r>
    </w:p>
    <w:bookmarkStart w:id="39" w:name="_Toc203146316"/>
    <w:p>
      <w:pPr>
        <w:pStyle w:val="style3"/>
        <w:rPr/>
      </w:pPr>
      <w:r>
        <w:t>3.4.3</w:t>
      </w:r>
      <w:r>
        <w:tab/>
      </w:r>
      <w:r>
        <w:t>Test for Tannins</w:t>
      </w:r>
      <w:bookmarkEnd w:id="39"/>
    </w:p>
    <w:p>
      <w:pPr>
        <w:pStyle w:val="style94"/>
        <w:spacing w:before="0" w:beforeAutospacing="false" w:lineRule="auto" w:line="480"/>
        <w:jc w:val="both"/>
        <w:rPr/>
      </w:pPr>
      <w:r>
        <w:t xml:space="preserve">A few drops of 0.1% ferric chloride solution </w:t>
      </w:r>
      <w:r>
        <w:t>were added</w:t>
      </w:r>
      <w:r>
        <w:t xml:space="preserve"> to 2ml of the extracts. The formation of a blue-black or greenish-black coloration indicated the presence of tannins.</w:t>
      </w:r>
    </w:p>
    <w:bookmarkStart w:id="40" w:name="_Toc203146317"/>
    <w:p>
      <w:pPr>
        <w:pStyle w:val="style3"/>
        <w:rPr/>
      </w:pPr>
      <w:r>
        <w:t>3.4.4</w:t>
      </w:r>
      <w:r>
        <w:tab/>
      </w:r>
      <w:r>
        <w:t xml:space="preserve">Test for </w:t>
      </w:r>
      <w:r>
        <w:t>Saponins</w:t>
      </w:r>
      <w:bookmarkEnd w:id="40"/>
    </w:p>
    <w:p>
      <w:pPr>
        <w:pStyle w:val="style94"/>
        <w:spacing w:before="0" w:beforeAutospacing="false" w:lineRule="auto" w:line="480"/>
        <w:jc w:val="both"/>
        <w:rPr/>
      </w:pPr>
      <w:r>
        <w:t xml:space="preserve">About 5 ml of the extract </w:t>
      </w:r>
      <w:r>
        <w:t>was mixed</w:t>
      </w:r>
      <w:r>
        <w:t xml:space="preserve"> with 5 ml of distilled water in a test tube. The mixture </w:t>
      </w:r>
      <w:r>
        <w:t>was vigorously shaken for 30 seconds and allowed to stand for 10 minutes</w:t>
      </w:r>
      <w:r>
        <w:t xml:space="preserve">. The presence of persistent frothing (foam layer) indicated the presence of </w:t>
      </w:r>
      <w:r>
        <w:t>saponins</w:t>
      </w:r>
      <w:r>
        <w:t>.</w:t>
      </w:r>
    </w:p>
    <w:bookmarkStart w:id="41" w:name="_Toc203146318"/>
    <w:p>
      <w:pPr>
        <w:pStyle w:val="style3"/>
        <w:rPr/>
      </w:pPr>
      <w:r>
        <w:t>3.4.5</w:t>
      </w:r>
      <w:r>
        <w:tab/>
      </w:r>
      <w:r>
        <w:t>Test for Phenolic Compounds</w:t>
      </w:r>
      <w:bookmarkEnd w:id="41"/>
    </w:p>
    <w:p>
      <w:pPr>
        <w:pStyle w:val="style94"/>
        <w:spacing w:before="0" w:beforeAutospacing="false" w:after="0" w:afterAutospacing="false" w:lineRule="auto" w:line="480"/>
        <w:jc w:val="both"/>
        <w:rPr/>
      </w:pPr>
      <w:r>
        <w:t xml:space="preserve">Two </w:t>
      </w:r>
      <w:r>
        <w:t>millilitres</w:t>
      </w:r>
      <w:r>
        <w:t xml:space="preserve"> of the extract </w:t>
      </w:r>
      <w:r>
        <w:t>were treated</w:t>
      </w:r>
      <w:r>
        <w:t xml:space="preserve"> with a few drops of 5% ferric chloride solution. The appearance of a deep blue or dark green coloration confirmed the presence of phenolic compounds. </w:t>
      </w:r>
    </w:p>
    <w:bookmarkStart w:id="42" w:name="_Toc203146319"/>
    <w:p>
      <w:pPr>
        <w:pStyle w:val="style2"/>
        <w:spacing w:lineRule="auto" w:line="480"/>
        <w:rPr/>
      </w:pPr>
      <w:r>
        <w:t>3.5</w:t>
      </w:r>
      <w:r>
        <w:tab/>
      </w:r>
      <w:r>
        <w:t>Standardization of Bacterial Inoculum</w:t>
      </w:r>
      <w:bookmarkEnd w:id="42"/>
      <w:r>
        <w:t xml:space="preserve"> </w:t>
      </w:r>
    </w:p>
    <w:p>
      <w:pPr>
        <w:pStyle w:val="style94"/>
        <w:spacing w:before="0" w:beforeAutospacing="false" w:after="0" w:afterAutospacing="false" w:lineRule="auto" w:line="480"/>
        <w:jc w:val="both"/>
        <w:rPr/>
      </w:pPr>
      <w:r>
        <w:t>The bacterial isolates were standardized by adjusting their turbidity to match that of 0.5 McFarland standard, equivalent to approximately 1.5 × 10⁸ CFU/ml. This standardization ensured uniformity in bacterial concentration during susceptibility testing.</w:t>
      </w:r>
    </w:p>
    <w:bookmarkStart w:id="43" w:name="_Toc203146320"/>
    <w:p>
      <w:pPr>
        <w:pStyle w:val="style2"/>
        <w:spacing w:lineRule="auto" w:line="480"/>
        <w:rPr/>
      </w:pPr>
      <w:r>
        <w:t>3.6</w:t>
      </w:r>
      <w:r>
        <w:tab/>
      </w:r>
      <w:r>
        <w:t>Antibacterial Susceptibility Testing</w:t>
      </w:r>
      <w:bookmarkEnd w:id="43"/>
    </w:p>
    <w:bookmarkStart w:id="44" w:name="_Toc203146321"/>
    <w:p>
      <w:pPr>
        <w:pStyle w:val="style3"/>
        <w:spacing w:lineRule="auto" w:line="480"/>
        <w:rPr>
          <w:rFonts w:eastAsia="Calibri"/>
        </w:rPr>
      </w:pPr>
      <w:r>
        <w:rPr>
          <w:rFonts w:eastAsia="Calibri"/>
        </w:rPr>
        <w:t xml:space="preserve">3.6.1 </w:t>
      </w:r>
      <w:r>
        <w:rPr>
          <w:rFonts w:eastAsia="Calibri"/>
        </w:rPr>
        <w:tab/>
      </w:r>
      <w:r>
        <w:rPr>
          <w:rFonts w:eastAsia="Calibri"/>
        </w:rPr>
        <w:t>Agar Well Diffusion Method</w:t>
      </w:r>
      <w:bookmarkEnd w:id="44"/>
    </w:p>
    <w:p>
      <w:pPr>
        <w:pStyle w:val="style94"/>
        <w:spacing w:before="0" w:beforeAutospacing="false" w:after="0" w:afterAutospacing="false" w:lineRule="auto" w:line="480"/>
        <w:jc w:val="both"/>
        <w:rPr/>
      </w:pPr>
      <w:r>
        <w:t xml:space="preserve">Mueller-Hinton Agar (MHA) plates were prepared and sterilized. The standardized bacterial inoculum </w:t>
      </w:r>
      <w:r>
        <w:t>was uniformly spread</w:t>
      </w:r>
      <w:r>
        <w:t xml:space="preserve"> over the surface of the agar plates using a sterile swab. Wells of 6 mm diameter </w:t>
      </w:r>
      <w:r>
        <w:t>were made</w:t>
      </w:r>
      <w:r>
        <w:t xml:space="preserve"> using a sterile </w:t>
      </w:r>
      <w:r>
        <w:t>cork</w:t>
      </w:r>
      <w:r>
        <w:t xml:space="preserve"> borer. Different volumes (100 </w:t>
      </w:r>
      <w:r>
        <w:t>μl</w:t>
      </w:r>
      <w:r>
        <w:t xml:space="preserve">, 200 </w:t>
      </w:r>
      <w:r>
        <w:t>μl</w:t>
      </w:r>
      <w:r>
        <w:t xml:space="preserve">, and 300 </w:t>
      </w:r>
      <w:r>
        <w:t>μl</w:t>
      </w:r>
      <w:r>
        <w:t xml:space="preserve">) of each extract (aqueous and ethanol) were introduced into the wells. A well containing ethanol alone served as a negative control. The plates </w:t>
      </w:r>
      <w:r>
        <w:t>were incubated</w:t>
      </w:r>
      <w:r>
        <w:t xml:space="preserve"> at 37 °C for 24 hours. After incubation, the zones of inhibition </w:t>
      </w:r>
      <w:r>
        <w:t>were measured</w:t>
      </w:r>
      <w:r>
        <w:t xml:space="preserve"> in millimeters using a transparent ruler, and the average diameter from three replicates was recorded for each sample.</w:t>
      </w:r>
    </w:p>
    <w:bookmarkStart w:id="45" w:name="_Toc203146322"/>
    <w:p>
      <w:pPr>
        <w:pStyle w:val="style3"/>
        <w:rPr>
          <w:rFonts w:eastAsia="Calibri"/>
        </w:rPr>
      </w:pPr>
      <w:r>
        <w:rPr>
          <w:rFonts w:eastAsia="Calibri"/>
        </w:rPr>
        <w:t>3.6</w:t>
      </w:r>
      <w:r>
        <w:rPr>
          <w:rFonts w:eastAsia="Calibri"/>
        </w:rPr>
        <w:t>.2</w:t>
      </w:r>
      <w:r>
        <w:rPr>
          <w:rFonts w:eastAsia="Calibri"/>
        </w:rPr>
        <w:tab/>
      </w:r>
      <w:r>
        <w:rPr>
          <w:rFonts w:eastAsia="Calibri"/>
        </w:rPr>
        <w:t>Minimum Inhibitory Concentration (MIC) Determination</w:t>
      </w:r>
      <w:bookmarkEnd w:id="45"/>
    </w:p>
    <w:p>
      <w:pPr>
        <w:pStyle w:val="style94"/>
        <w:spacing w:lineRule="auto" w:line="480"/>
        <w:jc w:val="both"/>
        <w:rPr/>
      </w:pPr>
      <w:r>
        <w:t xml:space="preserve">The MIC of the ethanol extract was determined using the agar dilution method. Different concentrations of the extract </w:t>
      </w:r>
      <w:r>
        <w:t>were incorporated</w:t>
      </w:r>
      <w:r>
        <w:t xml:space="preserve"> into molten Mueller-Hinton Agar at ratios of 0.15 and 0.2 (v/v). The agar was poured into sterile Petri dishes and allowed to solidify. The standardized bacterial suspensions of MRSA and </w:t>
      </w:r>
      <w:r>
        <w:rPr>
          <w:rStyle w:val="style88"/>
          <w:rFonts w:eastAsia="宋体"/>
        </w:rPr>
        <w:t>E. coli</w:t>
      </w:r>
      <w:r>
        <w:t xml:space="preserve"> were then spot-inoculated onto the surface of the agar. The plates </w:t>
      </w:r>
      <w:r>
        <w:t xml:space="preserve">were incubated at 37 °C for 24 hours and observed for visible bacterial </w:t>
      </w:r>
      <w:r>
        <w:t>growth</w:t>
      </w:r>
      <w:r>
        <w:t xml:space="preserve">. The lowest concentration of extract at which no growth </w:t>
      </w:r>
      <w:r>
        <w:t>was observed</w:t>
      </w:r>
      <w:r>
        <w:t xml:space="preserve"> was recorded as the MIC.</w:t>
      </w:r>
    </w:p>
    <w:p>
      <w:pPr>
        <w:pStyle w:val="style0"/>
        <w:rPr>
          <w:rFonts w:ascii="Times New Roman" w:cs="Times New Roman" w:eastAsia="Times New Roman" w:hAnsi="Times New Roman"/>
          <w:sz w:val="24"/>
          <w:szCs w:val="24"/>
        </w:rPr>
      </w:pPr>
      <w:r>
        <w:br w:type="page"/>
      </w:r>
    </w:p>
    <w:bookmarkStart w:id="46" w:name="_Toc203146323"/>
    <w:p>
      <w:pPr>
        <w:pStyle w:val="style1"/>
        <w:spacing w:lineRule="auto" w:line="480"/>
        <w:jc w:val="center"/>
        <w:rPr>
          <w:rFonts w:eastAsia="Times New Roman"/>
          <w:szCs w:val="24"/>
        </w:rPr>
      </w:pPr>
      <w:r>
        <w:t>CHAPTER FOUR</w:t>
      </w:r>
      <w:bookmarkEnd w:id="46"/>
    </w:p>
    <w:bookmarkStart w:id="47" w:name="_Toc203146324"/>
    <w:p>
      <w:pPr>
        <w:pStyle w:val="style1"/>
        <w:spacing w:lineRule="auto" w:line="480"/>
        <w:jc w:val="center"/>
        <w:rPr/>
      </w:pPr>
      <w:r>
        <w:t>RESULTS</w:t>
      </w:r>
      <w:bookmarkEnd w:id="47"/>
    </w:p>
    <w:bookmarkStart w:id="48" w:name="_Toc203146325"/>
    <w:p>
      <w:pPr>
        <w:pStyle w:val="style2"/>
        <w:rPr/>
      </w:pPr>
      <w:r>
        <w:t>4.1</w:t>
      </w:r>
      <w:r>
        <w:tab/>
      </w:r>
      <w:r>
        <w:t xml:space="preserve">Phytochemical Screening of Eucalyptus </w:t>
      </w:r>
      <w:r>
        <w:t>globulus</w:t>
      </w:r>
      <w:r>
        <w:t xml:space="preserve"> Leaf Extracts</w:t>
      </w:r>
      <w:bookmarkEnd w:id="48"/>
    </w:p>
    <w:p>
      <w:pPr>
        <w:pStyle w:val="style94"/>
        <w:spacing w:lineRule="auto" w:line="480"/>
        <w:jc w:val="both"/>
        <w:rPr/>
      </w:pPr>
      <w:r>
        <w:t xml:space="preserve">The phytochemical analysis </w:t>
      </w:r>
      <w:r>
        <w:t>of  ethanol</w:t>
      </w:r>
      <w:r>
        <w:t xml:space="preserve"> extracts of </w:t>
      </w:r>
      <w:r>
        <w:rPr>
          <w:rStyle w:val="style88"/>
        </w:rPr>
        <w:t xml:space="preserve">Eucalyptus </w:t>
      </w:r>
      <w:r>
        <w:rPr>
          <w:rStyle w:val="style88"/>
        </w:rPr>
        <w:t>globulus</w:t>
      </w:r>
      <w:r>
        <w:t xml:space="preserve"> revealed the presence of several bioactive compounds known for their antimicrobial properties. The results </w:t>
      </w:r>
      <w:r>
        <w:t>are summarized</w:t>
      </w:r>
      <w:r>
        <w:t xml:space="preserve"> in Table 4.1 below.</w:t>
      </w:r>
    </w:p>
    <w:p>
      <w:pPr>
        <w:pStyle w:val="style94"/>
        <w:rPr/>
      </w:pPr>
      <w:r>
        <w:rPr>
          <w:rStyle w:val="style87"/>
        </w:rPr>
        <w:t xml:space="preserve">Table 4.1: Phytochemical Constituents of Ethanol Extracts of </w:t>
      </w:r>
      <w:r>
        <w:rPr>
          <w:rStyle w:val="style88"/>
        </w:rPr>
        <w:t xml:space="preserve">Eucalyptus </w:t>
      </w:r>
      <w:r>
        <w:rPr>
          <w:rStyle w:val="style88"/>
        </w:rPr>
        <w:t>globulus</w:t>
      </w:r>
    </w:p>
    <w:tbl>
      <w:tblPr>
        <w:tblStyle w:val="style4100"/>
        <w:tblW w:w="5888" w:type="dxa"/>
        <w:shd w:val="clear" w:color="auto" w:fill="ffffff"/>
        <w:tblLook w:val="04A0" w:firstRow="1" w:lastRow="0" w:firstColumn="1" w:lastColumn="0" w:noHBand="0" w:noVBand="1"/>
      </w:tblPr>
      <w:tblGrid>
        <w:gridCol w:w="3218"/>
        <w:gridCol w:w="2669"/>
      </w:tblGrid>
      <w:tr>
        <w:trPr>
          <w:trHeight w:val="304" w:hRule="atLeast"/>
        </w:trPr>
        <w:tc>
          <w:tcPr>
            <w:tcW w:w="0" w:type="auto"/>
            <w:tcBorders/>
            <w:shd w:val="clear" w:color="auto" w:fill="ffffff"/>
          </w:tcPr>
          <w:p>
            <w:pPr>
              <w:pStyle w:val="style0"/>
              <w:jc w:val="center"/>
              <w:rPr>
                <w:rFonts w:ascii="Times New Roman" w:cs="Times New Roman" w:hAnsi="Times New Roman"/>
                <w:b w:val="false"/>
                <w:color w:val="auto"/>
                <w:sz w:val="24"/>
                <w:szCs w:val="24"/>
              </w:rPr>
            </w:pPr>
            <w:r>
              <w:rPr>
                <w:rFonts w:ascii="Times New Roman" w:cs="Times New Roman" w:hAnsi="Times New Roman"/>
                <w:bCs w:val="false"/>
                <w:color w:val="auto"/>
                <w:sz w:val="24"/>
                <w:szCs w:val="24"/>
              </w:rPr>
              <w:t>Phytochemical</w:t>
            </w:r>
          </w:p>
        </w:tc>
        <w:tc>
          <w:tcPr>
            <w:tcW w:w="0" w:type="auto"/>
            <w:tcBorders/>
            <w:shd w:val="clear" w:color="auto" w:fill="ffffff"/>
          </w:tcPr>
          <w:p>
            <w:pPr>
              <w:pStyle w:val="style0"/>
              <w:jc w:val="center"/>
              <w:rPr>
                <w:rFonts w:ascii="Times New Roman" w:cs="Times New Roman" w:hAnsi="Times New Roman"/>
                <w:b w:val="false"/>
                <w:color w:val="auto"/>
                <w:sz w:val="24"/>
                <w:szCs w:val="24"/>
              </w:rPr>
            </w:pPr>
            <w:r>
              <w:rPr>
                <w:rFonts w:ascii="Times New Roman" w:cs="Times New Roman" w:hAnsi="Times New Roman"/>
                <w:bCs w:val="false"/>
                <w:color w:val="auto"/>
                <w:sz w:val="24"/>
                <w:szCs w:val="24"/>
              </w:rPr>
              <w:t>Ethanol Extract</w:t>
            </w:r>
          </w:p>
        </w:tc>
      </w:tr>
      <w:tr>
        <w:tblPrEx/>
        <w:trPr>
          <w:trHeight w:val="288" w:hRule="atLeast"/>
        </w:trPr>
        <w:tc>
          <w:tcPr>
            <w:tcW w:w="0" w:type="auto"/>
            <w:tcBorders/>
            <w:shd w:val="clear" w:color="auto" w:fill="ffffff"/>
          </w:tcPr>
          <w:p>
            <w:pPr>
              <w:pStyle w:val="style0"/>
              <w:rPr>
                <w:rFonts w:ascii="Times New Roman" w:cs="Times New Roman" w:hAnsi="Times New Roman"/>
                <w:color w:val="auto"/>
                <w:sz w:val="24"/>
                <w:szCs w:val="24"/>
              </w:rPr>
            </w:pPr>
            <w:r>
              <w:rPr>
                <w:rFonts w:ascii="Times New Roman" w:cs="Times New Roman" w:hAnsi="Times New Roman"/>
                <w:b w:val="false"/>
                <w:bCs w:val="false"/>
                <w:color w:val="auto"/>
                <w:sz w:val="24"/>
                <w:szCs w:val="24"/>
              </w:rPr>
              <w:t>Alkaloids</w:t>
            </w:r>
          </w:p>
        </w:tc>
        <w:tc>
          <w:tcPr>
            <w:tcW w:w="0" w:type="auto"/>
            <w:tcBorders/>
            <w:shd w:val="clear" w:color="auto" w:fill="ffffff"/>
          </w:tcPr>
          <w:p>
            <w:pPr>
              <w:pStyle w:val="style0"/>
              <w:rPr>
                <w:rFonts w:ascii="Times New Roman" w:cs="Times New Roman" w:hAnsi="Times New Roman"/>
                <w:color w:val="auto"/>
                <w:sz w:val="24"/>
                <w:szCs w:val="24"/>
              </w:rPr>
            </w:pPr>
            <w:r>
              <w:rPr>
                <w:rFonts w:ascii="Times New Roman" w:cs="Times New Roman" w:hAnsi="Times New Roman"/>
                <w:color w:val="auto"/>
                <w:sz w:val="24"/>
                <w:szCs w:val="24"/>
              </w:rPr>
              <w:t>-</w:t>
            </w:r>
          </w:p>
        </w:tc>
      </w:tr>
      <w:tr>
        <w:tblPrEx/>
        <w:trPr>
          <w:trHeight w:val="304" w:hRule="atLeast"/>
        </w:trPr>
        <w:tc>
          <w:tcPr>
            <w:tcW w:w="0" w:type="auto"/>
            <w:tcBorders/>
            <w:shd w:val="clear" w:color="auto" w:fill="ffffff"/>
          </w:tcPr>
          <w:p>
            <w:pPr>
              <w:pStyle w:val="style0"/>
              <w:rPr>
                <w:rFonts w:ascii="Times New Roman" w:cs="Times New Roman" w:hAnsi="Times New Roman"/>
                <w:color w:val="auto"/>
                <w:sz w:val="24"/>
                <w:szCs w:val="24"/>
              </w:rPr>
            </w:pPr>
            <w:r>
              <w:rPr>
                <w:rFonts w:ascii="Times New Roman" w:cs="Times New Roman" w:hAnsi="Times New Roman"/>
                <w:b w:val="false"/>
                <w:bCs w:val="false"/>
                <w:color w:val="auto"/>
                <w:sz w:val="24"/>
                <w:szCs w:val="24"/>
              </w:rPr>
              <w:t>Flavonoids</w:t>
            </w:r>
          </w:p>
        </w:tc>
        <w:tc>
          <w:tcPr>
            <w:tcW w:w="0" w:type="auto"/>
            <w:tcBorders/>
            <w:shd w:val="clear" w:color="auto" w:fill="ffffff"/>
          </w:tcPr>
          <w:p>
            <w:pPr>
              <w:pStyle w:val="style0"/>
              <w:rPr>
                <w:rFonts w:ascii="Times New Roman" w:cs="Times New Roman" w:hAnsi="Times New Roman"/>
                <w:color w:val="auto"/>
                <w:sz w:val="24"/>
                <w:szCs w:val="24"/>
              </w:rPr>
            </w:pPr>
            <w:r>
              <w:rPr>
                <w:rFonts w:ascii="Times New Roman" w:cs="Times New Roman" w:hAnsi="Times New Roman"/>
                <w:color w:val="auto"/>
                <w:sz w:val="24"/>
                <w:szCs w:val="24"/>
              </w:rPr>
              <w:t>+</w:t>
            </w:r>
          </w:p>
        </w:tc>
      </w:tr>
      <w:tr>
        <w:tblPrEx/>
        <w:trPr>
          <w:trHeight w:val="304" w:hRule="atLeast"/>
        </w:trPr>
        <w:tc>
          <w:tcPr>
            <w:tcW w:w="0" w:type="auto"/>
            <w:tcBorders/>
            <w:shd w:val="clear" w:color="auto" w:fill="ffffff"/>
          </w:tcPr>
          <w:p>
            <w:pPr>
              <w:pStyle w:val="style0"/>
              <w:rPr>
                <w:rFonts w:ascii="Times New Roman" w:cs="Times New Roman" w:hAnsi="Times New Roman"/>
                <w:color w:val="auto"/>
                <w:sz w:val="24"/>
                <w:szCs w:val="24"/>
              </w:rPr>
            </w:pPr>
            <w:r>
              <w:rPr>
                <w:rFonts w:ascii="Times New Roman" w:cs="Times New Roman" w:hAnsi="Times New Roman"/>
                <w:b w:val="false"/>
                <w:bCs w:val="false"/>
                <w:color w:val="auto"/>
                <w:sz w:val="24"/>
                <w:szCs w:val="24"/>
              </w:rPr>
              <w:t>Tannins</w:t>
            </w:r>
          </w:p>
        </w:tc>
        <w:tc>
          <w:tcPr>
            <w:tcW w:w="0" w:type="auto"/>
            <w:tcBorders/>
            <w:shd w:val="clear" w:color="auto" w:fill="ffffff"/>
          </w:tcPr>
          <w:p>
            <w:pPr>
              <w:pStyle w:val="style0"/>
              <w:rPr>
                <w:rFonts w:ascii="Times New Roman" w:cs="Times New Roman" w:hAnsi="Times New Roman"/>
                <w:color w:val="auto"/>
                <w:sz w:val="24"/>
                <w:szCs w:val="24"/>
              </w:rPr>
            </w:pPr>
            <w:r>
              <w:rPr>
                <w:rFonts w:ascii="Times New Roman" w:cs="Times New Roman" w:hAnsi="Times New Roman"/>
                <w:color w:val="auto"/>
                <w:sz w:val="24"/>
                <w:szCs w:val="24"/>
              </w:rPr>
              <w:t>+</w:t>
            </w:r>
          </w:p>
        </w:tc>
      </w:tr>
      <w:tr>
        <w:tblPrEx/>
        <w:trPr>
          <w:trHeight w:val="304" w:hRule="atLeast"/>
        </w:trPr>
        <w:tc>
          <w:tcPr>
            <w:tcW w:w="0" w:type="auto"/>
            <w:tcBorders/>
            <w:shd w:val="clear" w:color="auto" w:fill="ffffff"/>
          </w:tcPr>
          <w:p>
            <w:pPr>
              <w:pStyle w:val="style0"/>
              <w:rPr>
                <w:rFonts w:ascii="Times New Roman" w:cs="Times New Roman" w:hAnsi="Times New Roman"/>
                <w:color w:val="auto"/>
                <w:sz w:val="24"/>
                <w:szCs w:val="24"/>
              </w:rPr>
            </w:pPr>
            <w:r>
              <w:rPr>
                <w:rFonts w:ascii="Times New Roman" w:cs="Times New Roman" w:hAnsi="Times New Roman"/>
                <w:b w:val="false"/>
                <w:bCs w:val="false"/>
                <w:color w:val="auto"/>
                <w:sz w:val="24"/>
                <w:szCs w:val="24"/>
              </w:rPr>
              <w:t>Saponins</w:t>
            </w:r>
          </w:p>
        </w:tc>
        <w:tc>
          <w:tcPr>
            <w:tcW w:w="0" w:type="auto"/>
            <w:tcBorders/>
            <w:shd w:val="clear" w:color="auto" w:fill="ffffff"/>
          </w:tcPr>
          <w:p>
            <w:pPr>
              <w:pStyle w:val="style0"/>
              <w:rPr>
                <w:rFonts w:ascii="Times New Roman" w:cs="Times New Roman" w:hAnsi="Times New Roman"/>
                <w:color w:val="auto"/>
                <w:sz w:val="24"/>
                <w:szCs w:val="24"/>
              </w:rPr>
            </w:pPr>
            <w:r>
              <w:rPr>
                <w:rFonts w:ascii="Times New Roman" w:cs="Times New Roman" w:hAnsi="Times New Roman"/>
                <w:color w:val="auto"/>
                <w:sz w:val="24"/>
                <w:szCs w:val="24"/>
              </w:rPr>
              <w:t>-</w:t>
            </w:r>
          </w:p>
        </w:tc>
      </w:tr>
      <w:tr>
        <w:tblPrEx/>
        <w:trPr>
          <w:trHeight w:val="288" w:hRule="atLeast"/>
        </w:trPr>
        <w:tc>
          <w:tcPr>
            <w:tcW w:w="0" w:type="auto"/>
            <w:tcBorders/>
            <w:shd w:val="clear" w:color="auto" w:fill="ffffff"/>
          </w:tcPr>
          <w:p>
            <w:pPr>
              <w:pStyle w:val="style0"/>
              <w:rPr>
                <w:rFonts w:ascii="Times New Roman" w:cs="Times New Roman" w:hAnsi="Times New Roman"/>
                <w:color w:val="auto"/>
                <w:sz w:val="24"/>
                <w:szCs w:val="24"/>
              </w:rPr>
            </w:pPr>
            <w:r>
              <w:rPr>
                <w:rFonts w:ascii="Times New Roman" w:cs="Times New Roman" w:hAnsi="Times New Roman"/>
                <w:b w:val="false"/>
                <w:bCs w:val="false"/>
                <w:color w:val="auto"/>
                <w:sz w:val="24"/>
                <w:szCs w:val="24"/>
              </w:rPr>
              <w:t>Phenolic Compounds</w:t>
            </w:r>
          </w:p>
        </w:tc>
        <w:tc>
          <w:tcPr>
            <w:tcW w:w="0" w:type="auto"/>
            <w:tcBorders/>
            <w:shd w:val="clear" w:color="auto" w:fill="ffffff"/>
          </w:tcPr>
          <w:p>
            <w:pPr>
              <w:pStyle w:val="style0"/>
              <w:rPr>
                <w:rFonts w:ascii="Times New Roman" w:cs="Times New Roman" w:hAnsi="Times New Roman"/>
                <w:color w:val="auto"/>
                <w:sz w:val="24"/>
                <w:szCs w:val="24"/>
              </w:rPr>
            </w:pPr>
            <w:r>
              <w:rPr>
                <w:rFonts w:ascii="Times New Roman" w:cs="Times New Roman" w:hAnsi="Times New Roman"/>
                <w:color w:val="auto"/>
                <w:sz w:val="24"/>
                <w:szCs w:val="24"/>
              </w:rPr>
              <w:t>+</w:t>
            </w:r>
          </w:p>
        </w:tc>
      </w:tr>
    </w:tbl>
    <w:p>
      <w:pPr>
        <w:pStyle w:val="style94"/>
        <w:spacing w:before="0" w:beforeAutospacing="false" w:after="0" w:afterAutospacing="false"/>
        <w:rPr>
          <w:i/>
        </w:rPr>
      </w:pPr>
      <w:r>
        <w:rPr>
          <w:rStyle w:val="style87"/>
        </w:rPr>
        <w:t>Key:</w:t>
      </w:r>
      <w:r>
        <w:rPr>
          <w:i/>
        </w:rPr>
        <w:t xml:space="preserve"> (+) = Present</w:t>
      </w:r>
    </w:p>
    <w:p>
      <w:pPr>
        <w:pStyle w:val="style94"/>
        <w:spacing w:before="0" w:beforeAutospacing="false" w:after="0" w:afterAutospacing="false"/>
        <w:rPr>
          <w:i/>
        </w:rPr>
      </w:pPr>
      <w:r>
        <w:rPr>
          <w:i/>
        </w:rPr>
        <w:t xml:space="preserve">        (-) = Absent</w:t>
      </w:r>
    </w:p>
    <w:p>
      <w:pPr>
        <w:pStyle w:val="style94"/>
        <w:spacing w:before="0" w:beforeAutospacing="false" w:after="0" w:afterAutospacing="false" w:lineRule="auto" w:line="480"/>
        <w:jc w:val="both"/>
        <w:rPr>
          <w:b/>
        </w:rPr>
      </w:pPr>
    </w:p>
    <w:bookmarkStart w:id="49" w:name="_Toc203146326"/>
    <w:p>
      <w:pPr>
        <w:pStyle w:val="style2"/>
        <w:rPr/>
      </w:pPr>
      <w:r>
        <w:t>4.2</w:t>
      </w:r>
      <w:r>
        <w:tab/>
      </w:r>
      <w:r>
        <w:t xml:space="preserve">Antibacterial Activity of Eucalyptus </w:t>
      </w:r>
      <w:r>
        <w:t>globulus</w:t>
      </w:r>
      <w:r>
        <w:t xml:space="preserve"> Extracts Using Agar Well Diffusion Method</w:t>
      </w:r>
      <w:bookmarkEnd w:id="49"/>
    </w:p>
    <w:p>
      <w:pPr>
        <w:pStyle w:val="style94"/>
        <w:spacing w:lineRule="auto" w:line="480"/>
        <w:jc w:val="both"/>
        <w:rPr/>
      </w:pPr>
      <w:r>
        <w:t xml:space="preserve">The antibacterial effects of both aqueous and ethanol extracts of </w:t>
      </w:r>
      <w:r>
        <w:rPr>
          <w:rStyle w:val="style88"/>
        </w:rPr>
        <w:t xml:space="preserve">Eucalyptus </w:t>
      </w:r>
      <w:r>
        <w:rPr>
          <w:rStyle w:val="style88"/>
        </w:rPr>
        <w:t>globulus</w:t>
      </w:r>
      <w:r>
        <w:t xml:space="preserve"> leaves </w:t>
      </w:r>
      <w:r>
        <w:t>were evaluated</w:t>
      </w:r>
      <w:r>
        <w:t xml:space="preserve"> against MRSA and </w:t>
      </w:r>
      <w:r>
        <w:rPr>
          <w:rStyle w:val="style88"/>
        </w:rPr>
        <w:t>Escherichia coli</w:t>
      </w:r>
      <w:r>
        <w:t xml:space="preserve"> using the agar well diffusion method. Different volumes of extracts (100 µl, 200 µl, and 300 µl) were tested, and the zones of inhibition </w:t>
      </w:r>
      <w:r>
        <w:t>were measured</w:t>
      </w:r>
      <w:r>
        <w:t xml:space="preserve"> after 24 hours of incubation at 37°C.The ethanol extract showed larger zones of inhibition against both bacterial strains compared to the aqueous extract, indicating higher antibacterial potency.</w:t>
      </w:r>
    </w:p>
    <w:p>
      <w:pPr>
        <w:pStyle w:val="style0"/>
        <w:spacing w:before="100" w:beforeAutospacing="true" w:after="100" w:afterAutospacing="true" w:lineRule="auto" w:line="240"/>
        <w:rPr>
          <w:rFonts w:ascii="Times New Roman" w:cs="Times New Roman" w:hAnsi="Times New Roman"/>
          <w:b/>
          <w:sz w:val="24"/>
          <w:szCs w:val="24"/>
        </w:rPr>
      </w:pPr>
    </w:p>
    <w:p>
      <w:pPr>
        <w:pStyle w:val="style0"/>
        <w:spacing w:before="100" w:beforeAutospacing="true" w:after="100" w:afterAutospacing="true"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Table 4.2: Zones of Inhibition (mm) of Eucalyptus </w:t>
      </w:r>
      <w:r>
        <w:rPr>
          <w:rFonts w:ascii="Times New Roman" w:cs="Times New Roman" w:eastAsia="Times New Roman" w:hAnsi="Times New Roman"/>
          <w:b/>
          <w:sz w:val="24"/>
          <w:szCs w:val="24"/>
        </w:rPr>
        <w:t>globulus</w:t>
      </w:r>
      <w:r>
        <w:rPr>
          <w:rFonts w:ascii="Times New Roman" w:cs="Times New Roman" w:eastAsia="Times New Roman" w:hAnsi="Times New Roman"/>
          <w:b/>
          <w:sz w:val="24"/>
          <w:szCs w:val="24"/>
        </w:rPr>
        <w:t xml:space="preserve"> Extracts </w:t>
      </w:r>
      <w:r>
        <w:rPr>
          <w:rFonts w:ascii="Times New Roman" w:cs="Times New Roman" w:eastAsia="Times New Roman" w:hAnsi="Times New Roman"/>
          <w:b/>
          <w:sz w:val="24"/>
          <w:szCs w:val="24"/>
        </w:rPr>
        <w:t>Against</w:t>
      </w:r>
      <w:r>
        <w:rPr>
          <w:rFonts w:ascii="Times New Roman" w:cs="Times New Roman" w:eastAsia="Times New Roman" w:hAnsi="Times New Roman"/>
          <w:b/>
          <w:sz w:val="24"/>
          <w:szCs w:val="24"/>
        </w:rPr>
        <w:t xml:space="preserve"> MRSA and </w:t>
      </w:r>
      <w:r>
        <w:rPr>
          <w:rFonts w:ascii="Times New Roman" w:cs="Times New Roman" w:eastAsia="Times New Roman" w:hAnsi="Times New Roman"/>
          <w:b/>
          <w:sz w:val="24"/>
          <w:szCs w:val="24"/>
        </w:rPr>
        <w:t>E. coli</w:t>
      </w:r>
      <w:r>
        <w:rPr>
          <w:rFonts w:ascii="Times New Roman" w:cs="Times New Roman" w:eastAsia="Times New Roman" w:hAnsi="Times New Roman"/>
          <w:b/>
          <w:sz w:val="24"/>
          <w:szCs w:val="24"/>
        </w:rPr>
        <w:t xml:space="preserve"> Using Agar Well Diffusion</w:t>
      </w:r>
    </w:p>
    <w:p>
      <w:pPr>
        <w:pStyle w:val="style0"/>
        <w:spacing w:after="0" w:lineRule="auto" w:line="240"/>
        <w:rPr>
          <w:rFonts w:ascii="Times New Roman" w:cs="Times New Roman" w:eastAsia="Times New Roman" w:hAnsi="Times New Roman"/>
          <w:sz w:val="24"/>
          <w:szCs w:val="24"/>
        </w:rPr>
      </w:pPr>
    </w:p>
    <w:tbl>
      <w:tblPr>
        <w:tblStyle w:val="style4100"/>
        <w:tblW w:w="0" w:type="auto"/>
        <w:shd w:val="clear" w:color="auto" w:fill="ffffff"/>
        <w:tblLook w:val="04A0" w:firstRow="1" w:lastRow="0" w:firstColumn="1" w:lastColumn="0" w:noHBand="0" w:noVBand="1"/>
      </w:tblPr>
      <w:tblGrid>
        <w:gridCol w:w="2786"/>
        <w:gridCol w:w="1303"/>
        <w:gridCol w:w="2641"/>
        <w:gridCol w:w="2628"/>
      </w:tblGrid>
      <w:tr>
        <w:trPr/>
        <w:tc>
          <w:tcPr>
            <w:tcW w:w="0" w:type="auto"/>
            <w:tcBorders/>
            <w:shd w:val="clear" w:color="auto" w:fill="ffffff"/>
          </w:tcPr>
          <w:p>
            <w:pPr>
              <w:pStyle w:val="style0"/>
              <w:jc w:val="center"/>
              <w:rPr>
                <w:rFonts w:ascii="Times New Roman" w:cs="Times New Roman" w:eastAsia="Times New Roman" w:hAnsi="Times New Roman"/>
                <w:b w:val="false"/>
                <w:bCs w:val="false"/>
                <w:sz w:val="24"/>
                <w:szCs w:val="24"/>
              </w:rPr>
            </w:pPr>
            <w:r>
              <w:rPr>
                <w:rFonts w:ascii="Times New Roman" w:cs="Times New Roman" w:eastAsia="Times New Roman" w:hAnsi="Times New Roman"/>
                <w:sz w:val="24"/>
                <w:szCs w:val="24"/>
              </w:rPr>
              <w:t>Extract Type</w:t>
            </w:r>
          </w:p>
        </w:tc>
        <w:tc>
          <w:tcPr>
            <w:tcW w:w="0" w:type="auto"/>
            <w:tcBorders/>
            <w:shd w:val="clear" w:color="auto" w:fill="ffffff"/>
          </w:tcPr>
          <w:p>
            <w:pPr>
              <w:pStyle w:val="style0"/>
              <w:jc w:val="center"/>
              <w:rPr>
                <w:rFonts w:ascii="Times New Roman" w:cs="Times New Roman" w:eastAsia="Times New Roman" w:hAnsi="Times New Roman"/>
                <w:b w:val="false"/>
                <w:bCs w:val="false"/>
                <w:sz w:val="24"/>
                <w:szCs w:val="24"/>
              </w:rPr>
            </w:pPr>
            <w:r>
              <w:rPr>
                <w:rFonts w:ascii="Times New Roman" w:cs="Times New Roman" w:eastAsia="Times New Roman" w:hAnsi="Times New Roman"/>
                <w:sz w:val="24"/>
                <w:szCs w:val="24"/>
              </w:rPr>
              <w:t>Volume (µl)</w:t>
            </w:r>
          </w:p>
        </w:tc>
        <w:tc>
          <w:tcPr>
            <w:tcW w:w="0" w:type="auto"/>
            <w:tcBorders/>
            <w:shd w:val="clear" w:color="auto" w:fill="ffffff"/>
          </w:tcPr>
          <w:p>
            <w:pPr>
              <w:pStyle w:val="style0"/>
              <w:jc w:val="center"/>
              <w:rPr>
                <w:rFonts w:ascii="Times New Roman" w:cs="Times New Roman" w:eastAsia="Times New Roman" w:hAnsi="Times New Roman"/>
                <w:b w:val="false"/>
                <w:bCs w:val="false"/>
                <w:sz w:val="24"/>
                <w:szCs w:val="24"/>
              </w:rPr>
            </w:pPr>
            <w:r>
              <w:rPr>
                <w:rFonts w:ascii="Times New Roman" w:cs="Times New Roman" w:eastAsia="Times New Roman" w:hAnsi="Times New Roman"/>
                <w:sz w:val="24"/>
                <w:szCs w:val="24"/>
              </w:rPr>
              <w:t>Zone of Inhibition (mm) MRSA</w:t>
            </w:r>
          </w:p>
        </w:tc>
        <w:tc>
          <w:tcPr>
            <w:tcW w:w="0" w:type="auto"/>
            <w:tcBorders/>
            <w:shd w:val="clear" w:color="auto" w:fill="ffffff"/>
          </w:tcPr>
          <w:p>
            <w:pPr>
              <w:pStyle w:val="style0"/>
              <w:jc w:val="center"/>
              <w:rPr>
                <w:rFonts w:ascii="Times New Roman" w:cs="Times New Roman" w:eastAsia="Times New Roman" w:hAnsi="Times New Roman"/>
                <w:b w:val="false"/>
                <w:bCs w:val="false"/>
                <w:sz w:val="24"/>
                <w:szCs w:val="24"/>
              </w:rPr>
            </w:pPr>
            <w:r>
              <w:rPr>
                <w:rFonts w:ascii="Times New Roman" w:cs="Times New Roman" w:eastAsia="Times New Roman" w:hAnsi="Times New Roman"/>
                <w:sz w:val="24"/>
                <w:szCs w:val="24"/>
              </w:rPr>
              <w:t xml:space="preserve">Zone of Inhibition (mm) </w:t>
            </w:r>
            <w:r>
              <w:rPr>
                <w:rFonts w:ascii="Times New Roman" w:cs="Times New Roman" w:eastAsia="Times New Roman" w:hAnsi="Times New Roman"/>
                <w:i/>
                <w:iCs/>
                <w:sz w:val="24"/>
                <w:szCs w:val="24"/>
              </w:rPr>
              <w:t>E. coli</w:t>
            </w:r>
          </w:p>
        </w:tc>
      </w:tr>
      <w:tr>
        <w:tblPrEx/>
        <w:trPr/>
        <w:tc>
          <w:tcPr>
            <w:tcW w:w="0" w:type="auto"/>
            <w:tcBorders/>
            <w:shd w:val="clear" w:color="auto" w:fill="ffffff"/>
          </w:tcPr>
          <w:p>
            <w:pPr>
              <w:pStyle w:val="style0"/>
              <w:rPr>
                <w:rFonts w:ascii="Times New Roman" w:cs="Times New Roman" w:eastAsia="Times New Roman" w:hAnsi="Times New Roman"/>
                <w:bCs w:val="false"/>
                <w:sz w:val="24"/>
                <w:szCs w:val="24"/>
              </w:rPr>
            </w:pPr>
            <w:r>
              <w:rPr>
                <w:rFonts w:ascii="Times New Roman" w:cs="Times New Roman" w:eastAsia="Times New Roman" w:hAnsi="Times New Roman"/>
                <w:b w:val="false"/>
                <w:sz w:val="24"/>
                <w:szCs w:val="24"/>
              </w:rPr>
              <w:t>Aqueous Extract</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0.30 ± 0.03</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0.35 ± 0.04</w:t>
            </w:r>
          </w:p>
        </w:tc>
      </w:tr>
      <w:tr>
        <w:tblPrEx/>
        <w:trPr/>
        <w:tc>
          <w:tcPr>
            <w:tcW w:w="0" w:type="auto"/>
            <w:tcBorders/>
            <w:shd w:val="clear" w:color="auto" w:fill="ffffff"/>
          </w:tcPr>
          <w:p>
            <w:pPr>
              <w:pStyle w:val="style0"/>
              <w:rPr>
                <w:rFonts w:ascii="Times New Roman" w:cs="Times New Roman" w:eastAsia="Times New Roman" w:hAnsi="Times New Roman"/>
                <w:bCs w:val="false"/>
                <w:sz w:val="24"/>
                <w:szCs w:val="24"/>
              </w:rPr>
            </w:pP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200</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0.45 ± 0.04</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0.50 ± 0.03</w:t>
            </w:r>
          </w:p>
        </w:tc>
      </w:tr>
      <w:tr>
        <w:tblPrEx/>
        <w:trPr/>
        <w:tc>
          <w:tcPr>
            <w:tcW w:w="0" w:type="auto"/>
            <w:tcBorders/>
            <w:shd w:val="clear" w:color="auto" w:fill="ffffff"/>
          </w:tcPr>
          <w:p>
            <w:pPr>
              <w:pStyle w:val="style0"/>
              <w:rPr>
                <w:rFonts w:ascii="Times New Roman" w:cs="Times New Roman" w:eastAsia="Times New Roman" w:hAnsi="Times New Roman"/>
                <w:bCs w:val="false"/>
                <w:sz w:val="24"/>
                <w:szCs w:val="24"/>
              </w:rPr>
            </w:pP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300</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0.60 ± 0.05</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0.65 ± 0.04</w:t>
            </w:r>
          </w:p>
        </w:tc>
      </w:tr>
      <w:tr>
        <w:tblPrEx/>
        <w:trPr/>
        <w:tc>
          <w:tcPr>
            <w:tcW w:w="0" w:type="auto"/>
            <w:tcBorders/>
            <w:shd w:val="clear" w:color="auto" w:fill="ffffff"/>
          </w:tcPr>
          <w:p>
            <w:pPr>
              <w:pStyle w:val="style0"/>
              <w:rPr>
                <w:rFonts w:ascii="Times New Roman" w:cs="Times New Roman" w:eastAsia="Times New Roman" w:hAnsi="Times New Roman"/>
                <w:bCs w:val="false"/>
                <w:sz w:val="24"/>
                <w:szCs w:val="24"/>
              </w:rPr>
            </w:pPr>
            <w:r>
              <w:rPr>
                <w:rFonts w:ascii="Times New Roman" w:cs="Times New Roman" w:eastAsia="Times New Roman" w:hAnsi="Times New Roman"/>
                <w:b w:val="false"/>
                <w:sz w:val="24"/>
                <w:szCs w:val="24"/>
              </w:rPr>
              <w:t>Ethanol Extract</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0.50 ± 0.04</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0.55 ± 0.03</w:t>
            </w:r>
          </w:p>
        </w:tc>
      </w:tr>
      <w:tr>
        <w:tblPrEx/>
        <w:trPr/>
        <w:tc>
          <w:tcPr>
            <w:tcW w:w="0" w:type="auto"/>
            <w:tcBorders/>
            <w:shd w:val="clear" w:color="auto" w:fill="ffffff"/>
          </w:tcPr>
          <w:p>
            <w:pPr>
              <w:pStyle w:val="style0"/>
              <w:rPr>
                <w:rFonts w:ascii="Times New Roman" w:cs="Times New Roman" w:eastAsia="Times New Roman" w:hAnsi="Times New Roman"/>
                <w:bCs w:val="false"/>
                <w:sz w:val="24"/>
                <w:szCs w:val="24"/>
              </w:rPr>
            </w:pP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200</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0.65 ± 0.03</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0.70 ± 0.02</w:t>
            </w:r>
          </w:p>
        </w:tc>
      </w:tr>
      <w:tr>
        <w:tblPrEx/>
        <w:trPr/>
        <w:tc>
          <w:tcPr>
            <w:tcW w:w="0" w:type="auto"/>
            <w:tcBorders/>
            <w:shd w:val="clear" w:color="auto" w:fill="ffffff"/>
          </w:tcPr>
          <w:p>
            <w:pPr>
              <w:pStyle w:val="style0"/>
              <w:rPr>
                <w:rFonts w:ascii="Times New Roman" w:cs="Times New Roman" w:eastAsia="Times New Roman" w:hAnsi="Times New Roman"/>
                <w:bCs w:val="false"/>
                <w:sz w:val="24"/>
                <w:szCs w:val="24"/>
              </w:rPr>
            </w:pP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300</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0.80 ± 0.04</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0.80 ± 0.03</w:t>
            </w:r>
          </w:p>
        </w:tc>
      </w:tr>
      <w:tr>
        <w:tblPrEx/>
        <w:trPr/>
        <w:tc>
          <w:tcPr>
            <w:tcW w:w="0" w:type="auto"/>
            <w:tcBorders/>
            <w:shd w:val="clear" w:color="auto" w:fill="ffffff"/>
          </w:tcPr>
          <w:p>
            <w:pPr>
              <w:pStyle w:val="style0"/>
              <w:rPr>
                <w:rFonts w:ascii="Times New Roman" w:cs="Times New Roman" w:eastAsia="Times New Roman" w:hAnsi="Times New Roman"/>
                <w:bCs w:val="false"/>
                <w:sz w:val="24"/>
                <w:szCs w:val="24"/>
              </w:rPr>
            </w:pPr>
            <w:r>
              <w:rPr>
                <w:rFonts w:ascii="Times New Roman" w:cs="Times New Roman" w:eastAsia="Times New Roman" w:hAnsi="Times New Roman"/>
                <w:b w:val="false"/>
                <w:sz w:val="24"/>
                <w:szCs w:val="24"/>
              </w:rPr>
              <w:t>Ethanol Control</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300</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0.00 ± 0.05</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0.00 ± 0.04</w:t>
            </w:r>
          </w:p>
        </w:tc>
      </w:tr>
      <w:tr>
        <w:tblPrEx/>
        <w:trPr/>
        <w:tc>
          <w:tcPr>
            <w:tcW w:w="0" w:type="auto"/>
            <w:tcBorders/>
            <w:shd w:val="clear" w:color="auto" w:fill="ffffff"/>
          </w:tcPr>
          <w:p>
            <w:pPr>
              <w:pStyle w:val="style0"/>
              <w:rPr>
                <w:rFonts w:ascii="Times New Roman" w:cs="Times New Roman" w:eastAsia="Times New Roman" w:hAnsi="Times New Roman"/>
                <w:bCs w:val="false"/>
                <w:sz w:val="24"/>
                <w:szCs w:val="24"/>
              </w:rPr>
            </w:pPr>
            <w:r>
              <w:rPr>
                <w:rFonts w:ascii="Times New Roman" w:cs="Times New Roman" w:eastAsia="Times New Roman" w:hAnsi="Times New Roman"/>
                <w:b w:val="false"/>
                <w:sz w:val="24"/>
                <w:szCs w:val="24"/>
              </w:rPr>
              <w:t>Aqueous Control (Ionized Water)</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300</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0.00 ± 0.05</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0.00 ± 0.04</w:t>
            </w:r>
          </w:p>
        </w:tc>
      </w:tr>
    </w:tbl>
    <w:p>
      <w:pPr>
        <w:pStyle w:val="style0"/>
        <w:spacing w:before="100" w:beforeAutospacing="true" w:after="100" w:afterAutospacing="true" w:lineRule="auto" w:line="240"/>
        <w:rPr>
          <w:rFonts w:ascii="Times New Roman" w:cs="Times New Roman" w:hAnsi="Times New Roman"/>
          <w:b/>
          <w:sz w:val="24"/>
          <w:szCs w:val="24"/>
        </w:rPr>
      </w:pPr>
    </w:p>
    <w:bookmarkStart w:id="50" w:name="_Toc203146327"/>
    <w:p>
      <w:pPr>
        <w:pStyle w:val="style2"/>
        <w:spacing w:lineRule="auto" w:line="480"/>
        <w:rPr/>
      </w:pPr>
      <w:r>
        <w:t>4.3</w:t>
      </w:r>
      <w:r>
        <w:tab/>
      </w:r>
      <w:r>
        <w:t>Minimum Inhibitory Concentration (MIC) Determination of Ethanol Extract</w:t>
      </w:r>
      <w:bookmarkEnd w:id="50"/>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 results showed that at the 0.15 concentration, No inhibition of bacterial growth </w:t>
      </w:r>
      <w:r>
        <w:rPr>
          <w:rFonts w:ascii="Times New Roman" w:cs="Times New Roman" w:hAnsi="Times New Roman"/>
          <w:sz w:val="24"/>
          <w:szCs w:val="24"/>
        </w:rPr>
        <w:t>was observed</w:t>
      </w:r>
      <w:r>
        <w:rPr>
          <w:rFonts w:ascii="Times New Roman" w:cs="Times New Roman" w:hAnsi="Times New Roman"/>
          <w:sz w:val="24"/>
          <w:szCs w:val="24"/>
        </w:rPr>
        <w:t xml:space="preserve"> for both organisms. Complete inhibition of growth was achieved at the 0.2 concentration for the </w:t>
      </w:r>
      <w:r>
        <w:rPr>
          <w:rFonts w:ascii="Times New Roman" w:cs="Times New Roman" w:hAnsi="Times New Roman"/>
          <w:i/>
          <w:sz w:val="24"/>
          <w:szCs w:val="24"/>
        </w:rPr>
        <w:t xml:space="preserve">Methicillin-Resistant </w:t>
      </w:r>
      <w:r>
        <w:rPr>
          <w:rFonts w:ascii="Times New Roman" w:cs="Times New Roman" w:hAnsi="Times New Roman"/>
          <w:i/>
          <w:iCs/>
          <w:sz w:val="24"/>
          <w:szCs w:val="24"/>
        </w:rPr>
        <w:t>Staphylococcus aureus</w:t>
      </w:r>
      <w:r>
        <w:rPr>
          <w:rFonts w:ascii="Times New Roman" w:cs="Times New Roman" w:hAnsi="Times New Roman"/>
          <w:i/>
          <w:sz w:val="24"/>
          <w:szCs w:val="24"/>
        </w:rPr>
        <w:t xml:space="preserve"> (MRSA), </w:t>
      </w:r>
      <w:r>
        <w:rPr>
          <w:rFonts w:ascii="Times New Roman" w:cs="Times New Roman" w:hAnsi="Times New Roman"/>
          <w:sz w:val="24"/>
          <w:szCs w:val="24"/>
        </w:rPr>
        <w:t xml:space="preserve">indicating that this represents the minimum inhibitory concentration for MRSA and while no inhibition for </w:t>
      </w:r>
      <w:r>
        <w:rPr>
          <w:rFonts w:ascii="Times New Roman" w:cs="Times New Roman" w:hAnsi="Times New Roman"/>
          <w:i/>
          <w:iCs/>
          <w:sz w:val="24"/>
          <w:szCs w:val="24"/>
        </w:rPr>
        <w:t>E. coli</w:t>
      </w:r>
      <w:r>
        <w:rPr>
          <w:rFonts w:ascii="Times New Roman" w:cs="Times New Roman" w:hAnsi="Times New Roman"/>
          <w:sz w:val="24"/>
          <w:szCs w:val="24"/>
        </w:rPr>
        <w:t>.</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 xml:space="preserve">Table 4.3: MIC of Ethanol Extract of </w:t>
      </w:r>
      <w:r>
        <w:rPr>
          <w:rFonts w:ascii="Times New Roman" w:cs="Times New Roman" w:eastAsia="Times New Roman" w:hAnsi="Times New Roman"/>
          <w:b/>
          <w:bCs/>
          <w:i/>
          <w:iCs/>
          <w:sz w:val="24"/>
          <w:szCs w:val="24"/>
        </w:rPr>
        <w:t xml:space="preserve">Eucalyptus </w:t>
      </w:r>
      <w:r>
        <w:rPr>
          <w:rFonts w:ascii="Times New Roman" w:cs="Times New Roman" w:eastAsia="Times New Roman" w:hAnsi="Times New Roman"/>
          <w:b/>
          <w:bCs/>
          <w:i/>
          <w:iCs/>
          <w:sz w:val="24"/>
          <w:szCs w:val="24"/>
        </w:rPr>
        <w:t>globulus</w:t>
      </w:r>
      <w:r>
        <w:rPr>
          <w:rFonts w:ascii="Times New Roman" w:cs="Times New Roman" w:eastAsia="Times New Roman" w:hAnsi="Times New Roman"/>
          <w:b/>
          <w:bCs/>
          <w:sz w:val="24"/>
          <w:szCs w:val="24"/>
        </w:rPr>
        <w:t xml:space="preserve"> Against MRSA and </w:t>
      </w:r>
      <w:r>
        <w:rPr>
          <w:rFonts w:ascii="Times New Roman" w:cs="Times New Roman" w:eastAsia="Times New Roman" w:hAnsi="Times New Roman"/>
          <w:b/>
          <w:bCs/>
          <w:i/>
          <w:iCs/>
          <w:sz w:val="24"/>
          <w:szCs w:val="24"/>
        </w:rPr>
        <w:t>E. coli</w:t>
      </w:r>
    </w:p>
    <w:tbl>
      <w:tblPr>
        <w:tblStyle w:val="style4100"/>
        <w:tblW w:w="0" w:type="auto"/>
        <w:shd w:val="clear" w:color="auto" w:fill="ffffff"/>
        <w:tblLook w:val="04A0" w:firstRow="1" w:lastRow="0" w:firstColumn="1" w:lastColumn="0" w:noHBand="0" w:noVBand="1"/>
      </w:tblPr>
      <w:tblGrid>
        <w:gridCol w:w="3086"/>
        <w:gridCol w:w="1807"/>
        <w:gridCol w:w="1685"/>
      </w:tblGrid>
      <w:tr>
        <w:trPr/>
        <w:tc>
          <w:tcPr>
            <w:tcW w:w="0" w:type="auto"/>
            <w:tcBorders/>
            <w:shd w:val="clear" w:color="auto" w:fill="ffffff"/>
          </w:tcPr>
          <w:p>
            <w:pPr>
              <w:pStyle w:val="style0"/>
              <w:jc w:val="center"/>
              <w:rPr>
                <w:rFonts w:ascii="Times New Roman" w:cs="Times New Roman" w:eastAsia="Times New Roman" w:hAnsi="Times New Roman"/>
                <w:b w:val="false"/>
                <w:bCs w:val="false"/>
                <w:sz w:val="24"/>
                <w:szCs w:val="24"/>
              </w:rPr>
            </w:pPr>
            <w:r>
              <w:rPr>
                <w:rFonts w:ascii="Times New Roman" w:cs="Times New Roman" w:eastAsia="Times New Roman" w:hAnsi="Times New Roman"/>
                <w:sz w:val="24"/>
                <w:szCs w:val="24"/>
              </w:rPr>
              <w:t>Extract Concentration (v/v)</w:t>
            </w:r>
          </w:p>
        </w:tc>
        <w:tc>
          <w:tcPr>
            <w:tcW w:w="0" w:type="auto"/>
            <w:tcBorders/>
            <w:shd w:val="clear" w:color="auto" w:fill="ffffff"/>
          </w:tcPr>
          <w:p>
            <w:pPr>
              <w:pStyle w:val="style0"/>
              <w:jc w:val="center"/>
              <w:rPr>
                <w:rFonts w:ascii="Times New Roman" w:cs="Times New Roman" w:eastAsia="Times New Roman" w:hAnsi="Times New Roman"/>
                <w:b w:val="false"/>
                <w:bCs w:val="false"/>
                <w:sz w:val="24"/>
                <w:szCs w:val="24"/>
              </w:rPr>
            </w:pPr>
            <w:r>
              <w:rPr>
                <w:rFonts w:ascii="Times New Roman" w:cs="Times New Roman" w:eastAsia="Times New Roman" w:hAnsi="Times New Roman"/>
                <w:sz w:val="24"/>
                <w:szCs w:val="24"/>
              </w:rPr>
              <w:t>MRSA Growth</w:t>
            </w:r>
          </w:p>
        </w:tc>
        <w:tc>
          <w:tcPr>
            <w:tcW w:w="0" w:type="auto"/>
            <w:tcBorders/>
            <w:shd w:val="clear" w:color="auto" w:fill="ffffff"/>
          </w:tcPr>
          <w:p>
            <w:pPr>
              <w:pStyle w:val="style0"/>
              <w:jc w:val="center"/>
              <w:rPr>
                <w:rFonts w:ascii="Times New Roman" w:cs="Times New Roman" w:eastAsia="Times New Roman" w:hAnsi="Times New Roman"/>
                <w:b w:val="false"/>
                <w:bCs w:val="false"/>
                <w:sz w:val="24"/>
                <w:szCs w:val="24"/>
              </w:rPr>
            </w:pPr>
            <w:r>
              <w:rPr>
                <w:rFonts w:ascii="Times New Roman" w:cs="Times New Roman" w:eastAsia="Times New Roman" w:hAnsi="Times New Roman"/>
                <w:i/>
                <w:iCs/>
                <w:sz w:val="24"/>
                <w:szCs w:val="24"/>
              </w:rPr>
              <w:t>E. coli</w:t>
            </w:r>
            <w:r>
              <w:rPr>
                <w:rFonts w:ascii="Times New Roman" w:cs="Times New Roman" w:eastAsia="Times New Roman" w:hAnsi="Times New Roman"/>
                <w:sz w:val="24"/>
                <w:szCs w:val="24"/>
              </w:rPr>
              <w:t xml:space="preserve"> Growth</w:t>
            </w:r>
          </w:p>
        </w:tc>
      </w:tr>
      <w:tr>
        <w:tblPrEx/>
        <w:trPr/>
        <w:tc>
          <w:tcPr>
            <w:tcW w:w="0" w:type="auto"/>
            <w:tcBorders/>
            <w:shd w:val="clear" w:color="auto" w:fill="ffffff"/>
          </w:tcPr>
          <w:p>
            <w:pPr>
              <w:pStyle w:val="style0"/>
              <w:rPr>
                <w:rFonts w:ascii="Times New Roman" w:cs="Times New Roman" w:eastAsia="Times New Roman" w:hAnsi="Times New Roman"/>
                <w:b w:val="false"/>
                <w:bCs w:val="false"/>
                <w:sz w:val="24"/>
                <w:szCs w:val="24"/>
              </w:rPr>
            </w:pPr>
            <w:r>
              <w:rPr>
                <w:rFonts w:ascii="Times New Roman" w:cs="Times New Roman" w:eastAsia="Times New Roman" w:hAnsi="Times New Roman"/>
                <w:sz w:val="24"/>
                <w:szCs w:val="24"/>
              </w:rPr>
              <w:t>0.15</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No Inhibition</w:t>
            </w:r>
          </w:p>
          <w:p>
            <w:pPr>
              <w:pStyle w:val="style0"/>
              <w:rPr>
                <w:rFonts w:ascii="Times New Roman" w:cs="Times New Roman" w:eastAsia="Times New Roman" w:hAnsi="Times New Roman"/>
                <w:sz w:val="24"/>
                <w:szCs w:val="24"/>
              </w:rPr>
            </w:pP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No inhibition</w:t>
            </w:r>
          </w:p>
        </w:tc>
      </w:tr>
      <w:tr>
        <w:tblPrEx/>
        <w:trPr/>
        <w:tc>
          <w:tcPr>
            <w:tcW w:w="0" w:type="auto"/>
            <w:tcBorders/>
            <w:shd w:val="clear" w:color="auto" w:fill="ffffff"/>
          </w:tcPr>
          <w:p>
            <w:pPr>
              <w:pStyle w:val="style0"/>
              <w:rPr>
                <w:rFonts w:ascii="Times New Roman" w:cs="Times New Roman" w:eastAsia="Times New Roman" w:hAnsi="Times New Roman"/>
                <w:b w:val="false"/>
                <w:bCs w:val="false"/>
                <w:sz w:val="24"/>
                <w:szCs w:val="24"/>
              </w:rPr>
            </w:pPr>
            <w:r>
              <w:rPr>
                <w:rFonts w:ascii="Times New Roman" w:cs="Times New Roman" w:eastAsia="Times New Roman" w:hAnsi="Times New Roman"/>
                <w:sz w:val="24"/>
                <w:szCs w:val="24"/>
              </w:rPr>
              <w:t>0.20</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Total Inhibition</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No Inhibition</w:t>
            </w:r>
          </w:p>
        </w:tc>
      </w:tr>
    </w:tbl>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bookmarkStart w:id="51" w:name="_Toc203146328"/>
    <w:p>
      <w:pPr>
        <w:pStyle w:val="style2"/>
        <w:spacing w:lineRule="auto" w:line="480"/>
        <w:rPr/>
      </w:pPr>
      <w:r>
        <w:t>4.5</w:t>
      </w:r>
      <w:r>
        <w:tab/>
      </w:r>
      <w:r>
        <w:t>Discussion</w:t>
      </w:r>
      <w:bookmarkEnd w:id="51"/>
    </w:p>
    <w:p>
      <w:pPr>
        <w:pStyle w:val="style94"/>
        <w:spacing w:before="0" w:beforeAutospacing="false" w:after="0" w:afterAutospacing="false" w:lineRule="auto" w:line="480"/>
        <w:jc w:val="both"/>
        <w:rPr/>
      </w:pPr>
      <w:r>
        <w:t xml:space="preserve">This study was carried out to evaluate the antibacterial efficacy of </w:t>
      </w:r>
      <w:r>
        <w:rPr>
          <w:rStyle w:val="style88"/>
        </w:rPr>
        <w:t xml:space="preserve">Eucalyptus </w:t>
      </w:r>
      <w:r>
        <w:rPr>
          <w:rStyle w:val="style88"/>
        </w:rPr>
        <w:t>globulus</w:t>
      </w:r>
      <w:r>
        <w:t xml:space="preserve"> leaf extracts against two clinically significant bacteria: Methicillin-Resistant </w:t>
      </w:r>
      <w:r>
        <w:rPr>
          <w:rStyle w:val="style88"/>
        </w:rPr>
        <w:t>Staphylococcus aureus</w:t>
      </w:r>
      <w:r>
        <w:t xml:space="preserve"> (MRSA) </w:t>
      </w:r>
      <w:r>
        <w:t>alkaloids</w:t>
      </w:r>
      <w:r>
        <w:t>,and</w:t>
      </w:r>
      <w:r>
        <w:t xml:space="preserve"> </w:t>
      </w:r>
      <w:r>
        <w:rPr>
          <w:rStyle w:val="style88"/>
        </w:rPr>
        <w:t>Escherichia coli</w:t>
      </w:r>
      <w:r>
        <w:t xml:space="preserve">. These organisms were selected due to their public health importance, particularly MRSA, which is resistant to multiple antibiotics, and </w:t>
      </w:r>
      <w:r>
        <w:rPr>
          <w:rStyle w:val="style88"/>
        </w:rPr>
        <w:t>E. coli</w:t>
      </w:r>
      <w:r>
        <w:t>, which is a common cause of gastrointestinal and urinary tract infections. The confirmation of the bacterial isolates using standard biochemical and microbiological techniques ensured the reliability of the experimental results.</w:t>
      </w:r>
    </w:p>
    <w:p>
      <w:pPr>
        <w:pStyle w:val="style94"/>
        <w:spacing w:before="0" w:beforeAutospacing="false" w:after="0" w:afterAutospacing="false" w:lineRule="auto" w:line="480"/>
        <w:ind w:firstLine="720"/>
        <w:jc w:val="both"/>
        <w:rPr/>
      </w:pPr>
      <w:r>
        <w:t>Phytochemical screening of the extracts revealed the presence of several important secondary metabolites, including flavonoids, tannins</w:t>
      </w:r>
      <w:r>
        <w:t>,  and</w:t>
      </w:r>
      <w:r>
        <w:t xml:space="preserve"> phenolic compounds but </w:t>
      </w:r>
      <w:r>
        <w:t>alkanoids</w:t>
      </w:r>
      <w:r>
        <w:t xml:space="preserve"> and </w:t>
      </w:r>
      <w:r>
        <w:t>saponin</w:t>
      </w:r>
      <w:r>
        <w:t xml:space="preserve"> were absent. These compounds </w:t>
      </w:r>
      <w:r>
        <w:t>are known</w:t>
      </w:r>
      <w:r>
        <w:t xml:space="preserve"> for their various biological activities, especially antimicrobial action. Alkaloids, for instance, interfere with microbial DNA replication; flavonoids disrupt microbial cell membranes; tannins can bind to microbial proteins and enzymes; while </w:t>
      </w:r>
      <w:r>
        <w:t>phenolics</w:t>
      </w:r>
      <w:r>
        <w:t xml:space="preserve"> and </w:t>
      </w:r>
      <w:r>
        <w:t>saponins</w:t>
      </w:r>
      <w:r>
        <w:t xml:space="preserve"> possess both bacteriostatic and bactericidal effects (</w:t>
      </w:r>
      <w:r>
        <w:t>Sasidharan</w:t>
      </w:r>
      <w:r>
        <w:t xml:space="preserve"> </w:t>
      </w:r>
      <w:r>
        <w:rPr>
          <w:i/>
        </w:rPr>
        <w:t>et al</w:t>
      </w:r>
      <w:r>
        <w:t xml:space="preserve">., 2011; Singh </w:t>
      </w:r>
      <w:r>
        <w:rPr>
          <w:i/>
        </w:rPr>
        <w:t>et al</w:t>
      </w:r>
      <w:r>
        <w:t xml:space="preserve">., 2021). The presence of these phytochemicals in </w:t>
      </w:r>
      <w:r>
        <w:rPr>
          <w:rStyle w:val="style88"/>
        </w:rPr>
        <w:t xml:space="preserve">Eucalyptus </w:t>
      </w:r>
      <w:r>
        <w:rPr>
          <w:rStyle w:val="style88"/>
        </w:rPr>
        <w:t>globulus</w:t>
      </w:r>
      <w:r>
        <w:t xml:space="preserve"> may explain the observed antibacterial activity.</w:t>
      </w:r>
    </w:p>
    <w:p>
      <w:pPr>
        <w:pStyle w:val="style94"/>
        <w:spacing w:before="0" w:beforeAutospacing="false" w:after="0" w:afterAutospacing="false" w:lineRule="auto" w:line="480"/>
        <w:ind w:firstLine="720"/>
        <w:jc w:val="both"/>
        <w:rPr/>
      </w:pPr>
      <w:r>
        <w:t xml:space="preserve">The antibacterial assay using the agar well diffusion method showed that both the aqueous and ethanol extracts were effective against MRSA and </w:t>
      </w:r>
      <w:r>
        <w:rPr>
          <w:rStyle w:val="style88"/>
        </w:rPr>
        <w:t>E. coli</w:t>
      </w:r>
      <w:r>
        <w:t xml:space="preserve">, but the ethanol extract exhibited greater inhibitory activities. This higher potency of the ethanol extract </w:t>
      </w:r>
      <w:r>
        <w:t>can be attributed</w:t>
      </w:r>
      <w:r>
        <w:t xml:space="preserve"> to the better solubility of bioactive compounds in ethanol compared to water. Ethanol, being an organic solvent, is more effective at extracting non-polar or </w:t>
      </w:r>
      <w:r>
        <w:t>moderately polar</w:t>
      </w:r>
      <w:r>
        <w:t xml:space="preserve"> compounds like flavonoids, essential oils, and certain alkaloids which possess antimicrobial effects (</w:t>
      </w:r>
      <w:r>
        <w:t>Alabi</w:t>
      </w:r>
      <w:r>
        <w:t xml:space="preserve"> </w:t>
      </w:r>
      <w:r>
        <w:rPr>
          <w:i/>
        </w:rPr>
        <w:t>et al</w:t>
      </w:r>
      <w:r>
        <w:t xml:space="preserve">., 2019; </w:t>
      </w:r>
      <w:r>
        <w:t>Ogunyemi</w:t>
      </w:r>
      <w:r>
        <w:t xml:space="preserve"> </w:t>
      </w:r>
      <w:r>
        <w:rPr>
          <w:i/>
        </w:rPr>
        <w:t>et al</w:t>
      </w:r>
      <w:r>
        <w:t xml:space="preserve">., 2022). The increase in inhibition zones with higher extract volumes further </w:t>
      </w:r>
      <w:r>
        <w:t xml:space="preserve">demonstrates a dose-dependent relationship. At 300 µl, the ethanol extract produced a zone of inhibition of 0.80 ± 0.04 mm against MRSA and 0.80 ± 0.03 mm against </w:t>
      </w:r>
      <w:r>
        <w:rPr>
          <w:rStyle w:val="style88"/>
        </w:rPr>
        <w:t>E. coli</w:t>
      </w:r>
      <w:r>
        <w:t xml:space="preserve">, while the aqueous extract produced zones of 0.60 ± 0.05 mm and 0.65 ± 0.04 mm respectively. These findings align with those reported by Mohamed </w:t>
      </w:r>
      <w:r>
        <w:rPr>
          <w:i/>
        </w:rPr>
        <w:t>et al</w:t>
      </w:r>
      <w:r>
        <w:t xml:space="preserve">. (2020), who found that ethanol extracts of </w:t>
      </w:r>
      <w:r>
        <w:rPr>
          <w:rStyle w:val="style88"/>
        </w:rPr>
        <w:t xml:space="preserve">Eucalyptus </w:t>
      </w:r>
      <w:r>
        <w:rPr>
          <w:rStyle w:val="style88"/>
        </w:rPr>
        <w:t>globulus</w:t>
      </w:r>
      <w:r>
        <w:t xml:space="preserve"> showed significantly higher antibacterial activity than aqueous extracts against drug-resistant strains. The results of the MIC test reinforce the potency of the ethanol extract, as complete inhibition of growth was observed at a relatively low concentration of </w:t>
      </w:r>
      <w:r>
        <w:t>0</w:t>
      </w:r>
      <w:r>
        <w:t xml:space="preserve">. 2 v/v </w:t>
      </w:r>
      <w:r>
        <w:t>for  Methicillin</w:t>
      </w:r>
      <w:r>
        <w:t xml:space="preserve">-Resistant </w:t>
      </w:r>
      <w:r>
        <w:rPr>
          <w:rStyle w:val="style88"/>
        </w:rPr>
        <w:t>Staphylococcus aureus</w:t>
      </w:r>
      <w:r>
        <w:t xml:space="preserve"> (MRSA). This suggests that even small quantities of the ethanol extract can exert effective antibacterial action. </w:t>
      </w:r>
      <w:r>
        <w:t xml:space="preserve">Similar MIC values were reported by </w:t>
      </w:r>
      <w:r>
        <w:t>Taiwo</w:t>
      </w:r>
      <w:r>
        <w:t xml:space="preserve"> </w:t>
      </w:r>
      <w:r>
        <w:rPr>
          <w:i/>
        </w:rPr>
        <w:t>et al</w:t>
      </w:r>
      <w:r>
        <w:t xml:space="preserve">. (2021), who tested </w:t>
      </w:r>
      <w:r>
        <w:rPr>
          <w:rStyle w:val="style88"/>
        </w:rPr>
        <w:t xml:space="preserve">Eucalyptus </w:t>
      </w:r>
      <w:r>
        <w:rPr>
          <w:rStyle w:val="style88"/>
        </w:rPr>
        <w:t>globulus</w:t>
      </w:r>
      <w:r>
        <w:t xml:space="preserve"> against multidrug-resistant </w:t>
      </w:r>
      <w:r>
        <w:rPr>
          <w:rStyle w:val="style88"/>
        </w:rPr>
        <w:t>Staphylococcus aureus</w:t>
      </w:r>
      <w:r>
        <w:t xml:space="preserve"> and other Gram-negative pathogens</w:t>
      </w:r>
      <w:r>
        <w:t>.</w:t>
      </w:r>
    </w:p>
    <w:p>
      <w:pPr>
        <w:pStyle w:val="style94"/>
        <w:spacing w:before="0" w:beforeAutospacing="false" w:after="0" w:afterAutospacing="false" w:lineRule="auto" w:line="480"/>
        <w:ind w:firstLine="720"/>
        <w:jc w:val="both"/>
        <w:rPr/>
      </w:pPr>
      <w:r>
        <w:t xml:space="preserve">The difference in activity between MRSA (Gram-positive) and </w:t>
      </w:r>
      <w:r>
        <w:rPr>
          <w:rStyle w:val="style88"/>
        </w:rPr>
        <w:t>E. coli</w:t>
      </w:r>
      <w:r>
        <w:t xml:space="preserve"> (Gram-negative) was minimal in this study, though Gram-negative bacteria </w:t>
      </w:r>
      <w:r>
        <w:t>are generally considered</w:t>
      </w:r>
      <w:r>
        <w:t xml:space="preserve"> more resistant due to their outer membrane, which limits the penetration of antibacterial agents. The similar response from both organisms suggests that the phytochemicals in </w:t>
      </w:r>
      <w:r>
        <w:rPr>
          <w:rStyle w:val="style88"/>
        </w:rPr>
        <w:t xml:space="preserve">Eucalyptus </w:t>
      </w:r>
      <w:r>
        <w:rPr>
          <w:rStyle w:val="style88"/>
        </w:rPr>
        <w:t>globulus</w:t>
      </w:r>
      <w:r>
        <w:t xml:space="preserve"> may act through multiple mechanisms that overcome this structural barrier. This supports earlier findings by </w:t>
      </w:r>
      <w:r>
        <w:t>Akinmoladun</w:t>
      </w:r>
      <w:r>
        <w:t xml:space="preserve"> </w:t>
      </w:r>
      <w:r>
        <w:rPr>
          <w:i/>
        </w:rPr>
        <w:t>et al</w:t>
      </w:r>
      <w:r>
        <w:t xml:space="preserve">. (2020), who noted that </w:t>
      </w:r>
      <w:r>
        <w:rPr>
          <w:rStyle w:val="style88"/>
        </w:rPr>
        <w:t xml:space="preserve">Eucalyptus </w:t>
      </w:r>
      <w:r>
        <w:rPr>
          <w:rStyle w:val="style88"/>
        </w:rPr>
        <w:t>globulus</w:t>
      </w:r>
      <w:r>
        <w:t xml:space="preserve"> extracts could disrupt both Gram-positive and Gram-negative bacterial membranes. The findings of this study have several practical implications. The growing problem of antibiotic resistance, especially in hospital-acquired infections, necessitates the search for new, effective, and affordable antimicrobial agents. Medicinal plants like </w:t>
      </w:r>
      <w:r>
        <w:rPr>
          <w:rStyle w:val="style88"/>
        </w:rPr>
        <w:t xml:space="preserve">Eucalyptus </w:t>
      </w:r>
      <w:r>
        <w:rPr>
          <w:rStyle w:val="style88"/>
        </w:rPr>
        <w:t>globulus</w:t>
      </w:r>
      <w:r>
        <w:t xml:space="preserve"> offer a promising natural alternative or complementary option, especially in resource-limited settings. The ease of plant collection, low toxicity, and </w:t>
      </w:r>
      <w:r>
        <w:t>broad-spectrum activity make them suitable candidates for further development into antimicrobial formulations.</w:t>
      </w:r>
    </w:p>
    <w:p>
      <w:pPr>
        <w:pStyle w:val="style0"/>
        <w:rPr/>
      </w:pPr>
    </w:p>
    <w:p>
      <w:pPr>
        <w:pStyle w:val="style94"/>
        <w:spacing w:lineRule="auto" w:line="480"/>
        <w:jc w:val="both"/>
        <w:rPr/>
      </w:pPr>
    </w:p>
    <w:p>
      <w:pPr>
        <w:pStyle w:val="style94"/>
        <w:spacing w:lineRule="auto" w:line="480"/>
        <w:jc w:val="both"/>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bookmarkStart w:id="52" w:name="_Toc203146329"/>
    <w:p>
      <w:pPr>
        <w:pStyle w:val="style1"/>
        <w:jc w:val="center"/>
        <w:rPr/>
      </w:pPr>
      <w:r>
        <w:t>CHAPTER FIVE</w:t>
      </w:r>
      <w:bookmarkEnd w:id="52"/>
    </w:p>
    <w:bookmarkStart w:id="53" w:name="_Toc203146330"/>
    <w:p>
      <w:pPr>
        <w:pStyle w:val="style1"/>
        <w:spacing w:lineRule="auto" w:line="480"/>
        <w:jc w:val="center"/>
        <w:rPr/>
      </w:pPr>
      <w:r>
        <w:t>SUMMARY, CONCLUSION AND RECOMMENDATION</w:t>
      </w:r>
      <w:bookmarkEnd w:id="53"/>
    </w:p>
    <w:bookmarkStart w:id="54" w:name="_Toc203146331"/>
    <w:p>
      <w:pPr>
        <w:pStyle w:val="style2"/>
        <w:spacing w:lineRule="auto" w:line="480"/>
        <w:rPr>
          <w:rFonts w:eastAsia="Calibri"/>
        </w:rPr>
      </w:pPr>
      <w:r>
        <w:rPr>
          <w:rFonts w:eastAsia="Calibri"/>
        </w:rPr>
        <w:t>5.1</w:t>
      </w:r>
      <w:r>
        <w:rPr>
          <w:rFonts w:eastAsia="Calibri"/>
        </w:rPr>
        <w:tab/>
      </w:r>
      <w:r>
        <w:rPr>
          <w:rFonts w:eastAsia="Calibri"/>
        </w:rPr>
        <w:t>Summary</w:t>
      </w:r>
      <w:bookmarkEnd w:id="54"/>
    </w:p>
    <w:p>
      <w:pPr>
        <w:pStyle w:val="style94"/>
        <w:spacing w:lineRule="auto" w:line="480"/>
        <w:jc w:val="both"/>
        <w:rPr/>
      </w:pPr>
      <w:r>
        <w:t xml:space="preserve">This study evaluated the antibacterial efficacy of aqueous and ethanol extracts of </w:t>
      </w:r>
      <w:r>
        <w:rPr>
          <w:rStyle w:val="style88"/>
          <w:rFonts w:eastAsia="宋体"/>
        </w:rPr>
        <w:t xml:space="preserve">Eucalyptus </w:t>
      </w:r>
      <w:r>
        <w:rPr>
          <w:rStyle w:val="style88"/>
          <w:rFonts w:eastAsia="宋体"/>
        </w:rPr>
        <w:t>globulus</w:t>
      </w:r>
      <w:r>
        <w:t xml:space="preserve"> leaves against clinically important bacterial isolates of Methicillin-Resistant </w:t>
      </w:r>
      <w:r>
        <w:rPr>
          <w:rStyle w:val="style88"/>
          <w:rFonts w:eastAsia="宋体"/>
        </w:rPr>
        <w:t>Staphylococcus aureus</w:t>
      </w:r>
      <w:r>
        <w:t xml:space="preserve"> (MRSA) and </w:t>
      </w:r>
      <w:r>
        <w:rPr>
          <w:rStyle w:val="style88"/>
          <w:rFonts w:eastAsia="宋体"/>
        </w:rPr>
        <w:t>Escherichia coli</w:t>
      </w:r>
      <w:r>
        <w:t xml:space="preserve">. The bacterial isolates </w:t>
      </w:r>
      <w:r>
        <w:t>were obtained</w:t>
      </w:r>
      <w:r>
        <w:t xml:space="preserve"> from the University of Ilorin Teaching Hospital and confirmed using standard microbiological and biochemical methods. Preliminary phytochemical screening </w:t>
      </w:r>
      <w:r>
        <w:t xml:space="preserve">revealed  </w:t>
      </w:r>
      <w:r>
        <w:t>no</w:t>
      </w:r>
      <w:r>
        <w:t xml:space="preserve"> </w:t>
      </w:r>
      <w:r>
        <w:t>p</w:t>
      </w:r>
      <w:r>
        <w:t xml:space="preserve">resence of alkaloids and </w:t>
      </w:r>
      <w:r>
        <w:t>saponins</w:t>
      </w:r>
      <w:r>
        <w:t xml:space="preserve"> while  flavonoids, tannins</w:t>
      </w:r>
      <w:r>
        <w:t>, and phenolic compounds</w:t>
      </w:r>
      <w:r>
        <w:t xml:space="preserve"> were present</w:t>
      </w:r>
      <w:r>
        <w:t>. The antibacterial activity assessed by agar well diffusion showed that ethanol extracts had greater inhibitory effects compared to aqueous extracts, with the zone of inhibition increasing with extract volume. The minimum inhibitory concentration (MIC) determination further confirmed that the ethanol extract inhibited bacterial growth at relatively low concentrations.</w:t>
      </w:r>
    </w:p>
    <w:bookmarkStart w:id="55" w:name="_Toc203146332"/>
    <w:p>
      <w:pPr>
        <w:pStyle w:val="style2"/>
        <w:spacing w:lineRule="auto" w:line="480"/>
        <w:rPr/>
      </w:pPr>
      <w:r>
        <w:t>5.2</w:t>
      </w:r>
      <w:r>
        <w:tab/>
      </w:r>
      <w:r>
        <w:t>Conclusion</w:t>
      </w:r>
      <w:bookmarkEnd w:id="55"/>
    </w:p>
    <w:p>
      <w:pPr>
        <w:pStyle w:val="style94"/>
        <w:spacing w:before="0" w:beforeAutospacing="false" w:after="0" w:afterAutospacing="false" w:lineRule="auto" w:line="480"/>
        <w:jc w:val="both"/>
        <w:rPr/>
      </w:pPr>
      <w:r>
        <w:t xml:space="preserve">The findings revealed that </w:t>
      </w:r>
      <w:r>
        <w:rPr>
          <w:rStyle w:val="style88"/>
          <w:rFonts w:eastAsia="宋体"/>
        </w:rPr>
        <w:t xml:space="preserve">Eucalyptus </w:t>
      </w:r>
      <w:r>
        <w:rPr>
          <w:rStyle w:val="style88"/>
          <w:rFonts w:eastAsia="宋体"/>
        </w:rPr>
        <w:t>globulus</w:t>
      </w:r>
      <w:r>
        <w:t xml:space="preserve"> leaf extracts, especially the ethanol extract, possess significant antibacterial activity against MRSA and </w:t>
      </w:r>
      <w:r>
        <w:rPr>
          <w:rStyle w:val="style88"/>
          <w:rFonts w:eastAsia="宋体"/>
        </w:rPr>
        <w:t>E. coli</w:t>
      </w:r>
      <w:r>
        <w:t>. The presence of bioactive phytochemicals</w:t>
      </w:r>
      <w:r>
        <w:t xml:space="preserve"> (flavonoids, tannins, and phenolic compounds)</w:t>
      </w:r>
      <w:r>
        <w:t xml:space="preserve"> in the extracts contributes to this effect. These results support the potential use of </w:t>
      </w:r>
      <w:r>
        <w:rPr>
          <w:rStyle w:val="style88"/>
          <w:rFonts w:eastAsia="宋体"/>
        </w:rPr>
        <w:t xml:space="preserve">Eucalyptus </w:t>
      </w:r>
      <w:r>
        <w:rPr>
          <w:rStyle w:val="style88"/>
          <w:rFonts w:eastAsia="宋体"/>
        </w:rPr>
        <w:t>globulus</w:t>
      </w:r>
      <w:r>
        <w:t xml:space="preserve"> as a natural source of antibacterial agents, particularly in combating resistant bacterial strains.</w:t>
      </w:r>
    </w:p>
    <w:p>
      <w:pPr>
        <w:pStyle w:val="style94"/>
        <w:spacing w:before="0" w:beforeAutospacing="false" w:after="0" w:afterAutospacing="false" w:lineRule="auto" w:line="480"/>
        <w:jc w:val="both"/>
        <w:rPr>
          <w:b/>
        </w:rPr>
      </w:pPr>
    </w:p>
    <w:p>
      <w:pPr>
        <w:pStyle w:val="style94"/>
        <w:spacing w:before="0" w:beforeAutospacing="false" w:after="0" w:afterAutospacing="false" w:lineRule="auto" w:line="480"/>
        <w:jc w:val="both"/>
        <w:rPr>
          <w:b/>
        </w:rPr>
      </w:pPr>
    </w:p>
    <w:p>
      <w:pPr>
        <w:pStyle w:val="style94"/>
        <w:spacing w:before="0" w:beforeAutospacing="false" w:after="0" w:afterAutospacing="false" w:lineRule="auto" w:line="480"/>
        <w:jc w:val="both"/>
        <w:rPr>
          <w:b/>
        </w:rPr>
      </w:pPr>
    </w:p>
    <w:bookmarkStart w:id="56" w:name="_Toc203146333"/>
    <w:p>
      <w:pPr>
        <w:pStyle w:val="style2"/>
        <w:spacing w:lineRule="auto" w:line="480"/>
        <w:rPr/>
      </w:pPr>
      <w:r>
        <w:t>5.3</w:t>
      </w:r>
      <w:r>
        <w:tab/>
      </w:r>
      <w:r>
        <w:t>Recommendations</w:t>
      </w:r>
      <w:bookmarkEnd w:id="56"/>
    </w:p>
    <w:p>
      <w:pPr>
        <w:pStyle w:val="style94"/>
        <w:spacing w:before="0" w:beforeAutospacing="false" w:lineRule="auto" w:line="480"/>
        <w:jc w:val="both"/>
        <w:rPr/>
      </w:pPr>
      <w:r>
        <w:t xml:space="preserve">Based on the findings of this study, the following recommendations </w:t>
      </w:r>
      <w:r>
        <w:t>are made</w:t>
      </w:r>
      <w:r>
        <w:t>:</w:t>
      </w:r>
    </w:p>
    <w:p>
      <w:pPr>
        <w:pStyle w:val="style94"/>
        <w:numPr>
          <w:ilvl w:val="0"/>
          <w:numId w:val="2"/>
        </w:numPr>
        <w:spacing w:lineRule="auto" w:line="480"/>
        <w:jc w:val="both"/>
        <w:rPr/>
      </w:pPr>
      <w:r>
        <w:t>Further research should be conducted to isolate and characterize the specific bioactive compounds responsible for the antibacterial effects observed.</w:t>
      </w:r>
    </w:p>
    <w:p>
      <w:pPr>
        <w:pStyle w:val="style94"/>
        <w:numPr>
          <w:ilvl w:val="0"/>
          <w:numId w:val="2"/>
        </w:numPr>
        <w:spacing w:lineRule="auto" w:line="480"/>
        <w:jc w:val="both"/>
        <w:rPr/>
      </w:pPr>
      <w:r>
        <w:t xml:space="preserve">In vivo studies and toxicity evaluations are necessary to assess the safety and efficacy of </w:t>
      </w:r>
      <w:r>
        <w:rPr>
          <w:rStyle w:val="style88"/>
          <w:rFonts w:eastAsia="宋体"/>
        </w:rPr>
        <w:t xml:space="preserve">Eucalyptus </w:t>
      </w:r>
      <w:r>
        <w:rPr>
          <w:rStyle w:val="style88"/>
          <w:rFonts w:eastAsia="宋体"/>
        </w:rPr>
        <w:t>globulus</w:t>
      </w:r>
      <w:r>
        <w:t xml:space="preserve"> extracts before clinical applications.</w:t>
      </w:r>
    </w:p>
    <w:p>
      <w:pPr>
        <w:pStyle w:val="style94"/>
        <w:numPr>
          <w:ilvl w:val="0"/>
          <w:numId w:val="2"/>
        </w:numPr>
        <w:spacing w:lineRule="auto" w:line="480"/>
        <w:jc w:val="both"/>
        <w:rPr/>
      </w:pPr>
      <w:r>
        <w:t xml:space="preserve">Development of formulations using </w:t>
      </w:r>
      <w:r>
        <w:rPr>
          <w:rStyle w:val="style88"/>
          <w:rFonts w:eastAsia="宋体"/>
        </w:rPr>
        <w:t xml:space="preserve">Eucalyptus </w:t>
      </w:r>
      <w:r>
        <w:rPr>
          <w:rStyle w:val="style88"/>
          <w:rFonts w:eastAsia="宋体"/>
        </w:rPr>
        <w:t>globulus</w:t>
      </w:r>
      <w:r>
        <w:t xml:space="preserve"> extracts for topical or systemic antibacterial therapy could be explored.</w:t>
      </w:r>
    </w:p>
    <w:p>
      <w:pPr>
        <w:pStyle w:val="style94"/>
        <w:numPr>
          <w:ilvl w:val="0"/>
          <w:numId w:val="2"/>
        </w:numPr>
        <w:spacing w:lineRule="auto" w:line="480"/>
        <w:jc w:val="both"/>
        <w:rPr/>
      </w:pPr>
      <w:r>
        <w:t>Continuous monitoring of resistance patterns in clinical isolates is essential to evaluate the long-term effectiveness of plant-based antibacterial agents.</w:t>
      </w:r>
    </w:p>
    <w:p>
      <w:pPr>
        <w:pStyle w:val="style0"/>
        <w:rPr/>
      </w:pPr>
    </w:p>
    <w:p>
      <w:pPr>
        <w:pStyle w:val="style94"/>
        <w:spacing w:lineRule="auto" w:line="480"/>
        <w:jc w:val="both"/>
        <w:rPr/>
      </w:pPr>
    </w:p>
    <w:p>
      <w:pPr>
        <w:pStyle w:val="style94"/>
        <w:spacing w:lineRule="auto" w:line="480"/>
        <w:jc w:val="both"/>
        <w:rPr/>
      </w:pPr>
    </w:p>
    <w:p>
      <w:pPr>
        <w:pStyle w:val="style94"/>
        <w:spacing w:lineRule="auto" w:line="480"/>
        <w:jc w:val="both"/>
        <w:rPr/>
      </w:pPr>
    </w:p>
    <w:p>
      <w:pPr>
        <w:pStyle w:val="style94"/>
        <w:spacing w:lineRule="auto" w:line="480"/>
        <w:jc w:val="both"/>
        <w:rPr/>
      </w:pPr>
    </w:p>
    <w:p>
      <w:pPr>
        <w:pStyle w:val="style94"/>
        <w:spacing w:lineRule="auto" w:line="480"/>
        <w:jc w:val="both"/>
        <w:rPr/>
      </w:pPr>
    </w:p>
    <w:p>
      <w:pPr>
        <w:pStyle w:val="style94"/>
        <w:spacing w:lineRule="auto" w:line="480"/>
        <w:jc w:val="both"/>
        <w:rPr/>
      </w:pPr>
    </w:p>
    <w:p>
      <w:pPr>
        <w:pStyle w:val="style94"/>
        <w:spacing w:lineRule="auto" w:line="480"/>
        <w:jc w:val="both"/>
        <w:rPr/>
      </w:pPr>
    </w:p>
    <w:p>
      <w:pPr>
        <w:pStyle w:val="style0"/>
        <w:spacing w:after="100" w:afterAutospacing="true" w:lineRule="auto" w:line="480"/>
        <w:jc w:val="both"/>
        <w:rPr>
          <w:rFonts w:ascii="Times New Roman" w:cs="Times New Roman" w:hAnsi="Times New Roman"/>
          <w:b/>
          <w:sz w:val="24"/>
          <w:szCs w:val="24"/>
        </w:rPr>
      </w:pPr>
    </w:p>
    <w:bookmarkStart w:id="57" w:name="_Toc203146334"/>
    <w:p>
      <w:pPr>
        <w:pStyle w:val="style1"/>
        <w:rPr/>
      </w:pPr>
      <w:r>
        <w:t>REFERENCES</w:t>
      </w:r>
      <w:bookmarkEnd w:id="57"/>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Abdallah, A. M., Al-Omar, M. S., &amp; El-Sayed, E. (2021).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and its bioactive compounds: An overview. </w:t>
      </w:r>
      <w:r>
        <w:rPr>
          <w:rFonts w:ascii="Times New Roman" w:cs="Times New Roman" w:eastAsia="Times New Roman" w:hAnsi="Times New Roman"/>
          <w:i/>
          <w:iCs/>
          <w:sz w:val="24"/>
          <w:szCs w:val="24"/>
        </w:rPr>
        <w:t>Antioxidants, 10</w:t>
      </w:r>
      <w:r>
        <w:rPr>
          <w:rFonts w:ascii="Times New Roman" w:cs="Times New Roman" w:eastAsia="Times New Roman" w:hAnsi="Times New Roman"/>
          <w:sz w:val="24"/>
          <w:szCs w:val="24"/>
        </w:rPr>
        <w:t>(11), 1746.</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Ahmed, M., Khan, M. S., Khan, M. S., &amp; </w:t>
      </w:r>
      <w:r>
        <w:rPr>
          <w:rFonts w:ascii="Times New Roman" w:cs="Times New Roman" w:eastAsia="Times New Roman" w:hAnsi="Times New Roman"/>
          <w:sz w:val="24"/>
          <w:szCs w:val="24"/>
        </w:rPr>
        <w:t>Alouffi</w:t>
      </w:r>
      <w:r>
        <w:rPr>
          <w:rFonts w:ascii="Times New Roman" w:cs="Times New Roman" w:eastAsia="Times New Roman" w:hAnsi="Times New Roman"/>
          <w:sz w:val="24"/>
          <w:szCs w:val="24"/>
        </w:rPr>
        <w:t xml:space="preserve">, S. (2021). A review on the antibacterial potential of medicinal plants and their secondary metabolites against multidrug-resistant bacteria. </w:t>
      </w:r>
      <w:r>
        <w:rPr>
          <w:rFonts w:ascii="Times New Roman" w:cs="Times New Roman" w:eastAsia="Times New Roman" w:hAnsi="Times New Roman"/>
          <w:i/>
          <w:iCs/>
          <w:sz w:val="24"/>
          <w:szCs w:val="24"/>
        </w:rPr>
        <w:t>Antibiotics, 10</w:t>
      </w:r>
      <w:r>
        <w:rPr>
          <w:rFonts w:ascii="Times New Roman" w:cs="Times New Roman" w:eastAsia="Times New Roman" w:hAnsi="Times New Roman"/>
          <w:sz w:val="24"/>
          <w:szCs w:val="24"/>
        </w:rPr>
        <w:t>(9), 1074. https://doi.org/10.3390/antibiotics10091074</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Ahmed, S., Khan, M. S., &amp; Khan, M. S. (2021). Plant-derived antimicrobials: A potential solution to combat antibiotic resistance. </w:t>
      </w:r>
      <w:r>
        <w:rPr>
          <w:rFonts w:ascii="Times New Roman" w:cs="Times New Roman" w:eastAsia="Times New Roman" w:hAnsi="Times New Roman"/>
          <w:i/>
          <w:iCs/>
          <w:sz w:val="24"/>
          <w:szCs w:val="24"/>
        </w:rPr>
        <w:t>Saudi Journal of Biological Sciences</w:t>
      </w:r>
      <w:r>
        <w:rPr>
          <w:rFonts w:ascii="Times New Roman" w:cs="Times New Roman" w:eastAsia="Times New Roman" w:hAnsi="Times New Roman"/>
          <w:sz w:val="24"/>
          <w:szCs w:val="24"/>
        </w:rPr>
        <w:t>, 28(9), 4913–4920. https://doi.org/10.1016/j.sjbs.2021.04.053</w:t>
      </w:r>
    </w:p>
    <w:p>
      <w:pPr>
        <w:pStyle w:val="style94"/>
        <w:ind w:left="567" w:hanging="567"/>
        <w:jc w:val="both"/>
        <w:rPr/>
      </w:pPr>
      <w:r>
        <w:t>Akinmoladun</w:t>
      </w:r>
      <w:r>
        <w:t xml:space="preserve">, F. O., </w:t>
      </w:r>
      <w:r>
        <w:t>Olaleye</w:t>
      </w:r>
      <w:r>
        <w:t xml:space="preserve">, T. M., &amp; </w:t>
      </w:r>
      <w:r>
        <w:t>Obuotor</w:t>
      </w:r>
      <w:r>
        <w:t xml:space="preserve">, E. M. (2020). Antibacterial activity of </w:t>
      </w:r>
      <w:r>
        <w:rPr>
          <w:rStyle w:val="style88"/>
        </w:rPr>
        <w:t xml:space="preserve">Eucalyptus </w:t>
      </w:r>
      <w:r>
        <w:rPr>
          <w:rStyle w:val="style88"/>
        </w:rPr>
        <w:t>globulus</w:t>
      </w:r>
      <w:r>
        <w:t xml:space="preserve"> leaf extracts against clinical pathogens. </w:t>
      </w:r>
      <w:r>
        <w:rPr>
          <w:rStyle w:val="style88"/>
        </w:rPr>
        <w:t>Journal of Medicinal Plants Research</w:t>
      </w:r>
      <w:r>
        <w:t>, 14(4), 156-164.</w:t>
      </w:r>
    </w:p>
    <w:p>
      <w:pPr>
        <w:pStyle w:val="style94"/>
        <w:ind w:left="567" w:hanging="567"/>
        <w:jc w:val="both"/>
        <w:rPr/>
      </w:pPr>
      <w:r>
        <w:t>Alabi</w:t>
      </w:r>
      <w:r>
        <w:t xml:space="preserve">, O. J., </w:t>
      </w:r>
      <w:r>
        <w:t>Ogunlade</w:t>
      </w:r>
      <w:r>
        <w:t xml:space="preserve">, B. O., &amp; Salami, A. A. (2019). Comparative evaluation of antibacterial effects of aqueous and ethanol extracts of </w:t>
      </w:r>
      <w:r>
        <w:rPr>
          <w:rStyle w:val="style88"/>
        </w:rPr>
        <w:t>Eucalyptus</w:t>
      </w:r>
      <w:r>
        <w:t xml:space="preserve"> species. </w:t>
      </w:r>
      <w:r>
        <w:rPr>
          <w:rStyle w:val="style88"/>
        </w:rPr>
        <w:t>African Journal of Biotechnology</w:t>
      </w:r>
      <w:r>
        <w:t>, 18(6), 185-191.</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Aljaafari</w:t>
      </w:r>
      <w:r>
        <w:rPr>
          <w:rFonts w:ascii="Times New Roman" w:cs="Times New Roman" w:eastAsia="Times New Roman" w:hAnsi="Times New Roman"/>
          <w:sz w:val="24"/>
          <w:szCs w:val="24"/>
        </w:rPr>
        <w:t xml:space="preserve">, M. N., </w:t>
      </w:r>
      <w:r>
        <w:rPr>
          <w:rFonts w:ascii="Times New Roman" w:cs="Times New Roman" w:eastAsia="Times New Roman" w:hAnsi="Times New Roman"/>
          <w:sz w:val="24"/>
          <w:szCs w:val="24"/>
        </w:rPr>
        <w:t>AlAli</w:t>
      </w:r>
      <w:r>
        <w:rPr>
          <w:rFonts w:ascii="Times New Roman" w:cs="Times New Roman" w:eastAsia="Times New Roman" w:hAnsi="Times New Roman"/>
          <w:sz w:val="24"/>
          <w:szCs w:val="24"/>
        </w:rPr>
        <w:t xml:space="preserve">, A. A., </w:t>
      </w:r>
      <w:r>
        <w:rPr>
          <w:rFonts w:ascii="Times New Roman" w:cs="Times New Roman" w:eastAsia="Times New Roman" w:hAnsi="Times New Roman"/>
          <w:sz w:val="24"/>
          <w:szCs w:val="24"/>
        </w:rPr>
        <w:t>Badulla</w:t>
      </w:r>
      <w:r>
        <w:rPr>
          <w:rFonts w:ascii="Times New Roman" w:cs="Times New Roman" w:eastAsia="Times New Roman" w:hAnsi="Times New Roman"/>
          <w:sz w:val="24"/>
          <w:szCs w:val="24"/>
        </w:rPr>
        <w:t xml:space="preserve">, W. F. A. R., &amp; </w:t>
      </w:r>
      <w:r>
        <w:rPr>
          <w:rFonts w:ascii="Times New Roman" w:cs="Times New Roman" w:eastAsia="Times New Roman" w:hAnsi="Times New Roman"/>
          <w:sz w:val="24"/>
          <w:szCs w:val="24"/>
        </w:rPr>
        <w:t>Venkatesan</w:t>
      </w:r>
      <w:r>
        <w:rPr>
          <w:rFonts w:ascii="Times New Roman" w:cs="Times New Roman" w:eastAsia="Times New Roman" w:hAnsi="Times New Roman"/>
          <w:sz w:val="24"/>
          <w:szCs w:val="24"/>
        </w:rPr>
        <w:t xml:space="preserve">, T. (2022). Essential oils as a novel alternative to combat bacterial resistance: A review. </w:t>
      </w:r>
      <w:r>
        <w:rPr>
          <w:rFonts w:ascii="Times New Roman" w:cs="Times New Roman" w:eastAsia="Times New Roman" w:hAnsi="Times New Roman"/>
          <w:i/>
          <w:iCs/>
          <w:sz w:val="24"/>
          <w:szCs w:val="24"/>
        </w:rPr>
        <w:t>Molecules, 27</w:t>
      </w:r>
      <w:r>
        <w:rPr>
          <w:rFonts w:ascii="Times New Roman" w:cs="Times New Roman" w:eastAsia="Times New Roman" w:hAnsi="Times New Roman"/>
          <w:sz w:val="24"/>
          <w:szCs w:val="24"/>
        </w:rPr>
        <w:t>(1), 145. https://doi.org/10.3390/molecules27010145</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Ameen, M., Arora, S., &amp; </w:t>
      </w:r>
      <w:r>
        <w:rPr>
          <w:rFonts w:ascii="Times New Roman" w:cs="Times New Roman" w:eastAsia="Times New Roman" w:hAnsi="Times New Roman"/>
          <w:sz w:val="24"/>
          <w:szCs w:val="24"/>
        </w:rPr>
        <w:t>Parvez</w:t>
      </w:r>
      <w:r>
        <w:rPr>
          <w:rFonts w:ascii="Times New Roman" w:cs="Times New Roman" w:eastAsia="Times New Roman" w:hAnsi="Times New Roman"/>
          <w:sz w:val="24"/>
          <w:szCs w:val="24"/>
        </w:rPr>
        <w:t xml:space="preserve">, M. (2021). Antibacterial properties of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and its essential oil: A review. </w:t>
      </w:r>
      <w:r>
        <w:rPr>
          <w:rFonts w:ascii="Times New Roman" w:cs="Times New Roman" w:eastAsia="Times New Roman" w:hAnsi="Times New Roman"/>
          <w:i/>
          <w:iCs/>
          <w:sz w:val="24"/>
          <w:szCs w:val="24"/>
        </w:rPr>
        <w:t>International Journal of Microbiological Research, 12</w:t>
      </w:r>
      <w:r>
        <w:rPr>
          <w:rFonts w:ascii="Times New Roman" w:cs="Times New Roman" w:eastAsia="Times New Roman" w:hAnsi="Times New Roman"/>
          <w:sz w:val="24"/>
          <w:szCs w:val="24"/>
        </w:rPr>
        <w:t>(3), 85-92.</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Blair, J. M., Webber, M. A., </w:t>
      </w:r>
      <w:r>
        <w:rPr>
          <w:rFonts w:ascii="Times New Roman" w:cs="Times New Roman" w:eastAsia="Times New Roman" w:hAnsi="Times New Roman"/>
          <w:sz w:val="24"/>
          <w:szCs w:val="24"/>
        </w:rPr>
        <w:t>Baylay</w:t>
      </w:r>
      <w:r>
        <w:rPr>
          <w:rFonts w:ascii="Times New Roman" w:cs="Times New Roman" w:eastAsia="Times New Roman" w:hAnsi="Times New Roman"/>
          <w:sz w:val="24"/>
          <w:szCs w:val="24"/>
        </w:rPr>
        <w:t xml:space="preserve">, A. J., &amp; </w:t>
      </w:r>
      <w:r>
        <w:rPr>
          <w:rFonts w:ascii="Times New Roman" w:cs="Times New Roman" w:eastAsia="Times New Roman" w:hAnsi="Times New Roman"/>
          <w:sz w:val="24"/>
          <w:szCs w:val="24"/>
        </w:rPr>
        <w:t>Piddock</w:t>
      </w:r>
      <w:r>
        <w:rPr>
          <w:rFonts w:ascii="Times New Roman" w:cs="Times New Roman" w:eastAsia="Times New Roman" w:hAnsi="Times New Roman"/>
          <w:sz w:val="24"/>
          <w:szCs w:val="24"/>
        </w:rPr>
        <w:t xml:space="preserve">, L. J. (2015). Molecular mechanisms of antibiotic resistance. </w:t>
      </w:r>
      <w:r>
        <w:rPr>
          <w:rFonts w:ascii="Times New Roman" w:cs="Times New Roman" w:eastAsia="Times New Roman" w:hAnsi="Times New Roman"/>
          <w:i/>
          <w:iCs/>
          <w:sz w:val="24"/>
          <w:szCs w:val="24"/>
        </w:rPr>
        <w:t>Nature Reviews Microbiology, 13</w:t>
      </w:r>
      <w:r>
        <w:rPr>
          <w:rFonts w:ascii="Times New Roman" w:cs="Times New Roman" w:eastAsia="Times New Roman" w:hAnsi="Times New Roman"/>
          <w:sz w:val="24"/>
          <w:szCs w:val="24"/>
        </w:rPr>
        <w:t>(1), 42-51.</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Borges, A., Abreu, A. C., Dias, C., Saavedra, M. J., &amp; </w:t>
      </w:r>
      <w:r>
        <w:rPr>
          <w:rFonts w:ascii="Times New Roman" w:cs="Times New Roman" w:eastAsia="Times New Roman" w:hAnsi="Times New Roman"/>
          <w:sz w:val="24"/>
          <w:szCs w:val="24"/>
        </w:rPr>
        <w:t>Simões</w:t>
      </w:r>
      <w:r>
        <w:rPr>
          <w:rFonts w:ascii="Times New Roman" w:cs="Times New Roman" w:eastAsia="Times New Roman" w:hAnsi="Times New Roman"/>
          <w:sz w:val="24"/>
          <w:szCs w:val="24"/>
        </w:rPr>
        <w:t xml:space="preserve">, M. (2020). New perspectives on the use of phytochemicals as an emergent strategy to control bacterial infections including biofilms. </w:t>
      </w:r>
      <w:r>
        <w:rPr>
          <w:rFonts w:ascii="Times New Roman" w:cs="Times New Roman" w:eastAsia="Times New Roman" w:hAnsi="Times New Roman"/>
          <w:i/>
          <w:iCs/>
          <w:sz w:val="24"/>
          <w:szCs w:val="24"/>
        </w:rPr>
        <w:t>Molecules</w:t>
      </w:r>
      <w:r>
        <w:rPr>
          <w:rFonts w:ascii="Times New Roman" w:cs="Times New Roman" w:eastAsia="Times New Roman" w:hAnsi="Times New Roman"/>
          <w:sz w:val="24"/>
          <w:szCs w:val="24"/>
        </w:rPr>
        <w:t>, 25(13), 3204. https://doi.org/10.3390/molecules25133204</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Bouchiat</w:t>
      </w:r>
      <w:r>
        <w:rPr>
          <w:rFonts w:ascii="Times New Roman" w:cs="Times New Roman" w:eastAsia="Times New Roman" w:hAnsi="Times New Roman"/>
          <w:sz w:val="24"/>
          <w:szCs w:val="24"/>
        </w:rPr>
        <w:t xml:space="preserve">, C., </w:t>
      </w:r>
      <w:r>
        <w:rPr>
          <w:rFonts w:ascii="Times New Roman" w:cs="Times New Roman" w:eastAsia="Times New Roman" w:hAnsi="Times New Roman"/>
          <w:sz w:val="24"/>
          <w:szCs w:val="24"/>
        </w:rPr>
        <w:t>Bornet</w:t>
      </w:r>
      <w:r>
        <w:rPr>
          <w:rFonts w:ascii="Times New Roman" w:cs="Times New Roman" w:eastAsia="Times New Roman" w:hAnsi="Times New Roman"/>
          <w:sz w:val="24"/>
          <w:szCs w:val="24"/>
        </w:rPr>
        <w:t xml:space="preserve">, C., &amp; </w:t>
      </w:r>
      <w:r>
        <w:rPr>
          <w:rFonts w:ascii="Times New Roman" w:cs="Times New Roman" w:eastAsia="Times New Roman" w:hAnsi="Times New Roman"/>
          <w:sz w:val="24"/>
          <w:szCs w:val="24"/>
        </w:rPr>
        <w:t>Lemaître</w:t>
      </w:r>
      <w:r>
        <w:rPr>
          <w:rFonts w:ascii="Times New Roman" w:cs="Times New Roman" w:eastAsia="Times New Roman" w:hAnsi="Times New Roman"/>
          <w:sz w:val="24"/>
          <w:szCs w:val="24"/>
        </w:rPr>
        <w:t xml:space="preserve">, N. (2019). Molecular epidemiology of methicillin-resistant </w:t>
      </w:r>
      <w:r>
        <w:rPr>
          <w:rFonts w:ascii="Times New Roman" w:cs="Times New Roman" w:eastAsia="Times New Roman" w:hAnsi="Times New Roman"/>
          <w:i/>
          <w:iCs/>
          <w:sz w:val="24"/>
          <w:szCs w:val="24"/>
        </w:rPr>
        <w:t>Staphylococcus aureus</w:t>
      </w:r>
      <w:r>
        <w:rPr>
          <w:rFonts w:ascii="Times New Roman" w:cs="Times New Roman" w:eastAsia="Times New Roman" w:hAnsi="Times New Roman"/>
          <w:sz w:val="24"/>
          <w:szCs w:val="24"/>
        </w:rPr>
        <w:t xml:space="preserve"> (MRSA) and its management. </w:t>
      </w:r>
      <w:r>
        <w:rPr>
          <w:rFonts w:ascii="Times New Roman" w:cs="Times New Roman" w:eastAsia="Times New Roman" w:hAnsi="Times New Roman"/>
          <w:i/>
          <w:iCs/>
          <w:sz w:val="24"/>
          <w:szCs w:val="24"/>
        </w:rPr>
        <w:t>Clinical Microbiology and Infection, 25</w:t>
      </w:r>
      <w:r>
        <w:rPr>
          <w:rFonts w:ascii="Times New Roman" w:cs="Times New Roman" w:eastAsia="Times New Roman" w:hAnsi="Times New Roman"/>
          <w:sz w:val="24"/>
          <w:szCs w:val="24"/>
        </w:rPr>
        <w:t>(3), 299-307.</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Boukhatem</w:t>
      </w:r>
      <w:r>
        <w:rPr>
          <w:rFonts w:ascii="Times New Roman" w:cs="Times New Roman" w:eastAsia="Times New Roman" w:hAnsi="Times New Roman"/>
          <w:sz w:val="24"/>
          <w:szCs w:val="24"/>
        </w:rPr>
        <w:t xml:space="preserve">, M. N., </w:t>
      </w:r>
      <w:r>
        <w:rPr>
          <w:rFonts w:ascii="Times New Roman" w:cs="Times New Roman" w:eastAsia="Times New Roman" w:hAnsi="Times New Roman"/>
          <w:sz w:val="24"/>
          <w:szCs w:val="24"/>
        </w:rPr>
        <w:t>Aboud</w:t>
      </w:r>
      <w:r>
        <w:rPr>
          <w:rFonts w:ascii="Times New Roman" w:cs="Times New Roman" w:eastAsia="Times New Roman" w:hAnsi="Times New Roman"/>
          <w:sz w:val="24"/>
          <w:szCs w:val="24"/>
        </w:rPr>
        <w:t xml:space="preserve">, M., &amp; </w:t>
      </w:r>
      <w:r>
        <w:rPr>
          <w:rFonts w:ascii="Times New Roman" w:cs="Times New Roman" w:eastAsia="Times New Roman" w:hAnsi="Times New Roman"/>
          <w:sz w:val="24"/>
          <w:szCs w:val="24"/>
        </w:rPr>
        <w:t>Ferhat</w:t>
      </w:r>
      <w:r>
        <w:rPr>
          <w:rFonts w:ascii="Times New Roman" w:cs="Times New Roman" w:eastAsia="Times New Roman" w:hAnsi="Times New Roman"/>
          <w:sz w:val="24"/>
          <w:szCs w:val="24"/>
        </w:rPr>
        <w:t xml:space="preserve">, M. (2020). Eucalyptus essential oil and its antimicrobial properties. </w:t>
      </w:r>
      <w:r>
        <w:rPr>
          <w:rFonts w:ascii="Times New Roman" w:cs="Times New Roman" w:eastAsia="Times New Roman" w:hAnsi="Times New Roman"/>
          <w:i/>
          <w:iCs/>
          <w:sz w:val="24"/>
          <w:szCs w:val="24"/>
        </w:rPr>
        <w:t>Pharmacognosy</w:t>
      </w:r>
      <w:r>
        <w:rPr>
          <w:rFonts w:ascii="Times New Roman" w:cs="Times New Roman" w:eastAsia="Times New Roman" w:hAnsi="Times New Roman"/>
          <w:i/>
          <w:iCs/>
          <w:sz w:val="24"/>
          <w:szCs w:val="24"/>
        </w:rPr>
        <w:t xml:space="preserve"> Reviews, 14</w:t>
      </w:r>
      <w:r>
        <w:rPr>
          <w:rFonts w:ascii="Times New Roman" w:cs="Times New Roman" w:eastAsia="Times New Roman" w:hAnsi="Times New Roman"/>
          <w:sz w:val="24"/>
          <w:szCs w:val="24"/>
        </w:rPr>
        <w:t>(28), 69-77.</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Boukhatem</w:t>
      </w:r>
      <w:r>
        <w:rPr>
          <w:rFonts w:ascii="Times New Roman" w:cs="Times New Roman" w:eastAsia="Times New Roman" w:hAnsi="Times New Roman"/>
          <w:sz w:val="24"/>
          <w:szCs w:val="24"/>
        </w:rPr>
        <w:t xml:space="preserve">, M. N.,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(2020). Eucalyptus essential oils: Biological activities and therapeutic potential. </w:t>
      </w:r>
      <w:r>
        <w:rPr>
          <w:rFonts w:ascii="Times New Roman" w:cs="Times New Roman" w:eastAsia="Times New Roman" w:hAnsi="Times New Roman"/>
          <w:i/>
          <w:iCs/>
          <w:sz w:val="24"/>
          <w:szCs w:val="24"/>
        </w:rPr>
        <w:t>Natural Product Research</w:t>
      </w:r>
      <w:r>
        <w:rPr>
          <w:rFonts w:ascii="Times New Roman" w:cs="Times New Roman" w:eastAsia="Times New Roman" w:hAnsi="Times New Roman"/>
          <w:sz w:val="24"/>
          <w:szCs w:val="24"/>
        </w:rPr>
        <w:t>, 34(18), 2607–2620. https://doi.org/10.1080/14786419.2018.1550070</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Centers for Disease Control and Prevention (CDC). (2022). </w:t>
      </w:r>
      <w:r>
        <w:rPr>
          <w:rFonts w:ascii="Times New Roman" w:cs="Times New Roman" w:eastAsia="Times New Roman" w:hAnsi="Times New Roman"/>
          <w:i/>
          <w:iCs/>
          <w:sz w:val="24"/>
          <w:szCs w:val="24"/>
        </w:rPr>
        <w:t>Antibiotic Resistance Threats in the United States, 2022</w:t>
      </w:r>
      <w:r>
        <w:rPr>
          <w:rFonts w:ascii="Times New Roman" w:cs="Times New Roman" w:eastAsia="Times New Roman" w:hAnsi="Times New Roman"/>
          <w:sz w:val="24"/>
          <w:szCs w:val="24"/>
        </w:rPr>
        <w:t xml:space="preserve">. Retrieved from </w:t>
      </w:r>
      <w:r>
        <w:rPr/>
        <w:fldChar w:fldCharType="begin"/>
      </w:r>
      <w:r>
        <w:instrText xml:space="preserve"> HYPERLINK "https://www.cdc.gov" \t "_new" </w:instrText>
      </w:r>
      <w:r>
        <w:rPr/>
        <w:fldChar w:fldCharType="separate"/>
      </w:r>
      <w:r>
        <w:rPr>
          <w:rFonts w:ascii="Times New Roman" w:cs="Times New Roman" w:eastAsia="Times New Roman" w:hAnsi="Times New Roman"/>
          <w:color w:val="0000ff"/>
          <w:sz w:val="24"/>
          <w:szCs w:val="24"/>
          <w:u w:val="single"/>
        </w:rPr>
        <w:t>https://www.cdc.gov</w:t>
      </w:r>
      <w:r>
        <w:rPr/>
        <w:fldChar w:fldCharType="end"/>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Cohen, M. L. (2019). Epidemiology of drug resistance: implications for a post-antimicrobial era. </w:t>
      </w:r>
      <w:r>
        <w:rPr>
          <w:rFonts w:ascii="Times New Roman" w:cs="Times New Roman" w:eastAsia="Times New Roman" w:hAnsi="Times New Roman"/>
          <w:i/>
          <w:iCs/>
          <w:sz w:val="24"/>
          <w:szCs w:val="24"/>
        </w:rPr>
        <w:t>Science, 257</w:t>
      </w:r>
      <w:r>
        <w:rPr>
          <w:rFonts w:ascii="Times New Roman" w:cs="Times New Roman" w:eastAsia="Times New Roman" w:hAnsi="Times New Roman"/>
          <w:sz w:val="24"/>
          <w:szCs w:val="24"/>
        </w:rPr>
        <w:t>(5073), 1050-1055.</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da Silva, J. K. R., </w:t>
      </w:r>
      <w:r>
        <w:rPr>
          <w:rFonts w:ascii="Times New Roman" w:cs="Times New Roman" w:eastAsia="Times New Roman" w:hAnsi="Times New Roman"/>
          <w:sz w:val="24"/>
          <w:szCs w:val="24"/>
        </w:rPr>
        <w:t>Figueiredo</w:t>
      </w:r>
      <w:r>
        <w:rPr>
          <w:rFonts w:ascii="Times New Roman" w:cs="Times New Roman" w:eastAsia="Times New Roman" w:hAnsi="Times New Roman"/>
          <w:sz w:val="24"/>
          <w:szCs w:val="24"/>
        </w:rPr>
        <w:t xml:space="preserve">, P. L. B., Byler, K. G., </w:t>
      </w:r>
      <w:r>
        <w:rPr>
          <w:rFonts w:ascii="Times New Roman" w:cs="Times New Roman" w:eastAsia="Times New Roman" w:hAnsi="Times New Roman"/>
          <w:sz w:val="24"/>
          <w:szCs w:val="24"/>
        </w:rPr>
        <w:t>Setzer</w:t>
      </w:r>
      <w:r>
        <w:rPr>
          <w:rFonts w:ascii="Times New Roman" w:cs="Times New Roman" w:eastAsia="Times New Roman" w:hAnsi="Times New Roman"/>
          <w:sz w:val="24"/>
          <w:szCs w:val="24"/>
        </w:rPr>
        <w:t xml:space="preserve">, W. N. (2020). Essential oils as antibacterial agents: A review. </w:t>
      </w:r>
      <w:r>
        <w:rPr>
          <w:rFonts w:ascii="Times New Roman" w:cs="Times New Roman" w:eastAsia="Times New Roman" w:hAnsi="Times New Roman"/>
          <w:i/>
          <w:iCs/>
          <w:sz w:val="24"/>
          <w:szCs w:val="24"/>
        </w:rPr>
        <w:t>Antibiotics, 9</w:t>
      </w:r>
      <w:r>
        <w:rPr>
          <w:rFonts w:ascii="Times New Roman" w:cs="Times New Roman" w:eastAsia="Times New Roman" w:hAnsi="Times New Roman"/>
          <w:sz w:val="24"/>
          <w:szCs w:val="24"/>
        </w:rPr>
        <w:t>(6), 292. https://doi.org/10.3390/antibiotics9060292</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De </w:t>
      </w:r>
      <w:r>
        <w:rPr>
          <w:rFonts w:ascii="Times New Roman" w:cs="Times New Roman" w:eastAsia="Times New Roman" w:hAnsi="Times New Roman"/>
          <w:sz w:val="24"/>
          <w:szCs w:val="24"/>
        </w:rPr>
        <w:t>Morais</w:t>
      </w:r>
      <w:r>
        <w:rPr>
          <w:rFonts w:ascii="Times New Roman" w:cs="Times New Roman" w:eastAsia="Times New Roman" w:hAnsi="Times New Roman"/>
          <w:sz w:val="24"/>
          <w:szCs w:val="24"/>
        </w:rPr>
        <w:t xml:space="preserve">, J. D., Silva, J. P., &amp; Fonseca, S. G. (2020). Eucalyptus essential oil: Industrial production and antimicrobial properties. </w:t>
      </w:r>
      <w:r>
        <w:rPr>
          <w:rFonts w:ascii="Times New Roman" w:cs="Times New Roman" w:eastAsia="Times New Roman" w:hAnsi="Times New Roman"/>
          <w:i/>
          <w:iCs/>
          <w:sz w:val="24"/>
          <w:szCs w:val="24"/>
        </w:rPr>
        <w:t>Journal of Essential Oil Research, 32</w:t>
      </w:r>
      <w:r>
        <w:rPr>
          <w:rFonts w:ascii="Times New Roman" w:cs="Times New Roman" w:eastAsia="Times New Roman" w:hAnsi="Times New Roman"/>
          <w:sz w:val="24"/>
          <w:szCs w:val="24"/>
        </w:rPr>
        <w:t>(5), 417-426.</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Deo</w:t>
      </w:r>
      <w:r>
        <w:rPr>
          <w:rFonts w:ascii="Times New Roman" w:cs="Times New Roman" w:eastAsia="Times New Roman" w:hAnsi="Times New Roman"/>
          <w:sz w:val="24"/>
          <w:szCs w:val="24"/>
        </w:rPr>
        <w:t xml:space="preserve">, S. S., Bhat, R. V., &amp; </w:t>
      </w:r>
      <w:r>
        <w:rPr>
          <w:rFonts w:ascii="Times New Roman" w:cs="Times New Roman" w:eastAsia="Times New Roman" w:hAnsi="Times New Roman"/>
          <w:sz w:val="24"/>
          <w:szCs w:val="24"/>
        </w:rPr>
        <w:t>Jayaraj</w:t>
      </w:r>
      <w:r>
        <w:rPr>
          <w:rFonts w:ascii="Times New Roman" w:cs="Times New Roman" w:eastAsia="Times New Roman" w:hAnsi="Times New Roman"/>
          <w:sz w:val="24"/>
          <w:szCs w:val="24"/>
        </w:rPr>
        <w:t xml:space="preserve">, R. (2018). Antibacterial properties of fluoroquinolones. </w:t>
      </w:r>
      <w:r>
        <w:rPr>
          <w:rFonts w:ascii="Times New Roman" w:cs="Times New Roman" w:eastAsia="Times New Roman" w:hAnsi="Times New Roman"/>
          <w:i/>
          <w:iCs/>
          <w:sz w:val="24"/>
          <w:szCs w:val="24"/>
        </w:rPr>
        <w:t>Journal of Microbiology and Infectious Diseases, 12</w:t>
      </w:r>
      <w:r>
        <w:rPr>
          <w:rFonts w:ascii="Times New Roman" w:cs="Times New Roman" w:eastAsia="Times New Roman" w:hAnsi="Times New Roman"/>
          <w:sz w:val="24"/>
          <w:szCs w:val="24"/>
        </w:rPr>
        <w:t>(2), 87-92.</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Echeverría</w:t>
      </w:r>
      <w:r>
        <w:rPr>
          <w:rFonts w:ascii="Times New Roman" w:cs="Times New Roman" w:eastAsia="Times New Roman" w:hAnsi="Times New Roman"/>
          <w:sz w:val="24"/>
          <w:szCs w:val="24"/>
        </w:rPr>
        <w:t xml:space="preserve">, J., &amp; Albuquerque, R. D. D. G. (2020). Antimicrobial and antioxidant activities of plants extracts. </w:t>
      </w:r>
      <w:r>
        <w:rPr>
          <w:rFonts w:ascii="Times New Roman" w:cs="Times New Roman" w:eastAsia="Times New Roman" w:hAnsi="Times New Roman"/>
          <w:i/>
          <w:iCs/>
          <w:sz w:val="24"/>
          <w:szCs w:val="24"/>
        </w:rPr>
        <w:t>Pharmaceuticals</w:t>
      </w:r>
      <w:r>
        <w:rPr>
          <w:rFonts w:ascii="Times New Roman" w:cs="Times New Roman" w:eastAsia="Times New Roman" w:hAnsi="Times New Roman"/>
          <w:sz w:val="24"/>
          <w:szCs w:val="24"/>
        </w:rPr>
        <w:t>, 13(5), 88. https://doi.org/10.3390/ph13050088</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Echeverría</w:t>
      </w:r>
      <w:r>
        <w:rPr>
          <w:rFonts w:ascii="Times New Roman" w:cs="Times New Roman" w:eastAsia="Times New Roman" w:hAnsi="Times New Roman"/>
          <w:sz w:val="24"/>
          <w:szCs w:val="24"/>
        </w:rPr>
        <w:t xml:space="preserve">, M. L., &amp; Albuquerque, T. M. (2020). Antibiotics: Mechanisms of action and antibacterial resistance. </w:t>
      </w:r>
      <w:r>
        <w:rPr>
          <w:rFonts w:ascii="Times New Roman" w:cs="Times New Roman" w:eastAsia="Times New Roman" w:hAnsi="Times New Roman"/>
          <w:i/>
          <w:iCs/>
          <w:sz w:val="24"/>
          <w:szCs w:val="24"/>
        </w:rPr>
        <w:t>Antimicrobial Agents and Chemotherapy, 64</w:t>
      </w:r>
      <w:r>
        <w:rPr>
          <w:rFonts w:ascii="Times New Roman" w:cs="Times New Roman" w:eastAsia="Times New Roman" w:hAnsi="Times New Roman"/>
          <w:sz w:val="24"/>
          <w:szCs w:val="24"/>
        </w:rPr>
        <w:t>(8), e02123-19.</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Elbehiry</w:t>
      </w:r>
      <w:r>
        <w:rPr>
          <w:rFonts w:ascii="Times New Roman" w:cs="Times New Roman" w:eastAsia="Times New Roman" w:hAnsi="Times New Roman"/>
          <w:sz w:val="24"/>
          <w:szCs w:val="24"/>
        </w:rPr>
        <w:t xml:space="preserve">, A., </w:t>
      </w:r>
      <w:r>
        <w:rPr>
          <w:rFonts w:ascii="Times New Roman" w:cs="Times New Roman" w:eastAsia="Times New Roman" w:hAnsi="Times New Roman"/>
          <w:sz w:val="24"/>
          <w:szCs w:val="24"/>
        </w:rPr>
        <w:t>Marzouk</w:t>
      </w:r>
      <w:r>
        <w:rPr>
          <w:rFonts w:ascii="Times New Roman" w:cs="Times New Roman" w:eastAsia="Times New Roman" w:hAnsi="Times New Roman"/>
          <w:sz w:val="24"/>
          <w:szCs w:val="24"/>
        </w:rPr>
        <w:t>, E., Moussa, I. M., &amp; El-</w:t>
      </w:r>
      <w:r>
        <w:rPr>
          <w:rFonts w:ascii="Times New Roman" w:cs="Times New Roman" w:eastAsia="Times New Roman" w:hAnsi="Times New Roman"/>
          <w:sz w:val="24"/>
          <w:szCs w:val="24"/>
        </w:rPr>
        <w:t>Gedawy</w:t>
      </w:r>
      <w:r>
        <w:rPr>
          <w:rFonts w:ascii="Times New Roman" w:cs="Times New Roman" w:eastAsia="Times New Roman" w:hAnsi="Times New Roman"/>
          <w:sz w:val="24"/>
          <w:szCs w:val="24"/>
        </w:rPr>
        <w:t xml:space="preserve">, A. (2022). Resistance patterns and genetic characterization of multidrug-resistant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isolated from clinical and food samples. </w:t>
      </w:r>
      <w:r>
        <w:rPr>
          <w:rFonts w:ascii="Times New Roman" w:cs="Times New Roman" w:eastAsia="Times New Roman" w:hAnsi="Times New Roman"/>
          <w:i/>
          <w:iCs/>
          <w:sz w:val="24"/>
          <w:szCs w:val="24"/>
        </w:rPr>
        <w:t>Antibiotics</w:t>
      </w:r>
      <w:r>
        <w:rPr>
          <w:rFonts w:ascii="Times New Roman" w:cs="Times New Roman" w:eastAsia="Times New Roman" w:hAnsi="Times New Roman"/>
          <w:sz w:val="24"/>
          <w:szCs w:val="24"/>
        </w:rPr>
        <w:t>, 11(1), 66. https://doi.org/10.3390/antibiotics11010066</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Elbehiry</w:t>
      </w:r>
      <w:r>
        <w:rPr>
          <w:rFonts w:ascii="Times New Roman" w:cs="Times New Roman" w:eastAsia="Times New Roman" w:hAnsi="Times New Roman"/>
          <w:sz w:val="24"/>
          <w:szCs w:val="24"/>
        </w:rPr>
        <w:t xml:space="preserve">, A., </w:t>
      </w:r>
      <w:r>
        <w:rPr>
          <w:rFonts w:ascii="Times New Roman" w:cs="Times New Roman" w:eastAsia="Times New Roman" w:hAnsi="Times New Roman"/>
          <w:sz w:val="24"/>
          <w:szCs w:val="24"/>
        </w:rPr>
        <w:t>Marzouk</w:t>
      </w:r>
      <w:r>
        <w:rPr>
          <w:rFonts w:ascii="Times New Roman" w:cs="Times New Roman" w:eastAsia="Times New Roman" w:hAnsi="Times New Roman"/>
          <w:sz w:val="24"/>
          <w:szCs w:val="24"/>
        </w:rPr>
        <w:t xml:space="preserve">, E., Moussa, I. M., </w:t>
      </w:r>
      <w:r>
        <w:rPr>
          <w:rFonts w:ascii="Times New Roman" w:cs="Times New Roman" w:eastAsia="Times New Roman" w:hAnsi="Times New Roman"/>
          <w:sz w:val="24"/>
          <w:szCs w:val="24"/>
        </w:rPr>
        <w:t>Alreshidi</w:t>
      </w:r>
      <w:r>
        <w:rPr>
          <w:rFonts w:ascii="Times New Roman" w:cs="Times New Roman" w:eastAsia="Times New Roman" w:hAnsi="Times New Roman"/>
          <w:sz w:val="24"/>
          <w:szCs w:val="24"/>
        </w:rPr>
        <w:t xml:space="preserve">, M., &amp; </w:t>
      </w:r>
      <w:r>
        <w:rPr>
          <w:rFonts w:ascii="Times New Roman" w:cs="Times New Roman" w:eastAsia="Times New Roman" w:hAnsi="Times New Roman"/>
          <w:sz w:val="24"/>
          <w:szCs w:val="24"/>
        </w:rPr>
        <w:t>Lafi</w:t>
      </w:r>
      <w:r>
        <w:rPr>
          <w:rFonts w:ascii="Times New Roman" w:cs="Times New Roman" w:eastAsia="Times New Roman" w:hAnsi="Times New Roman"/>
          <w:sz w:val="24"/>
          <w:szCs w:val="24"/>
        </w:rPr>
        <w:t xml:space="preserve">, S. (2022). Antimicrobial efficacy of essential oils against multidrug-resistant bacterial strains isolated from food and clinical sources. </w:t>
      </w:r>
      <w:r>
        <w:rPr>
          <w:rFonts w:ascii="Times New Roman" w:cs="Times New Roman" w:eastAsia="Times New Roman" w:hAnsi="Times New Roman"/>
          <w:i/>
          <w:iCs/>
          <w:sz w:val="24"/>
          <w:szCs w:val="24"/>
        </w:rPr>
        <w:t>Antibiotics, 11</w:t>
      </w:r>
      <w:r>
        <w:rPr>
          <w:rFonts w:ascii="Times New Roman" w:cs="Times New Roman" w:eastAsia="Times New Roman" w:hAnsi="Times New Roman"/>
          <w:sz w:val="24"/>
          <w:szCs w:val="24"/>
        </w:rPr>
        <w:t>(8), 1069. https://doi.org/10.3390/antibiotics11081069</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Fadeyi</w:t>
      </w:r>
      <w:r>
        <w:rPr>
          <w:rFonts w:ascii="Times New Roman" w:cs="Times New Roman" w:eastAsia="Times New Roman" w:hAnsi="Times New Roman"/>
          <w:sz w:val="24"/>
          <w:szCs w:val="24"/>
        </w:rPr>
        <w:t xml:space="preserve">, O. O., </w:t>
      </w:r>
      <w:r>
        <w:rPr>
          <w:rFonts w:ascii="Times New Roman" w:cs="Times New Roman" w:eastAsia="Times New Roman" w:hAnsi="Times New Roman"/>
          <w:sz w:val="24"/>
          <w:szCs w:val="24"/>
        </w:rPr>
        <w:t>Sobowale</w:t>
      </w:r>
      <w:r>
        <w:rPr>
          <w:rFonts w:ascii="Times New Roman" w:cs="Times New Roman" w:eastAsia="Times New Roman" w:hAnsi="Times New Roman"/>
          <w:sz w:val="24"/>
          <w:szCs w:val="24"/>
        </w:rPr>
        <w:t xml:space="preserve">, S. F., &amp; </w:t>
      </w:r>
      <w:r>
        <w:rPr>
          <w:rFonts w:ascii="Times New Roman" w:cs="Times New Roman" w:eastAsia="Times New Roman" w:hAnsi="Times New Roman"/>
          <w:sz w:val="24"/>
          <w:szCs w:val="24"/>
        </w:rPr>
        <w:t>Olaniyi</w:t>
      </w:r>
      <w:r>
        <w:rPr>
          <w:rFonts w:ascii="Times New Roman" w:cs="Times New Roman" w:eastAsia="Times New Roman" w:hAnsi="Times New Roman"/>
          <w:sz w:val="24"/>
          <w:szCs w:val="24"/>
        </w:rPr>
        <w:t xml:space="preserve">, O. E. (2018). Antibacterial properties of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A systematic review. </w:t>
      </w:r>
      <w:r>
        <w:rPr>
          <w:rFonts w:ascii="Times New Roman" w:cs="Times New Roman" w:eastAsia="Times New Roman" w:hAnsi="Times New Roman"/>
          <w:i/>
          <w:iCs/>
          <w:sz w:val="24"/>
          <w:szCs w:val="24"/>
        </w:rPr>
        <w:t>Pharmacognosy</w:t>
      </w:r>
      <w:r>
        <w:rPr>
          <w:rFonts w:ascii="Times New Roman" w:cs="Times New Roman" w:eastAsia="Times New Roman" w:hAnsi="Times New Roman"/>
          <w:i/>
          <w:iCs/>
          <w:sz w:val="24"/>
          <w:szCs w:val="24"/>
        </w:rPr>
        <w:t xml:space="preserve"> Reviews, 12</w:t>
      </w:r>
      <w:r>
        <w:rPr>
          <w:rFonts w:ascii="Times New Roman" w:cs="Times New Roman" w:eastAsia="Times New Roman" w:hAnsi="Times New Roman"/>
          <w:sz w:val="24"/>
          <w:szCs w:val="24"/>
        </w:rPr>
        <w:t>(24), 77-82.</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Gajdács</w:t>
      </w:r>
      <w:r>
        <w:rPr>
          <w:rFonts w:ascii="Times New Roman" w:cs="Times New Roman" w:eastAsia="Times New Roman" w:hAnsi="Times New Roman"/>
          <w:sz w:val="24"/>
          <w:szCs w:val="24"/>
        </w:rPr>
        <w:t xml:space="preserve">, M. (2020). Antibacterial resistance: from molecular mechanisms to clinical applications. </w:t>
      </w:r>
      <w:r>
        <w:rPr>
          <w:rFonts w:ascii="Times New Roman" w:cs="Times New Roman" w:eastAsia="Times New Roman" w:hAnsi="Times New Roman"/>
          <w:i/>
          <w:iCs/>
          <w:sz w:val="24"/>
          <w:szCs w:val="24"/>
        </w:rPr>
        <w:t>Antibiotics, 9</w:t>
      </w:r>
      <w:r>
        <w:rPr>
          <w:rFonts w:ascii="Times New Roman" w:cs="Times New Roman" w:eastAsia="Times New Roman" w:hAnsi="Times New Roman"/>
          <w:sz w:val="24"/>
          <w:szCs w:val="24"/>
        </w:rPr>
        <w:t>(8), 510.</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Gajdács</w:t>
      </w:r>
      <w:r>
        <w:rPr>
          <w:rFonts w:ascii="Times New Roman" w:cs="Times New Roman" w:eastAsia="Times New Roman" w:hAnsi="Times New Roman"/>
          <w:sz w:val="24"/>
          <w:szCs w:val="24"/>
        </w:rPr>
        <w:t xml:space="preserve">, M. (2020). The continuing threat of antibiotic resistance: The role of natural compounds and plants in overcoming the problem. </w:t>
      </w:r>
      <w:r>
        <w:rPr>
          <w:rFonts w:ascii="Times New Roman" w:cs="Times New Roman" w:eastAsia="Times New Roman" w:hAnsi="Times New Roman"/>
          <w:i/>
          <w:iCs/>
          <w:sz w:val="24"/>
          <w:szCs w:val="24"/>
        </w:rPr>
        <w:t>Antibiotics</w:t>
      </w:r>
      <w:r>
        <w:rPr>
          <w:rFonts w:ascii="Times New Roman" w:cs="Times New Roman" w:eastAsia="Times New Roman" w:hAnsi="Times New Roman"/>
          <w:sz w:val="24"/>
          <w:szCs w:val="24"/>
        </w:rPr>
        <w:t>, 9(8), 473. https://doi.org/10.3390/antibiotics9080473</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Gomes, F., Saavedra, M. J., &amp; </w:t>
      </w:r>
      <w:r>
        <w:rPr>
          <w:rFonts w:ascii="Times New Roman" w:cs="Times New Roman" w:eastAsia="Times New Roman" w:hAnsi="Times New Roman"/>
          <w:sz w:val="24"/>
          <w:szCs w:val="24"/>
        </w:rPr>
        <w:t>Henriques</w:t>
      </w:r>
      <w:r>
        <w:rPr>
          <w:rFonts w:ascii="Times New Roman" w:cs="Times New Roman" w:eastAsia="Times New Roman" w:hAnsi="Times New Roman"/>
          <w:sz w:val="24"/>
          <w:szCs w:val="24"/>
        </w:rPr>
        <w:t xml:space="preserve">, M. (2021). Bacterial biofilms in endodontic infections: An update on their resistance and treatment strategies. </w:t>
      </w:r>
      <w:r>
        <w:rPr>
          <w:rFonts w:ascii="Times New Roman" w:cs="Times New Roman" w:eastAsia="Times New Roman" w:hAnsi="Times New Roman"/>
          <w:i/>
          <w:iCs/>
          <w:sz w:val="24"/>
          <w:szCs w:val="24"/>
        </w:rPr>
        <w:t>Critical Reviews in Microbiology</w:t>
      </w:r>
      <w:r>
        <w:rPr>
          <w:rFonts w:ascii="Times New Roman" w:cs="Times New Roman" w:eastAsia="Times New Roman" w:hAnsi="Times New Roman"/>
          <w:sz w:val="24"/>
          <w:szCs w:val="24"/>
        </w:rPr>
        <w:t>, 47(4), 401–411. https://doi.org/10.1080/1040841X.2020.1868913</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Gomes, F., Teixeira, P., &amp; </w:t>
      </w:r>
      <w:r>
        <w:rPr>
          <w:rFonts w:ascii="Times New Roman" w:cs="Times New Roman" w:eastAsia="Times New Roman" w:hAnsi="Times New Roman"/>
          <w:sz w:val="24"/>
          <w:szCs w:val="24"/>
        </w:rPr>
        <w:t>Ceri</w:t>
      </w:r>
      <w:r>
        <w:rPr>
          <w:rFonts w:ascii="Times New Roman" w:cs="Times New Roman" w:eastAsia="Times New Roman" w:hAnsi="Times New Roman"/>
          <w:sz w:val="24"/>
          <w:szCs w:val="24"/>
        </w:rPr>
        <w:t xml:space="preserve">, H. (2021). Using essential oils to fight multidrug-resistant bacterial biofilms: Current research and future perspectives. </w:t>
      </w:r>
      <w:r>
        <w:rPr>
          <w:rFonts w:ascii="Times New Roman" w:cs="Times New Roman" w:eastAsia="Times New Roman" w:hAnsi="Times New Roman"/>
          <w:i/>
          <w:iCs/>
          <w:sz w:val="24"/>
          <w:szCs w:val="24"/>
        </w:rPr>
        <w:t>Pathogens, 10</w:t>
      </w:r>
      <w:r>
        <w:rPr>
          <w:rFonts w:ascii="Times New Roman" w:cs="Times New Roman" w:eastAsia="Times New Roman" w:hAnsi="Times New Roman"/>
          <w:sz w:val="24"/>
          <w:szCs w:val="24"/>
        </w:rPr>
        <w:t>(2), 248. https://doi.org/10.3390/pathogens10020248</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Gorib</w:t>
      </w:r>
      <w:r>
        <w:rPr>
          <w:rFonts w:ascii="Times New Roman" w:cs="Times New Roman" w:eastAsia="Times New Roman" w:hAnsi="Times New Roman"/>
          <w:sz w:val="24"/>
          <w:szCs w:val="24"/>
        </w:rPr>
        <w:t xml:space="preserve">, M. S., </w:t>
      </w:r>
      <w:r>
        <w:rPr>
          <w:rFonts w:ascii="Times New Roman" w:cs="Times New Roman" w:eastAsia="Times New Roman" w:hAnsi="Times New Roman"/>
          <w:sz w:val="24"/>
          <w:szCs w:val="24"/>
        </w:rPr>
        <w:t>Haque</w:t>
      </w:r>
      <w:r>
        <w:rPr>
          <w:rFonts w:ascii="Times New Roman" w:cs="Times New Roman" w:eastAsia="Times New Roman" w:hAnsi="Times New Roman"/>
          <w:sz w:val="24"/>
          <w:szCs w:val="24"/>
        </w:rPr>
        <w:t xml:space="preserve">, M. A., &amp; Ali, S. (2021). The clinical relevance of </w:t>
      </w:r>
      <w:r>
        <w:rPr>
          <w:rFonts w:ascii="Times New Roman" w:cs="Times New Roman" w:eastAsia="Times New Roman" w:hAnsi="Times New Roman"/>
          <w:sz w:val="24"/>
          <w:szCs w:val="24"/>
        </w:rPr>
        <w:t>polymyxin</w:t>
      </w:r>
      <w:r>
        <w:rPr>
          <w:rFonts w:ascii="Times New Roman" w:cs="Times New Roman" w:eastAsia="Times New Roman" w:hAnsi="Times New Roman"/>
          <w:sz w:val="24"/>
          <w:szCs w:val="24"/>
        </w:rPr>
        <w:t xml:space="preserve"> antibiotics in multidrug-resistant bacteria. </w:t>
      </w:r>
      <w:r>
        <w:rPr>
          <w:rFonts w:ascii="Times New Roman" w:cs="Times New Roman" w:eastAsia="Times New Roman" w:hAnsi="Times New Roman"/>
          <w:i/>
          <w:iCs/>
          <w:sz w:val="24"/>
          <w:szCs w:val="24"/>
        </w:rPr>
        <w:t>Journal of Antimicrobial Chemotherapy, 76</w:t>
      </w:r>
      <w:r>
        <w:rPr>
          <w:rFonts w:ascii="Times New Roman" w:cs="Times New Roman" w:eastAsia="Times New Roman" w:hAnsi="Times New Roman"/>
          <w:sz w:val="24"/>
          <w:szCs w:val="24"/>
        </w:rPr>
        <w:t>(1), 44-56.</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Guerra, B., &amp; Alves, D. (2020).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antibiotic resistance and its epidemiological implications. </w:t>
      </w:r>
      <w:r>
        <w:rPr>
          <w:rFonts w:ascii="Times New Roman" w:cs="Times New Roman" w:eastAsia="Times New Roman" w:hAnsi="Times New Roman"/>
          <w:i/>
          <w:iCs/>
          <w:sz w:val="24"/>
          <w:szCs w:val="24"/>
        </w:rPr>
        <w:t>Antimicrobial Resistance and Infection Control, 9</w:t>
      </w:r>
      <w:r>
        <w:rPr>
          <w:rFonts w:ascii="Times New Roman" w:cs="Times New Roman" w:eastAsia="Times New Roman" w:hAnsi="Times New Roman"/>
          <w:sz w:val="24"/>
          <w:szCs w:val="24"/>
        </w:rPr>
        <w:t>(1), 135-144.</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Lefroy</w:t>
      </w:r>
      <w:r>
        <w:rPr>
          <w:rFonts w:ascii="Times New Roman" w:cs="Times New Roman" w:eastAsia="Times New Roman" w:hAnsi="Times New Roman"/>
          <w:sz w:val="24"/>
          <w:szCs w:val="24"/>
        </w:rPr>
        <w:t xml:space="preserve">, T. E., </w:t>
      </w:r>
      <w:r>
        <w:rPr>
          <w:rFonts w:ascii="Times New Roman" w:cs="Times New Roman" w:eastAsia="Times New Roman" w:hAnsi="Times New Roman"/>
          <w:sz w:val="24"/>
          <w:szCs w:val="24"/>
        </w:rPr>
        <w:t>Aylward</w:t>
      </w:r>
      <w:r>
        <w:rPr>
          <w:rFonts w:ascii="Times New Roman" w:cs="Times New Roman" w:eastAsia="Times New Roman" w:hAnsi="Times New Roman"/>
          <w:sz w:val="24"/>
          <w:szCs w:val="24"/>
        </w:rPr>
        <w:t xml:space="preserve">, D., &amp; Smith, M. (2019).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Ecology and commercial potential. </w:t>
      </w:r>
      <w:r>
        <w:rPr>
          <w:rFonts w:ascii="Times New Roman" w:cs="Times New Roman" w:eastAsia="Times New Roman" w:hAnsi="Times New Roman"/>
          <w:i/>
          <w:iCs/>
          <w:sz w:val="24"/>
          <w:szCs w:val="24"/>
        </w:rPr>
        <w:t>Journal of Environmental Management, 45</w:t>
      </w:r>
      <w:r>
        <w:rPr>
          <w:rFonts w:ascii="Times New Roman" w:cs="Times New Roman" w:eastAsia="Times New Roman" w:hAnsi="Times New Roman"/>
          <w:sz w:val="24"/>
          <w:szCs w:val="24"/>
        </w:rPr>
        <w:t>(3), 1502-1511.</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Livermore, D. M. (2020). Antibiotic resistance in the era of antimicrobial stewardship. </w:t>
      </w:r>
      <w:r>
        <w:rPr>
          <w:rFonts w:ascii="Times New Roman" w:cs="Times New Roman" w:eastAsia="Times New Roman" w:hAnsi="Times New Roman"/>
          <w:i/>
          <w:iCs/>
          <w:sz w:val="24"/>
          <w:szCs w:val="24"/>
        </w:rPr>
        <w:t>Clinical Microbiology and Infection, 26</w:t>
      </w:r>
      <w:r>
        <w:rPr>
          <w:rFonts w:ascii="Times New Roman" w:cs="Times New Roman" w:eastAsia="Times New Roman" w:hAnsi="Times New Roman"/>
          <w:sz w:val="24"/>
          <w:szCs w:val="24"/>
        </w:rPr>
        <w:t>(6), 722-730.</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Mackenzie, K. M., </w:t>
      </w:r>
      <w:r>
        <w:rPr>
          <w:rFonts w:ascii="Times New Roman" w:cs="Times New Roman" w:eastAsia="Times New Roman" w:hAnsi="Times New Roman"/>
          <w:sz w:val="24"/>
          <w:szCs w:val="24"/>
        </w:rPr>
        <w:t>Popham</w:t>
      </w:r>
      <w:r>
        <w:rPr>
          <w:rFonts w:ascii="Times New Roman" w:cs="Times New Roman" w:eastAsia="Times New Roman" w:hAnsi="Times New Roman"/>
          <w:sz w:val="24"/>
          <w:szCs w:val="24"/>
        </w:rPr>
        <w:t xml:space="preserve">, P. L., &amp; Westwood, T. J. (2019). Medicinal potential of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and its components. </w:t>
      </w:r>
      <w:r>
        <w:rPr>
          <w:rFonts w:ascii="Times New Roman" w:cs="Times New Roman" w:eastAsia="Times New Roman" w:hAnsi="Times New Roman"/>
          <w:i/>
          <w:iCs/>
          <w:sz w:val="24"/>
          <w:szCs w:val="24"/>
        </w:rPr>
        <w:t>Journal of Medicinal Plants, 31</w:t>
      </w:r>
      <w:r>
        <w:rPr>
          <w:rFonts w:ascii="Times New Roman" w:cs="Times New Roman" w:eastAsia="Times New Roman" w:hAnsi="Times New Roman"/>
          <w:sz w:val="24"/>
          <w:szCs w:val="24"/>
        </w:rPr>
        <w:t>(7), 890-902.</w:t>
      </w:r>
    </w:p>
    <w:p>
      <w:pPr>
        <w:pStyle w:val="style94"/>
        <w:ind w:left="567" w:hanging="567"/>
        <w:jc w:val="both"/>
        <w:rPr/>
      </w:pPr>
      <w:r>
        <w:t xml:space="preserve">Mohamed, A. S., El-Sayed, H. A., &amp; Hassan, M. F. (2020). Antibacterial and antioxidant activities of </w:t>
      </w:r>
      <w:r>
        <w:rPr>
          <w:rStyle w:val="style88"/>
        </w:rPr>
        <w:t xml:space="preserve">Eucalyptus </w:t>
      </w:r>
      <w:r>
        <w:rPr>
          <w:rStyle w:val="style88"/>
        </w:rPr>
        <w:t>globulus</w:t>
      </w:r>
      <w:r>
        <w:t xml:space="preserve"> extracts against multi-drug resistant bacteria. </w:t>
      </w:r>
      <w:r>
        <w:rPr>
          <w:rStyle w:val="style88"/>
        </w:rPr>
        <w:t>Journal of Herbal Medicine</w:t>
      </w:r>
      <w:r>
        <w:t>, 21, 100-107.</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Nash, K. A., </w:t>
      </w:r>
      <w:r>
        <w:rPr>
          <w:rFonts w:ascii="Times New Roman" w:cs="Times New Roman" w:eastAsia="Times New Roman" w:hAnsi="Times New Roman"/>
          <w:sz w:val="24"/>
          <w:szCs w:val="24"/>
        </w:rPr>
        <w:t>Piddock</w:t>
      </w:r>
      <w:r>
        <w:rPr>
          <w:rFonts w:ascii="Times New Roman" w:cs="Times New Roman" w:eastAsia="Times New Roman" w:hAnsi="Times New Roman"/>
          <w:sz w:val="24"/>
          <w:szCs w:val="24"/>
        </w:rPr>
        <w:t xml:space="preserve">, L. J. V., &amp; </w:t>
      </w:r>
      <w:r>
        <w:rPr>
          <w:rFonts w:ascii="Times New Roman" w:cs="Times New Roman" w:eastAsia="Times New Roman" w:hAnsi="Times New Roman"/>
          <w:sz w:val="24"/>
          <w:szCs w:val="24"/>
        </w:rPr>
        <w:t>Giske</w:t>
      </w:r>
      <w:r>
        <w:rPr>
          <w:rFonts w:ascii="Times New Roman" w:cs="Times New Roman" w:eastAsia="Times New Roman" w:hAnsi="Times New Roman"/>
          <w:sz w:val="24"/>
          <w:szCs w:val="24"/>
        </w:rPr>
        <w:t xml:space="preserve">, C. G. (2019). Emergence of multidrug-resistant </w:t>
      </w:r>
      <w:r>
        <w:rPr>
          <w:rFonts w:ascii="Times New Roman" w:cs="Times New Roman" w:eastAsia="Times New Roman" w:hAnsi="Times New Roman"/>
          <w:i/>
          <w:iCs/>
          <w:sz w:val="24"/>
          <w:szCs w:val="24"/>
        </w:rPr>
        <w:t>Staphylococcus aureus</w:t>
      </w:r>
      <w:r>
        <w:rPr>
          <w:rFonts w:ascii="Times New Roman" w:cs="Times New Roman" w:eastAsia="Times New Roman" w:hAnsi="Times New Roman"/>
          <w:sz w:val="24"/>
          <w:szCs w:val="24"/>
        </w:rPr>
        <w:t xml:space="preserve"> strains in hospital and community settings. </w:t>
      </w:r>
      <w:r>
        <w:rPr>
          <w:rFonts w:ascii="Times New Roman" w:cs="Times New Roman" w:eastAsia="Times New Roman" w:hAnsi="Times New Roman"/>
          <w:i/>
          <w:iCs/>
          <w:sz w:val="24"/>
          <w:szCs w:val="24"/>
        </w:rPr>
        <w:t>Journal of Antimicrobial Chemotherapy, 74</w:t>
      </w:r>
      <w:r>
        <w:rPr>
          <w:rFonts w:ascii="Times New Roman" w:cs="Times New Roman" w:eastAsia="Times New Roman" w:hAnsi="Times New Roman"/>
          <w:sz w:val="24"/>
          <w:szCs w:val="24"/>
        </w:rPr>
        <w:t>(5), 1219-1229.</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Nataro</w:t>
      </w:r>
      <w:r>
        <w:rPr>
          <w:rFonts w:ascii="Times New Roman" w:cs="Times New Roman" w:eastAsia="Times New Roman" w:hAnsi="Times New Roman"/>
          <w:sz w:val="24"/>
          <w:szCs w:val="24"/>
        </w:rPr>
        <w:t xml:space="preserve">, J. P., &amp; </w:t>
      </w:r>
      <w:r>
        <w:rPr>
          <w:rFonts w:ascii="Times New Roman" w:cs="Times New Roman" w:eastAsia="Times New Roman" w:hAnsi="Times New Roman"/>
          <w:sz w:val="24"/>
          <w:szCs w:val="24"/>
        </w:rPr>
        <w:t>Kaper</w:t>
      </w:r>
      <w:r>
        <w:rPr>
          <w:rFonts w:ascii="Times New Roman" w:cs="Times New Roman" w:eastAsia="Times New Roman" w:hAnsi="Times New Roman"/>
          <w:sz w:val="24"/>
          <w:szCs w:val="24"/>
        </w:rPr>
        <w:t xml:space="preserve">, J. B. (2019). </w:t>
      </w:r>
      <w:r>
        <w:rPr>
          <w:rFonts w:ascii="Times New Roman" w:cs="Times New Roman" w:eastAsia="Times New Roman" w:hAnsi="Times New Roman"/>
          <w:sz w:val="24"/>
          <w:szCs w:val="24"/>
        </w:rPr>
        <w:t>Diarrheagenic</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Clinical Microbiology Reviews, 32</w:t>
      </w:r>
      <w:r>
        <w:rPr>
          <w:rFonts w:ascii="Times New Roman" w:cs="Times New Roman" w:eastAsia="Times New Roman" w:hAnsi="Times New Roman"/>
          <w:sz w:val="24"/>
          <w:szCs w:val="24"/>
        </w:rPr>
        <w:t>(1), e00001-19.</w:t>
      </w:r>
    </w:p>
    <w:p>
      <w:pPr>
        <w:pStyle w:val="style94"/>
        <w:ind w:left="567" w:hanging="567"/>
        <w:jc w:val="both"/>
        <w:rPr/>
      </w:pPr>
      <w:r>
        <w:t>Ogunyemi</w:t>
      </w:r>
      <w:r>
        <w:t xml:space="preserve">, T. S., </w:t>
      </w:r>
      <w:r>
        <w:t>Adewale</w:t>
      </w:r>
      <w:r>
        <w:t xml:space="preserve">, O. A., &amp; </w:t>
      </w:r>
      <w:r>
        <w:t>Ajayi</w:t>
      </w:r>
      <w:r>
        <w:t xml:space="preserve">, O. A. (2022). Phytochemical and antimicrobial evaluation of ethanol and aqueous extracts of </w:t>
      </w:r>
      <w:r>
        <w:rPr>
          <w:rStyle w:val="style88"/>
        </w:rPr>
        <w:t xml:space="preserve">Eucalyptus </w:t>
      </w:r>
      <w:r>
        <w:rPr>
          <w:rStyle w:val="style88"/>
        </w:rPr>
        <w:t>globulus</w:t>
      </w:r>
      <w:r>
        <w:t xml:space="preserve">. </w:t>
      </w:r>
      <w:r>
        <w:rPr>
          <w:rStyle w:val="style88"/>
        </w:rPr>
        <w:t>Journal of Applied Pharmaceutical Science</w:t>
      </w:r>
      <w:r>
        <w:t>, 12(3), 45-52.</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Paterson, D. L., &amp; </w:t>
      </w:r>
      <w:r>
        <w:rPr>
          <w:rFonts w:ascii="Times New Roman" w:cs="Times New Roman" w:eastAsia="Times New Roman" w:hAnsi="Times New Roman"/>
          <w:sz w:val="24"/>
          <w:szCs w:val="24"/>
        </w:rPr>
        <w:t>Bonomo</w:t>
      </w:r>
      <w:r>
        <w:rPr>
          <w:rFonts w:ascii="Times New Roman" w:cs="Times New Roman" w:eastAsia="Times New Roman" w:hAnsi="Times New Roman"/>
          <w:sz w:val="24"/>
          <w:szCs w:val="24"/>
        </w:rPr>
        <w:t xml:space="preserve">, R. A. (2020). Extended-spectrum beta-lactamases: A clinical update. </w:t>
      </w:r>
      <w:r>
        <w:rPr>
          <w:rFonts w:ascii="Times New Roman" w:cs="Times New Roman" w:eastAsia="Times New Roman" w:hAnsi="Times New Roman"/>
          <w:i/>
          <w:iCs/>
          <w:sz w:val="24"/>
          <w:szCs w:val="24"/>
        </w:rPr>
        <w:t>Clinical Microbiology Reviews, 33</w:t>
      </w:r>
      <w:r>
        <w:rPr>
          <w:rFonts w:ascii="Times New Roman" w:cs="Times New Roman" w:eastAsia="Times New Roman" w:hAnsi="Times New Roman"/>
          <w:sz w:val="24"/>
          <w:szCs w:val="24"/>
        </w:rPr>
        <w:t>(3), e00052-19.</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Paterson, D. L., &amp; </w:t>
      </w:r>
      <w:r>
        <w:rPr>
          <w:rFonts w:ascii="Times New Roman" w:cs="Times New Roman" w:eastAsia="Times New Roman" w:hAnsi="Times New Roman"/>
          <w:sz w:val="24"/>
          <w:szCs w:val="24"/>
        </w:rPr>
        <w:t>Bonomo</w:t>
      </w:r>
      <w:r>
        <w:rPr>
          <w:rFonts w:ascii="Times New Roman" w:cs="Times New Roman" w:eastAsia="Times New Roman" w:hAnsi="Times New Roman"/>
          <w:sz w:val="24"/>
          <w:szCs w:val="24"/>
        </w:rPr>
        <w:t xml:space="preserve">, R. A. (2020). Extended-spectrum β-lactamases: A clinical update. </w:t>
      </w:r>
      <w:r>
        <w:rPr>
          <w:rFonts w:ascii="Times New Roman" w:cs="Times New Roman" w:eastAsia="Times New Roman" w:hAnsi="Times New Roman"/>
          <w:i/>
          <w:iCs/>
          <w:sz w:val="24"/>
          <w:szCs w:val="24"/>
        </w:rPr>
        <w:t>Clinical Microbiology Reviews, 33</w:t>
      </w:r>
      <w:r>
        <w:rPr>
          <w:rFonts w:ascii="Times New Roman" w:cs="Times New Roman" w:eastAsia="Times New Roman" w:hAnsi="Times New Roman"/>
          <w:sz w:val="24"/>
          <w:szCs w:val="24"/>
        </w:rPr>
        <w:t>(1), e00010-19.</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Paterson, D. L., Lee, C. C., &amp; Chang, F. Y. (2020). The evolving challenge of methicillin-resistant </w:t>
      </w:r>
      <w:r>
        <w:rPr>
          <w:rFonts w:ascii="Times New Roman" w:cs="Times New Roman" w:eastAsia="Times New Roman" w:hAnsi="Times New Roman"/>
          <w:i/>
          <w:iCs/>
          <w:sz w:val="24"/>
          <w:szCs w:val="24"/>
        </w:rPr>
        <w:t>Staphylococcus aureus</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Infection, 48</w:t>
      </w:r>
      <w:r>
        <w:rPr>
          <w:rFonts w:ascii="Times New Roman" w:cs="Times New Roman" w:eastAsia="Times New Roman" w:hAnsi="Times New Roman"/>
          <w:sz w:val="24"/>
          <w:szCs w:val="24"/>
        </w:rPr>
        <w:t>(2), 145-155.</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Prestinaci</w:t>
      </w:r>
      <w:r>
        <w:rPr>
          <w:rFonts w:ascii="Times New Roman" w:cs="Times New Roman" w:eastAsia="Times New Roman" w:hAnsi="Times New Roman"/>
          <w:sz w:val="24"/>
          <w:szCs w:val="24"/>
        </w:rPr>
        <w:t xml:space="preserve">, F., </w:t>
      </w:r>
      <w:r>
        <w:rPr>
          <w:rFonts w:ascii="Times New Roman" w:cs="Times New Roman" w:eastAsia="Times New Roman" w:hAnsi="Times New Roman"/>
          <w:sz w:val="24"/>
          <w:szCs w:val="24"/>
        </w:rPr>
        <w:t>Pezzotti</w:t>
      </w:r>
      <w:r>
        <w:rPr>
          <w:rFonts w:ascii="Times New Roman" w:cs="Times New Roman" w:eastAsia="Times New Roman" w:hAnsi="Times New Roman"/>
          <w:sz w:val="24"/>
          <w:szCs w:val="24"/>
        </w:rPr>
        <w:t xml:space="preserve">, P., &amp; </w:t>
      </w:r>
      <w:r>
        <w:rPr>
          <w:rFonts w:ascii="Times New Roman" w:cs="Times New Roman" w:eastAsia="Times New Roman" w:hAnsi="Times New Roman"/>
          <w:sz w:val="24"/>
          <w:szCs w:val="24"/>
        </w:rPr>
        <w:t>Pantosti</w:t>
      </w:r>
      <w:r>
        <w:rPr>
          <w:rFonts w:ascii="Times New Roman" w:cs="Times New Roman" w:eastAsia="Times New Roman" w:hAnsi="Times New Roman"/>
          <w:sz w:val="24"/>
          <w:szCs w:val="24"/>
        </w:rPr>
        <w:t xml:space="preserve">, A. (2019). Antimicrobial resistance: A global multifaceted phenomenon. </w:t>
      </w:r>
      <w:r>
        <w:rPr>
          <w:rFonts w:ascii="Times New Roman" w:cs="Times New Roman" w:eastAsia="Times New Roman" w:hAnsi="Times New Roman"/>
          <w:i/>
          <w:iCs/>
          <w:sz w:val="24"/>
          <w:szCs w:val="24"/>
        </w:rPr>
        <w:t>Pathogens and Global Health, 113</w:t>
      </w:r>
      <w:r>
        <w:rPr>
          <w:rFonts w:ascii="Times New Roman" w:cs="Times New Roman" w:eastAsia="Times New Roman" w:hAnsi="Times New Roman"/>
          <w:sz w:val="24"/>
          <w:szCs w:val="24"/>
        </w:rPr>
        <w:t>(7), 349–358. https://doi.org/10.1080/20477724.2019.1699494</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Salehi</w:t>
      </w:r>
      <w:r>
        <w:rPr>
          <w:rFonts w:ascii="Times New Roman" w:cs="Times New Roman" w:eastAsia="Times New Roman" w:hAnsi="Times New Roman"/>
          <w:sz w:val="24"/>
          <w:szCs w:val="24"/>
        </w:rPr>
        <w:t xml:space="preserve">, B., </w:t>
      </w:r>
      <w:r>
        <w:rPr>
          <w:rFonts w:ascii="Times New Roman" w:cs="Times New Roman" w:eastAsia="Times New Roman" w:hAnsi="Times New Roman"/>
          <w:sz w:val="24"/>
          <w:szCs w:val="24"/>
        </w:rPr>
        <w:t>Fokou</w:t>
      </w:r>
      <w:r>
        <w:rPr>
          <w:rFonts w:ascii="Times New Roman" w:cs="Times New Roman" w:eastAsia="Times New Roman" w:hAnsi="Times New Roman"/>
          <w:sz w:val="24"/>
          <w:szCs w:val="24"/>
        </w:rPr>
        <w:t xml:space="preserve">, P. V. T., &amp; </w:t>
      </w:r>
      <w:r>
        <w:rPr>
          <w:rFonts w:ascii="Times New Roman" w:cs="Times New Roman" w:eastAsia="Times New Roman" w:hAnsi="Times New Roman"/>
          <w:sz w:val="24"/>
          <w:szCs w:val="24"/>
        </w:rPr>
        <w:t>Badii</w:t>
      </w:r>
      <w:r>
        <w:rPr>
          <w:rFonts w:ascii="Times New Roman" w:cs="Times New Roman" w:eastAsia="Times New Roman" w:hAnsi="Times New Roman"/>
          <w:sz w:val="24"/>
          <w:szCs w:val="24"/>
        </w:rPr>
        <w:t xml:space="preserve">, F. (2021). The antimicrobial properties of Eucalyptus essential oils: A systematic review. </w:t>
      </w:r>
      <w:r>
        <w:rPr>
          <w:rFonts w:ascii="Times New Roman" w:cs="Times New Roman" w:eastAsia="Times New Roman" w:hAnsi="Times New Roman"/>
          <w:i/>
          <w:iCs/>
          <w:sz w:val="24"/>
          <w:szCs w:val="24"/>
        </w:rPr>
        <w:t>Antibiotics, 10</w:t>
      </w:r>
      <w:r>
        <w:rPr>
          <w:rFonts w:ascii="Times New Roman" w:cs="Times New Roman" w:eastAsia="Times New Roman" w:hAnsi="Times New Roman"/>
          <w:sz w:val="24"/>
          <w:szCs w:val="24"/>
        </w:rPr>
        <w:t>(9), 1090.</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Salehi</w:t>
      </w:r>
      <w:r>
        <w:rPr>
          <w:rFonts w:ascii="Times New Roman" w:cs="Times New Roman" w:eastAsia="Times New Roman" w:hAnsi="Times New Roman"/>
          <w:sz w:val="24"/>
          <w:szCs w:val="24"/>
        </w:rPr>
        <w:t xml:space="preserve">, B., </w:t>
      </w:r>
      <w:r>
        <w:rPr>
          <w:rFonts w:ascii="Times New Roman" w:cs="Times New Roman" w:eastAsia="Times New Roman" w:hAnsi="Times New Roman"/>
          <w:sz w:val="24"/>
          <w:szCs w:val="24"/>
        </w:rPr>
        <w:t>Upadhyay</w:t>
      </w:r>
      <w:r>
        <w:rPr>
          <w:rFonts w:ascii="Times New Roman" w:cs="Times New Roman" w:eastAsia="Times New Roman" w:hAnsi="Times New Roman"/>
          <w:sz w:val="24"/>
          <w:szCs w:val="24"/>
        </w:rPr>
        <w:t xml:space="preserve">, S., Erdogan </w:t>
      </w:r>
      <w:r>
        <w:rPr>
          <w:rFonts w:ascii="Times New Roman" w:cs="Times New Roman" w:eastAsia="Times New Roman" w:hAnsi="Times New Roman"/>
          <w:sz w:val="24"/>
          <w:szCs w:val="24"/>
        </w:rPr>
        <w:t>Orhan</w:t>
      </w:r>
      <w:r>
        <w:rPr>
          <w:rFonts w:ascii="Times New Roman" w:cs="Times New Roman" w:eastAsia="Times New Roman" w:hAnsi="Times New Roman"/>
          <w:sz w:val="24"/>
          <w:szCs w:val="24"/>
        </w:rPr>
        <w:t xml:space="preserve">, I., Kumar </w:t>
      </w:r>
      <w:r>
        <w:rPr>
          <w:rFonts w:ascii="Times New Roman" w:cs="Times New Roman" w:eastAsia="Times New Roman" w:hAnsi="Times New Roman"/>
          <w:sz w:val="24"/>
          <w:szCs w:val="24"/>
        </w:rPr>
        <w:t>Jugran</w:t>
      </w:r>
      <w:r>
        <w:rPr>
          <w:rFonts w:ascii="Times New Roman" w:cs="Times New Roman" w:eastAsia="Times New Roman" w:hAnsi="Times New Roman"/>
          <w:sz w:val="24"/>
          <w:szCs w:val="24"/>
        </w:rPr>
        <w:t xml:space="preserve">, A., &amp; </w:t>
      </w:r>
      <w:r>
        <w:rPr>
          <w:rFonts w:ascii="Times New Roman" w:cs="Times New Roman" w:eastAsia="Times New Roman" w:hAnsi="Times New Roman"/>
          <w:sz w:val="24"/>
          <w:szCs w:val="24"/>
        </w:rPr>
        <w:t>Sharopov</w:t>
      </w:r>
      <w:r>
        <w:rPr>
          <w:rFonts w:ascii="Times New Roman" w:cs="Times New Roman" w:eastAsia="Times New Roman" w:hAnsi="Times New Roman"/>
          <w:sz w:val="24"/>
          <w:szCs w:val="24"/>
        </w:rPr>
        <w:t xml:space="preserve">, F. (2021). Therapeutic potential of essential oils in bacterial infections: A review. </w:t>
      </w:r>
      <w:r>
        <w:rPr>
          <w:rFonts w:ascii="Times New Roman" w:cs="Times New Roman" w:eastAsia="Times New Roman" w:hAnsi="Times New Roman"/>
          <w:i/>
          <w:iCs/>
          <w:sz w:val="24"/>
          <w:szCs w:val="24"/>
        </w:rPr>
        <w:t>Molecules, 26</w:t>
      </w:r>
      <w:r>
        <w:rPr>
          <w:rFonts w:ascii="Times New Roman" w:cs="Times New Roman" w:eastAsia="Times New Roman" w:hAnsi="Times New Roman"/>
          <w:sz w:val="24"/>
          <w:szCs w:val="24"/>
        </w:rPr>
        <w:t>(17), 4984. https://doi.org/10.3390/molecules26174984</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Salehi</w:t>
      </w:r>
      <w:r>
        <w:rPr>
          <w:rFonts w:ascii="Times New Roman" w:cs="Times New Roman" w:eastAsia="Times New Roman" w:hAnsi="Times New Roman"/>
          <w:sz w:val="24"/>
          <w:szCs w:val="24"/>
        </w:rPr>
        <w:t xml:space="preserve">, B., </w:t>
      </w:r>
      <w:r>
        <w:rPr>
          <w:rFonts w:ascii="Times New Roman" w:cs="Times New Roman" w:eastAsia="Times New Roman" w:hAnsi="Times New Roman"/>
          <w:sz w:val="24"/>
          <w:szCs w:val="24"/>
        </w:rPr>
        <w:t>Upadhyay</w:t>
      </w:r>
      <w:r>
        <w:rPr>
          <w:rFonts w:ascii="Times New Roman" w:cs="Times New Roman" w:eastAsia="Times New Roman" w:hAnsi="Times New Roman"/>
          <w:sz w:val="24"/>
          <w:szCs w:val="24"/>
        </w:rPr>
        <w:t xml:space="preserve">, S., Erdogan </w:t>
      </w:r>
      <w:r>
        <w:rPr>
          <w:rFonts w:ascii="Times New Roman" w:cs="Times New Roman" w:eastAsia="Times New Roman" w:hAnsi="Times New Roman"/>
          <w:sz w:val="24"/>
          <w:szCs w:val="24"/>
        </w:rPr>
        <w:t>Orhan</w:t>
      </w:r>
      <w:r>
        <w:rPr>
          <w:rFonts w:ascii="Times New Roman" w:cs="Times New Roman" w:eastAsia="Times New Roman" w:hAnsi="Times New Roman"/>
          <w:sz w:val="24"/>
          <w:szCs w:val="24"/>
        </w:rPr>
        <w:t xml:space="preserve">, I., Kumar </w:t>
      </w:r>
      <w:r>
        <w:rPr>
          <w:rFonts w:ascii="Times New Roman" w:cs="Times New Roman" w:eastAsia="Times New Roman" w:hAnsi="Times New Roman"/>
          <w:sz w:val="24"/>
          <w:szCs w:val="24"/>
        </w:rPr>
        <w:t>Jugran</w:t>
      </w:r>
      <w:r>
        <w:rPr>
          <w:rFonts w:ascii="Times New Roman" w:cs="Times New Roman" w:eastAsia="Times New Roman" w:hAnsi="Times New Roman"/>
          <w:sz w:val="24"/>
          <w:szCs w:val="24"/>
        </w:rPr>
        <w:t xml:space="preserve">, A., LD </w:t>
      </w:r>
      <w:r>
        <w:rPr>
          <w:rFonts w:ascii="Times New Roman" w:cs="Times New Roman" w:eastAsia="Times New Roman" w:hAnsi="Times New Roman"/>
          <w:sz w:val="24"/>
          <w:szCs w:val="24"/>
        </w:rPr>
        <w:t>Jayaweera</w:t>
      </w:r>
      <w:r>
        <w:rPr>
          <w:rFonts w:ascii="Times New Roman" w:cs="Times New Roman" w:eastAsia="Times New Roman" w:hAnsi="Times New Roman"/>
          <w:sz w:val="24"/>
          <w:szCs w:val="24"/>
        </w:rPr>
        <w:t xml:space="preserve">, S., Dias, D. A., ... &amp; </w:t>
      </w:r>
      <w:r>
        <w:rPr>
          <w:rFonts w:ascii="Times New Roman" w:cs="Times New Roman" w:eastAsia="Times New Roman" w:hAnsi="Times New Roman"/>
          <w:sz w:val="24"/>
          <w:szCs w:val="24"/>
        </w:rPr>
        <w:t>Sharifi</w:t>
      </w:r>
      <w:r>
        <w:rPr>
          <w:rFonts w:ascii="Times New Roman" w:cs="Times New Roman" w:eastAsia="Times New Roman" w:hAnsi="Times New Roman"/>
          <w:sz w:val="24"/>
          <w:szCs w:val="24"/>
        </w:rPr>
        <w:t xml:space="preserve">-Rad, J. (2021). Therapeutic potential of Eucalyptus species phytochemicals: A review. </w:t>
      </w:r>
      <w:r>
        <w:rPr>
          <w:rFonts w:ascii="Times New Roman" w:cs="Times New Roman" w:eastAsia="Times New Roman" w:hAnsi="Times New Roman"/>
          <w:i/>
          <w:iCs/>
          <w:sz w:val="24"/>
          <w:szCs w:val="24"/>
        </w:rPr>
        <w:t>Food and Chemical Toxicology</w:t>
      </w:r>
      <w:r>
        <w:rPr>
          <w:rFonts w:ascii="Times New Roman" w:cs="Times New Roman" w:eastAsia="Times New Roman" w:hAnsi="Times New Roman"/>
          <w:sz w:val="24"/>
          <w:szCs w:val="24"/>
        </w:rPr>
        <w:t>, 148, 111974. https://doi.org/10.1016/j.fct.2021.111974</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Sani, A., </w:t>
      </w:r>
      <w:r>
        <w:rPr>
          <w:rFonts w:ascii="Times New Roman" w:cs="Times New Roman" w:eastAsia="Times New Roman" w:hAnsi="Times New Roman"/>
          <w:sz w:val="24"/>
          <w:szCs w:val="24"/>
        </w:rPr>
        <w:t>Sahid</w:t>
      </w:r>
      <w:r>
        <w:rPr>
          <w:rFonts w:ascii="Times New Roman" w:cs="Times New Roman" w:eastAsia="Times New Roman" w:hAnsi="Times New Roman"/>
          <w:sz w:val="24"/>
          <w:szCs w:val="24"/>
        </w:rPr>
        <w:t xml:space="preserve">, I., &amp; </w:t>
      </w:r>
      <w:r>
        <w:rPr>
          <w:rFonts w:ascii="Times New Roman" w:cs="Times New Roman" w:eastAsia="Times New Roman" w:hAnsi="Times New Roman"/>
          <w:sz w:val="24"/>
          <w:szCs w:val="24"/>
        </w:rPr>
        <w:t>Madenda</w:t>
      </w:r>
      <w:r>
        <w:rPr>
          <w:rFonts w:ascii="Times New Roman" w:cs="Times New Roman" w:eastAsia="Times New Roman" w:hAnsi="Times New Roman"/>
          <w:sz w:val="24"/>
          <w:szCs w:val="24"/>
        </w:rPr>
        <w:t xml:space="preserve">, S. M. (2020). Phytochemical and antibacterial activities of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essential oil. </w:t>
      </w:r>
      <w:r>
        <w:rPr>
          <w:rFonts w:ascii="Times New Roman" w:cs="Times New Roman" w:eastAsia="Times New Roman" w:hAnsi="Times New Roman"/>
          <w:i/>
          <w:iCs/>
          <w:sz w:val="24"/>
          <w:szCs w:val="24"/>
        </w:rPr>
        <w:t>Journal of Applied Microbiology, 129</w:t>
      </w:r>
      <w:r>
        <w:rPr>
          <w:rFonts w:ascii="Times New Roman" w:cs="Times New Roman" w:eastAsia="Times New Roman" w:hAnsi="Times New Roman"/>
          <w:sz w:val="24"/>
          <w:szCs w:val="24"/>
        </w:rPr>
        <w:t>(5), 1241-1252.</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Serrato</w:t>
      </w:r>
      <w:r>
        <w:rPr>
          <w:rFonts w:ascii="Times New Roman" w:cs="Times New Roman" w:eastAsia="Times New Roman" w:hAnsi="Times New Roman"/>
          <w:sz w:val="24"/>
          <w:szCs w:val="24"/>
        </w:rPr>
        <w:t xml:space="preserve">, L., Pereira, J., &amp; Almeida, M. S. (2020).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extracts inhibit </w:t>
      </w:r>
      <w:r>
        <w:rPr>
          <w:rFonts w:ascii="Times New Roman" w:cs="Times New Roman" w:eastAsia="Times New Roman" w:hAnsi="Times New Roman"/>
          <w:i/>
          <w:iCs/>
          <w:sz w:val="24"/>
          <w:szCs w:val="24"/>
        </w:rPr>
        <w:t>Pseudomonas aeruginosa</w:t>
      </w:r>
      <w:r>
        <w:rPr>
          <w:rFonts w:ascii="Times New Roman" w:cs="Times New Roman" w:eastAsia="Times New Roman" w:hAnsi="Times New Roman"/>
          <w:sz w:val="24"/>
          <w:szCs w:val="24"/>
        </w:rPr>
        <w:t xml:space="preserve"> biofilm formation and planktonic growth. </w:t>
      </w:r>
      <w:r>
        <w:rPr>
          <w:rFonts w:ascii="Times New Roman" w:cs="Times New Roman" w:eastAsia="Times New Roman" w:hAnsi="Times New Roman"/>
          <w:i/>
          <w:iCs/>
          <w:sz w:val="24"/>
          <w:szCs w:val="24"/>
        </w:rPr>
        <w:t>Microorganisms, 8</w:t>
      </w:r>
      <w:r>
        <w:rPr>
          <w:rFonts w:ascii="Times New Roman" w:cs="Times New Roman" w:eastAsia="Times New Roman" w:hAnsi="Times New Roman"/>
          <w:sz w:val="24"/>
          <w:szCs w:val="24"/>
        </w:rPr>
        <w:t>(11), 1759.</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Silva, D. M., Souza, R. A., &amp; Silva, M. F. (2020). Antibacterial activity of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against clinical bacterial isolates. </w:t>
      </w:r>
      <w:r>
        <w:rPr>
          <w:rFonts w:ascii="Times New Roman" w:cs="Times New Roman" w:eastAsia="Times New Roman" w:hAnsi="Times New Roman"/>
          <w:i/>
          <w:iCs/>
          <w:sz w:val="24"/>
          <w:szCs w:val="24"/>
        </w:rPr>
        <w:t xml:space="preserve">Brazilian Journal of </w:t>
      </w:r>
      <w:r>
        <w:rPr>
          <w:rFonts w:ascii="Times New Roman" w:cs="Times New Roman" w:eastAsia="Times New Roman" w:hAnsi="Times New Roman"/>
          <w:i/>
          <w:iCs/>
          <w:sz w:val="24"/>
          <w:szCs w:val="24"/>
        </w:rPr>
        <w:t>Pharmacognosy</w:t>
      </w:r>
      <w:r>
        <w:rPr>
          <w:rFonts w:ascii="Times New Roman" w:cs="Times New Roman" w:eastAsia="Times New Roman" w:hAnsi="Times New Roman"/>
          <w:i/>
          <w:iCs/>
          <w:sz w:val="24"/>
          <w:szCs w:val="24"/>
        </w:rPr>
        <w:t>, 30</w:t>
      </w:r>
      <w:r>
        <w:rPr>
          <w:rFonts w:ascii="Times New Roman" w:cs="Times New Roman" w:eastAsia="Times New Roman" w:hAnsi="Times New Roman"/>
          <w:sz w:val="24"/>
          <w:szCs w:val="24"/>
        </w:rPr>
        <w:t>(6), 763-770.</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Silva, J. K. R., </w:t>
      </w:r>
      <w:r>
        <w:rPr>
          <w:rFonts w:ascii="Times New Roman" w:cs="Times New Roman" w:eastAsia="Times New Roman" w:hAnsi="Times New Roman"/>
          <w:sz w:val="24"/>
          <w:szCs w:val="24"/>
        </w:rPr>
        <w:t>Figueiredo</w:t>
      </w:r>
      <w:r>
        <w:rPr>
          <w:rFonts w:ascii="Times New Roman" w:cs="Times New Roman" w:eastAsia="Times New Roman" w:hAnsi="Times New Roman"/>
          <w:sz w:val="24"/>
          <w:szCs w:val="24"/>
        </w:rPr>
        <w:t xml:space="preserve">, P. L. B., &amp; </w:t>
      </w:r>
      <w:r>
        <w:rPr>
          <w:rFonts w:ascii="Times New Roman" w:cs="Times New Roman" w:eastAsia="Times New Roman" w:hAnsi="Times New Roman"/>
          <w:sz w:val="24"/>
          <w:szCs w:val="24"/>
        </w:rPr>
        <w:t>Setzer</w:t>
      </w:r>
      <w:r>
        <w:rPr>
          <w:rFonts w:ascii="Times New Roman" w:cs="Times New Roman" w:eastAsia="Times New Roman" w:hAnsi="Times New Roman"/>
          <w:sz w:val="24"/>
          <w:szCs w:val="24"/>
        </w:rPr>
        <w:t xml:space="preserve">, W. N. (2020). Essential oils from the </w:t>
      </w:r>
      <w:r>
        <w:rPr>
          <w:rFonts w:ascii="Times New Roman" w:cs="Times New Roman" w:eastAsia="Times New Roman" w:hAnsi="Times New Roman"/>
          <w:sz w:val="24"/>
          <w:szCs w:val="24"/>
        </w:rPr>
        <w:t>Myrtaceae</w:t>
      </w:r>
      <w:r>
        <w:rPr>
          <w:rFonts w:ascii="Times New Roman" w:cs="Times New Roman" w:eastAsia="Times New Roman" w:hAnsi="Times New Roman"/>
          <w:sz w:val="24"/>
          <w:szCs w:val="24"/>
        </w:rPr>
        <w:t xml:space="preserve"> family and their antimicrobial activity against resistant pathogens. </w:t>
      </w:r>
      <w:r>
        <w:rPr>
          <w:rFonts w:ascii="Times New Roman" w:cs="Times New Roman" w:eastAsia="Times New Roman" w:hAnsi="Times New Roman"/>
          <w:i/>
          <w:iCs/>
          <w:sz w:val="24"/>
          <w:szCs w:val="24"/>
        </w:rPr>
        <w:t>Molecules, 25</w:t>
      </w:r>
      <w:r>
        <w:rPr>
          <w:rFonts w:ascii="Times New Roman" w:cs="Times New Roman" w:eastAsia="Times New Roman" w:hAnsi="Times New Roman"/>
          <w:sz w:val="24"/>
          <w:szCs w:val="24"/>
        </w:rPr>
        <w:t>(14), 3276. https://doi.org/10.3390/molecules25143276</w:t>
      </w:r>
    </w:p>
    <w:p>
      <w:pPr>
        <w:pStyle w:val="style94"/>
        <w:ind w:left="567" w:hanging="567"/>
        <w:jc w:val="both"/>
        <w:rPr/>
      </w:pPr>
      <w:r>
        <w:t xml:space="preserve">Singh, P., Kaur, N., &amp; Kaur, G. (2021). Role of phytochemicals in combating antibiotic resistance: A review. </w:t>
      </w:r>
      <w:r>
        <w:rPr>
          <w:rStyle w:val="style88"/>
        </w:rPr>
        <w:t>Biomedicine &amp; Pharmacotherapy</w:t>
      </w:r>
      <w:r>
        <w:t>, 134, 111121.</w:t>
      </w:r>
    </w:p>
    <w:p>
      <w:pPr>
        <w:pStyle w:val="style94"/>
        <w:ind w:left="567" w:hanging="567"/>
        <w:jc w:val="both"/>
        <w:rPr/>
      </w:pPr>
      <w:r>
        <w:t>Taiwo</w:t>
      </w:r>
      <w:r>
        <w:t xml:space="preserve">, A. O., </w:t>
      </w:r>
      <w:r>
        <w:t>Lawal</w:t>
      </w:r>
      <w:r>
        <w:t xml:space="preserve">, O. A., &amp; </w:t>
      </w:r>
      <w:r>
        <w:t>Adeyemi</w:t>
      </w:r>
      <w:r>
        <w:t xml:space="preserve">, O. A. (2021). Antibacterial effects of </w:t>
      </w:r>
      <w:r>
        <w:rPr>
          <w:rStyle w:val="style88"/>
        </w:rPr>
        <w:t xml:space="preserve">Eucalyptus </w:t>
      </w:r>
      <w:r>
        <w:rPr>
          <w:rStyle w:val="style88"/>
        </w:rPr>
        <w:t>globulus</w:t>
      </w:r>
      <w:r>
        <w:t xml:space="preserve"> ethanol extracts on multidrug-resistant clinical isolates. </w:t>
      </w:r>
      <w:r>
        <w:rPr>
          <w:rStyle w:val="style88"/>
        </w:rPr>
        <w:t>International Journal of Microbiology</w:t>
      </w:r>
      <w:r>
        <w:t>, 2021, Article ID 8887653.</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Tucker, M. T., Diaz, G. J., &amp; Hernandez, L. (2019). Antibiotic resistance mechanisms in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A review. </w:t>
      </w:r>
      <w:r>
        <w:rPr>
          <w:rFonts w:ascii="Times New Roman" w:cs="Times New Roman" w:eastAsia="Times New Roman" w:hAnsi="Times New Roman"/>
          <w:i/>
          <w:iCs/>
          <w:sz w:val="24"/>
          <w:szCs w:val="24"/>
        </w:rPr>
        <w:t>Microorganisms, 7</w:t>
      </w:r>
      <w:r>
        <w:rPr>
          <w:rFonts w:ascii="Times New Roman" w:cs="Times New Roman" w:eastAsia="Times New Roman" w:hAnsi="Times New Roman"/>
          <w:sz w:val="24"/>
          <w:szCs w:val="24"/>
        </w:rPr>
        <w:t>(2), 69-80.</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World Health Organization (WHO). (2020). </w:t>
      </w:r>
      <w:r>
        <w:rPr>
          <w:rFonts w:ascii="Times New Roman" w:cs="Times New Roman" w:eastAsia="Times New Roman" w:hAnsi="Times New Roman"/>
          <w:i/>
          <w:iCs/>
          <w:sz w:val="24"/>
          <w:szCs w:val="24"/>
        </w:rPr>
        <w:t>Antibacterial agents in clinical development: An analysis of the antibacterial clinical development pipeline</w:t>
      </w:r>
      <w:r>
        <w:rPr>
          <w:rFonts w:ascii="Times New Roman" w:cs="Times New Roman" w:eastAsia="Times New Roman" w:hAnsi="Times New Roman"/>
          <w:sz w:val="24"/>
          <w:szCs w:val="24"/>
        </w:rPr>
        <w:t xml:space="preserve">. Retrieved from </w:t>
      </w:r>
      <w:r>
        <w:rPr/>
        <w:fldChar w:fldCharType="begin"/>
      </w:r>
      <w:r>
        <w:instrText xml:space="preserve"> HYPERLINK "https://www.who.int/publications/i/item/9789240000193" \t "_new" </w:instrText>
      </w:r>
      <w:r>
        <w:rPr/>
        <w:fldChar w:fldCharType="separate"/>
      </w:r>
      <w:r>
        <w:rPr>
          <w:rFonts w:ascii="Times New Roman" w:cs="Times New Roman" w:eastAsia="Times New Roman" w:hAnsi="Times New Roman"/>
          <w:color w:val="0000ff"/>
          <w:sz w:val="24"/>
          <w:szCs w:val="24"/>
          <w:u w:val="single"/>
        </w:rPr>
        <w:t>https://www.who.int/publications/i/item/9789240000193</w:t>
      </w:r>
      <w:r>
        <w:rPr/>
        <w:fldChar w:fldCharType="end"/>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Wu, Q., Zhang, Y., &amp; Wang, X. (2020). The epidemiology of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infections and its antibiotic resistance. </w:t>
      </w:r>
      <w:r>
        <w:rPr>
          <w:rFonts w:ascii="Times New Roman" w:cs="Times New Roman" w:eastAsia="Times New Roman" w:hAnsi="Times New Roman"/>
          <w:i/>
          <w:iCs/>
          <w:sz w:val="24"/>
          <w:szCs w:val="24"/>
        </w:rPr>
        <w:t>Infection Control and Hospital Epidemiology, 41</w:t>
      </w:r>
      <w:r>
        <w:rPr>
          <w:rFonts w:ascii="Times New Roman" w:cs="Times New Roman" w:eastAsia="Times New Roman" w:hAnsi="Times New Roman"/>
          <w:sz w:val="24"/>
          <w:szCs w:val="24"/>
        </w:rPr>
        <w:t>(10), 1211-1218.</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Zong</w:t>
      </w:r>
      <w:r>
        <w:rPr>
          <w:rFonts w:ascii="Times New Roman" w:cs="Times New Roman" w:eastAsia="Times New Roman" w:hAnsi="Times New Roman"/>
          <w:sz w:val="24"/>
          <w:szCs w:val="24"/>
        </w:rPr>
        <w:t xml:space="preserve">, Z., </w:t>
      </w:r>
      <w:r>
        <w:rPr>
          <w:rFonts w:ascii="Times New Roman" w:cs="Times New Roman" w:eastAsia="Times New Roman" w:hAnsi="Times New Roman"/>
          <w:sz w:val="24"/>
          <w:szCs w:val="24"/>
        </w:rPr>
        <w:t>Xie</w:t>
      </w:r>
      <w:r>
        <w:rPr>
          <w:rFonts w:ascii="Times New Roman" w:cs="Times New Roman" w:eastAsia="Times New Roman" w:hAnsi="Times New Roman"/>
          <w:sz w:val="24"/>
          <w:szCs w:val="24"/>
        </w:rPr>
        <w:t xml:space="preserve">, Y., &amp; Zhang, H. (2020). Molecular mechanisms of antimicrobial resistance in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International Journal of Antimicrobial Agents, 56</w:t>
      </w:r>
      <w:r>
        <w:rPr>
          <w:rFonts w:ascii="Times New Roman" w:cs="Times New Roman" w:eastAsia="Times New Roman" w:hAnsi="Times New Roman"/>
          <w:sz w:val="24"/>
          <w:szCs w:val="24"/>
        </w:rPr>
        <w:t>(2), 188-199.</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Zong</w:t>
      </w:r>
      <w:r>
        <w:rPr>
          <w:rFonts w:ascii="Times New Roman" w:cs="Times New Roman" w:eastAsia="Times New Roman" w:hAnsi="Times New Roman"/>
          <w:sz w:val="24"/>
          <w:szCs w:val="24"/>
        </w:rPr>
        <w:t xml:space="preserve">, Z., Zhang, H., &amp; </w:t>
      </w:r>
      <w:r>
        <w:rPr>
          <w:rFonts w:ascii="Times New Roman" w:cs="Times New Roman" w:eastAsia="Times New Roman" w:hAnsi="Times New Roman"/>
          <w:sz w:val="24"/>
          <w:szCs w:val="24"/>
        </w:rPr>
        <w:t>Xie</w:t>
      </w:r>
      <w:r>
        <w:rPr>
          <w:rFonts w:ascii="Times New Roman" w:cs="Times New Roman" w:eastAsia="Times New Roman" w:hAnsi="Times New Roman"/>
          <w:sz w:val="24"/>
          <w:szCs w:val="24"/>
        </w:rPr>
        <w:t xml:space="preserve">, S. (2020). Methicillin-resistant </w:t>
      </w:r>
      <w:r>
        <w:rPr>
          <w:rFonts w:ascii="Times New Roman" w:cs="Times New Roman" w:eastAsia="Times New Roman" w:hAnsi="Times New Roman"/>
          <w:i/>
          <w:iCs/>
          <w:sz w:val="24"/>
          <w:szCs w:val="24"/>
        </w:rPr>
        <w:t>Staphylococcus aureus</w:t>
      </w:r>
      <w:r>
        <w:rPr>
          <w:rFonts w:ascii="Times New Roman" w:cs="Times New Roman" w:eastAsia="Times New Roman" w:hAnsi="Times New Roman"/>
          <w:sz w:val="24"/>
          <w:szCs w:val="24"/>
        </w:rPr>
        <w:t xml:space="preserve"> and its resistance mechanisms. </w:t>
      </w:r>
      <w:r>
        <w:rPr>
          <w:rFonts w:ascii="Times New Roman" w:cs="Times New Roman" w:eastAsia="Times New Roman" w:hAnsi="Times New Roman"/>
          <w:i/>
          <w:iCs/>
          <w:sz w:val="24"/>
          <w:szCs w:val="24"/>
        </w:rPr>
        <w:t>Clinical Microbiology Reviews, 33</w:t>
      </w:r>
      <w:r>
        <w:rPr>
          <w:rFonts w:ascii="Times New Roman" w:cs="Times New Roman" w:eastAsia="Times New Roman" w:hAnsi="Times New Roman"/>
          <w:sz w:val="24"/>
          <w:szCs w:val="24"/>
        </w:rPr>
        <w:t>(1), e00094-19.</w:t>
      </w: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bookmarkStart w:id="58" w:name="_Toc203146335"/>
    <w:p>
      <w:pPr>
        <w:pStyle w:val="style1"/>
        <w:jc w:val="center"/>
        <w:rPr/>
      </w:pPr>
      <w:r>
        <w:t>APPENDIX</w:t>
      </w:r>
      <w:bookmarkEnd w:id="58"/>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r>
        <w:rPr>
          <w:noProof/>
        </w:rPr>
        <w:drawing>
          <wp:anchor distT="0" distB="0" distL="114300" distR="114300" simplePos="false" relativeHeight="4" behindDoc="false" locked="false" layoutInCell="true" allowOverlap="true">
            <wp:simplePos x="0" y="0"/>
            <wp:positionH relativeFrom="column">
              <wp:posOffset>0</wp:posOffset>
            </wp:positionH>
            <wp:positionV relativeFrom="paragraph">
              <wp:posOffset>294640</wp:posOffset>
            </wp:positionV>
            <wp:extent cx="1819275" cy="2057400"/>
            <wp:effectExtent l="0" t="0" r="9525" b="0"/>
            <wp:wrapSquare wrapText="bothSides"/>
            <wp:docPr id="1028"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6" cstate="print"/>
                    <a:srcRect l="0" t="0" r="0" b="0"/>
                    <a:stretch/>
                  </pic:blipFill>
                  <pic:spPr>
                    <a:xfrm rot="0">
                      <a:off x="0" y="0"/>
                      <a:ext cx="1819275" cy="2057400"/>
                    </a:xfrm>
                    <a:prstGeom prst="rect"/>
                    <a:ln>
                      <a:noFill/>
                    </a:ln>
                  </pic:spPr>
                </pic:pic>
              </a:graphicData>
            </a:graphic>
            <wp14:sizeRelH relativeFrom="margin">
              <wp14:pctWidth>0</wp14:pctWidth>
            </wp14:sizeRelH>
          </wp:anchor>
        </w:drawing>
      </w:r>
    </w:p>
    <w:p>
      <w:pPr>
        <w:pStyle w:val="style0"/>
        <w:jc w:val="center"/>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noProof/>
        </w:rPr>
        <w:drawing>
          <wp:inline distL="0" distT="0" distB="0" distR="0">
            <wp:extent cx="2223770" cy="1609725"/>
            <wp:effectExtent l="0" t="0" r="5080" b="9525"/>
            <wp:docPr id="1029"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7" cstate="print"/>
                    <a:srcRect l="0" t="0" r="0" b="0"/>
                    <a:stretch/>
                  </pic:blipFill>
                  <pic:spPr>
                    <a:xfrm rot="0">
                      <a:off x="0" y="0"/>
                      <a:ext cx="2223770" cy="1609725"/>
                    </a:xfrm>
                    <a:prstGeom prst="rect"/>
                    <a:ln>
                      <a:noFill/>
                    </a:ln>
                  </pic:spPr>
                </pic:pic>
              </a:graphicData>
            </a:graphic>
          </wp:inline>
        </w:drawing>
      </w:r>
    </w:p>
    <w:p>
      <w:pPr>
        <w:pStyle w:val="style0"/>
        <w:rPr>
          <w:rFonts w:ascii="Times New Roman" w:cs="Times New Roman" w:hAnsi="Times New Roman"/>
          <w:sz w:val="24"/>
          <w:szCs w:val="24"/>
        </w:rPr>
      </w:pPr>
      <w:r>
        <w:rPr>
          <w:rFonts w:ascii="Times New Roman" w:cs="Times New Roman" w:hAnsi="Times New Roman"/>
          <w:noProof/>
          <w:sz w:val="24"/>
          <w:szCs w:val="24"/>
        </w:rPr>
        <mc:AlternateContent>
          <mc:Choice Requires="wps">
            <w:drawing>
              <wp:anchor distT="0" distB="0" distL="0" distR="0" simplePos="false" relativeHeight="3" behindDoc="false" locked="false" layoutInCell="true" allowOverlap="true">
                <wp:simplePos x="0" y="0"/>
                <wp:positionH relativeFrom="column">
                  <wp:posOffset>-104775</wp:posOffset>
                </wp:positionH>
                <wp:positionV relativeFrom="paragraph">
                  <wp:posOffset>112395</wp:posOffset>
                </wp:positionV>
                <wp:extent cx="2400300" cy="438150"/>
                <wp:effectExtent l="0" t="0" r="19050" b="19050"/>
                <wp:wrapNone/>
                <wp:docPr id="1030" name="Rectangle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400300" cy="438150"/>
                        </a:xfrm>
                        <a:prstGeom prst="rect"/>
                        <a:solidFill>
                          <a:srgbClr val="ffffff"/>
                        </a:solidFill>
                        <a:ln cmpd="sng" cap="flat" w="12700">
                          <a:solidFill>
                            <a:srgbClr val="000000"/>
                          </a:solidFill>
                          <a:prstDash val="solid"/>
                          <a:miter/>
                          <a:headEnd len="med" w="med" type="none"/>
                          <a:tailEnd len="med" w="med" type="none"/>
                        </a:ln>
                      </wps:spPr>
                      <wps:txbx id="1030">
                        <w:txbxContent>
                          <w:p>
                            <w:pPr>
                              <w:pStyle w:val="style0"/>
                              <w:rPr>
                                <w:rFonts w:ascii="Times New Roman" w:cs="Times New Roman" w:hAnsi="Times New Roman"/>
                                <w:color w:val="000000"/>
                                <w:sz w:val="24"/>
                                <w:szCs w:val="24"/>
                              </w:rPr>
                            </w:pPr>
                            <w:r>
                              <w:rPr>
                                <w:rFonts w:ascii="Times New Roman" w:cs="Times New Roman" w:hAnsi="Times New Roman"/>
                                <w:color w:val="000000"/>
                                <w:sz w:val="24"/>
                                <w:szCs w:val="24"/>
                              </w:rPr>
                              <w:t xml:space="preserve">Plate 2: MIC result of </w:t>
                            </w:r>
                            <w:r>
                              <w:rPr>
                                <w:rFonts w:ascii="Times New Roman" w:cs="Times New Roman" w:hAnsi="Times New Roman"/>
                                <w:i/>
                                <w:color w:val="000000"/>
                                <w:sz w:val="24"/>
                                <w:szCs w:val="24"/>
                              </w:rPr>
                              <w:t>E</w:t>
                            </w:r>
                            <w:r>
                              <w:rPr>
                                <w:rFonts w:ascii="Times New Roman" w:cs="Times New Roman" w:hAnsi="Times New Roman"/>
                                <w:i/>
                                <w:color w:val="000000"/>
                                <w:sz w:val="24"/>
                                <w:szCs w:val="24"/>
                              </w:rPr>
                              <w:t>. coli</w:t>
                            </w:r>
                            <w:r>
                              <w:rPr>
                                <w:rFonts w:ascii="Times New Roman" w:cs="Times New Roman" w:hAnsi="Times New Roman"/>
                                <w:color w:val="000000"/>
                                <w:sz w:val="24"/>
                                <w:szCs w:val="24"/>
                              </w:rPr>
                              <w:t xml:space="preserve"> at 0.2 concentration</w:t>
                            </w:r>
                          </w:p>
                          <w:p>
                            <w:pPr>
                              <w:pStyle w:val="style0"/>
                              <w:jc w:val="center"/>
                              <w:rPr>
                                <w:color w:val="000000"/>
                              </w:rPr>
                            </w:pPr>
                          </w:p>
                        </w:txbxContent>
                      </wps:txbx>
                      <wps:bodyPr lIns="91440" rIns="91440" tIns="45720" bIns="45720" vert="horz" anchor="ctr"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30" fillcolor="white" stroked="t" style="position:absolute;margin-left:-8.25pt;margin-top:8.85pt;width:189.0pt;height:34.5pt;z-index:3;mso-position-horizontal-relative:text;mso-position-vertical-relative:text;mso-width-percent:0;mso-height-percent:0;mso-width-relative:margin;mso-height-relative:margin;mso-wrap-distance-left:0.0pt;mso-wrap-distance-right:0.0pt;visibility:visible;v-text-anchor:middle;">
                <v:stroke joinstyle="miter" weight="1.0pt"/>
                <v:fill/>
                <v:textbox inset="7.2pt,3.6pt,7.2pt,3.6pt">
                  <w:txbxContent>
                    <w:p>
                      <w:pPr>
                        <w:pStyle w:val="style0"/>
                        <w:rPr>
                          <w:rFonts w:ascii="Times New Roman" w:cs="Times New Roman" w:hAnsi="Times New Roman"/>
                          <w:color w:val="000000"/>
                          <w:sz w:val="24"/>
                          <w:szCs w:val="24"/>
                        </w:rPr>
                      </w:pPr>
                      <w:r>
                        <w:rPr>
                          <w:rFonts w:ascii="Times New Roman" w:cs="Times New Roman" w:hAnsi="Times New Roman"/>
                          <w:color w:val="000000"/>
                          <w:sz w:val="24"/>
                          <w:szCs w:val="24"/>
                        </w:rPr>
                        <w:t xml:space="preserve">Plate 2: MIC result of </w:t>
                      </w:r>
                      <w:r>
                        <w:rPr>
                          <w:rFonts w:ascii="Times New Roman" w:cs="Times New Roman" w:hAnsi="Times New Roman"/>
                          <w:i/>
                          <w:color w:val="000000"/>
                          <w:sz w:val="24"/>
                          <w:szCs w:val="24"/>
                        </w:rPr>
                        <w:t>E</w:t>
                      </w:r>
                      <w:r>
                        <w:rPr>
                          <w:rFonts w:ascii="Times New Roman" w:cs="Times New Roman" w:hAnsi="Times New Roman"/>
                          <w:i/>
                          <w:color w:val="000000"/>
                          <w:sz w:val="24"/>
                          <w:szCs w:val="24"/>
                        </w:rPr>
                        <w:t>. coli</w:t>
                      </w:r>
                      <w:r>
                        <w:rPr>
                          <w:rFonts w:ascii="Times New Roman" w:cs="Times New Roman" w:hAnsi="Times New Roman"/>
                          <w:color w:val="000000"/>
                          <w:sz w:val="24"/>
                          <w:szCs w:val="24"/>
                        </w:rPr>
                        <w:t xml:space="preserve"> at 0.2 concentration</w:t>
                      </w:r>
                    </w:p>
                    <w:p>
                      <w:pPr>
                        <w:pStyle w:val="style0"/>
                        <w:jc w:val="center"/>
                        <w:rPr>
                          <w:color w:val="000000"/>
                        </w:rPr>
                      </w:pPr>
                    </w:p>
                  </w:txbxContent>
                </v:textbox>
              </v:rect>
            </w:pict>
          </mc:Fallback>
        </mc:AlternateContent>
      </w:r>
      <w:r>
        <w:rPr>
          <w:rFonts w:ascii="Times New Roman" w:cs="Times New Roman" w:hAnsi="Times New Roman"/>
          <w:sz w:val="24"/>
          <w:szCs w:val="24"/>
        </w:rPr>
        <w:t xml:space="preserve">                          Plate 2: MIC result of </w:t>
      </w:r>
      <w:r>
        <w:rPr>
          <w:rFonts w:ascii="Times New Roman" w:cs="Times New Roman" w:hAnsi="Times New Roman"/>
          <w:i/>
          <w:sz w:val="24"/>
          <w:szCs w:val="24"/>
        </w:rPr>
        <w:t>E. coli</w:t>
      </w:r>
      <w:r>
        <w:rPr>
          <w:rFonts w:ascii="Times New Roman" w:cs="Times New Roman" w:hAnsi="Times New Roman"/>
          <w:sz w:val="24"/>
          <w:szCs w:val="24"/>
        </w:rPr>
        <w:t xml:space="preserve"> at 0.2 concentration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noProof/>
        </w:rPr>
        <w:drawing>
          <wp:inline distL="0" distT="0" distB="0" distR="0">
            <wp:extent cx="2255506" cy="2345870"/>
            <wp:effectExtent l="0" t="0" r="0" b="0"/>
            <wp:docPr id="1031"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8" cstate="print"/>
                    <a:srcRect l="0" t="0" r="0" b="0"/>
                    <a:stretch/>
                  </pic:blipFill>
                  <pic:spPr>
                    <a:xfrm rot="0">
                      <a:off x="0" y="0"/>
                      <a:ext cx="2255506" cy="2345870"/>
                    </a:xfrm>
                    <a:prstGeom prst="rect"/>
                    <a:ln>
                      <a:noFill/>
                    </a:ln>
                  </pic:spPr>
                </pic:pic>
              </a:graphicData>
            </a:graphic>
          </wp:inline>
        </w:drawing>
      </w:r>
      <w:r>
        <w:rPr>
          <w:noProof/>
          <w:lang w:val="en-US"/>
        </w:rPr>
        <w:t xml:space="preserve">        </w:t>
      </w:r>
      <w:r>
        <w:rPr/>
        <w:drawing>
          <wp:inline distL="0" distT="0" distB="0" distR="0">
            <wp:extent cx="2947720" cy="2376884"/>
            <wp:effectExtent l="0" t="0" r="0" b="0"/>
            <wp:docPr id="1032"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Image1"/>
                    <pic:cNvPicPr/>
                  </pic:nvPicPr>
                  <pic:blipFill>
                    <a:blip r:embed="rId9" cstate="print"/>
                    <a:srcRect l="0" t="0" r="0" b="0"/>
                    <a:stretch/>
                  </pic:blipFill>
                  <pic:spPr>
                    <a:xfrm rot="0">
                      <a:off x="0" y="0"/>
                      <a:ext cx="2947720" cy="2376884"/>
                    </a:xfrm>
                    <a:prstGeom prst="rect"/>
                  </pic:spPr>
                </pic:pic>
              </a:graphicData>
            </a:graphic>
          </wp:inline>
        </w:drawing>
      </w:r>
    </w:p>
    <w:p>
      <w:pPr>
        <w:pStyle w:val="style0"/>
        <w:rPr>
          <w:rFonts w:ascii="Times New Roman" w:cs="Times New Roman" w:hAnsi="Times New Roman"/>
          <w:sz w:val="24"/>
          <w:szCs w:val="24"/>
        </w:rPr>
      </w:pPr>
      <w:r>
        <w:rPr>
          <w:rFonts w:ascii="Times New Roman" w:cs="Times New Roman" w:hAnsi="Times New Roman"/>
          <w:sz w:val="24"/>
          <w:szCs w:val="24"/>
        </w:rPr>
        <w:t>PLATE 3: MIC result of MRSA at 0.15 con</w:t>
      </w:r>
      <w:r>
        <w:rPr>
          <w:rFonts w:ascii="Times New Roman" w:cs="Times New Roman" w:hAnsi="Times New Roman"/>
          <w:sz w:val="24"/>
          <w:szCs w:val="24"/>
        </w:rPr>
        <w:t>centration</w:t>
      </w:r>
    </w:p>
    <w:p>
      <w:pPr>
        <w:pStyle w:val="style0"/>
        <w:rPr>
          <w:rFonts w:ascii="Times New Roman" w:cs="Times New Roman" w:hAnsi="Times New Roman"/>
          <w:sz w:val="24"/>
          <w:szCs w:val="24"/>
        </w:rPr>
      </w:pPr>
      <w:r>
        <w:rPr>
          <w:rFonts w:ascii="Times New Roman" w:cs="Times New Roman" w:hAnsi="Times New Roman"/>
          <w:sz w:val="24"/>
          <w:szCs w:val="24"/>
        </w:rPr>
        <w:t xml:space="preserve"> </w:t>
      </w: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r>
        <w:rPr>
          <w:rFonts w:ascii="Times New Roman" w:cs="Times New Roman" w:hAnsi="Times New Roman"/>
          <w:noProof/>
          <w:sz w:val="24"/>
          <w:szCs w:val="24"/>
        </w:rPr>
        <w:drawing>
          <wp:anchor distT="0" distB="0" distL="0" distR="0" simplePos="false" relativeHeight="2" behindDoc="false" locked="false" layoutInCell="true" allowOverlap="true">
            <wp:simplePos x="0" y="0"/>
            <wp:positionH relativeFrom="column">
              <wp:posOffset>0</wp:posOffset>
            </wp:positionH>
            <wp:positionV relativeFrom="paragraph">
              <wp:posOffset>287020</wp:posOffset>
            </wp:positionV>
            <wp:extent cx="5791200" cy="7267575"/>
            <wp:effectExtent l="0" t="0" r="0" b="9525"/>
            <wp:wrapTopAndBottom/>
            <wp:docPr id="1033"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1"/>
                    <pic:cNvPicPr/>
                  </pic:nvPicPr>
                  <pic:blipFill>
                    <a:blip r:embed="rId10" cstate="print"/>
                    <a:srcRect l="0" t="0" r="0" b="0"/>
                    <a:stretch/>
                  </pic:blipFill>
                  <pic:spPr>
                    <a:xfrm rot="0">
                      <a:off x="0" y="0"/>
                      <a:ext cx="5791200" cy="7267575"/>
                    </a:xfrm>
                    <a:prstGeom prst="rect"/>
                  </pic:spPr>
                </pic:pic>
              </a:graphicData>
            </a:graphic>
          </wp:anchor>
        </w:drawing>
      </w:r>
    </w:p>
    <w:sectPr>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none" w:hAnchor="margin" w:vAnchor="text" w:xAlign="center" w:y="1"/>
      <w:jc w:val="center"/>
      <w:rPr>
        <w:rStyle w:val="style41"/>
      </w:rPr>
    </w:pPr>
    <w:r>
      <w:rPr>
        <w:rStyle w:val="style41"/>
      </w:rPr>
      <w:fldChar w:fldCharType="begin"/>
    </w:r>
    <w:r>
      <w:rPr>
        <w:rStyle w:val="style41"/>
      </w:rPr>
      <w:instrText xml:space="preserve"> PAGE </w:instrText>
    </w:r>
    <w:r>
      <w:rPr>
        <w:rStyle w:val="style41"/>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20</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D6D2D5D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0000001"/>
    <w:multiLevelType w:val="multilevel"/>
    <w:tmpl w:val="4934DF20"/>
    <w:lvl w:ilvl="0">
      <w:start w:val="1"/>
      <w:numFmt w:val="decimal"/>
      <w:lvlText w:val="%1."/>
      <w:lvlJc w:val="left"/>
      <w:pPr>
        <w:tabs>
          <w:tab w:val="left" w:leader="none" w:pos="720"/>
        </w:tabs>
        <w:ind w:left="720" w:hanging="360"/>
      </w:pPr>
    </w:lvl>
    <w:lvl w:ilvl="1">
      <w:start w:val="1"/>
      <w:numFmt w:val="bullet"/>
      <w:lvlText w:val=""/>
      <w:lvlJc w:val="left"/>
      <w:pPr>
        <w:ind w:left="1440" w:hanging="360"/>
      </w:pPr>
      <w:rPr>
        <w:rFonts w:ascii="Symbol" w:cs="Times New Roman" w:eastAsia="Times New Roman" w:hAnsi="Symbol" w:hint="default"/>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
    <w:nsid w:val="00000002"/>
    <w:multiLevelType w:val="multilevel"/>
    <w:tmpl w:val="BEAECE92"/>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num w:numId="1">
    <w:abstractNumId w:val="2"/>
  </w:num>
  <w:num w:numId="2">
    <w:abstractNumId w:val="1"/>
  </w:num>
  <w:num w:numId="3">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101"/>
    <w:qFormat/>
    <w:uiPriority w:val="9"/>
    <w:pPr>
      <w:keepNext/>
      <w:keepLines/>
      <w:spacing w:before="240" w:after="0"/>
      <w:outlineLvl w:val="0"/>
    </w:pPr>
    <w:rPr>
      <w:rFonts w:ascii="Times New Roman" w:cs="宋体" w:eastAsia="宋体" w:hAnsi="Times New Roman"/>
      <w:b/>
      <w:color w:val="000000"/>
      <w:sz w:val="24"/>
      <w:szCs w:val="32"/>
    </w:rPr>
  </w:style>
  <w:style w:type="paragraph" w:styleId="style2">
    <w:name w:val="heading 2"/>
    <w:basedOn w:val="style0"/>
    <w:next w:val="style0"/>
    <w:link w:val="style4104"/>
    <w:qFormat/>
    <w:uiPriority w:val="9"/>
    <w:pPr>
      <w:keepNext/>
      <w:keepLines/>
      <w:spacing w:before="40" w:after="0"/>
      <w:outlineLvl w:val="1"/>
    </w:pPr>
    <w:rPr>
      <w:rFonts w:ascii="Times New Roman" w:cs="宋体" w:eastAsia="宋体" w:hAnsi="Times New Roman"/>
      <w:b/>
      <w:color w:val="000000"/>
      <w:sz w:val="24"/>
      <w:szCs w:val="26"/>
    </w:rPr>
  </w:style>
  <w:style w:type="paragraph" w:styleId="style3">
    <w:name w:val="heading 3"/>
    <w:basedOn w:val="style0"/>
    <w:next w:val="style3"/>
    <w:link w:val="style4097"/>
    <w:qFormat/>
    <w:uiPriority w:val="9"/>
    <w:pPr>
      <w:spacing w:before="100" w:beforeAutospacing="true" w:after="100" w:afterAutospacing="true" w:lineRule="auto" w:line="240"/>
      <w:outlineLvl w:val="2"/>
    </w:pPr>
    <w:rPr>
      <w:rFonts w:ascii="Times New Roman" w:cs="Times New Roman" w:eastAsia="Times New Roman" w:hAnsi="Times New Roman"/>
      <w:b/>
      <w:bCs/>
      <w:sz w:val="24"/>
      <w:szCs w:val="27"/>
    </w:rPr>
  </w:style>
  <w:style w:type="paragraph" w:styleId="style5">
    <w:name w:val="heading 5"/>
    <w:basedOn w:val="style0"/>
    <w:next w:val="style0"/>
    <w:link w:val="style4098"/>
    <w:qFormat/>
    <w:uiPriority w:val="9"/>
    <w:pPr>
      <w:keepNext/>
      <w:keepLines/>
      <w:spacing w:before="40" w:after="0"/>
      <w:outlineLvl w:val="4"/>
    </w:pPr>
    <w:rPr>
      <w:rFonts w:ascii="Calibri Light" w:cs="宋体" w:eastAsia="宋体" w:hAnsi="Calibri Light"/>
      <w:color w:val="2e74b5"/>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3 Char_9edae7be-0c2e-4033-8fe9-bcd10d27bf62"/>
    <w:basedOn w:val="style65"/>
    <w:next w:val="style4097"/>
    <w:link w:val="style3"/>
    <w:uiPriority w:val="9"/>
    <w:rPr>
      <w:rFonts w:ascii="Times New Roman" w:cs="Times New Roman" w:eastAsia="Times New Roman" w:hAnsi="Times New Roman"/>
      <w:b/>
      <w:bCs/>
      <w:sz w:val="24"/>
      <w:szCs w:val="27"/>
    </w:rPr>
  </w:style>
  <w:style w:type="character" w:customStyle="1" w:styleId="style4098">
    <w:name w:val="Heading 5 Char_3200f6cb-c114-4539-a9c9-efe8869e3e42"/>
    <w:basedOn w:val="style65"/>
    <w:next w:val="style4098"/>
    <w:link w:val="style5"/>
    <w:uiPriority w:val="9"/>
    <w:rPr>
      <w:rFonts w:ascii="Calibri Light" w:cs="宋体" w:eastAsia="宋体" w:hAnsi="Calibri Light"/>
      <w:color w:val="2e74b5"/>
    </w:rPr>
  </w:style>
  <w:style w:type="character" w:styleId="style88">
    <w:name w:val="Emphasis"/>
    <w:basedOn w:val="style65"/>
    <w:next w:val="style88"/>
    <w:qFormat/>
    <w:uiPriority w:val="20"/>
    <w:rPr>
      <w:i/>
      <w:iCs/>
    </w:rPr>
  </w:style>
  <w:style w:type="paragraph" w:styleId="style94">
    <w:name w:val="Normal (Web)"/>
    <w:basedOn w:val="style0"/>
    <w:next w:val="style94"/>
    <w:qFormat/>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table" w:customStyle="1" w:styleId="style4099">
    <w:name w:val="List Table 6 Colorful"/>
    <w:basedOn w:val="style105"/>
    <w:next w:val="style4099"/>
    <w:uiPriority w:val="51"/>
    <w:pPr>
      <w:spacing w:after="0" w:lineRule="auto" w:line="240"/>
    </w:pPr>
    <w:rPr>
      <w:color w:val="000000"/>
    </w:rPr>
    <w:tblPr>
      <w:tblStyleRowBandSize w:val="1"/>
      <w:tblStyleColBandSize w:val="1"/>
      <w:tblBorders>
        <w:top w:val="single" w:sz="4" w:space="0" w:color="000000"/>
        <w:bottom w:val="single" w:sz="4" w:space="0" w:color="000000"/>
      </w:tblBorders>
    </w:tblPr>
    <w:tblStylePr w:type="firstRow">
      <w:pPr/>
      <w:rPr>
        <w:b/>
        <w:bCs/>
      </w:rPr>
      <w:tblPr/>
      <w:tcPr>
        <w:tcBorders>
          <w:bottom w:val="single" w:sz="4" w:space="0" w:color="000000"/>
        </w:tcBorders>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paragraph" w:styleId="style179">
    <w:name w:val="List Paragraph"/>
    <w:basedOn w:val="style0"/>
    <w:next w:val="style179"/>
    <w:qFormat/>
    <w:uiPriority w:val="34"/>
    <w:pPr>
      <w:ind w:left="720"/>
      <w:contextualSpacing/>
    </w:pPr>
    <w:rPr/>
  </w:style>
  <w:style w:type="table" w:customStyle="1" w:styleId="style4100">
    <w:name w:val="List Table 6 Colorful1"/>
    <w:basedOn w:val="style105"/>
    <w:next w:val="style4100"/>
    <w:uiPriority w:val="51"/>
    <w:pPr>
      <w:spacing w:after="0" w:lineRule="auto" w:line="240"/>
    </w:pPr>
    <w:rPr>
      <w:color w:val="000000"/>
      <w:sz w:val="20"/>
      <w:szCs w:val="20"/>
    </w:rPr>
    <w:tblPr>
      <w:tblBorders>
        <w:top w:val="single" w:sz="4" w:space="0" w:color="000000"/>
        <w:bottom w:val="single" w:sz="4" w:space="0" w:color="000000"/>
      </w:tblBorders>
    </w:tblPr>
    <w:tblStylePr w:type="firstRow">
      <w:pPr/>
      <w:rPr>
        <w:b/>
        <w:bCs/>
      </w:rPr>
      <w:tblPr/>
      <w:tcPr>
        <w:tcBorders>
          <w:bottom w:val="single" w:sz="4" w:space="0" w:color="000000"/>
        </w:tcBorders>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character" w:customStyle="1" w:styleId="style4101">
    <w:name w:val="Heading 1 Char_0220afe7-c8af-4cd4-885b-acd1a9a31188"/>
    <w:basedOn w:val="style65"/>
    <w:next w:val="style4101"/>
    <w:link w:val="style1"/>
    <w:uiPriority w:val="9"/>
    <w:rPr>
      <w:rFonts w:ascii="Times New Roman" w:cs="宋体" w:eastAsia="宋体" w:hAnsi="Times New Roman"/>
      <w:b/>
      <w:color w:val="000000"/>
      <w:sz w:val="24"/>
      <w:szCs w:val="32"/>
    </w:rPr>
  </w:style>
  <w:style w:type="paragraph" w:styleId="style31">
    <w:name w:val="header"/>
    <w:basedOn w:val="style0"/>
    <w:next w:val="style31"/>
    <w:link w:val="style4102"/>
    <w:uiPriority w:val="99"/>
    <w:pPr>
      <w:tabs>
        <w:tab w:val="center" w:leader="none" w:pos="4680"/>
        <w:tab w:val="right" w:leader="none" w:pos="9360"/>
      </w:tabs>
      <w:spacing w:after="0" w:lineRule="auto" w:line="240"/>
    </w:pPr>
    <w:rPr/>
  </w:style>
  <w:style w:type="character" w:customStyle="1" w:styleId="style4102">
    <w:name w:val="Header Char_29c8ac98-b64b-42ac-ba10-50794ea33c61"/>
    <w:basedOn w:val="style65"/>
    <w:next w:val="style4102"/>
    <w:link w:val="style31"/>
    <w:uiPriority w:val="99"/>
  </w:style>
  <w:style w:type="paragraph" w:styleId="style32">
    <w:name w:val="footer"/>
    <w:basedOn w:val="style0"/>
    <w:next w:val="style32"/>
    <w:link w:val="style4103"/>
    <w:uiPriority w:val="99"/>
    <w:pPr>
      <w:tabs>
        <w:tab w:val="center" w:leader="none" w:pos="4680"/>
        <w:tab w:val="right" w:leader="none" w:pos="9360"/>
      </w:tabs>
      <w:spacing w:after="0" w:lineRule="auto" w:line="240"/>
    </w:pPr>
    <w:rPr/>
  </w:style>
  <w:style w:type="character" w:customStyle="1" w:styleId="style4103">
    <w:name w:val="Footer Char_8613ae1e-4578-4ec9-b94c-736369da015d"/>
    <w:basedOn w:val="style65"/>
    <w:next w:val="style4103"/>
    <w:link w:val="style32"/>
    <w:uiPriority w:val="99"/>
  </w:style>
  <w:style w:type="character" w:styleId="style41">
    <w:name w:val="page number"/>
    <w:basedOn w:val="style65"/>
    <w:next w:val="style41"/>
    <w:uiPriority w:val="99"/>
  </w:style>
  <w:style w:type="character" w:customStyle="1" w:styleId="style4104">
    <w:name w:val="Heading 2 Char_6c254179-8765-4acc-af54-d52c3501a9a2"/>
    <w:basedOn w:val="style65"/>
    <w:next w:val="style4104"/>
    <w:link w:val="style2"/>
    <w:uiPriority w:val="9"/>
    <w:rPr>
      <w:rFonts w:ascii="Times New Roman" w:cs="宋体" w:eastAsia="宋体" w:hAnsi="Times New Roman"/>
      <w:b/>
      <w:color w:val="000000"/>
      <w:sz w:val="24"/>
      <w:szCs w:val="26"/>
    </w:rPr>
  </w:style>
  <w:style w:type="paragraph" w:styleId="style266">
    <w:name w:val="TOC Heading"/>
    <w:basedOn w:val="style1"/>
    <w:next w:val="style0"/>
    <w:qFormat/>
    <w:uiPriority w:val="39"/>
    <w:pPr>
      <w:outlineLvl w:val="9"/>
    </w:pPr>
    <w:rPr>
      <w:rFonts w:ascii="Calibri Light" w:hAnsi="Calibri Light"/>
      <w:b w:val="false"/>
      <w:color w:val="2e74b5"/>
      <w:sz w:val="32"/>
    </w:rPr>
  </w:style>
  <w:style w:type="paragraph" w:styleId="style19">
    <w:name w:val="toc 1"/>
    <w:basedOn w:val="style0"/>
    <w:next w:val="style0"/>
    <w:uiPriority w:val="39"/>
    <w:pPr>
      <w:spacing w:after="100"/>
    </w:pPr>
    <w:rPr/>
  </w:style>
  <w:style w:type="paragraph" w:styleId="style20">
    <w:name w:val="toc 2"/>
    <w:basedOn w:val="style0"/>
    <w:next w:val="style0"/>
    <w:uiPriority w:val="39"/>
    <w:pPr>
      <w:spacing w:after="100"/>
      <w:ind w:left="220"/>
    </w:pPr>
    <w:rPr/>
  </w:style>
  <w:style w:type="paragraph" w:styleId="style21">
    <w:name w:val="toc 3"/>
    <w:basedOn w:val="style0"/>
    <w:next w:val="style0"/>
    <w:uiPriority w:val="39"/>
    <w:pPr>
      <w:spacing w:after="100"/>
      <w:ind w:left="440"/>
    </w:pPr>
    <w:rPr/>
  </w:style>
  <w:style w:type="character" w:styleId="style85">
    <w:name w:val="Hyperlink"/>
    <w:basedOn w:val="style65"/>
    <w:next w:val="style85"/>
    <w:uiPriority w:val="99"/>
    <w:rPr>
      <w:color w:val="0563c1"/>
      <w:u w:val="single"/>
    </w:rPr>
  </w:style>
</w:styles>
</file>

<file path=word/_rels/document.xml.rels><?xml version="1.0" encoding="UTF-8"?>
<Relationships xmlns="http://schemas.openxmlformats.org/package/2006/relationships"><Relationship Id="rId11" Type="http://schemas.openxmlformats.org/officeDocument/2006/relationships/styles" Target="styles.xml"/><Relationship Id="rId10" Type="http://schemas.openxmlformats.org/officeDocument/2006/relationships/image" Target="media/image7.jpeg"/><Relationship Id="rId13" Type="http://schemas.openxmlformats.org/officeDocument/2006/relationships/settings" Target="settings.xml"/><Relationship Id="rId12"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footer" Target="footer1.xml"/><Relationship Id="rId9" Type="http://schemas.openxmlformats.org/officeDocument/2006/relationships/image" Target="media/image6.jpeg"/><Relationship Id="rId15" Type="http://schemas.openxmlformats.org/officeDocument/2006/relationships/customXml" Target="../customXml/item1.xml"/><Relationship Id="rId14" Type="http://schemas.openxmlformats.org/officeDocument/2006/relationships/theme" Target="theme/theme1.xml"/><Relationship Id="rId5" Type="http://schemas.openxmlformats.org/officeDocument/2006/relationships/footer" Target="footer2.xml"/><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DE7F2-A323-40B2-ACBF-4A191C31B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Words>7820</Words>
  <Pages>40</Pages>
  <Characters>48346</Characters>
  <Application>WPS Office</Application>
  <DocSecurity>0</DocSecurity>
  <Paragraphs>502</Paragraphs>
  <ScaleCrop>false</ScaleCrop>
  <LinksUpToDate>false</LinksUpToDate>
  <CharactersWithSpaces>56037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2025-07-11T16:07:00Z</dcterms:created>
  <dc:creator>Hassan Musa</dc:creator>
  <lastModifiedBy>Infinix X6817</lastModifiedBy>
  <dcterms:modified xsi:type="dcterms:W3CDTF">2025-08-14T11:56:09Z</dcterms:modified>
  <revision>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7a00970c3ecf41b2b1adb3ff819417fb</vt:lpwstr>
  </property>
</Properties>
</file>