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70A61" w14:textId="77777777" w:rsidR="00EB0977" w:rsidRDefault="00EB0977" w:rsidP="00EB0977">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POTENCY OF FUSARIUM GRAMINEARUM</w:t>
      </w:r>
      <w:r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24F5DD84" w14:textId="77777777" w:rsidR="00EB0977" w:rsidRDefault="00EB0977" w:rsidP="00EB0977">
      <w:pPr>
        <w:spacing w:after="0" w:line="360" w:lineRule="auto"/>
        <w:rPr>
          <w:rFonts w:ascii="Times New Roman" w:hAnsi="Times New Roman" w:cs="Times New Roman"/>
          <w:b/>
          <w:sz w:val="28"/>
          <w:szCs w:val="28"/>
        </w:rPr>
      </w:pPr>
    </w:p>
    <w:p w14:paraId="073FE63A" w14:textId="77777777" w:rsidR="00EB0977" w:rsidRPr="002270FA" w:rsidRDefault="00EB0977" w:rsidP="00EB0977">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396FE74F" w14:textId="77777777" w:rsidR="00EB0977" w:rsidRPr="006A21FC" w:rsidRDefault="00EB0977" w:rsidP="00EB0977">
      <w:pPr>
        <w:spacing w:line="240" w:lineRule="auto"/>
        <w:rPr>
          <w:rFonts w:ascii="Arial Black" w:hAnsi="Arial Black" w:cs="Times New Roman"/>
          <w:sz w:val="28"/>
          <w:szCs w:val="28"/>
        </w:rPr>
      </w:pPr>
    </w:p>
    <w:p w14:paraId="150989EF" w14:textId="77777777" w:rsidR="00EB0977" w:rsidRPr="005F1369" w:rsidRDefault="00EB0977" w:rsidP="00EB0977">
      <w:pPr>
        <w:spacing w:line="240" w:lineRule="auto"/>
        <w:jc w:val="center"/>
        <w:rPr>
          <w:rFonts w:ascii="Times New Roman" w:hAnsi="Times New Roman" w:cs="Times New Roman"/>
          <w:b/>
          <w:sz w:val="28"/>
          <w:szCs w:val="28"/>
        </w:rPr>
      </w:pPr>
      <w:r w:rsidRPr="005F1369">
        <w:rPr>
          <w:rFonts w:ascii="Times New Roman" w:hAnsi="Times New Roman" w:cs="Times New Roman"/>
          <w:b/>
          <w:sz w:val="28"/>
          <w:szCs w:val="28"/>
        </w:rPr>
        <w:t xml:space="preserve">ABDULWAHAB AINA MARYAM </w:t>
      </w:r>
    </w:p>
    <w:p w14:paraId="29FD4D33" w14:textId="77777777" w:rsidR="00EB0977" w:rsidRDefault="00EB0977" w:rsidP="00EB0977">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100</w:t>
      </w:r>
    </w:p>
    <w:p w14:paraId="758759EB" w14:textId="77777777" w:rsidR="00EB0977" w:rsidRPr="00BF66D0" w:rsidRDefault="00EB0977" w:rsidP="00EB0977">
      <w:pPr>
        <w:spacing w:line="240" w:lineRule="auto"/>
        <w:jc w:val="center"/>
        <w:rPr>
          <w:rFonts w:ascii="Times New Roman" w:hAnsi="Times New Roman" w:cs="Times New Roman"/>
          <w:b/>
          <w:sz w:val="28"/>
          <w:szCs w:val="28"/>
        </w:rPr>
      </w:pPr>
    </w:p>
    <w:p w14:paraId="649175A5" w14:textId="77777777" w:rsidR="00EB0977" w:rsidRDefault="00EB0977" w:rsidP="00EB097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B5B1CB9" w14:textId="77777777" w:rsidR="00EB0977" w:rsidRDefault="00EB0977" w:rsidP="00EB0977">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169C09F" w14:textId="77777777" w:rsidR="00EB0977" w:rsidRDefault="00EB0977" w:rsidP="00EB097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10F5E51" w14:textId="77777777" w:rsidR="00EB0977" w:rsidRDefault="00EB0977" w:rsidP="00EB0977">
      <w:pPr>
        <w:spacing w:after="0" w:line="360" w:lineRule="auto"/>
        <w:jc w:val="center"/>
        <w:rPr>
          <w:rFonts w:ascii="Times New Roman" w:hAnsi="Times New Roman" w:cs="Times New Roman"/>
          <w:b/>
          <w:sz w:val="28"/>
          <w:szCs w:val="28"/>
        </w:rPr>
      </w:pPr>
    </w:p>
    <w:p w14:paraId="05A21901" w14:textId="77777777" w:rsidR="00EB0977" w:rsidRDefault="00EB0977" w:rsidP="00EB0977">
      <w:pPr>
        <w:spacing w:after="0" w:line="360" w:lineRule="auto"/>
        <w:jc w:val="right"/>
        <w:rPr>
          <w:rFonts w:ascii="Times New Roman" w:hAnsi="Times New Roman" w:cs="Times New Roman"/>
          <w:b/>
          <w:bCs/>
          <w:sz w:val="28"/>
          <w:szCs w:val="28"/>
        </w:rPr>
      </w:pPr>
    </w:p>
    <w:p w14:paraId="36A5EB18" w14:textId="77777777" w:rsidR="00EB0977" w:rsidRDefault="00EB0977" w:rsidP="00EB0977">
      <w:pPr>
        <w:spacing w:after="0" w:line="360" w:lineRule="auto"/>
        <w:jc w:val="right"/>
        <w:rPr>
          <w:rFonts w:ascii="Times New Roman" w:hAnsi="Times New Roman" w:cs="Times New Roman"/>
          <w:b/>
          <w:bCs/>
          <w:sz w:val="28"/>
          <w:szCs w:val="28"/>
        </w:rPr>
      </w:pPr>
    </w:p>
    <w:p w14:paraId="1638C63F" w14:textId="77777777" w:rsidR="00EB0977" w:rsidRDefault="00EB0977" w:rsidP="00EB0977">
      <w:pPr>
        <w:spacing w:after="0" w:line="360" w:lineRule="auto"/>
        <w:jc w:val="right"/>
        <w:rPr>
          <w:rFonts w:ascii="Times New Roman" w:hAnsi="Times New Roman" w:cs="Times New Roman"/>
          <w:b/>
          <w:bCs/>
          <w:sz w:val="28"/>
          <w:szCs w:val="28"/>
        </w:rPr>
      </w:pPr>
    </w:p>
    <w:p w14:paraId="1B1A2027" w14:textId="77777777" w:rsidR="00EB0977" w:rsidRDefault="00EB0977" w:rsidP="00EB0977">
      <w:pPr>
        <w:spacing w:after="0" w:line="360" w:lineRule="auto"/>
        <w:jc w:val="right"/>
        <w:rPr>
          <w:rFonts w:ascii="Times New Roman" w:hAnsi="Times New Roman" w:cs="Times New Roman"/>
          <w:b/>
          <w:bCs/>
          <w:sz w:val="28"/>
          <w:szCs w:val="28"/>
        </w:rPr>
      </w:pPr>
    </w:p>
    <w:p w14:paraId="545033A9" w14:textId="77777777" w:rsidR="00EB0977" w:rsidRDefault="00EB0977" w:rsidP="00EB0977">
      <w:pPr>
        <w:spacing w:after="0" w:line="360" w:lineRule="auto"/>
        <w:jc w:val="right"/>
        <w:rPr>
          <w:rFonts w:ascii="Times New Roman" w:hAnsi="Times New Roman" w:cs="Times New Roman"/>
          <w:b/>
          <w:bCs/>
          <w:sz w:val="28"/>
          <w:szCs w:val="28"/>
        </w:rPr>
      </w:pPr>
    </w:p>
    <w:p w14:paraId="23DABCC7" w14:textId="77777777" w:rsidR="00EB0977" w:rsidRDefault="00EB0977" w:rsidP="00EB0977">
      <w:pPr>
        <w:spacing w:after="0" w:line="360" w:lineRule="auto"/>
        <w:jc w:val="right"/>
        <w:rPr>
          <w:rFonts w:ascii="Times New Roman" w:hAnsi="Times New Roman" w:cs="Times New Roman"/>
          <w:b/>
          <w:bCs/>
          <w:sz w:val="28"/>
          <w:szCs w:val="28"/>
        </w:rPr>
      </w:pPr>
    </w:p>
    <w:p w14:paraId="1988E4BA" w14:textId="77777777" w:rsidR="00EB0977" w:rsidRDefault="00EB0977" w:rsidP="00EB0977">
      <w:pPr>
        <w:spacing w:after="0" w:line="360" w:lineRule="auto"/>
        <w:jc w:val="right"/>
        <w:rPr>
          <w:rFonts w:ascii="Times New Roman" w:hAnsi="Times New Roman" w:cs="Times New Roman"/>
          <w:b/>
          <w:bCs/>
          <w:sz w:val="28"/>
          <w:szCs w:val="28"/>
        </w:rPr>
      </w:pPr>
    </w:p>
    <w:p w14:paraId="33BB8385" w14:textId="77777777" w:rsidR="00EB0977" w:rsidRDefault="00EB0977" w:rsidP="00EB0977">
      <w:pPr>
        <w:spacing w:after="0" w:line="360" w:lineRule="auto"/>
        <w:jc w:val="right"/>
        <w:rPr>
          <w:rFonts w:ascii="Times New Roman" w:hAnsi="Times New Roman" w:cs="Times New Roman"/>
          <w:b/>
          <w:bCs/>
          <w:sz w:val="28"/>
          <w:szCs w:val="28"/>
        </w:rPr>
      </w:pPr>
    </w:p>
    <w:p w14:paraId="3BB157E3" w14:textId="77777777" w:rsidR="00EB0977" w:rsidRDefault="00EB0977" w:rsidP="00EB0977">
      <w:pPr>
        <w:spacing w:after="0" w:line="360" w:lineRule="auto"/>
        <w:jc w:val="right"/>
        <w:rPr>
          <w:rFonts w:ascii="Times New Roman" w:hAnsi="Times New Roman" w:cs="Times New Roman"/>
          <w:b/>
          <w:bCs/>
          <w:sz w:val="28"/>
          <w:szCs w:val="28"/>
        </w:rPr>
      </w:pPr>
    </w:p>
    <w:p w14:paraId="1D857FC0" w14:textId="77777777" w:rsidR="00EB0977" w:rsidRDefault="00EB0977" w:rsidP="00EB0977">
      <w:pPr>
        <w:spacing w:after="0" w:line="360" w:lineRule="auto"/>
        <w:jc w:val="center"/>
        <w:rPr>
          <w:rFonts w:ascii="Times New Roman" w:hAnsi="Times New Roman" w:cs="Times New Roman"/>
          <w:b/>
          <w:bCs/>
          <w:sz w:val="28"/>
          <w:szCs w:val="28"/>
        </w:rPr>
        <w:sectPr w:rsidR="00EB0977"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p>
    <w:p w14:paraId="2582ABE3" w14:textId="77777777" w:rsidR="00EB0977" w:rsidRPr="00D0228B" w:rsidRDefault="00EB0977" w:rsidP="00EB0977">
      <w:pPr>
        <w:spacing w:after="0" w:line="240" w:lineRule="auto"/>
      </w:pPr>
      <w:r>
        <w:rPr>
          <w:noProof/>
        </w:rPr>
        <w:lastRenderedPageBreak/>
        <w:drawing>
          <wp:anchor distT="0" distB="0" distL="114300" distR="114300" simplePos="0" relativeHeight="251659264" behindDoc="0" locked="0" layoutInCell="1" allowOverlap="1" wp14:anchorId="5CF8EF4E" wp14:editId="550175FA">
            <wp:simplePos x="0" y="0"/>
            <wp:positionH relativeFrom="column">
              <wp:posOffset>-175260</wp:posOffset>
            </wp:positionH>
            <wp:positionV relativeFrom="paragraph">
              <wp:posOffset>-601980</wp:posOffset>
            </wp:positionV>
            <wp:extent cx="6424930" cy="88849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MM.jpg"/>
                    <pic:cNvPicPr/>
                  </pic:nvPicPr>
                  <pic:blipFill>
                    <a:blip r:embed="rId9">
                      <a:extLst>
                        <a:ext uri="{28A0092B-C50C-407E-A947-70E740481C1C}">
                          <a14:useLocalDpi xmlns:a14="http://schemas.microsoft.com/office/drawing/2010/main" val="0"/>
                        </a:ext>
                      </a:extLst>
                    </a:blip>
                    <a:stretch>
                      <a:fillRect/>
                    </a:stretch>
                  </pic:blipFill>
                  <pic:spPr>
                    <a:xfrm>
                      <a:off x="0" y="0"/>
                      <a:ext cx="6424930" cy="8884920"/>
                    </a:xfrm>
                    <a:prstGeom prst="rect">
                      <a:avLst/>
                    </a:prstGeom>
                  </pic:spPr>
                </pic:pic>
              </a:graphicData>
            </a:graphic>
            <wp14:sizeRelH relativeFrom="page">
              <wp14:pctWidth>0</wp14:pctWidth>
            </wp14:sizeRelH>
            <wp14:sizeRelV relativeFrom="page">
              <wp14:pctHeight>0</wp14:pctHeight>
            </wp14:sizeRelV>
          </wp:anchor>
        </w:drawing>
      </w:r>
    </w:p>
    <w:p w14:paraId="2108F3B7" w14:textId="77777777" w:rsidR="00EB0977" w:rsidRPr="00D6009D" w:rsidRDefault="00EB0977" w:rsidP="00EB0977">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F7A7B8F" w14:textId="77777777" w:rsidR="00EB0977" w:rsidRPr="005F1369" w:rsidRDefault="00EB0977" w:rsidP="00EB0977">
      <w:pPr>
        <w:spacing w:before="100" w:beforeAutospacing="1" w:line="360" w:lineRule="auto"/>
        <w:jc w:val="both"/>
        <w:rPr>
          <w:rFonts w:ascii="Times New Roman" w:eastAsia="Calibri" w:hAnsi="Times New Roman" w:cs="Times New Roman"/>
          <w:sz w:val="28"/>
          <w:szCs w:val="28"/>
        </w:rPr>
      </w:pPr>
      <w:r w:rsidRPr="005F1369">
        <w:rPr>
          <w:rFonts w:ascii="Times New Roman" w:eastAsia="Calibri" w:hAnsi="Times New Roman" w:cs="Times New Roman"/>
          <w:sz w:val="28"/>
          <w:szCs w:val="28"/>
        </w:rPr>
        <w:t xml:space="preserve">I dedicate this work to Almighty Allah for his guidance and mercy throughout the course of this research and to my beloved family whose unwavering support and encouragement kept me going. </w:t>
      </w:r>
    </w:p>
    <w:p w14:paraId="48E3131C" w14:textId="77777777" w:rsidR="00EB0977" w:rsidRPr="00905210" w:rsidRDefault="00EB0977" w:rsidP="00EB0977">
      <w:pPr>
        <w:spacing w:before="100" w:beforeAutospacing="1" w:line="360" w:lineRule="auto"/>
        <w:jc w:val="both"/>
        <w:rPr>
          <w:rFonts w:ascii="Times New Roman" w:eastAsia="Calibri" w:hAnsi="Times New Roman" w:cs="Times New Roman"/>
          <w:sz w:val="28"/>
          <w:szCs w:val="28"/>
        </w:rPr>
      </w:pPr>
      <w:r w:rsidRPr="00905210">
        <w:rPr>
          <w:rFonts w:ascii="Times New Roman" w:eastAsia="Calibri" w:hAnsi="Times New Roman" w:cs="Times New Roman"/>
          <w:sz w:val="28"/>
          <w:szCs w:val="28"/>
        </w:rPr>
        <w:t>.</w:t>
      </w:r>
    </w:p>
    <w:p w14:paraId="4A61043E"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06ECAE05"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40DCB415"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6DF5614B"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79A26803"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667D3F56"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6DF3B702"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39C0AFBA"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302250E8"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2F86A20F"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5B03E1C1" w14:textId="77777777" w:rsidR="00EB0977" w:rsidRDefault="00EB0977" w:rsidP="00EB0977">
      <w:pPr>
        <w:spacing w:line="480" w:lineRule="auto"/>
        <w:jc w:val="both"/>
        <w:rPr>
          <w:rFonts w:ascii="Times New Roman" w:eastAsia="Calibri" w:hAnsi="Times New Roman" w:cs="Times New Roman"/>
          <w:sz w:val="28"/>
          <w:szCs w:val="28"/>
        </w:rPr>
      </w:pPr>
    </w:p>
    <w:p w14:paraId="3EF88DD1" w14:textId="77777777" w:rsidR="00EB0977" w:rsidRDefault="00EB0977" w:rsidP="00EB0977">
      <w:pPr>
        <w:spacing w:line="480" w:lineRule="auto"/>
        <w:jc w:val="both"/>
        <w:rPr>
          <w:rFonts w:ascii="Times New Roman" w:hAnsi="Times New Roman" w:cs="Times New Roman"/>
          <w:b/>
          <w:bCs/>
          <w:sz w:val="28"/>
          <w:szCs w:val="28"/>
        </w:rPr>
      </w:pPr>
    </w:p>
    <w:p w14:paraId="6065698F" w14:textId="77777777" w:rsidR="00EB0977" w:rsidRDefault="00EB0977" w:rsidP="00EB0977">
      <w:pPr>
        <w:spacing w:line="480" w:lineRule="auto"/>
        <w:jc w:val="both"/>
        <w:rPr>
          <w:rFonts w:ascii="Times New Roman" w:hAnsi="Times New Roman" w:cs="Times New Roman"/>
          <w:b/>
          <w:bCs/>
          <w:sz w:val="28"/>
          <w:szCs w:val="28"/>
        </w:rPr>
      </w:pPr>
    </w:p>
    <w:p w14:paraId="2D8F7C99" w14:textId="77777777" w:rsidR="00EB0977" w:rsidRDefault="00EB0977" w:rsidP="00EB0977">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74ABD7C4" w14:textId="77777777" w:rsidR="00EB0977" w:rsidRPr="005F1369" w:rsidRDefault="00EB0977" w:rsidP="00EB0977">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 xml:space="preserve">All praise is given to Almighty Allah for granting me life, strength and wisdom to successfully complete this project research. </w:t>
      </w:r>
    </w:p>
    <w:p w14:paraId="7F816067" w14:textId="77777777" w:rsidR="00EB0977" w:rsidRDefault="00EB0977" w:rsidP="00EB0977">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 xml:space="preserve">My sincerest gratitude goes to my supervisor (Mr. </w:t>
      </w:r>
      <w:proofErr w:type="spellStart"/>
      <w:r w:rsidRPr="005F1369">
        <w:rPr>
          <w:rFonts w:ascii="Times New Roman" w:hAnsi="Times New Roman" w:cs="Times New Roman"/>
          <w:bCs/>
          <w:sz w:val="28"/>
          <w:szCs w:val="28"/>
        </w:rPr>
        <w:t>Olarongbe</w:t>
      </w:r>
      <w:proofErr w:type="spellEnd"/>
      <w:r w:rsidRPr="005F1369">
        <w:rPr>
          <w:rFonts w:ascii="Times New Roman" w:hAnsi="Times New Roman" w:cs="Times New Roman"/>
          <w:bCs/>
          <w:sz w:val="28"/>
          <w:szCs w:val="28"/>
        </w:rPr>
        <w:t xml:space="preserve"> G. O) for his guidance and support throughout this project research. Your valuable feedback and encouragement have been instrumental in my success. Thank you for providing me with the opportunity to learn and excel under your leadership. </w:t>
      </w:r>
    </w:p>
    <w:p w14:paraId="215C4655" w14:textId="77777777" w:rsidR="00EB0977" w:rsidRPr="005F1369" w:rsidRDefault="00EB0977" w:rsidP="00EB0977">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 xml:space="preserve">To my loving parents </w:t>
      </w:r>
      <w:proofErr w:type="spellStart"/>
      <w:r w:rsidRPr="005F1369">
        <w:rPr>
          <w:rFonts w:ascii="Times New Roman" w:hAnsi="Times New Roman" w:cs="Times New Roman"/>
          <w:bCs/>
          <w:sz w:val="28"/>
          <w:szCs w:val="28"/>
        </w:rPr>
        <w:t>Mr</w:t>
      </w:r>
      <w:proofErr w:type="spellEnd"/>
      <w:r w:rsidRPr="005F1369">
        <w:rPr>
          <w:rFonts w:ascii="Times New Roman" w:hAnsi="Times New Roman" w:cs="Times New Roman"/>
          <w:bCs/>
          <w:sz w:val="28"/>
          <w:szCs w:val="28"/>
        </w:rPr>
        <w:t xml:space="preserve"> and </w:t>
      </w:r>
      <w:proofErr w:type="spellStart"/>
      <w:r w:rsidRPr="005F1369">
        <w:rPr>
          <w:rFonts w:ascii="Times New Roman" w:hAnsi="Times New Roman" w:cs="Times New Roman"/>
          <w:bCs/>
          <w:sz w:val="28"/>
          <w:szCs w:val="28"/>
        </w:rPr>
        <w:t>Mrs</w:t>
      </w:r>
      <w:proofErr w:type="spellEnd"/>
      <w:r w:rsidRPr="005F1369">
        <w:rPr>
          <w:rFonts w:ascii="Times New Roman" w:hAnsi="Times New Roman" w:cs="Times New Roman"/>
          <w:bCs/>
          <w:sz w:val="28"/>
          <w:szCs w:val="28"/>
        </w:rPr>
        <w:t xml:space="preserve"> </w:t>
      </w:r>
      <w:proofErr w:type="spellStart"/>
      <w:r w:rsidRPr="005F1369">
        <w:rPr>
          <w:rFonts w:ascii="Times New Roman" w:hAnsi="Times New Roman" w:cs="Times New Roman"/>
          <w:bCs/>
          <w:sz w:val="28"/>
          <w:szCs w:val="28"/>
        </w:rPr>
        <w:t>Abdulwahab</w:t>
      </w:r>
      <w:proofErr w:type="spellEnd"/>
      <w:r>
        <w:rPr>
          <w:rFonts w:ascii="Times New Roman" w:hAnsi="Times New Roman" w:cs="Times New Roman"/>
          <w:bCs/>
          <w:sz w:val="28"/>
          <w:szCs w:val="28"/>
        </w:rPr>
        <w:t xml:space="preserve"> I </w:t>
      </w:r>
      <w:r w:rsidRPr="005F1369">
        <w:rPr>
          <w:rFonts w:ascii="Times New Roman" w:hAnsi="Times New Roman" w:cs="Times New Roman"/>
          <w:bCs/>
          <w:sz w:val="28"/>
          <w:szCs w:val="28"/>
        </w:rPr>
        <w:t xml:space="preserve">appreciate you for your unwavering support, word of encouragement and love. </w:t>
      </w:r>
      <w:r>
        <w:rPr>
          <w:rFonts w:ascii="Times New Roman" w:hAnsi="Times New Roman" w:cs="Times New Roman"/>
          <w:bCs/>
          <w:sz w:val="28"/>
          <w:szCs w:val="28"/>
        </w:rPr>
        <w:t xml:space="preserve"> </w:t>
      </w:r>
      <w:r w:rsidRPr="005F1369">
        <w:rPr>
          <w:rFonts w:ascii="Times New Roman" w:hAnsi="Times New Roman" w:cs="Times New Roman"/>
          <w:bCs/>
          <w:sz w:val="28"/>
          <w:szCs w:val="28"/>
        </w:rPr>
        <w:t xml:space="preserve">A very special appreciation goes to my brothers and sisters, mum twins, dad </w:t>
      </w:r>
      <w:proofErr w:type="spellStart"/>
      <w:r w:rsidRPr="005F1369">
        <w:rPr>
          <w:rFonts w:ascii="Times New Roman" w:hAnsi="Times New Roman" w:cs="Times New Roman"/>
          <w:bCs/>
          <w:sz w:val="28"/>
          <w:szCs w:val="28"/>
        </w:rPr>
        <w:t>fareedat</w:t>
      </w:r>
      <w:proofErr w:type="spellEnd"/>
      <w:r w:rsidRPr="005F1369">
        <w:rPr>
          <w:rFonts w:ascii="Times New Roman" w:hAnsi="Times New Roman" w:cs="Times New Roman"/>
          <w:bCs/>
          <w:sz w:val="28"/>
          <w:szCs w:val="28"/>
        </w:rPr>
        <w:t xml:space="preserve">, mum </w:t>
      </w:r>
      <w:proofErr w:type="spellStart"/>
      <w:r w:rsidRPr="005F1369">
        <w:rPr>
          <w:rFonts w:ascii="Times New Roman" w:hAnsi="Times New Roman" w:cs="Times New Roman"/>
          <w:bCs/>
          <w:sz w:val="28"/>
          <w:szCs w:val="28"/>
        </w:rPr>
        <w:t>ayo</w:t>
      </w:r>
      <w:proofErr w:type="spellEnd"/>
      <w:r w:rsidRPr="005F1369">
        <w:rPr>
          <w:rFonts w:ascii="Times New Roman" w:hAnsi="Times New Roman" w:cs="Times New Roman"/>
          <w:bCs/>
          <w:sz w:val="28"/>
          <w:szCs w:val="28"/>
        </w:rPr>
        <w:t xml:space="preserve">, dad </w:t>
      </w:r>
      <w:proofErr w:type="spellStart"/>
      <w:r w:rsidRPr="005F1369">
        <w:rPr>
          <w:rFonts w:ascii="Times New Roman" w:hAnsi="Times New Roman" w:cs="Times New Roman"/>
          <w:bCs/>
          <w:sz w:val="28"/>
          <w:szCs w:val="28"/>
        </w:rPr>
        <w:t>farhan</w:t>
      </w:r>
      <w:proofErr w:type="spellEnd"/>
      <w:r w:rsidRPr="005F1369">
        <w:rPr>
          <w:rFonts w:ascii="Times New Roman" w:hAnsi="Times New Roman" w:cs="Times New Roman"/>
          <w:bCs/>
          <w:sz w:val="28"/>
          <w:szCs w:val="28"/>
        </w:rPr>
        <w:t xml:space="preserve"> mum </w:t>
      </w:r>
      <w:proofErr w:type="spellStart"/>
      <w:r w:rsidRPr="005F1369">
        <w:rPr>
          <w:rFonts w:ascii="Times New Roman" w:hAnsi="Times New Roman" w:cs="Times New Roman"/>
          <w:bCs/>
          <w:sz w:val="28"/>
          <w:szCs w:val="28"/>
        </w:rPr>
        <w:t>yushroh</w:t>
      </w:r>
      <w:proofErr w:type="spellEnd"/>
      <w:r w:rsidRPr="005F1369">
        <w:rPr>
          <w:rFonts w:ascii="Times New Roman" w:hAnsi="Times New Roman" w:cs="Times New Roman"/>
          <w:bCs/>
          <w:sz w:val="28"/>
          <w:szCs w:val="28"/>
        </w:rPr>
        <w:t xml:space="preserve"> and my adorable nephew (</w:t>
      </w:r>
      <w:proofErr w:type="spellStart"/>
      <w:r w:rsidRPr="005F1369">
        <w:rPr>
          <w:rFonts w:ascii="Times New Roman" w:hAnsi="Times New Roman" w:cs="Times New Roman"/>
          <w:bCs/>
          <w:sz w:val="28"/>
          <w:szCs w:val="28"/>
        </w:rPr>
        <w:t>Abdulazeez</w:t>
      </w:r>
      <w:proofErr w:type="spellEnd"/>
      <w:proofErr w:type="gramStart"/>
      <w:r w:rsidRPr="005F1369">
        <w:rPr>
          <w:rFonts w:ascii="Times New Roman" w:hAnsi="Times New Roman" w:cs="Times New Roman"/>
          <w:bCs/>
          <w:sz w:val="28"/>
          <w:szCs w:val="28"/>
        </w:rPr>
        <w:t>)  thank</w:t>
      </w:r>
      <w:proofErr w:type="gramEnd"/>
      <w:r w:rsidRPr="005F1369">
        <w:rPr>
          <w:rFonts w:ascii="Times New Roman" w:hAnsi="Times New Roman" w:cs="Times New Roman"/>
          <w:bCs/>
          <w:sz w:val="28"/>
          <w:szCs w:val="28"/>
        </w:rPr>
        <w:t xml:space="preserve"> you all for believing in me, for pushing me to pursue my dreams, thanks for being there through thick and thin your love and support means the world to me and your presence in my life has been a constant source of strength and inspiration  am forever grateful to have you  all in my life. Almighty Allah will bless you all abundantly </w:t>
      </w:r>
    </w:p>
    <w:p w14:paraId="6C02E88B" w14:textId="77777777" w:rsidR="00EB0977" w:rsidRPr="005F1369" w:rsidRDefault="00EB0977" w:rsidP="00EB0977">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 xml:space="preserve">I will also like to thank all the laboratory technician and technical staff of the department of microbiology for their support and assistant during the practical aspect of the research. Your cooperation and help are deeply appreciated. </w:t>
      </w:r>
    </w:p>
    <w:p w14:paraId="46A00924" w14:textId="77777777" w:rsidR="00EB0977" w:rsidRPr="005F1369" w:rsidRDefault="00EB0977" w:rsidP="00EB0977">
      <w:pPr>
        <w:spacing w:before="100" w:beforeAutospacing="1" w:line="480" w:lineRule="auto"/>
        <w:jc w:val="both"/>
        <w:rPr>
          <w:rFonts w:ascii="Times New Roman" w:hAnsi="Times New Roman" w:cs="Times New Roman"/>
          <w:bCs/>
          <w:sz w:val="28"/>
          <w:szCs w:val="28"/>
        </w:rPr>
      </w:pPr>
    </w:p>
    <w:p w14:paraId="048B929B" w14:textId="77777777" w:rsidR="00EB0977" w:rsidRPr="005F1369" w:rsidRDefault="00EB0977" w:rsidP="00EB0977">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Lastly my appreciation goes to my friends who has contributed either through funds, prayers and word of encouragement I love you all so much.</w:t>
      </w:r>
    </w:p>
    <w:p w14:paraId="798406B1" w14:textId="77777777" w:rsidR="00EB0977" w:rsidRDefault="00EB0977" w:rsidP="00EB0977">
      <w:pPr>
        <w:spacing w:before="100" w:beforeAutospacing="1" w:line="480" w:lineRule="auto"/>
        <w:jc w:val="both"/>
        <w:rPr>
          <w:rFonts w:ascii="Times New Roman" w:eastAsia="Calibri" w:hAnsi="Times New Roman" w:cs="Times New Roman"/>
          <w:sz w:val="28"/>
          <w:szCs w:val="28"/>
        </w:rPr>
      </w:pPr>
    </w:p>
    <w:p w14:paraId="5901B1F4" w14:textId="77777777" w:rsidR="00EB0977" w:rsidRDefault="00EB0977" w:rsidP="00EB0977">
      <w:pPr>
        <w:spacing w:before="100" w:beforeAutospacing="1" w:line="480" w:lineRule="auto"/>
        <w:jc w:val="both"/>
        <w:rPr>
          <w:rFonts w:ascii="Times New Roman" w:eastAsia="Calibri" w:hAnsi="Times New Roman" w:cs="Times New Roman"/>
          <w:sz w:val="28"/>
          <w:szCs w:val="28"/>
        </w:rPr>
      </w:pPr>
    </w:p>
    <w:p w14:paraId="3114CF02" w14:textId="77777777" w:rsidR="00EB0977" w:rsidRDefault="00EB0977" w:rsidP="00EB0977">
      <w:pPr>
        <w:spacing w:before="100" w:beforeAutospacing="1" w:line="480" w:lineRule="auto"/>
        <w:jc w:val="both"/>
        <w:rPr>
          <w:rFonts w:ascii="Times New Roman" w:eastAsia="Calibri" w:hAnsi="Times New Roman" w:cs="Times New Roman"/>
          <w:sz w:val="28"/>
          <w:szCs w:val="28"/>
        </w:rPr>
      </w:pPr>
    </w:p>
    <w:p w14:paraId="065652C0" w14:textId="77777777" w:rsidR="00EB0977" w:rsidRDefault="00EB0977" w:rsidP="00EB0977">
      <w:pPr>
        <w:spacing w:before="100" w:beforeAutospacing="1" w:line="480" w:lineRule="auto"/>
        <w:jc w:val="both"/>
        <w:rPr>
          <w:rFonts w:ascii="Times New Roman" w:eastAsia="Calibri" w:hAnsi="Times New Roman" w:cs="Times New Roman"/>
          <w:sz w:val="28"/>
          <w:szCs w:val="28"/>
        </w:rPr>
      </w:pPr>
    </w:p>
    <w:p w14:paraId="38B14D1E" w14:textId="77777777" w:rsidR="00EB0977" w:rsidRDefault="00EB0977" w:rsidP="00EB0977">
      <w:pPr>
        <w:spacing w:before="100" w:beforeAutospacing="1" w:line="480" w:lineRule="auto"/>
        <w:jc w:val="both"/>
        <w:rPr>
          <w:rFonts w:ascii="Times New Roman" w:eastAsia="Calibri" w:hAnsi="Times New Roman" w:cs="Times New Roman"/>
          <w:sz w:val="28"/>
          <w:szCs w:val="28"/>
        </w:rPr>
      </w:pPr>
    </w:p>
    <w:p w14:paraId="04E848AD" w14:textId="77777777" w:rsidR="00EB0977" w:rsidRDefault="00EB0977" w:rsidP="00EB0977">
      <w:pPr>
        <w:spacing w:before="100" w:beforeAutospacing="1" w:line="480" w:lineRule="auto"/>
        <w:jc w:val="both"/>
        <w:rPr>
          <w:rFonts w:ascii="Times New Roman" w:eastAsia="Calibri" w:hAnsi="Times New Roman" w:cs="Times New Roman"/>
          <w:sz w:val="28"/>
          <w:szCs w:val="28"/>
        </w:rPr>
      </w:pPr>
    </w:p>
    <w:p w14:paraId="5E38C0FB" w14:textId="77777777" w:rsidR="00EB0977" w:rsidRDefault="00EB0977" w:rsidP="00EB0977">
      <w:pPr>
        <w:spacing w:before="100" w:beforeAutospacing="1" w:line="480" w:lineRule="auto"/>
        <w:jc w:val="both"/>
        <w:rPr>
          <w:rFonts w:ascii="Times New Roman" w:eastAsia="Calibri" w:hAnsi="Times New Roman" w:cs="Times New Roman"/>
          <w:sz w:val="28"/>
          <w:szCs w:val="28"/>
        </w:rPr>
      </w:pPr>
    </w:p>
    <w:p w14:paraId="42503680" w14:textId="77777777" w:rsidR="00EB0977" w:rsidRDefault="00EB0977" w:rsidP="00EB0977">
      <w:pPr>
        <w:spacing w:before="100" w:beforeAutospacing="1" w:line="480" w:lineRule="auto"/>
        <w:jc w:val="both"/>
        <w:rPr>
          <w:rFonts w:ascii="Times New Roman" w:eastAsia="Calibri" w:hAnsi="Times New Roman" w:cs="Times New Roman"/>
          <w:sz w:val="28"/>
          <w:szCs w:val="28"/>
        </w:rPr>
      </w:pPr>
    </w:p>
    <w:p w14:paraId="1A4793C2" w14:textId="77777777" w:rsidR="00EB0977" w:rsidRDefault="00EB0977" w:rsidP="00EB0977">
      <w:pPr>
        <w:spacing w:before="100" w:beforeAutospacing="1" w:line="480" w:lineRule="auto"/>
        <w:jc w:val="both"/>
        <w:rPr>
          <w:rFonts w:ascii="Times New Roman" w:eastAsia="Calibri" w:hAnsi="Times New Roman" w:cs="Times New Roman"/>
          <w:sz w:val="28"/>
          <w:szCs w:val="28"/>
        </w:rPr>
      </w:pPr>
    </w:p>
    <w:p w14:paraId="46FC495A" w14:textId="77777777" w:rsidR="00EB0977" w:rsidRDefault="00EB0977" w:rsidP="00EB0977">
      <w:pPr>
        <w:spacing w:before="100" w:beforeAutospacing="1" w:line="480" w:lineRule="auto"/>
        <w:jc w:val="both"/>
        <w:rPr>
          <w:rFonts w:ascii="Times New Roman" w:eastAsia="Calibri" w:hAnsi="Times New Roman" w:cs="Times New Roman"/>
          <w:sz w:val="28"/>
          <w:szCs w:val="28"/>
        </w:rPr>
      </w:pPr>
    </w:p>
    <w:p w14:paraId="5796CD4C" w14:textId="77777777" w:rsidR="00EB0977" w:rsidRDefault="00EB0977" w:rsidP="00EB0977">
      <w:pPr>
        <w:spacing w:before="100" w:beforeAutospacing="1" w:line="480" w:lineRule="auto"/>
        <w:jc w:val="both"/>
        <w:rPr>
          <w:rFonts w:ascii="Times New Roman" w:eastAsia="Calibri" w:hAnsi="Times New Roman" w:cs="Times New Roman"/>
          <w:sz w:val="28"/>
          <w:szCs w:val="28"/>
        </w:rPr>
      </w:pPr>
    </w:p>
    <w:p w14:paraId="4F4EC103" w14:textId="77777777" w:rsidR="00EB0977" w:rsidRPr="00D02E93" w:rsidRDefault="00EB0977" w:rsidP="00EB0977">
      <w:pPr>
        <w:spacing w:before="100" w:beforeAutospacing="1" w:line="480" w:lineRule="auto"/>
        <w:jc w:val="both"/>
        <w:rPr>
          <w:rFonts w:ascii="Times New Roman" w:eastAsia="Calibri" w:hAnsi="Times New Roman" w:cs="Times New Roman"/>
          <w:sz w:val="28"/>
          <w:szCs w:val="28"/>
        </w:rPr>
      </w:pPr>
    </w:p>
    <w:p w14:paraId="1B4F7938" w14:textId="77777777" w:rsidR="00EB0977" w:rsidRDefault="00EB0977" w:rsidP="00EB0977">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52EA06C0"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7711D06F"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0176269E"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2CB42B47"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16ED1F42"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----------------------------------------------------------v</w:t>
      </w:r>
      <w:r>
        <w:rPr>
          <w:rFonts w:ascii="Times New Roman" w:hAnsi="Times New Roman" w:cs="Times New Roman"/>
          <w:sz w:val="28"/>
          <w:szCs w:val="28"/>
        </w:rPr>
        <w:tab/>
      </w:r>
    </w:p>
    <w:p w14:paraId="21D4EB80"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------------------------------------------------------------viii</w:t>
      </w:r>
    </w:p>
    <w:p w14:paraId="005B5865"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----------------------------------------------------------------------ix</w:t>
      </w:r>
    </w:p>
    <w:p w14:paraId="4B5AD014"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---------------------------------------------------------------------ix</w:t>
      </w:r>
    </w:p>
    <w:p w14:paraId="75ED65FE"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w:t>
      </w:r>
    </w:p>
    <w:p w14:paraId="2F6EC633" w14:textId="77777777" w:rsidR="00EB0977" w:rsidRDefault="00EB0977" w:rsidP="00EB0977">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7B64EFF"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-------------------------------------------------------------------------6                                                  </w:t>
      </w:r>
    </w:p>
    <w:p w14:paraId="38015684"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2660E38A"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Problem--------------------------------------------------------------9</w:t>
      </w:r>
    </w:p>
    <w:p w14:paraId="6E05F9F3"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Study--------------------------------------------------------------9</w:t>
      </w:r>
    </w:p>
    <w:p w14:paraId="7652D0CA"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Objective----------------------------------------------------------------10</w:t>
      </w:r>
    </w:p>
    <w:p w14:paraId="6220DCC7" w14:textId="77777777" w:rsidR="00EB0977" w:rsidRDefault="00EB0977" w:rsidP="00EB0977">
      <w:pPr>
        <w:spacing w:line="480" w:lineRule="auto"/>
        <w:jc w:val="both"/>
        <w:rPr>
          <w:rFonts w:ascii="Times New Roman" w:hAnsi="Times New Roman" w:cs="Times New Roman"/>
          <w:b/>
          <w:bCs/>
          <w:sz w:val="28"/>
          <w:szCs w:val="28"/>
        </w:rPr>
      </w:pPr>
    </w:p>
    <w:p w14:paraId="21C2A0D3" w14:textId="77777777" w:rsidR="00EB0977" w:rsidRDefault="00EB0977" w:rsidP="00EB097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2A09306"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253514E3"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Material Used   ---------------------------------------------------------------------11</w:t>
      </w:r>
    </w:p>
    <w:p w14:paraId="006F1BCA"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4189C742"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5DAE15A1"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-----------------------------------------12</w:t>
      </w:r>
    </w:p>
    <w:p w14:paraId="7A80A0F2"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-------------------------------------------12</w:t>
      </w:r>
    </w:p>
    <w:p w14:paraId="33AB4D7D" w14:textId="77777777" w:rsidR="00EB0977" w:rsidRDefault="00EB0977" w:rsidP="00EB0977">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Preparation of Potato Dextrose Broth-------------------------------------------13</w:t>
      </w:r>
    </w:p>
    <w:p w14:paraId="4DC88BB3" w14:textId="77777777" w:rsidR="00EB0977" w:rsidRPr="008E3E32" w:rsidRDefault="00EB0977" w:rsidP="00EB0977">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5</w:t>
      </w:r>
      <w:r w:rsidRPr="008E3E32">
        <w:rPr>
          <w:rFonts w:ascii="Times New Roman" w:hAnsi="Times New Roman" w:cs="Times New Roman"/>
          <w:sz w:val="28"/>
          <w:szCs w:val="28"/>
        </w:rPr>
        <w:tab/>
      </w:r>
      <w:r>
        <w:rPr>
          <w:rFonts w:ascii="Times New Roman" w:hAnsi="Times New Roman" w:cs="Times New Roman"/>
          <w:sz w:val="28"/>
          <w:szCs w:val="28"/>
        </w:rPr>
        <w:t xml:space="preserve">Isolation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from maize</w:t>
      </w:r>
      <w:r>
        <w:rPr>
          <w:rFonts w:ascii="Times New Roman" w:hAnsi="Times New Roman" w:cs="Times New Roman"/>
          <w:b/>
          <w:sz w:val="28"/>
          <w:szCs w:val="28"/>
        </w:rPr>
        <w:t>------------------------------</w:t>
      </w:r>
      <w:r>
        <w:rPr>
          <w:rFonts w:ascii="Times New Roman" w:hAnsi="Times New Roman" w:cs="Times New Roman"/>
          <w:sz w:val="28"/>
          <w:szCs w:val="28"/>
        </w:rPr>
        <w:t>14</w:t>
      </w:r>
    </w:p>
    <w:p w14:paraId="21A44352" w14:textId="77777777" w:rsidR="00EB0977" w:rsidRDefault="00EB0977" w:rsidP="00EB0977">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6   </w:t>
      </w:r>
      <w:r w:rsidRPr="009B6A83">
        <w:rPr>
          <w:rFonts w:ascii="Times New Roman" w:hAnsi="Times New Roman" w:cs="Times New Roman"/>
          <w:sz w:val="28"/>
          <w:szCs w:val="28"/>
        </w:rPr>
        <w:t>Characterization and Identification of</w:t>
      </w:r>
      <w:r w:rsidRPr="004C6431">
        <w:rPr>
          <w:rFonts w:ascii="Times New Roman" w:hAnsi="Times New Roman" w:cs="Times New Roman"/>
          <w:b/>
          <w:sz w:val="28"/>
          <w:szCs w:val="28"/>
        </w:rPr>
        <w:t xml:space="preserve">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--------------14</w:t>
      </w:r>
    </w:p>
    <w:p w14:paraId="35B76CD8" w14:textId="77777777" w:rsidR="00EB0977" w:rsidRDefault="00EB0977" w:rsidP="00EB0977">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Sub-culturing and Extraction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----------------------15</w:t>
      </w:r>
    </w:p>
    <w:p w14:paraId="58D75BF4"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Administration and Evaluation of the Potency of the Toxin in White Rats-15</w:t>
      </w:r>
    </w:p>
    <w:p w14:paraId="58EF9667"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7A69C36F"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67B673E"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------------------------17</w:t>
      </w:r>
    </w:p>
    <w:p w14:paraId="0734A159" w14:textId="77777777" w:rsidR="00EB0977" w:rsidRPr="00A874C5" w:rsidRDefault="00EB0977" w:rsidP="00EB0977">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Pr>
          <w:rFonts w:ascii="Times New Roman" w:hAnsi="Times New Roman" w:cs="Times New Roman"/>
          <w:sz w:val="28"/>
          <w:szCs w:val="28"/>
        </w:rPr>
        <w:t>in Experimental rats -----------------------------19</w:t>
      </w:r>
    </w:p>
    <w:p w14:paraId="091E956C"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------------------------------------- 20                                                         </w:t>
      </w:r>
    </w:p>
    <w:p w14:paraId="75570BA6" w14:textId="77777777" w:rsidR="00EB0977" w:rsidRDefault="00EB0977" w:rsidP="00EB097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2766E115" w14:textId="77777777" w:rsidR="00EB0977" w:rsidRPr="00A874C5" w:rsidRDefault="00EB0977" w:rsidP="00EB0977">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30D5AD2F"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---23</w:t>
      </w:r>
      <w:r>
        <w:rPr>
          <w:rFonts w:ascii="Times New Roman" w:hAnsi="Times New Roman" w:cs="Times New Roman"/>
          <w:sz w:val="28"/>
          <w:szCs w:val="28"/>
        </w:rPr>
        <w:tab/>
        <w:t xml:space="preserve">        </w:t>
      </w:r>
    </w:p>
    <w:p w14:paraId="1061B3A7"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------------------------------------------------------------------------23</w:t>
      </w:r>
    </w:p>
    <w:p w14:paraId="0F35BD67"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1BAFC095" w14:textId="77777777" w:rsidR="00EB0977" w:rsidRDefault="00EB0977" w:rsidP="00EB0977">
      <w:pPr>
        <w:tabs>
          <w:tab w:val="left" w:pos="3780"/>
        </w:tabs>
        <w:spacing w:line="480" w:lineRule="auto"/>
        <w:jc w:val="both"/>
        <w:rPr>
          <w:rFonts w:ascii="Times New Roman" w:hAnsi="Times New Roman" w:cs="Times New Roman"/>
          <w:sz w:val="28"/>
          <w:szCs w:val="28"/>
        </w:rPr>
      </w:pPr>
    </w:p>
    <w:p w14:paraId="407BD564" w14:textId="77777777" w:rsidR="00EB0977" w:rsidRDefault="00EB0977" w:rsidP="00EB0977">
      <w:pPr>
        <w:tabs>
          <w:tab w:val="left" w:pos="3780"/>
        </w:tabs>
        <w:spacing w:line="480" w:lineRule="auto"/>
        <w:jc w:val="both"/>
        <w:rPr>
          <w:rFonts w:ascii="Times New Roman" w:hAnsi="Times New Roman" w:cs="Times New Roman"/>
          <w:sz w:val="28"/>
          <w:szCs w:val="28"/>
        </w:rPr>
      </w:pPr>
    </w:p>
    <w:p w14:paraId="69B63F2F" w14:textId="77777777" w:rsidR="00EB0977" w:rsidRDefault="00EB0977" w:rsidP="00EB0977">
      <w:pPr>
        <w:tabs>
          <w:tab w:val="left" w:pos="3780"/>
        </w:tabs>
        <w:spacing w:line="480" w:lineRule="auto"/>
        <w:jc w:val="both"/>
        <w:rPr>
          <w:rFonts w:ascii="Times New Roman" w:hAnsi="Times New Roman" w:cs="Times New Roman"/>
          <w:sz w:val="28"/>
          <w:szCs w:val="28"/>
        </w:rPr>
      </w:pPr>
    </w:p>
    <w:p w14:paraId="0FA2D075" w14:textId="77777777" w:rsidR="00EB0977" w:rsidRDefault="00EB0977" w:rsidP="00EB0977">
      <w:pPr>
        <w:tabs>
          <w:tab w:val="left" w:pos="3780"/>
        </w:tabs>
        <w:spacing w:line="480" w:lineRule="auto"/>
        <w:jc w:val="both"/>
        <w:rPr>
          <w:rFonts w:ascii="Times New Roman" w:hAnsi="Times New Roman" w:cs="Times New Roman"/>
          <w:sz w:val="28"/>
          <w:szCs w:val="28"/>
        </w:rPr>
      </w:pPr>
    </w:p>
    <w:p w14:paraId="7423DEEF" w14:textId="77777777" w:rsidR="00EB0977" w:rsidRDefault="00EB0977" w:rsidP="00EB0977">
      <w:pPr>
        <w:tabs>
          <w:tab w:val="left" w:pos="3780"/>
        </w:tabs>
        <w:spacing w:line="480" w:lineRule="auto"/>
        <w:jc w:val="both"/>
        <w:rPr>
          <w:rFonts w:ascii="Times New Roman" w:hAnsi="Times New Roman" w:cs="Times New Roman"/>
          <w:sz w:val="28"/>
          <w:szCs w:val="28"/>
        </w:rPr>
      </w:pPr>
    </w:p>
    <w:p w14:paraId="1F2C6D23" w14:textId="77777777" w:rsidR="00EB0977" w:rsidRDefault="00EB0977" w:rsidP="00EB0977">
      <w:pPr>
        <w:tabs>
          <w:tab w:val="left" w:pos="3780"/>
        </w:tabs>
        <w:spacing w:line="480" w:lineRule="auto"/>
        <w:jc w:val="both"/>
        <w:rPr>
          <w:rFonts w:ascii="Times New Roman" w:hAnsi="Times New Roman" w:cs="Times New Roman"/>
          <w:sz w:val="28"/>
          <w:szCs w:val="28"/>
        </w:rPr>
      </w:pPr>
    </w:p>
    <w:p w14:paraId="0663AA5D"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388B72AD"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58BB15DC" w14:textId="77777777" w:rsidR="00EB0977" w:rsidRDefault="00EB0977" w:rsidP="00EB0977">
      <w:pPr>
        <w:spacing w:before="100" w:beforeAutospacing="1" w:line="360" w:lineRule="auto"/>
        <w:jc w:val="both"/>
        <w:rPr>
          <w:rFonts w:ascii="Times New Roman" w:eastAsia="Calibri" w:hAnsi="Times New Roman" w:cs="Times New Roman"/>
          <w:sz w:val="28"/>
          <w:szCs w:val="28"/>
        </w:rPr>
      </w:pPr>
    </w:p>
    <w:p w14:paraId="1C428FE9" w14:textId="77777777" w:rsidR="00EB0977" w:rsidRDefault="00EB0977" w:rsidP="00EB097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4097A234" w14:textId="77777777" w:rsidR="00EB0977" w:rsidRDefault="00EB0977" w:rsidP="00EB0977">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w:t>
      </w:r>
      <w:proofErr w:type="gramStart"/>
      <w:r w:rsidRPr="00A633C9">
        <w:rPr>
          <w:rFonts w:ascii="Times New Roman" w:hAnsi="Times New Roman" w:cs="Times New Roman"/>
          <w:sz w:val="28"/>
          <w:szCs w:val="28"/>
        </w:rPr>
        <w:t>Isolate</w:t>
      </w:r>
      <w:proofErr w:type="gramEnd"/>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4368673" w14:textId="77777777" w:rsidR="00EB0977" w:rsidRPr="0073034B" w:rsidRDefault="00EB0977" w:rsidP="00EB0977">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2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100% Conc. Toxin Administration in Rats</w:t>
      </w:r>
    </w:p>
    <w:p w14:paraId="0AD0B04A" w14:textId="77777777" w:rsidR="00EB0977" w:rsidRPr="0073034B" w:rsidRDefault="00EB0977" w:rsidP="00EB0977">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3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80% Conc. Toxin Administration in Rats</w:t>
      </w:r>
    </w:p>
    <w:p w14:paraId="0307B771" w14:textId="77777777" w:rsidR="00EB0977" w:rsidRPr="0073034B" w:rsidRDefault="00EB0977" w:rsidP="00EB0977">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4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60% Conc. Toxin Administration in Rats</w:t>
      </w:r>
    </w:p>
    <w:p w14:paraId="5A151223" w14:textId="77777777" w:rsidR="00EB0977" w:rsidRPr="0073034B" w:rsidRDefault="00EB0977" w:rsidP="00EB0977">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5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50% Conc. Toxin Administration in Rats</w:t>
      </w:r>
    </w:p>
    <w:p w14:paraId="7565A95F" w14:textId="77777777" w:rsidR="00EB0977" w:rsidRPr="0073034B" w:rsidRDefault="00EB0977" w:rsidP="00EB0977">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581F9E7E" w14:textId="77777777" w:rsidR="00EB0977" w:rsidRDefault="00EB0977" w:rsidP="00EB0977">
      <w:pPr>
        <w:spacing w:before="100" w:beforeAutospacing="1" w:line="480" w:lineRule="auto"/>
        <w:jc w:val="both"/>
        <w:rPr>
          <w:rFonts w:ascii="Times New Roman" w:hAnsi="Times New Roman" w:cs="Times New Roman"/>
          <w:sz w:val="28"/>
          <w:szCs w:val="28"/>
        </w:rPr>
      </w:pPr>
    </w:p>
    <w:p w14:paraId="501020B6" w14:textId="77777777" w:rsidR="00EB0977" w:rsidRDefault="00EB0977" w:rsidP="00EB097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15C3D743" w14:textId="77777777" w:rsidR="00EB0977" w:rsidRDefault="00EB0977" w:rsidP="00EB0977">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 Showing Microscopic view </w:t>
      </w:r>
    </w:p>
    <w:p w14:paraId="1525E375" w14:textId="77777777" w:rsidR="00EB0977" w:rsidRDefault="00EB0977" w:rsidP="00EB097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Images of postmortem findings in experimental rats</w:t>
      </w:r>
    </w:p>
    <w:p w14:paraId="6993C93B" w14:textId="77777777" w:rsidR="00EB0977" w:rsidRDefault="00EB0977" w:rsidP="00EB0977">
      <w:pPr>
        <w:spacing w:line="480" w:lineRule="auto"/>
        <w:jc w:val="both"/>
        <w:rPr>
          <w:rFonts w:ascii="Times New Roman" w:hAnsi="Times New Roman" w:cs="Times New Roman"/>
          <w:sz w:val="28"/>
          <w:szCs w:val="28"/>
        </w:rPr>
      </w:pPr>
    </w:p>
    <w:p w14:paraId="659BD272" w14:textId="77777777" w:rsidR="00EB0977" w:rsidRDefault="00EB0977" w:rsidP="00EB0977">
      <w:pPr>
        <w:spacing w:line="480" w:lineRule="auto"/>
        <w:jc w:val="both"/>
        <w:rPr>
          <w:rFonts w:ascii="Times New Roman" w:hAnsi="Times New Roman" w:cs="Times New Roman"/>
          <w:sz w:val="28"/>
          <w:szCs w:val="28"/>
        </w:rPr>
      </w:pPr>
    </w:p>
    <w:p w14:paraId="25E53C7A" w14:textId="77777777" w:rsidR="00EB0977" w:rsidRDefault="00EB0977" w:rsidP="00EB0977">
      <w:pPr>
        <w:spacing w:before="100" w:beforeAutospacing="1" w:line="360" w:lineRule="auto"/>
        <w:rPr>
          <w:rFonts w:ascii="Times New Roman" w:eastAsia="Calibri" w:hAnsi="Times New Roman" w:cs="Times New Roman"/>
          <w:b/>
          <w:sz w:val="28"/>
          <w:szCs w:val="28"/>
        </w:rPr>
      </w:pPr>
    </w:p>
    <w:p w14:paraId="664DDEB9" w14:textId="77777777" w:rsidR="00EB0977" w:rsidRDefault="00EB0977" w:rsidP="00EB0977">
      <w:pPr>
        <w:spacing w:before="100" w:beforeAutospacing="1" w:line="360" w:lineRule="auto"/>
        <w:jc w:val="center"/>
        <w:rPr>
          <w:rFonts w:ascii="Times New Roman" w:eastAsia="Calibri" w:hAnsi="Times New Roman" w:cs="Times New Roman"/>
          <w:b/>
          <w:sz w:val="28"/>
          <w:szCs w:val="28"/>
        </w:rPr>
      </w:pPr>
    </w:p>
    <w:p w14:paraId="54664735" w14:textId="77777777" w:rsidR="00EB0977" w:rsidRDefault="00EB0977" w:rsidP="00EB0977">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2C69A96" w14:textId="77777777" w:rsidR="00EB0977" w:rsidRPr="00A95C7E" w:rsidRDefault="00EB0977" w:rsidP="00EB0977">
      <w:pPr>
        <w:spacing w:before="100" w:beforeAutospacing="1" w:line="480" w:lineRule="auto"/>
        <w:jc w:val="both"/>
        <w:rPr>
          <w:rFonts w:ascii="Times New Roman" w:eastAsia="Calibri" w:hAnsi="Times New Roman" w:cs="Times New Roman"/>
          <w:sz w:val="28"/>
          <w:szCs w:val="28"/>
        </w:rPr>
      </w:pP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w:t>
      </w:r>
      <w:proofErr w:type="spellStart"/>
      <w:r w:rsidRPr="00A95C7E">
        <w:rPr>
          <w:rFonts w:ascii="Times New Roman" w:eastAsia="Calibri" w:hAnsi="Times New Roman" w:cs="Times New Roman"/>
          <w:sz w:val="28"/>
          <w:szCs w:val="28"/>
        </w:rPr>
        <w:t>mycotoxigenic</w:t>
      </w:r>
      <w:proofErr w:type="spellEnd"/>
      <w:r w:rsidRPr="00A95C7E">
        <w:rPr>
          <w:rFonts w:ascii="Times New Roman" w:eastAsia="Calibri" w:hAnsi="Times New Roman" w:cs="Times New Roman"/>
          <w:sz w:val="28"/>
          <w:szCs w:val="28"/>
        </w:rPr>
        <w:t xml:space="preserve"> fungus that often infects cereal crops, generating strong toxins such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w:t>
      </w:r>
      <w:proofErr w:type="gramStart"/>
      <w:r w:rsidRPr="00A95C7E">
        <w:rPr>
          <w:rFonts w:ascii="Times New Roman" w:eastAsia="Calibri" w:hAnsi="Times New Roman" w:cs="Times New Roman"/>
          <w:sz w:val="28"/>
          <w:szCs w:val="28"/>
        </w:rPr>
        <w:t xml:space="preserve">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w:t>
      </w:r>
      <w:proofErr w:type="gramEnd"/>
      <w:r w:rsidRPr="00A95C7E">
        <w:rPr>
          <w:rFonts w:ascii="Times New Roman" w:eastAsia="Calibri" w:hAnsi="Times New Roman" w:cs="Times New Roman"/>
          <w:sz w:val="28"/>
          <w:szCs w:val="28"/>
        </w:rPr>
        <w:t xml:space="preserve">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xml:space="preserve"> in food systems to protect the health of people and animals. </w:t>
      </w:r>
    </w:p>
    <w:p w14:paraId="482560A2" w14:textId="77777777" w:rsidR="00EB0977" w:rsidRDefault="00EB0977" w:rsidP="00EB0977">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food safety, toxicology, organ damage</w:t>
      </w:r>
      <w:r>
        <w:rPr>
          <w:rFonts w:ascii="Times New Roman" w:eastAsia="Calibri" w:hAnsi="Times New Roman" w:cs="Times New Roman"/>
          <w:sz w:val="28"/>
          <w:szCs w:val="28"/>
        </w:rPr>
        <w:t>.</w:t>
      </w:r>
    </w:p>
    <w:p w14:paraId="1FF78656" w14:textId="77777777" w:rsidR="00EB0977" w:rsidRDefault="00EB0977" w:rsidP="00EB0977">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pPr>
      <w:bookmarkStart w:id="1" w:name="_GoBack"/>
      <w:bookmarkEnd w:id="1"/>
    </w:p>
    <w:p w14:paraId="61DBA14F" w14:textId="77777777" w:rsidR="00EB0977" w:rsidRDefault="00EB0977" w:rsidP="00EB0977">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sectPr w:rsidR="00EB0977" w:rsidSect="00EB0977">
          <w:footerReference w:type="default" r:id="rId10"/>
          <w:pgSz w:w="12240" w:h="15840"/>
          <w:pgMar w:top="1440" w:right="1440" w:bottom="1440" w:left="1440" w:header="708" w:footer="708" w:gutter="0"/>
          <w:pgNumType w:fmt="lowerRoman" w:start="2"/>
          <w:cols w:space="708"/>
          <w:docGrid w:linePitch="360"/>
        </w:sectPr>
      </w:pPr>
    </w:p>
    <w:p w14:paraId="4B4B8411" w14:textId="77777777" w:rsidR="000972BC" w:rsidRPr="000972BC" w:rsidRDefault="000972BC" w:rsidP="00EB0977">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lastRenderedPageBreak/>
        <w:t>CHAPTER ONE</w:t>
      </w:r>
    </w:p>
    <w:p w14:paraId="2B165931" w14:textId="77777777" w:rsidR="000972BC" w:rsidRPr="000972BC" w:rsidRDefault="000972BC" w:rsidP="000972BC">
      <w:pPr>
        <w:spacing w:before="100" w:beforeAutospacing="1" w:after="100" w:afterAutospacing="1" w:line="480" w:lineRule="auto"/>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INTRODUCTION AND LITERATURE REVIEW</w:t>
      </w:r>
    </w:p>
    <w:p w14:paraId="13687E8D" w14:textId="77777777" w:rsidR="00C740BD" w:rsidRPr="00155D6A" w:rsidRDefault="000972BC" w:rsidP="008E4415">
      <w:pPr>
        <w:pStyle w:val="ListParagraph"/>
        <w:numPr>
          <w:ilvl w:val="1"/>
          <w:numId w:val="3"/>
        </w:numPr>
        <w:spacing w:before="100" w:beforeAutospacing="1" w:after="100" w:afterAutospacing="1"/>
        <w:jc w:val="both"/>
        <w:rPr>
          <w:rFonts w:eastAsia="Times New Roman"/>
          <w:b/>
          <w:iCs/>
        </w:rPr>
      </w:pPr>
      <w:r w:rsidRPr="008E4415">
        <w:rPr>
          <w:rFonts w:eastAsia="Times New Roman"/>
          <w:b/>
          <w:iCs/>
        </w:rPr>
        <w:t>INTRODUCTION</w:t>
      </w:r>
    </w:p>
    <w:p w14:paraId="2ACBA13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155D6A">
        <w:rPr>
          <w:rFonts w:ascii="Times New Roman" w:eastAsia="Times New Roman" w:hAnsi="Times New Roman" w:cs="Times New Roman"/>
          <w:i/>
          <w:sz w:val="28"/>
          <w:szCs w:val="28"/>
        </w:rPr>
        <w:t>Fusarium</w:t>
      </w:r>
      <w:proofErr w:type="spellEnd"/>
      <w:r w:rsidRPr="00155D6A">
        <w:rPr>
          <w:rFonts w:ascii="Times New Roman" w:eastAsia="Times New Roman" w:hAnsi="Times New Roman" w:cs="Times New Roman"/>
          <w:i/>
          <w:sz w:val="28"/>
          <w:szCs w:val="28"/>
        </w:rPr>
        <w:t xml:space="preserve"> </w:t>
      </w:r>
      <w:proofErr w:type="spellStart"/>
      <w:r w:rsidRPr="00155D6A">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is a globally recognized fungal pathogen responsible for causing Fusarium head blight (FHB) in cereal crops, notably wheat, maize, and barley. It produces mycotoxins such as deoxynivalenol (DON), nivalenol (NIV), </w:t>
      </w:r>
      <w:proofErr w:type="spellStart"/>
      <w:r w:rsidRPr="00155D6A">
        <w:rPr>
          <w:rFonts w:ascii="Times New Roman" w:eastAsia="Times New Roman" w:hAnsi="Times New Roman" w:cs="Times New Roman"/>
          <w:sz w:val="28"/>
          <w:szCs w:val="28"/>
        </w:rPr>
        <w:t>zearalenone</w:t>
      </w:r>
      <w:proofErr w:type="spellEnd"/>
      <w:r w:rsidRPr="00155D6A">
        <w:rPr>
          <w:rFonts w:ascii="Times New Roman" w:eastAsia="Times New Roman" w:hAnsi="Times New Roman" w:cs="Times New Roman"/>
          <w:sz w:val="28"/>
          <w:szCs w:val="28"/>
        </w:rPr>
        <w:t xml:space="preserve"> (ZEA), and </w:t>
      </w:r>
      <w:proofErr w:type="spellStart"/>
      <w:r w:rsidRPr="00155D6A">
        <w:rPr>
          <w:rFonts w:ascii="Times New Roman" w:eastAsia="Times New Roman" w:hAnsi="Times New Roman" w:cs="Times New Roman"/>
          <w:sz w:val="28"/>
          <w:szCs w:val="28"/>
        </w:rPr>
        <w:t>fusarenon</w:t>
      </w:r>
      <w:proofErr w:type="spellEnd"/>
      <w:r w:rsidRPr="00155D6A">
        <w:rPr>
          <w:rFonts w:ascii="Times New Roman" w:eastAsia="Times New Roman" w:hAnsi="Times New Roman" w:cs="Times New Roman"/>
          <w:sz w:val="28"/>
          <w:szCs w:val="28"/>
        </w:rPr>
        <w:t xml:space="preserve">-X (FX), which have significant toxicological effects on human health, livestock, and the environment. This fungus thrives in temperate climates and can contaminate large quantities of crops, leading to significant economic losses in agricultural industries worldwide. Recent studies indicate that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particularly DON and NIV, are potent contaminants in food and feed supplies, thus posing a serious threat to food safety and public health (</w:t>
      </w:r>
      <w:proofErr w:type="spellStart"/>
      <w:r w:rsidRPr="00155D6A">
        <w:rPr>
          <w:rFonts w:ascii="Times New Roman" w:eastAsia="Times New Roman" w:hAnsi="Times New Roman" w:cs="Times New Roman"/>
          <w:sz w:val="28"/>
          <w:szCs w:val="28"/>
        </w:rPr>
        <w:t>Jabeen</w:t>
      </w:r>
      <w:proofErr w:type="spellEnd"/>
      <w:r w:rsidRPr="00155D6A">
        <w:rPr>
          <w:rFonts w:ascii="Times New Roman" w:eastAsia="Times New Roman" w:hAnsi="Times New Roman" w:cs="Times New Roman"/>
          <w:sz w:val="28"/>
          <w:szCs w:val="28"/>
        </w:rPr>
        <w:t xml:space="preserve"> et al., 2023).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species produce various toxins that not only impair plant growth but also exhibit harmful effects when ingested by animals, highlighting the need to understand the potential of Fusarium toxins to adversely affect living organisms (Huang et al., 2022). While DON is the most frequently studied trichothecene, other toxins such as NIV an</w:t>
      </w:r>
      <w:r>
        <w:rPr>
          <w:rFonts w:ascii="Times New Roman" w:eastAsia="Times New Roman" w:hAnsi="Times New Roman" w:cs="Times New Roman"/>
          <w:sz w:val="28"/>
          <w:szCs w:val="28"/>
        </w:rPr>
        <w:t xml:space="preserve">d FX also type B trichothecenes </w:t>
      </w:r>
      <w:r w:rsidRPr="00155D6A">
        <w:rPr>
          <w:rFonts w:ascii="Times New Roman" w:eastAsia="Times New Roman" w:hAnsi="Times New Roman" w:cs="Times New Roman"/>
          <w:sz w:val="28"/>
          <w:szCs w:val="28"/>
        </w:rPr>
        <w:t xml:space="preserve">exhibit similar inhibition of protein synthesis in eukaryotic cells and are capable of inducing </w:t>
      </w:r>
      <w:proofErr w:type="spellStart"/>
      <w:r w:rsidRPr="00155D6A">
        <w:rPr>
          <w:rFonts w:ascii="Times New Roman" w:eastAsia="Times New Roman" w:hAnsi="Times New Roman" w:cs="Times New Roman"/>
          <w:sz w:val="28"/>
          <w:szCs w:val="28"/>
        </w:rPr>
        <w:t>immunotoxic</w:t>
      </w:r>
      <w:proofErr w:type="spellEnd"/>
      <w:r w:rsidRPr="00155D6A">
        <w:rPr>
          <w:rFonts w:ascii="Times New Roman" w:eastAsia="Times New Roman" w:hAnsi="Times New Roman" w:cs="Times New Roman"/>
          <w:sz w:val="28"/>
          <w:szCs w:val="28"/>
        </w:rPr>
        <w:t xml:space="preserve">, </w:t>
      </w:r>
      <w:proofErr w:type="spellStart"/>
      <w:r w:rsidRPr="00155D6A">
        <w:rPr>
          <w:rFonts w:ascii="Times New Roman" w:eastAsia="Times New Roman" w:hAnsi="Times New Roman" w:cs="Times New Roman"/>
          <w:sz w:val="28"/>
          <w:szCs w:val="28"/>
        </w:rPr>
        <w:t>genotoxic</w:t>
      </w:r>
      <w:proofErr w:type="spellEnd"/>
      <w:r w:rsidRPr="00155D6A">
        <w:rPr>
          <w:rFonts w:ascii="Times New Roman" w:eastAsia="Times New Roman" w:hAnsi="Times New Roman" w:cs="Times New Roman"/>
          <w:sz w:val="28"/>
          <w:szCs w:val="28"/>
        </w:rPr>
        <w:t xml:space="preserve">, and apoptotic effects. </w:t>
      </w:r>
      <w:r w:rsidRPr="00155D6A">
        <w:rPr>
          <w:rFonts w:ascii="Times New Roman" w:eastAsia="Times New Roman" w:hAnsi="Times New Roman" w:cs="Times New Roman"/>
          <w:sz w:val="28"/>
          <w:szCs w:val="28"/>
        </w:rPr>
        <w:lastRenderedPageBreak/>
        <w:t>Zearalenone (ZEA), on the other hand, is a non-trichothecene mycotoxin that acts as an estrogenic compound, disrupting endocrine functions and affecting reproductive health in female animals. These mycotoxins target multiple organ systems, and their combined or synergistic effects can be even more hazardous.</w:t>
      </w:r>
      <w:r w:rsidR="005C2B97">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t xml:space="preserve">Although the effects of these toxins on plants have been well documented, their impact on animal models such as rodents remains an emerging area of research. Recent studies have shown that chronic exposure to Fusarium toxins like DON, NIV, and ZEA can result in various physiological and behavioral abnormalities in rodents, providing insight into how these toxins might affect human health (Zhu et al., 2023). However, despite the growing body of evidence on the general toxicity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w:t>
      </w:r>
      <w:r w:rsidRPr="00155D6A">
        <w:rPr>
          <w:rFonts w:ascii="Times New Roman" w:eastAsia="Times New Roman" w:hAnsi="Times New Roman" w:cs="Times New Roman"/>
          <w:bCs/>
          <w:sz w:val="28"/>
          <w:szCs w:val="28"/>
        </w:rPr>
        <w:t>significant research gaps remain in understanding their specific dose-dependent effects, organ-targeted toxicity, and long-term behavioral and neurological consequences, particularly in controlled in vivo studies using animal models</w:t>
      </w:r>
      <w:r w:rsidRPr="00155D6A">
        <w:rPr>
          <w:rFonts w:ascii="Times New Roman" w:eastAsia="Times New Roman" w:hAnsi="Times New Roman" w:cs="Times New Roman"/>
          <w:sz w:val="28"/>
          <w:szCs w:val="28"/>
        </w:rPr>
        <w:t xml:space="preserve">. Additionally, there is limited comparative analysis of the relative potency of different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under uniform experimental conditions, which is crucial for comprehensive risk assessment.</w:t>
      </w:r>
    </w:p>
    <w:p w14:paraId="60F4AB72"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Building on the increasing awareness of the adverse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on mammalian systems, animal models such as white rats (</w:t>
      </w:r>
      <w:r w:rsidRPr="00155D6A">
        <w:rPr>
          <w:rFonts w:ascii="Times New Roman" w:eastAsia="Times New Roman" w:hAnsi="Times New Roman" w:cs="Times New Roman"/>
          <w:i/>
          <w:iCs/>
          <w:sz w:val="28"/>
          <w:szCs w:val="28"/>
        </w:rPr>
        <w:t>Rattus norvegicus</w:t>
      </w:r>
      <w:r w:rsidRPr="00155D6A">
        <w:rPr>
          <w:rFonts w:ascii="Times New Roman" w:eastAsia="Times New Roman" w:hAnsi="Times New Roman" w:cs="Times New Roman"/>
          <w:sz w:val="28"/>
          <w:szCs w:val="28"/>
        </w:rPr>
        <w:t xml:space="preserve">) have become critical in toxicological research. White rats are commonly used due to their physiological similarities to humans and their </w:t>
      </w:r>
      <w:r w:rsidRPr="00155D6A">
        <w:rPr>
          <w:rFonts w:ascii="Times New Roman" w:eastAsia="Times New Roman" w:hAnsi="Times New Roman" w:cs="Times New Roman"/>
          <w:sz w:val="28"/>
          <w:szCs w:val="28"/>
        </w:rPr>
        <w:lastRenderedPageBreak/>
        <w:t xml:space="preserve">responsiveness to a variety of environmental and dietary exposures. These rodents serve as an ideal model for studying the systemic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with emphasis on their impact on the immune system, liver function, reproductive system, and kidney health. Recent research has shown that DON and NIV exposure in rats leads to an upregulation of pro-inflammatory cytokines and alterations in immune cell profiles, indicating a compromised immune response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 ZEA, in particular, has been associated with reproductive toxicity, disrupting hormonal balance and leading to changes in the estrous cycle and ovarian morphology.</w:t>
      </w:r>
    </w:p>
    <w:p w14:paraId="256226E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Furthermore, exposure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has been shown to affect organ function, leading to hepatic and renal damage, which may be dose-dependent. Some studies have suggested that chronic exposure to even low levels of these toxins can cause significant changes in organ morphology and function. In rats, the liver, which is primarily involved in detoxification processes, appears to be particularly susceptible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Histopathological examinations have revealed hepatocellular necrosis, steatosis, and inflammation following exposure to DON (Müller et al., 2020). Additionally, kidney toxicity, as evidenced by changes in kidney function biomarkers such as serum creatinine and urea, is also a significant concern when rats are exposed to toxins like NIV and FX for extended periods. In addition to physical damage,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are also linked to </w:t>
      </w:r>
      <w:r w:rsidRPr="00155D6A">
        <w:rPr>
          <w:rFonts w:ascii="Times New Roman" w:eastAsia="Times New Roman" w:hAnsi="Times New Roman" w:cs="Times New Roman"/>
          <w:sz w:val="28"/>
          <w:szCs w:val="28"/>
        </w:rPr>
        <w:lastRenderedPageBreak/>
        <w:t xml:space="preserve">behavioral, endocrine, and neurological changes in animal models. Recent investigations into the neurotoxic effects of these toxins, especially DON and FX, have indicated a potential for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to disrupt cognitive and motor functions in white rats, possibly by crossing the blood-brain barrier and altering neurotransmitter levels or damaging neural tissue (Sánchez et al., 2022).</w:t>
      </w:r>
    </w:p>
    <w:p w14:paraId="417B5ABD"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These findings highlight the broader health implications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emphasizing the need for further studies to evaluate the long-term consequences of such exposures on animal behavior and cognitive function. </w:t>
      </w:r>
      <w:r w:rsidRPr="00155D6A">
        <w:rPr>
          <w:rFonts w:ascii="Times New Roman" w:eastAsia="Times New Roman" w:hAnsi="Times New Roman" w:cs="Times New Roman"/>
          <w:bCs/>
          <w:sz w:val="28"/>
          <w:szCs w:val="28"/>
        </w:rPr>
        <w:t xml:space="preserve">However, current literature lacks comprehensive in vivo models that explore the full spectrum of toxic effects associated with different </w:t>
      </w:r>
      <w:r w:rsidRPr="005C2B97">
        <w:rPr>
          <w:rFonts w:ascii="Times New Roman" w:eastAsia="Times New Roman" w:hAnsi="Times New Roman" w:cs="Times New Roman"/>
          <w:bCs/>
          <w:i/>
          <w:sz w:val="28"/>
          <w:szCs w:val="28"/>
        </w:rPr>
        <w:t>Fusarium</w:t>
      </w:r>
      <w:r w:rsidRPr="00155D6A">
        <w:rPr>
          <w:rFonts w:ascii="Times New Roman" w:eastAsia="Times New Roman" w:hAnsi="Times New Roman" w:cs="Times New Roman"/>
          <w:bCs/>
          <w:sz w:val="28"/>
          <w:szCs w:val="28"/>
        </w:rPr>
        <w:t xml:space="preserve"> mycotoxins at varied doses and exposure durations. Particularly, there is a scarcity of studies integrating behavioral, biochemical, histological, and molecular endpoints within the same experimental framework. This creates a research gap that hinders the formulation of robust toxicological profiles for these mycotoxins</w:t>
      </w:r>
      <w:r w:rsidRPr="00155D6A">
        <w:rPr>
          <w:rFonts w:ascii="Times New Roman" w:eastAsia="Times New Roman" w:hAnsi="Times New Roman" w:cs="Times New Roman"/>
          <w:b/>
          <w:bCs/>
          <w:sz w:val="28"/>
          <w:szCs w:val="28"/>
        </w:rPr>
        <w:t>.</w:t>
      </w:r>
    </w:p>
    <w:p w14:paraId="3454D0F0"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 mechanism by which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exert their toxic effects involves the activation of multiple intracellular signaling pathways, including those involved in stress response, inflammation, and hormonal regulation. Upon exposure, type B trichothecenes such as DON, NIV, and FX interact with the cell's ribosome, preventing the proper translation of proteins and leading to an accumulation of </w:t>
      </w:r>
      <w:r w:rsidRPr="00155D6A">
        <w:rPr>
          <w:rFonts w:ascii="Times New Roman" w:eastAsia="Times New Roman" w:hAnsi="Times New Roman" w:cs="Times New Roman"/>
          <w:sz w:val="28"/>
          <w:szCs w:val="28"/>
        </w:rPr>
        <w:lastRenderedPageBreak/>
        <w:t>damaged proteins and cellular stress (Ding et al., 2022). This process results in the release of pro-inflammatory mediators and the activation of apoptosis in affected cells, contributing to tissue damage and dysfunction. In rats, studies have demonstrated that exposure to these toxins can lead to the activation of pathways such as the NF-</w:t>
      </w:r>
      <w:proofErr w:type="spellStart"/>
      <w:r w:rsidRPr="00155D6A">
        <w:rPr>
          <w:rFonts w:ascii="Times New Roman" w:eastAsia="Times New Roman" w:hAnsi="Times New Roman" w:cs="Times New Roman"/>
          <w:sz w:val="28"/>
          <w:szCs w:val="28"/>
        </w:rPr>
        <w:t>κB</w:t>
      </w:r>
      <w:proofErr w:type="spellEnd"/>
      <w:r w:rsidRPr="00155D6A">
        <w:rPr>
          <w:rFonts w:ascii="Times New Roman" w:eastAsia="Times New Roman" w:hAnsi="Times New Roman" w:cs="Times New Roman"/>
          <w:sz w:val="28"/>
          <w:szCs w:val="28"/>
        </w:rPr>
        <w:t xml:space="preserve"> pathway, which is involved in regulating immune responses and inflammation (Zhu et al., 2023). Zearalenone, in contrast, binds to estrogen receptors and disrupts normal hormonal signaling, particularly affecting reproductive tissues.</w:t>
      </w:r>
    </w:p>
    <w:p w14:paraId="34E05D95"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As food contaminants, </w:t>
      </w:r>
      <w:proofErr w:type="spellStart"/>
      <w:r w:rsidRPr="005C2B97">
        <w:rPr>
          <w:rFonts w:ascii="Times New Roman" w:eastAsia="Times New Roman" w:hAnsi="Times New Roman" w:cs="Times New Roman"/>
          <w:i/>
          <w:sz w:val="28"/>
          <w:szCs w:val="28"/>
        </w:rPr>
        <w:t>Fusarium</w:t>
      </w:r>
      <w:proofErr w:type="spellEnd"/>
      <w:r w:rsidRPr="005C2B97">
        <w:rPr>
          <w:rFonts w:ascii="Times New Roman" w:eastAsia="Times New Roman" w:hAnsi="Times New Roman" w:cs="Times New Roman"/>
          <w:i/>
          <w:sz w:val="28"/>
          <w:szCs w:val="28"/>
        </w:rPr>
        <w:t xml:space="preserve"> </w:t>
      </w:r>
      <w:proofErr w:type="spellStart"/>
      <w:r w:rsidRPr="005C2B97">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toxins pose a significant threat not only to agriculture but also to animal and human health. Animal models like white rats play a crucial role in elucidating the </w:t>
      </w:r>
      <w:proofErr w:type="spellStart"/>
      <w:r w:rsidRPr="00155D6A">
        <w:rPr>
          <w:rFonts w:ascii="Times New Roman" w:eastAsia="Times New Roman" w:hAnsi="Times New Roman" w:cs="Times New Roman"/>
          <w:sz w:val="28"/>
          <w:szCs w:val="28"/>
        </w:rPr>
        <w:t>toxicokinetics</w:t>
      </w:r>
      <w:proofErr w:type="spellEnd"/>
      <w:r w:rsidRPr="00155D6A">
        <w:rPr>
          <w:rFonts w:ascii="Times New Roman" w:eastAsia="Times New Roman" w:hAnsi="Times New Roman" w:cs="Times New Roman"/>
          <w:sz w:val="28"/>
          <w:szCs w:val="28"/>
        </w:rPr>
        <w:t xml:space="preserve"> and </w:t>
      </w:r>
      <w:proofErr w:type="spellStart"/>
      <w:r w:rsidRPr="00155D6A">
        <w:rPr>
          <w:rFonts w:ascii="Times New Roman" w:eastAsia="Times New Roman" w:hAnsi="Times New Roman" w:cs="Times New Roman"/>
          <w:sz w:val="28"/>
          <w:szCs w:val="28"/>
        </w:rPr>
        <w:t>toxicodynamics</w:t>
      </w:r>
      <w:proofErr w:type="spellEnd"/>
      <w:r w:rsidRPr="00155D6A">
        <w:rPr>
          <w:rFonts w:ascii="Times New Roman" w:eastAsia="Times New Roman" w:hAnsi="Times New Roman" w:cs="Times New Roman"/>
          <w:sz w:val="28"/>
          <w:szCs w:val="28"/>
        </w:rPr>
        <w:t xml:space="preserve"> of these diverse mycotoxins. In recent years, there has been a growing body of evidence highlighting the need for effective monitoring and control strategies to minimize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contamination in food and feed supplies. Moreover, understanding the precise mechanisms by which these toxins affect different organ systems in rats provides valuable insight into the potential human health risks associated with consuming contaminated food products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w:t>
      </w:r>
    </w:p>
    <w:p w14:paraId="1E72E12B"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Given the complex and multifactorial nature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more research is required to establish safe exposure limits for a range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lastRenderedPageBreak/>
        <w:t xml:space="preserve">toxins, not just DON. The results of experiments conducted on white rats could provide essential data to inform regulatory guidelines for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contamination in food. Additionally, these studies may contribute to the development of novel therapeutic strategies or interventions that could mitigate the harmful effects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in both humans and animals. Recent advancements in molecular biology techniques, such as gene expression analysis and proteomics, have opened new avenues for investigating the molecular mechanisms underlying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(Yin et al., 2022).</w:t>
      </w:r>
    </w:p>
    <w:p w14:paraId="3834DF66" w14:textId="77777777" w:rsidR="00155D6A" w:rsidRPr="00155D6A" w:rsidRDefault="005C2B97" w:rsidP="00155D6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155D6A" w:rsidRPr="00155D6A">
        <w:rPr>
          <w:rFonts w:ascii="Times New Roman" w:eastAsia="Times New Roman" w:hAnsi="Times New Roman" w:cs="Times New Roman"/>
          <w:sz w:val="28"/>
          <w:szCs w:val="28"/>
        </w:rPr>
        <w:t xml:space="preserve">he toxicological profile of </w:t>
      </w:r>
      <w:proofErr w:type="spellStart"/>
      <w:r w:rsidR="00155D6A" w:rsidRPr="00155D6A">
        <w:rPr>
          <w:rFonts w:ascii="Times New Roman" w:eastAsia="Times New Roman" w:hAnsi="Times New Roman" w:cs="Times New Roman"/>
          <w:i/>
          <w:iCs/>
          <w:sz w:val="28"/>
          <w:szCs w:val="28"/>
        </w:rPr>
        <w:t>Fusarium</w:t>
      </w:r>
      <w:proofErr w:type="spellEnd"/>
      <w:r w:rsidR="00155D6A" w:rsidRPr="00155D6A">
        <w:rPr>
          <w:rFonts w:ascii="Times New Roman" w:eastAsia="Times New Roman" w:hAnsi="Times New Roman" w:cs="Times New Roman"/>
          <w:i/>
          <w:iCs/>
          <w:sz w:val="28"/>
          <w:szCs w:val="28"/>
        </w:rPr>
        <w:t xml:space="preserve"> </w:t>
      </w:r>
      <w:proofErr w:type="spellStart"/>
      <w:r w:rsidR="00155D6A" w:rsidRPr="00155D6A">
        <w:rPr>
          <w:rFonts w:ascii="Times New Roman" w:eastAsia="Times New Roman" w:hAnsi="Times New Roman" w:cs="Times New Roman"/>
          <w:i/>
          <w:iCs/>
          <w:sz w:val="28"/>
          <w:szCs w:val="28"/>
        </w:rPr>
        <w:t>graminearum</w:t>
      </w:r>
      <w:proofErr w:type="spellEnd"/>
      <w:r w:rsidR="00155D6A" w:rsidRPr="00155D6A">
        <w:rPr>
          <w:rFonts w:ascii="Times New Roman" w:eastAsia="Times New Roman" w:hAnsi="Times New Roman" w:cs="Times New Roman"/>
          <w:sz w:val="28"/>
          <w:szCs w:val="28"/>
        </w:rPr>
        <w:t xml:space="preserve"> </w:t>
      </w:r>
      <w:proofErr w:type="spellStart"/>
      <w:r w:rsidR="00155D6A" w:rsidRPr="00155D6A">
        <w:rPr>
          <w:rFonts w:ascii="Times New Roman" w:eastAsia="Times New Roman" w:hAnsi="Times New Roman" w:cs="Times New Roman"/>
          <w:sz w:val="28"/>
          <w:szCs w:val="28"/>
        </w:rPr>
        <w:t>mycotoxins</w:t>
      </w:r>
      <w:proofErr w:type="spellEnd"/>
      <w:r w:rsidR="00155D6A" w:rsidRPr="00155D6A">
        <w:rPr>
          <w:rFonts w:ascii="Times New Roman" w:eastAsia="Times New Roman" w:hAnsi="Times New Roman" w:cs="Times New Roman"/>
          <w:sz w:val="28"/>
          <w:szCs w:val="28"/>
        </w:rPr>
        <w:t xml:space="preserve"> suggests that these compounds have a range of harmful effects on animal health, from immune suppression to reproductive toxicity and organ damage. While </w:t>
      </w:r>
      <w:r w:rsidR="00155D6A" w:rsidRPr="005C2B97">
        <w:rPr>
          <w:rFonts w:ascii="Times New Roman" w:eastAsia="Times New Roman" w:hAnsi="Times New Roman" w:cs="Times New Roman"/>
          <w:i/>
          <w:sz w:val="28"/>
          <w:szCs w:val="28"/>
        </w:rPr>
        <w:t>Fusarium</w:t>
      </w:r>
      <w:r w:rsidR="00155D6A" w:rsidRPr="00155D6A">
        <w:rPr>
          <w:rFonts w:ascii="Times New Roman" w:eastAsia="Times New Roman" w:hAnsi="Times New Roman" w:cs="Times New Roman"/>
          <w:sz w:val="28"/>
          <w:szCs w:val="28"/>
        </w:rPr>
        <w:t xml:space="preserve"> toxins are most commonly associated with agricultural crops, their bioaccumulation in food chains presents an additional risk to human health. Ongoing studies involving animal models like white rats are critical in advancing our understanding of how mycotoxins such as DON, NIV, ZEA, and FX affect the body on a molecular level. </w:t>
      </w:r>
      <w:r w:rsidR="00155D6A" w:rsidRPr="00155D6A">
        <w:rPr>
          <w:rFonts w:ascii="Times New Roman" w:eastAsia="Times New Roman" w:hAnsi="Times New Roman" w:cs="Times New Roman"/>
          <w:bCs/>
          <w:sz w:val="28"/>
          <w:szCs w:val="28"/>
        </w:rPr>
        <w:t xml:space="preserve">Yet, a notable research gap exists in fully characterizing the dose-response relationships and long-term systemic impacts of individual and combined </w:t>
      </w:r>
      <w:r w:rsidR="00155D6A" w:rsidRPr="00BA04F1">
        <w:rPr>
          <w:rFonts w:ascii="Times New Roman" w:eastAsia="Times New Roman" w:hAnsi="Times New Roman" w:cs="Times New Roman"/>
          <w:bCs/>
          <w:i/>
          <w:sz w:val="28"/>
          <w:szCs w:val="28"/>
        </w:rPr>
        <w:t>Fusarium</w:t>
      </w:r>
      <w:r w:rsidR="00155D6A" w:rsidRPr="00155D6A">
        <w:rPr>
          <w:rFonts w:ascii="Times New Roman" w:eastAsia="Times New Roman" w:hAnsi="Times New Roman" w:cs="Times New Roman"/>
          <w:bCs/>
          <w:sz w:val="28"/>
          <w:szCs w:val="28"/>
        </w:rPr>
        <w:t xml:space="preserve"> toxins in vivo. Addressing these gaps is essential for developing science-based policies and intervention strategies aimed at minimizing their toxicological risks</w:t>
      </w:r>
      <w:r w:rsidR="00155D6A" w:rsidRPr="00155D6A">
        <w:rPr>
          <w:rFonts w:ascii="Times New Roman" w:eastAsia="Times New Roman" w:hAnsi="Times New Roman" w:cs="Times New Roman"/>
          <w:sz w:val="28"/>
          <w:szCs w:val="28"/>
        </w:rPr>
        <w:t xml:space="preserve"> (Müller et al., 2020).</w:t>
      </w:r>
    </w:p>
    <w:p w14:paraId="5F6B2F68" w14:textId="77777777" w:rsidR="00155D6A" w:rsidRPr="008E4415" w:rsidRDefault="00155D6A" w:rsidP="008E4415">
      <w:pPr>
        <w:spacing w:before="100" w:beforeAutospacing="1" w:after="100" w:afterAutospacing="1" w:line="480" w:lineRule="auto"/>
        <w:jc w:val="both"/>
        <w:rPr>
          <w:rFonts w:ascii="Times New Roman" w:eastAsia="Times New Roman" w:hAnsi="Times New Roman" w:cs="Times New Roman"/>
          <w:sz w:val="28"/>
          <w:szCs w:val="28"/>
        </w:rPr>
      </w:pPr>
    </w:p>
    <w:p w14:paraId="2E06A371" w14:textId="77777777" w:rsidR="002A33A6" w:rsidRPr="002A33A6" w:rsidRDefault="00D32D82" w:rsidP="000972BC">
      <w:pPr>
        <w:pStyle w:val="ListParagraph"/>
        <w:numPr>
          <w:ilvl w:val="1"/>
          <w:numId w:val="3"/>
        </w:numPr>
        <w:spacing w:before="100" w:beforeAutospacing="1" w:after="100" w:afterAutospacing="1"/>
        <w:jc w:val="both"/>
        <w:rPr>
          <w:rFonts w:eastAsia="Times New Roman"/>
          <w:b/>
        </w:rPr>
      </w:pPr>
      <w:r w:rsidRPr="006B506F">
        <w:rPr>
          <w:rFonts w:eastAsia="Times New Roman"/>
          <w:b/>
        </w:rPr>
        <w:t>LITERATURE REVIEW</w:t>
      </w:r>
    </w:p>
    <w:p w14:paraId="4FB8E6CA" w14:textId="77777777" w:rsidR="002A33A6" w:rsidRPr="002A33A6" w:rsidRDefault="002A33A6" w:rsidP="002A33A6">
      <w:pPr>
        <w:spacing w:line="480" w:lineRule="auto"/>
        <w:jc w:val="both"/>
        <w:rPr>
          <w:rFonts w:ascii="Times New Roman" w:eastAsia="Times New Roman" w:hAnsi="Times New Roman" w:cs="Times New Roman"/>
          <w:sz w:val="28"/>
          <w:szCs w:val="28"/>
        </w:rPr>
      </w:pP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Adewumi</w:t>
      </w:r>
      <w:proofErr w:type="spellEnd"/>
      <w:r w:rsidRPr="002A33A6">
        <w:rPr>
          <w:rFonts w:ascii="Times New Roman" w:eastAsia="Times New Roman" w:hAnsi="Times New Roman" w:cs="Times New Roman"/>
          <w:bCs/>
          <w:sz w:val="28"/>
          <w:szCs w:val="28"/>
        </w:rPr>
        <w:t xml:space="preserve"> et al. (2020)</w:t>
      </w:r>
      <w:r w:rsidRPr="002A33A6">
        <w:rPr>
          <w:rFonts w:ascii="Times New Roman" w:eastAsia="Times New Roman" w:hAnsi="Times New Roman" w:cs="Times New Roman"/>
          <w:sz w:val="28"/>
          <w:szCs w:val="28"/>
        </w:rPr>
        <w:t xml:space="preserve">, </w:t>
      </w:r>
      <w:proofErr w:type="spellStart"/>
      <w:r w:rsidRPr="002A33A6">
        <w:rPr>
          <w:rFonts w:ascii="Times New Roman" w:eastAsia="Times New Roman" w:hAnsi="Times New Roman" w:cs="Times New Roman"/>
          <w:i/>
          <w:iCs/>
          <w:sz w:val="28"/>
          <w:szCs w:val="28"/>
        </w:rPr>
        <w:t>Fusarium</w:t>
      </w:r>
      <w:proofErr w:type="spellEnd"/>
      <w:r w:rsidRPr="002A33A6">
        <w:rPr>
          <w:rFonts w:ascii="Times New Roman" w:eastAsia="Times New Roman" w:hAnsi="Times New Roman" w:cs="Times New Roman"/>
          <w:i/>
          <w:iCs/>
          <w:sz w:val="28"/>
          <w:szCs w:val="28"/>
        </w:rPr>
        <w:t xml:space="preserve">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is a predominant fungal pathogen known for producing a spectrum of mycotoxins, particularly deoxynivalenol (DON), which has been associated with adverse physiological and hormonal effects in mammals. In their study, sub-chronic exposure to DON in white rats led to endocrine disruption, specifically in the regulation of thyroid hormones such as triiodothyronine (T3) and thyroxine (T4). These hormonal disturbances suggest that even at low concentrations, DON poses a risk of interfering with metabolic processes. Similarly, </w:t>
      </w:r>
      <w:r w:rsidRPr="002A33A6">
        <w:rPr>
          <w:rFonts w:ascii="Times New Roman" w:eastAsia="Times New Roman" w:hAnsi="Times New Roman" w:cs="Times New Roman"/>
          <w:bCs/>
          <w:sz w:val="28"/>
          <w:szCs w:val="28"/>
        </w:rPr>
        <w:t>Wang et al. (2023)</w:t>
      </w:r>
      <w:r w:rsidRPr="002A33A6">
        <w:rPr>
          <w:rFonts w:ascii="Times New Roman" w:eastAsia="Times New Roman" w:hAnsi="Times New Roman" w:cs="Times New Roman"/>
          <w:sz w:val="28"/>
          <w:szCs w:val="28"/>
        </w:rPr>
        <w:t xml:space="preserve"> reported hepatic damage, including hepatocellular necrosis and inflammation, following DON exposure, reinforcing its role in liver toxicity and the necessity of stringent monitoring in food systems.</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Ogunseye</w:t>
      </w:r>
      <w:proofErr w:type="spellEnd"/>
      <w:r w:rsidRPr="002A33A6">
        <w:rPr>
          <w:rFonts w:ascii="Times New Roman" w:eastAsia="Times New Roman" w:hAnsi="Times New Roman" w:cs="Times New Roman"/>
          <w:bCs/>
          <w:sz w:val="28"/>
          <w:szCs w:val="28"/>
        </w:rPr>
        <w:t xml:space="preserve"> et al. (2021)</w:t>
      </w:r>
      <w:r w:rsidRPr="002A33A6">
        <w:rPr>
          <w:rFonts w:ascii="Times New Roman" w:eastAsia="Times New Roman" w:hAnsi="Times New Roman" w:cs="Times New Roman"/>
          <w:sz w:val="28"/>
          <w:szCs w:val="28"/>
        </w:rPr>
        <w:t xml:space="preserve">, the </w:t>
      </w:r>
      <w:proofErr w:type="spellStart"/>
      <w:r w:rsidRPr="002A33A6">
        <w:rPr>
          <w:rFonts w:ascii="Times New Roman" w:eastAsia="Times New Roman" w:hAnsi="Times New Roman" w:cs="Times New Roman"/>
          <w:sz w:val="28"/>
          <w:szCs w:val="28"/>
        </w:rPr>
        <w:t>immunotoxic</w:t>
      </w:r>
      <w:proofErr w:type="spellEnd"/>
      <w:r w:rsidRPr="002A33A6">
        <w:rPr>
          <w:rFonts w:ascii="Times New Roman" w:eastAsia="Times New Roman" w:hAnsi="Times New Roman" w:cs="Times New Roman"/>
          <w:sz w:val="28"/>
          <w:szCs w:val="28"/>
        </w:rPr>
        <w:t xml:space="preserve"> properties of </w:t>
      </w:r>
      <w:proofErr w:type="spellStart"/>
      <w:r w:rsidRPr="002A33A6">
        <w:rPr>
          <w:rFonts w:ascii="Times New Roman" w:eastAsia="Times New Roman" w:hAnsi="Times New Roman" w:cs="Times New Roman"/>
          <w:i/>
          <w:iCs/>
          <w:sz w:val="28"/>
          <w:szCs w:val="28"/>
        </w:rPr>
        <w:t>Fusarium</w:t>
      </w:r>
      <w:proofErr w:type="spellEnd"/>
      <w:r w:rsidRPr="002A33A6">
        <w:rPr>
          <w:rFonts w:ascii="Times New Roman" w:eastAsia="Times New Roman" w:hAnsi="Times New Roman" w:cs="Times New Roman"/>
          <w:i/>
          <w:iCs/>
          <w:sz w:val="28"/>
          <w:szCs w:val="28"/>
        </w:rPr>
        <w:t xml:space="preserve">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toxins are of increasing concern. Their research on white rats showed that DON exposure led to suppressed immune responses, marked by reduced macrophage activity and cytokine production. This immune suppression increased the rats’ vulnerability to secondary bacterial infections. Supporting this, </w:t>
      </w:r>
      <w:r w:rsidRPr="002A33A6">
        <w:rPr>
          <w:rFonts w:ascii="Times New Roman" w:eastAsia="Times New Roman" w:hAnsi="Times New Roman" w:cs="Times New Roman"/>
          <w:bCs/>
          <w:sz w:val="28"/>
          <w:szCs w:val="28"/>
        </w:rPr>
        <w:t>Martínez-Moral et al. (2022)</w:t>
      </w:r>
      <w:r w:rsidRPr="002A33A6">
        <w:rPr>
          <w:rFonts w:ascii="Times New Roman" w:eastAsia="Times New Roman" w:hAnsi="Times New Roman" w:cs="Times New Roman"/>
          <w:sz w:val="28"/>
          <w:szCs w:val="28"/>
        </w:rPr>
        <w:t xml:space="preserve"> demonstrated that trichothecene mycotoxins such as DON and </w:t>
      </w:r>
      <w:proofErr w:type="spellStart"/>
      <w:r w:rsidRPr="002A33A6">
        <w:rPr>
          <w:rFonts w:ascii="Times New Roman" w:eastAsia="Times New Roman" w:hAnsi="Times New Roman" w:cs="Times New Roman"/>
          <w:sz w:val="28"/>
          <w:szCs w:val="28"/>
        </w:rPr>
        <w:t>fusarenon</w:t>
      </w:r>
      <w:proofErr w:type="spellEnd"/>
      <w:r w:rsidRPr="002A33A6">
        <w:rPr>
          <w:rFonts w:ascii="Times New Roman" w:eastAsia="Times New Roman" w:hAnsi="Times New Roman" w:cs="Times New Roman"/>
          <w:sz w:val="28"/>
          <w:szCs w:val="28"/>
        </w:rPr>
        <w:t xml:space="preserve">-X (FX) </w:t>
      </w:r>
      <w:proofErr w:type="spellStart"/>
      <w:r w:rsidRPr="002A33A6">
        <w:rPr>
          <w:rFonts w:ascii="Times New Roman" w:eastAsia="Times New Roman" w:hAnsi="Times New Roman" w:cs="Times New Roman"/>
          <w:sz w:val="28"/>
          <w:szCs w:val="28"/>
        </w:rPr>
        <w:t>downregulate</w:t>
      </w:r>
      <w:proofErr w:type="spellEnd"/>
      <w:r w:rsidRPr="002A33A6">
        <w:rPr>
          <w:rFonts w:ascii="Times New Roman" w:eastAsia="Times New Roman" w:hAnsi="Times New Roman" w:cs="Times New Roman"/>
          <w:sz w:val="28"/>
          <w:szCs w:val="28"/>
        </w:rPr>
        <w:t xml:space="preserve"> genes </w:t>
      </w:r>
      <w:r w:rsidRPr="002A33A6">
        <w:rPr>
          <w:rFonts w:ascii="Times New Roman" w:eastAsia="Times New Roman" w:hAnsi="Times New Roman" w:cs="Times New Roman"/>
          <w:sz w:val="28"/>
          <w:szCs w:val="28"/>
        </w:rPr>
        <w:lastRenderedPageBreak/>
        <w:t xml:space="preserve">involved in innate immunity and inflammation, impairing the host's defense mechanisms. These findings highlight the immunosuppressive potential of </w:t>
      </w:r>
      <w:r w:rsidRPr="002A33A6">
        <w:rPr>
          <w:rFonts w:ascii="Times New Roman" w:eastAsia="Times New Roman" w:hAnsi="Times New Roman" w:cs="Times New Roman"/>
          <w:i/>
          <w:iCs/>
          <w:sz w:val="28"/>
          <w:szCs w:val="28"/>
        </w:rPr>
        <w:t>Fusarium</w:t>
      </w:r>
      <w:r w:rsidRPr="002A33A6">
        <w:rPr>
          <w:rFonts w:ascii="Times New Roman" w:eastAsia="Times New Roman" w:hAnsi="Times New Roman" w:cs="Times New Roman"/>
          <w:sz w:val="28"/>
          <w:szCs w:val="28"/>
        </w:rPr>
        <w:t xml:space="preserve"> toxins and their relevance in understanding foodborne pathogen susceptibility.</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Zhou et al. (2022)</w:t>
      </w:r>
      <w:r w:rsidRPr="002A33A6">
        <w:rPr>
          <w:rFonts w:ascii="Times New Roman" w:eastAsia="Times New Roman" w:hAnsi="Times New Roman" w:cs="Times New Roman"/>
          <w:sz w:val="28"/>
          <w:szCs w:val="28"/>
        </w:rPr>
        <w:t xml:space="preserve">, oxidative stress is a central mechanism through which DON exerts its toxicity. Their study revealed elevated levels of malondialdehyde (MDA) and a reduction in endogenous antioxidants like glutathione and catalase in exposed rat tissues. This oxidative imbalance was linked to lipid peroxidation and mitochondrial dysfunction. Likewise, </w:t>
      </w:r>
      <w:r w:rsidRPr="002A33A6">
        <w:rPr>
          <w:rFonts w:ascii="Times New Roman" w:eastAsia="Times New Roman" w:hAnsi="Times New Roman" w:cs="Times New Roman"/>
          <w:bCs/>
          <w:sz w:val="28"/>
          <w:szCs w:val="28"/>
        </w:rPr>
        <w:t>Guo et al. (2023)</w:t>
      </w:r>
      <w:r w:rsidRPr="002A33A6">
        <w:rPr>
          <w:rFonts w:ascii="Times New Roman" w:eastAsia="Times New Roman" w:hAnsi="Times New Roman" w:cs="Times New Roman"/>
          <w:sz w:val="28"/>
          <w:szCs w:val="28"/>
        </w:rPr>
        <w:t xml:space="preserve"> confirmed that DON induces reactive oxygen species (ROS) accumulation and DNA fragmentation, leading to programmed cell death. Such oxidative stress mechanisms are critical in understanding how chronic mycotoxin exposure can result in cumulative cellular damage and organ failure.</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Adeyemi et al. (2023)</w:t>
      </w:r>
      <w:r w:rsidRPr="002A33A6">
        <w:rPr>
          <w:rFonts w:ascii="Times New Roman" w:eastAsia="Times New Roman" w:hAnsi="Times New Roman" w:cs="Times New Roman"/>
          <w:sz w:val="28"/>
          <w:szCs w:val="28"/>
        </w:rPr>
        <w:t xml:space="preserve">, DON also exhibits neurotoxic potential, with significant impacts on the central nervous system. In their study, white rats exposed to DON showed reduced locomotor activity, memory impairment, and signs of neuroinflammation. Histopathological analysis indicated apoptosis in brain tissues, particularly in the hippocampus. Correspondingly, </w:t>
      </w:r>
      <w:r w:rsidRPr="002A33A6">
        <w:rPr>
          <w:rFonts w:ascii="Times New Roman" w:eastAsia="Times New Roman" w:hAnsi="Times New Roman" w:cs="Times New Roman"/>
          <w:bCs/>
          <w:sz w:val="28"/>
          <w:szCs w:val="28"/>
        </w:rPr>
        <w:t>Li et al. (2023)</w:t>
      </w:r>
      <w:r w:rsidRPr="002A33A6">
        <w:rPr>
          <w:rFonts w:ascii="Times New Roman" w:eastAsia="Times New Roman" w:hAnsi="Times New Roman" w:cs="Times New Roman"/>
          <w:sz w:val="28"/>
          <w:szCs w:val="28"/>
        </w:rPr>
        <w:t xml:space="preserve"> demonstrated that DON crosses the blood-brain barrier, altering neurotransmitter levels such as dopamine and serotonin. </w:t>
      </w:r>
      <w:r w:rsidR="003642C9" w:rsidRPr="003642C9">
        <w:rPr>
          <w:rFonts w:ascii="Times New Roman" w:eastAsia="Times New Roman" w:hAnsi="Times New Roman" w:cs="Times New Roman"/>
          <w:sz w:val="28"/>
          <w:szCs w:val="28"/>
        </w:rPr>
        <w:t>According to Sánchez-</w:t>
      </w:r>
      <w:proofErr w:type="spellStart"/>
      <w:r w:rsidR="003642C9" w:rsidRPr="003642C9">
        <w:rPr>
          <w:rFonts w:ascii="Times New Roman" w:eastAsia="Times New Roman" w:hAnsi="Times New Roman" w:cs="Times New Roman"/>
          <w:sz w:val="28"/>
          <w:szCs w:val="28"/>
        </w:rPr>
        <w:t>Bayo</w:t>
      </w:r>
      <w:proofErr w:type="spellEnd"/>
      <w:r w:rsidR="003642C9" w:rsidRPr="003642C9">
        <w:rPr>
          <w:rFonts w:ascii="Times New Roman" w:eastAsia="Times New Roman" w:hAnsi="Times New Roman" w:cs="Times New Roman"/>
          <w:sz w:val="28"/>
          <w:szCs w:val="28"/>
        </w:rPr>
        <w:t xml:space="preserve"> et al. (2024), co-exposure to multiple </w:t>
      </w:r>
      <w:proofErr w:type="spellStart"/>
      <w:r w:rsidR="003642C9" w:rsidRPr="003642C9">
        <w:rPr>
          <w:rFonts w:ascii="Times New Roman" w:eastAsia="Times New Roman" w:hAnsi="Times New Roman" w:cs="Times New Roman"/>
          <w:sz w:val="28"/>
          <w:szCs w:val="28"/>
        </w:rPr>
        <w:t>Fusarium</w:t>
      </w:r>
      <w:proofErr w:type="spellEnd"/>
      <w:r w:rsidR="003642C9" w:rsidRPr="003642C9">
        <w:rPr>
          <w:rFonts w:ascii="Times New Roman" w:eastAsia="Times New Roman" w:hAnsi="Times New Roman" w:cs="Times New Roman"/>
          <w:sz w:val="28"/>
          <w:szCs w:val="28"/>
        </w:rPr>
        <w:t xml:space="preserve"> </w:t>
      </w:r>
      <w:proofErr w:type="spellStart"/>
      <w:r w:rsidR="003642C9" w:rsidRPr="003642C9">
        <w:rPr>
          <w:rFonts w:ascii="Times New Roman" w:eastAsia="Times New Roman" w:hAnsi="Times New Roman" w:cs="Times New Roman"/>
          <w:sz w:val="28"/>
          <w:szCs w:val="28"/>
        </w:rPr>
        <w:t>graminearum</w:t>
      </w:r>
      <w:proofErr w:type="spellEnd"/>
      <w:r w:rsidR="003642C9" w:rsidRPr="003642C9">
        <w:rPr>
          <w:rFonts w:ascii="Times New Roman" w:eastAsia="Times New Roman" w:hAnsi="Times New Roman" w:cs="Times New Roman"/>
          <w:sz w:val="28"/>
          <w:szCs w:val="28"/>
        </w:rPr>
        <w:t xml:space="preserve"> </w:t>
      </w:r>
      <w:proofErr w:type="spellStart"/>
      <w:r w:rsidR="003642C9" w:rsidRPr="003642C9">
        <w:rPr>
          <w:rFonts w:ascii="Times New Roman" w:eastAsia="Times New Roman" w:hAnsi="Times New Roman" w:cs="Times New Roman"/>
          <w:sz w:val="28"/>
          <w:szCs w:val="28"/>
        </w:rPr>
        <w:t>mycotoxins</w:t>
      </w:r>
      <w:proofErr w:type="spellEnd"/>
      <w:r w:rsidR="003642C9" w:rsidRPr="003642C9">
        <w:rPr>
          <w:rFonts w:ascii="Times New Roman" w:eastAsia="Times New Roman" w:hAnsi="Times New Roman" w:cs="Times New Roman"/>
          <w:sz w:val="28"/>
          <w:szCs w:val="28"/>
        </w:rPr>
        <w:t xml:space="preserve">, such as DON and zearalenone (ZEA), results </w:t>
      </w:r>
      <w:r w:rsidR="003642C9" w:rsidRPr="003642C9">
        <w:rPr>
          <w:rFonts w:ascii="Times New Roman" w:eastAsia="Times New Roman" w:hAnsi="Times New Roman" w:cs="Times New Roman"/>
          <w:sz w:val="28"/>
          <w:szCs w:val="28"/>
        </w:rPr>
        <w:lastRenderedPageBreak/>
        <w:t>in synergistic toxicity.</w:t>
      </w:r>
      <w:r w:rsidRPr="002A33A6">
        <w:rPr>
          <w:rFonts w:ascii="Times New Roman" w:eastAsia="Times New Roman" w:hAnsi="Times New Roman" w:cs="Times New Roman"/>
          <w:sz w:val="28"/>
          <w:szCs w:val="28"/>
        </w:rPr>
        <w:t xml:space="preserve"> Their study in rats revealed intensified damage to the liver, reproductive organs, and brain when both toxins were administered together, compared to when each was tested individually. This combined toxicity is especially concerning, as co-contamination is common in cereals and grains. Their findings emphasize the need for regulatory frameworks that assess the cumulative effects of multiple mycotoxins, rather than focusing on single-compound thresholds.</w:t>
      </w:r>
    </w:p>
    <w:p w14:paraId="037AAAD4" w14:textId="77777777" w:rsidR="000C4A15" w:rsidRPr="000972BC" w:rsidRDefault="000C4A15"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STATEMENT OF THE PROBLEM</w:t>
      </w:r>
    </w:p>
    <w:p w14:paraId="13F83985" w14:textId="77777777" w:rsidR="000C4A15" w:rsidRPr="000972BC" w:rsidRDefault="008E4415" w:rsidP="000972BC">
      <w:pPr>
        <w:tabs>
          <w:tab w:val="left" w:pos="1220"/>
        </w:tabs>
        <w:spacing w:line="480" w:lineRule="auto"/>
        <w:jc w:val="both"/>
        <w:rPr>
          <w:rFonts w:ascii="Times New Roman" w:eastAsia="Times New Roman" w:hAnsi="Times New Roman" w:cs="Times New Roman"/>
          <w:sz w:val="28"/>
          <w:szCs w:val="28"/>
        </w:rPr>
      </w:pPr>
      <w:proofErr w:type="spellStart"/>
      <w:r w:rsidRPr="008E4415">
        <w:rPr>
          <w:rFonts w:ascii="Times New Roman" w:hAnsi="Times New Roman" w:cs="Times New Roman"/>
          <w:i/>
          <w:sz w:val="28"/>
          <w:szCs w:val="28"/>
        </w:rPr>
        <w:t>Fusarium</w:t>
      </w:r>
      <w:proofErr w:type="spellEnd"/>
      <w:r w:rsidRPr="008E4415">
        <w:rPr>
          <w:rFonts w:ascii="Times New Roman" w:hAnsi="Times New Roman" w:cs="Times New Roman"/>
          <w:i/>
          <w:sz w:val="28"/>
          <w:szCs w:val="28"/>
        </w:rPr>
        <w:t xml:space="preserve"> </w:t>
      </w:r>
      <w:proofErr w:type="spellStart"/>
      <w:r w:rsidRPr="008E4415">
        <w:rPr>
          <w:rFonts w:ascii="Times New Roman" w:hAnsi="Times New Roman" w:cs="Times New Roman"/>
          <w:i/>
          <w:sz w:val="28"/>
          <w:szCs w:val="28"/>
        </w:rPr>
        <w:t>graminearum</w:t>
      </w:r>
      <w:proofErr w:type="spellEnd"/>
      <w:r w:rsidRPr="008E4415">
        <w:rPr>
          <w:rFonts w:ascii="Times New Roman" w:hAnsi="Times New Roman" w:cs="Times New Roman"/>
          <w:sz w:val="28"/>
          <w:szCs w:val="28"/>
        </w:rPr>
        <w:t xml:space="preserve"> produces </w:t>
      </w:r>
      <w:proofErr w:type="spellStart"/>
      <w:r w:rsidRPr="008E4415">
        <w:rPr>
          <w:rFonts w:ascii="Times New Roman" w:hAnsi="Times New Roman" w:cs="Times New Roman"/>
          <w:sz w:val="28"/>
          <w:szCs w:val="28"/>
        </w:rPr>
        <w:t>mycotoxins</w:t>
      </w:r>
      <w:proofErr w:type="spellEnd"/>
      <w:r w:rsidRPr="008E4415">
        <w:rPr>
          <w:rFonts w:ascii="Times New Roman" w:hAnsi="Times New Roman" w:cs="Times New Roman"/>
          <w:sz w:val="28"/>
          <w:szCs w:val="28"/>
        </w:rPr>
        <w:t>, particularly deoxynivalenol (DON), which pose significant risks to animal health, including immune system suppression and organ damage. However, the full extent of its toxicity in vivo, particularly in white rats, remains underexplored.</w:t>
      </w:r>
      <w:r w:rsidR="000C4A15" w:rsidRPr="000972BC">
        <w:rPr>
          <w:rFonts w:ascii="Times New Roman" w:eastAsia="Times New Roman" w:hAnsi="Times New Roman" w:cs="Times New Roman"/>
          <w:sz w:val="28"/>
          <w:szCs w:val="28"/>
        </w:rPr>
        <w:tab/>
      </w:r>
    </w:p>
    <w:p w14:paraId="34C36721" w14:textId="77777777" w:rsidR="001C372B" w:rsidRPr="001C372B" w:rsidRDefault="001C372B" w:rsidP="001C372B">
      <w:pPr>
        <w:spacing w:line="480" w:lineRule="auto"/>
        <w:rPr>
          <w:rFonts w:ascii="Times New Roman" w:hAnsi="Times New Roman" w:cs="Times New Roman"/>
          <w:b/>
          <w:bCs/>
          <w:sz w:val="28"/>
          <w:szCs w:val="28"/>
        </w:rPr>
      </w:pPr>
      <w:r w:rsidRPr="001C372B">
        <w:rPr>
          <w:rFonts w:ascii="Times New Roman" w:hAnsi="Times New Roman" w:cs="Times New Roman"/>
          <w:b/>
          <w:bCs/>
          <w:sz w:val="28"/>
          <w:szCs w:val="28"/>
        </w:rPr>
        <w:t>JUSTIFICATION OF THE STUDY</w:t>
      </w:r>
    </w:p>
    <w:p w14:paraId="47581F3A" w14:textId="77777777" w:rsidR="00A93800" w:rsidRPr="00A93800" w:rsidRDefault="00A93800" w:rsidP="00A93800">
      <w:pPr>
        <w:spacing w:line="480" w:lineRule="auto"/>
        <w:jc w:val="both"/>
        <w:rPr>
          <w:rFonts w:ascii="Times New Roman" w:hAnsi="Times New Roman" w:cs="Times New Roman"/>
          <w:sz w:val="28"/>
          <w:szCs w:val="28"/>
        </w:rPr>
      </w:pPr>
      <w:r w:rsidRPr="00A93800">
        <w:rPr>
          <w:rFonts w:ascii="Times New Roman" w:hAnsi="Times New Roman" w:cs="Times New Roman"/>
          <w:sz w:val="28"/>
          <w:szCs w:val="28"/>
        </w:rPr>
        <w:t xml:space="preserve">The increasing incidence of food contamination by toxigenic fungi such as </w:t>
      </w:r>
      <w:proofErr w:type="spellStart"/>
      <w:r w:rsidRPr="00A93800">
        <w:rPr>
          <w:rFonts w:ascii="Times New Roman" w:hAnsi="Times New Roman" w:cs="Times New Roman"/>
          <w:i/>
          <w:iCs/>
          <w:sz w:val="28"/>
          <w:szCs w:val="28"/>
        </w:rPr>
        <w:t>Fusarium</w:t>
      </w:r>
      <w:proofErr w:type="spellEnd"/>
      <w:r w:rsidRPr="00A93800">
        <w:rPr>
          <w:rFonts w:ascii="Times New Roman" w:hAnsi="Times New Roman" w:cs="Times New Roman"/>
          <w:i/>
          <w:iCs/>
          <w:sz w:val="28"/>
          <w:szCs w:val="28"/>
        </w:rPr>
        <w:t xml:space="preserve">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poses a serious threat to public health, largely due to its production of harmful trichothecene and estrogenic mycotoxins, notably deoxynivalenol (DON) and zearalenone (ZEN). Although analytical techniques for detecting these toxins are well developed, there remains a critical gap in toxicological data regarding their direct biological effects, particularly across </w:t>
      </w:r>
      <w:r w:rsidRPr="00A93800">
        <w:rPr>
          <w:rFonts w:ascii="Times New Roman" w:hAnsi="Times New Roman" w:cs="Times New Roman"/>
          <w:sz w:val="28"/>
          <w:szCs w:val="28"/>
        </w:rPr>
        <w:lastRenderedPageBreak/>
        <w:t xml:space="preserve">varying concentration levels. Evaluating the potency of </w:t>
      </w:r>
      <w:r w:rsidRPr="00A93800">
        <w:rPr>
          <w:rFonts w:ascii="Times New Roman" w:hAnsi="Times New Roman" w:cs="Times New Roman"/>
          <w:i/>
          <w:iCs/>
          <w:sz w:val="28"/>
          <w:szCs w:val="28"/>
        </w:rPr>
        <w:t xml:space="preserve">F.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toxins through in vivo experimental models provides valuable insights into their dose-dependent toxicity. This evidence-based approach is essential for closing existing knowledge gaps, informing the development of safe exposure limits, strengthening food safety regulatory frameworks, and guiding public health initiatives through more accurate risk assessment.</w:t>
      </w:r>
    </w:p>
    <w:p w14:paraId="1AB2BD6D" w14:textId="77777777" w:rsidR="002207E9" w:rsidRPr="002207E9" w:rsidRDefault="002207E9" w:rsidP="002207E9">
      <w:pPr>
        <w:pStyle w:val="Heading3"/>
        <w:spacing w:line="360" w:lineRule="auto"/>
        <w:jc w:val="both"/>
        <w:rPr>
          <w:sz w:val="28"/>
          <w:szCs w:val="28"/>
        </w:rPr>
      </w:pPr>
      <w:r w:rsidRPr="002207E9">
        <w:rPr>
          <w:rStyle w:val="Strong"/>
          <w:b/>
          <w:bCs/>
          <w:sz w:val="28"/>
          <w:szCs w:val="28"/>
        </w:rPr>
        <w:t>1.4 AIM AND OBJECTIVES</w:t>
      </w:r>
    </w:p>
    <w:p w14:paraId="5619D1C4" w14:textId="77777777" w:rsidR="002207E9" w:rsidRPr="002207E9" w:rsidRDefault="002207E9" w:rsidP="002207E9">
      <w:pPr>
        <w:pStyle w:val="NormalWeb"/>
        <w:spacing w:line="360" w:lineRule="auto"/>
        <w:jc w:val="both"/>
        <w:rPr>
          <w:sz w:val="28"/>
          <w:szCs w:val="28"/>
        </w:rPr>
      </w:pPr>
      <w:r w:rsidRPr="002207E9">
        <w:rPr>
          <w:sz w:val="28"/>
          <w:szCs w:val="28"/>
        </w:rPr>
        <w:t xml:space="preserve">The primary aim of this research is to assess the potency of </w:t>
      </w:r>
      <w:proofErr w:type="spellStart"/>
      <w:r w:rsidRPr="002207E9">
        <w:rPr>
          <w:rStyle w:val="Emphasis"/>
          <w:sz w:val="28"/>
          <w:szCs w:val="28"/>
        </w:rPr>
        <w:t>Fusarium</w:t>
      </w:r>
      <w:proofErr w:type="spellEnd"/>
      <w:r w:rsidRPr="002207E9">
        <w:rPr>
          <w:rStyle w:val="Emphasis"/>
          <w:sz w:val="28"/>
          <w:szCs w:val="28"/>
        </w:rPr>
        <w:t xml:space="preserve"> </w:t>
      </w:r>
      <w:proofErr w:type="spellStart"/>
      <w:r w:rsidRPr="002207E9">
        <w:rPr>
          <w:rStyle w:val="Emphasis"/>
          <w:sz w:val="28"/>
          <w:szCs w:val="28"/>
        </w:rPr>
        <w:t>graminearum</w:t>
      </w:r>
      <w:proofErr w:type="spellEnd"/>
      <w:r w:rsidRPr="002207E9">
        <w:rPr>
          <w:sz w:val="28"/>
          <w:szCs w:val="28"/>
        </w:rPr>
        <w:t xml:space="preserve"> toxin derived from infected cereal crop samples.</w:t>
      </w:r>
    </w:p>
    <w:p w14:paraId="37913DDF" w14:textId="77777777" w:rsidR="002207E9" w:rsidRPr="002207E9" w:rsidRDefault="002207E9" w:rsidP="002207E9">
      <w:pPr>
        <w:pStyle w:val="NormalWeb"/>
        <w:spacing w:line="360" w:lineRule="auto"/>
        <w:jc w:val="both"/>
        <w:rPr>
          <w:sz w:val="28"/>
          <w:szCs w:val="28"/>
        </w:rPr>
      </w:pPr>
      <w:r w:rsidRPr="002207E9">
        <w:rPr>
          <w:rStyle w:val="Strong"/>
          <w:sz w:val="28"/>
          <w:szCs w:val="28"/>
        </w:rPr>
        <w:t>Objectives are:</w:t>
      </w:r>
    </w:p>
    <w:p w14:paraId="59FF5C8B"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isolate and identify </w:t>
      </w:r>
      <w:proofErr w:type="spellStart"/>
      <w:r w:rsidRPr="002207E9">
        <w:rPr>
          <w:rStyle w:val="Emphasis"/>
          <w:sz w:val="28"/>
          <w:szCs w:val="28"/>
        </w:rPr>
        <w:t>Fusarium</w:t>
      </w:r>
      <w:proofErr w:type="spellEnd"/>
      <w:r w:rsidRPr="002207E9">
        <w:rPr>
          <w:rStyle w:val="Emphasis"/>
          <w:sz w:val="28"/>
          <w:szCs w:val="28"/>
        </w:rPr>
        <w:t xml:space="preserve"> </w:t>
      </w:r>
      <w:proofErr w:type="spellStart"/>
      <w:r w:rsidRPr="002207E9">
        <w:rPr>
          <w:rStyle w:val="Emphasis"/>
          <w:sz w:val="28"/>
          <w:szCs w:val="28"/>
        </w:rPr>
        <w:t>graminearum</w:t>
      </w:r>
      <w:proofErr w:type="spellEnd"/>
      <w:r w:rsidRPr="002207E9">
        <w:rPr>
          <w:sz w:val="28"/>
          <w:szCs w:val="28"/>
        </w:rPr>
        <w:t xml:space="preserve"> from infected cereal crops.</w:t>
      </w:r>
    </w:p>
    <w:p w14:paraId="348E13BE"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To determine whether the isolated strains produce mycotoxins, particularly deoxynivalenol (DON) and zearalenone (ZEN), through qualitative and quantitative analysis.</w:t>
      </w:r>
    </w:p>
    <w:p w14:paraId="4998324B" w14:textId="77777777" w:rsidR="005C2B97"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evaluate the toxicity of </w:t>
      </w:r>
      <w:r w:rsidRPr="002207E9">
        <w:rPr>
          <w:rStyle w:val="Emphasis"/>
          <w:sz w:val="28"/>
          <w:szCs w:val="28"/>
        </w:rPr>
        <w:t xml:space="preserve">F. </w:t>
      </w:r>
      <w:proofErr w:type="spellStart"/>
      <w:r w:rsidRPr="002207E9">
        <w:rPr>
          <w:rStyle w:val="Emphasis"/>
          <w:sz w:val="28"/>
          <w:szCs w:val="28"/>
        </w:rPr>
        <w:t>graminearum</w:t>
      </w:r>
      <w:proofErr w:type="spellEnd"/>
      <w:r w:rsidRPr="002207E9">
        <w:rPr>
          <w:sz w:val="28"/>
          <w:szCs w:val="28"/>
        </w:rPr>
        <w:t xml:space="preserve"> toxin concentrations by testing their effects on rats using in vivo models.</w:t>
      </w:r>
    </w:p>
    <w:p w14:paraId="6ECE5204" w14:textId="77777777" w:rsidR="005C2B97" w:rsidRPr="006E5C67" w:rsidRDefault="005C2B97" w:rsidP="005C2B97">
      <w:pPr>
        <w:spacing w:line="480" w:lineRule="auto"/>
        <w:rPr>
          <w:rFonts w:ascii="Times New Roman" w:hAnsi="Times New Roman" w:cs="Times New Roman"/>
          <w:sz w:val="28"/>
          <w:szCs w:val="28"/>
        </w:rPr>
      </w:pPr>
    </w:p>
    <w:p w14:paraId="7C2D5D6F" w14:textId="77777777" w:rsidR="002E4A29" w:rsidRPr="000972BC" w:rsidRDefault="002E4A29" w:rsidP="0076088A">
      <w:pPr>
        <w:spacing w:line="480" w:lineRule="auto"/>
        <w:jc w:val="center"/>
        <w:rPr>
          <w:rFonts w:ascii="Times New Roman" w:hAnsi="Times New Roman" w:cs="Times New Roman"/>
          <w:b/>
          <w:sz w:val="28"/>
          <w:szCs w:val="28"/>
        </w:rPr>
      </w:pPr>
      <w:r w:rsidRPr="000972BC">
        <w:rPr>
          <w:rFonts w:ascii="Times New Roman" w:hAnsi="Times New Roman" w:cs="Times New Roman"/>
          <w:sz w:val="28"/>
          <w:szCs w:val="28"/>
        </w:rPr>
        <w:br w:type="page"/>
      </w:r>
      <w:r w:rsidRPr="000972BC">
        <w:rPr>
          <w:rFonts w:ascii="Times New Roman" w:hAnsi="Times New Roman" w:cs="Times New Roman"/>
          <w:b/>
          <w:sz w:val="28"/>
          <w:szCs w:val="28"/>
        </w:rPr>
        <w:lastRenderedPageBreak/>
        <w:t>CHAPTER TWO</w:t>
      </w:r>
    </w:p>
    <w:p w14:paraId="7366606F"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2.0   MATERIALS AND METHODS</w:t>
      </w:r>
    </w:p>
    <w:p w14:paraId="398E7EEE" w14:textId="77777777" w:rsidR="002E4A29" w:rsidRPr="000972BC" w:rsidRDefault="00B473F4" w:rsidP="000972BC">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2E4A29" w:rsidRPr="000972BC">
        <w:rPr>
          <w:rFonts w:ascii="Times New Roman" w:hAnsi="Times New Roman" w:cs="Times New Roman"/>
          <w:b/>
          <w:sz w:val="28"/>
          <w:szCs w:val="28"/>
        </w:rPr>
        <w:t xml:space="preserve"> MATERIALS USED</w:t>
      </w:r>
    </w:p>
    <w:p w14:paraId="2AA84D00" w14:textId="77777777" w:rsidR="002E4A29" w:rsidRDefault="005C2B97" w:rsidP="000972BC">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materials were</w:t>
      </w:r>
      <w:r w:rsidR="002E4A29" w:rsidRPr="000972BC">
        <w:rPr>
          <w:rFonts w:ascii="Times New Roman" w:hAnsi="Times New Roman" w:cs="Times New Roman"/>
          <w:sz w:val="28"/>
          <w:szCs w:val="28"/>
        </w:rPr>
        <w:t xml:space="preserve"> used during the course of the research: Petri dishes, Ethanol, </w:t>
      </w:r>
      <w:proofErr w:type="spellStart"/>
      <w:r w:rsidR="002E4A29" w:rsidRPr="000972BC">
        <w:rPr>
          <w:rFonts w:ascii="Times New Roman" w:hAnsi="Times New Roman" w:cs="Times New Roman"/>
          <w:sz w:val="28"/>
          <w:szCs w:val="28"/>
        </w:rPr>
        <w:t>Bursen</w:t>
      </w:r>
      <w:proofErr w:type="spellEnd"/>
      <w:r w:rsidR="002E4A29" w:rsidRPr="000972BC">
        <w:rPr>
          <w:rFonts w:ascii="Times New Roman" w:hAnsi="Times New Roman" w:cs="Times New Roman"/>
          <w:sz w:val="28"/>
          <w:szCs w:val="28"/>
        </w:rPr>
        <w:t xml:space="preserve"> burner, Potato Dextrose Agar, Potato Dextrose Broth Conical flask, Beaker, Weigh balance, Spectrophotometer, Incubator, Distilled water, Test tubes, Incubating loop, Cotton wool, Gloves, Nose mask, Measuring cylinder, Stirring rod, Spatula, Reagent bottles, Synthetic Nutrient Agar, Maize, Wheat, Scalpel, Potassium dihydrogen phosphate(KH</w:t>
      </w:r>
      <w:r w:rsidR="002E4A29" w:rsidRPr="000972BC">
        <w:rPr>
          <w:rFonts w:ascii="Times New Roman" w:hAnsi="Times New Roman" w:cs="Times New Roman"/>
          <w:sz w:val="28"/>
          <w:szCs w:val="28"/>
          <w:vertAlign w:val="subscript"/>
        </w:rPr>
        <w:t>2</w:t>
      </w:r>
      <w:r w:rsidR="002E4A29" w:rsidRPr="000972BC">
        <w:rPr>
          <w:rFonts w:ascii="Times New Roman" w:hAnsi="Times New Roman" w:cs="Times New Roman"/>
          <w:sz w:val="28"/>
          <w:szCs w:val="28"/>
        </w:rPr>
        <w:t>PO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Magnesium sulfate (MgSO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Potassium nitrate (KNO</w:t>
      </w:r>
      <w:r w:rsidR="002E4A29" w:rsidRPr="000972BC">
        <w:rPr>
          <w:rFonts w:ascii="Times New Roman" w:hAnsi="Times New Roman" w:cs="Times New Roman"/>
          <w:sz w:val="28"/>
          <w:szCs w:val="28"/>
          <w:vertAlign w:val="subscript"/>
        </w:rPr>
        <w:t>3</w:t>
      </w:r>
      <w:r w:rsidR="002E4A29" w:rsidRPr="000972BC">
        <w:rPr>
          <w:rFonts w:ascii="Times New Roman" w:hAnsi="Times New Roman" w:cs="Times New Roman"/>
          <w:sz w:val="28"/>
          <w:szCs w:val="28"/>
        </w:rPr>
        <w:t xml:space="preserve">), Kovac’s reagent, Methyl red, </w:t>
      </w:r>
      <w:proofErr w:type="spellStart"/>
      <w:r w:rsidR="002E4A29" w:rsidRPr="000972BC">
        <w:rPr>
          <w:rFonts w:ascii="Times New Roman" w:hAnsi="Times New Roman" w:cs="Times New Roman"/>
          <w:sz w:val="28"/>
          <w:szCs w:val="28"/>
        </w:rPr>
        <w:t>Barntt’s</w:t>
      </w:r>
      <w:proofErr w:type="spellEnd"/>
      <w:r w:rsidR="002E4A29" w:rsidRPr="000972BC">
        <w:rPr>
          <w:rFonts w:ascii="Times New Roman" w:hAnsi="Times New Roman" w:cs="Times New Roman"/>
          <w:sz w:val="28"/>
          <w:szCs w:val="28"/>
        </w:rPr>
        <w:t xml:space="preserve"> A and B reagent, magnetic stirrer, Buffer solution, Normal saline, Sodium hypochlorite, Centrifuge, Test tube rack, </w:t>
      </w:r>
      <w:proofErr w:type="spellStart"/>
      <w:r w:rsidR="002E4A29" w:rsidRPr="000972BC">
        <w:rPr>
          <w:rFonts w:ascii="Times New Roman" w:hAnsi="Times New Roman" w:cs="Times New Roman"/>
          <w:sz w:val="28"/>
          <w:szCs w:val="28"/>
        </w:rPr>
        <w:t>Pippete</w:t>
      </w:r>
      <w:proofErr w:type="spellEnd"/>
      <w:r w:rsidR="002E4A29" w:rsidRPr="000972BC">
        <w:rPr>
          <w:rFonts w:ascii="Times New Roman" w:hAnsi="Times New Roman" w:cs="Times New Roman"/>
          <w:sz w:val="28"/>
          <w:szCs w:val="28"/>
        </w:rPr>
        <w:t>, Syringe</w:t>
      </w:r>
    </w:p>
    <w:p w14:paraId="159EB8FE" w14:textId="77777777" w:rsidR="00B473F4" w:rsidRPr="000972BC"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0972BC">
        <w:rPr>
          <w:rFonts w:ascii="Times New Roman" w:hAnsi="Times New Roman" w:cs="Times New Roman"/>
          <w:b/>
          <w:sz w:val="28"/>
          <w:szCs w:val="28"/>
        </w:rPr>
        <w:t xml:space="preserve">   STERILIZATION OF GLASSWARES</w:t>
      </w:r>
    </w:p>
    <w:p w14:paraId="052BA066" w14:textId="77777777" w:rsidR="00B473F4" w:rsidRPr="000972BC" w:rsidRDefault="00B473F4"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w:t>
      </w:r>
      <w:r w:rsidRPr="000972BC">
        <w:rPr>
          <w:rFonts w:ascii="Times New Roman" w:hAnsi="Times New Roman" w:cs="Times New Roman"/>
          <w:sz w:val="28"/>
          <w:szCs w:val="28"/>
        </w:rPr>
        <w:lastRenderedPageBreak/>
        <w:t>covered. Inoculating loop was heat to redness with spirit lamp and workbench was wiped with 70% ethanol.</w:t>
      </w:r>
    </w:p>
    <w:p w14:paraId="75B51E67"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2.3 SAMPLE COLLECTION</w:t>
      </w:r>
    </w:p>
    <w:p w14:paraId="405C3BD8" w14:textId="77777777" w:rsidR="002E4A29"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Maize samples suspected of being contaminated with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were obtained from the </w:t>
      </w:r>
      <w:proofErr w:type="spellStart"/>
      <w:r w:rsidRPr="000972BC">
        <w:rPr>
          <w:rFonts w:ascii="Times New Roman" w:hAnsi="Times New Roman" w:cs="Times New Roman"/>
          <w:sz w:val="28"/>
          <w:szCs w:val="28"/>
        </w:rPr>
        <w:t>Ipata</w:t>
      </w:r>
      <w:proofErr w:type="spellEnd"/>
      <w:r w:rsidRPr="000972BC">
        <w:rPr>
          <w:rFonts w:ascii="Times New Roman" w:hAnsi="Times New Roman" w:cs="Times New Roman"/>
          <w:sz w:val="28"/>
          <w:szCs w:val="28"/>
        </w:rPr>
        <w:t xml:space="preserve"> Market in Ilorin, </w:t>
      </w:r>
      <w:proofErr w:type="spellStart"/>
      <w:r w:rsidRPr="000972BC">
        <w:rPr>
          <w:rFonts w:ascii="Times New Roman" w:hAnsi="Times New Roman" w:cs="Times New Roman"/>
          <w:sz w:val="28"/>
          <w:szCs w:val="28"/>
        </w:rPr>
        <w:t>Kwara</w:t>
      </w:r>
      <w:proofErr w:type="spellEnd"/>
      <w:r w:rsidRPr="000972BC">
        <w:rPr>
          <w:rFonts w:ascii="Times New Roman" w:hAnsi="Times New Roman" w:cs="Times New Roman"/>
          <w:sz w:val="28"/>
          <w:szCs w:val="28"/>
        </w:rPr>
        <w:t xml:space="preserve"> State. Visibly infec</w:t>
      </w:r>
      <w:r w:rsidR="007819E8" w:rsidRPr="000972BC">
        <w:rPr>
          <w:rFonts w:ascii="Times New Roman" w:hAnsi="Times New Roman" w:cs="Times New Roman"/>
          <w:sz w:val="28"/>
          <w:szCs w:val="28"/>
        </w:rPr>
        <w:t>ted and discolored maize</w:t>
      </w:r>
      <w:r w:rsidRPr="000972BC">
        <w:rPr>
          <w:rFonts w:ascii="Times New Roman" w:hAnsi="Times New Roman" w:cs="Times New Roman"/>
          <w:sz w:val="28"/>
          <w:szCs w:val="28"/>
        </w:rPr>
        <w:t xml:space="preserve"> were selected based on physical signs of fungal infection, such as mold growth and rot. The samples were collected in sterile polythene bags, labeled appropriately, and transported immediately to the laboratory for further analysis.</w:t>
      </w:r>
    </w:p>
    <w:p w14:paraId="2D70B2FF" w14:textId="77777777" w:rsidR="002927F7" w:rsidRPr="000972BC" w:rsidRDefault="002927F7"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2.4 PREPARATION OF MEDIA</w:t>
      </w:r>
    </w:p>
    <w:p w14:paraId="578FBF32" w14:textId="77777777" w:rsidR="002927F7"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 Media were prepared according to manufacturer′s instruction and then autoclave at 121</w:t>
      </w:r>
      <w:r w:rsidRPr="000972BC">
        <w:rPr>
          <w:rFonts w:ascii="Times New Roman" w:hAnsi="Times New Roman" w:cs="Times New Roman"/>
          <w:sz w:val="28"/>
          <w:szCs w:val="28"/>
          <w:vertAlign w:val="superscript"/>
        </w:rPr>
        <w:t xml:space="preserve">0 </w:t>
      </w:r>
      <w:r w:rsidRPr="000972BC">
        <w:rPr>
          <w:rFonts w:ascii="Times New Roman" w:hAnsi="Times New Roman" w:cs="Times New Roman"/>
          <w:sz w:val="28"/>
          <w:szCs w:val="28"/>
        </w:rPr>
        <w:t xml:space="preserve">C for 15 minutes. The following are the media used during the laboratory bench work </w:t>
      </w:r>
    </w:p>
    <w:p w14:paraId="40A6C3D8" w14:textId="77777777" w:rsidR="002927F7" w:rsidRPr="000972BC" w:rsidRDefault="002927F7" w:rsidP="000972BC">
      <w:pPr>
        <w:pStyle w:val="ListParagraph"/>
        <w:numPr>
          <w:ilvl w:val="0"/>
          <w:numId w:val="2"/>
        </w:numPr>
        <w:jc w:val="both"/>
      </w:pPr>
      <w:r w:rsidRPr="000972BC">
        <w:t xml:space="preserve">Potato Dextrose Agar (PDA) </w:t>
      </w:r>
    </w:p>
    <w:p w14:paraId="58B417C6" w14:textId="77777777" w:rsidR="002927F7" w:rsidRPr="000972BC" w:rsidRDefault="002927F7" w:rsidP="000972BC">
      <w:pPr>
        <w:pStyle w:val="ListParagraph"/>
        <w:numPr>
          <w:ilvl w:val="0"/>
          <w:numId w:val="2"/>
        </w:numPr>
        <w:jc w:val="both"/>
      </w:pPr>
      <w:r w:rsidRPr="000972BC">
        <w:t xml:space="preserve">Potato Dextrose Broth (PDB) </w:t>
      </w:r>
    </w:p>
    <w:p w14:paraId="1000ECC3"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2.4.1 PREPARATION OF POTATO DEXTROSE AGAR (PDA)</w:t>
      </w:r>
    </w:p>
    <w:p w14:paraId="0E87A28D" w14:textId="77777777" w:rsidR="00AB512B" w:rsidRP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Agar (PDA) was prepared by dissolving 39 grams of commercially available PDA powder in 1 liter of distilled water. The mixture was stirred thoroughly to ensure even distribution of the components and then heated </w:t>
      </w:r>
      <w:r w:rsidRPr="00AB512B">
        <w:rPr>
          <w:rFonts w:ascii="Times New Roman" w:eastAsia="Times New Roman" w:hAnsi="Times New Roman" w:cs="Times New Roman"/>
          <w:sz w:val="28"/>
          <w:szCs w:val="28"/>
        </w:rPr>
        <w:lastRenderedPageBreak/>
        <w:t>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0473A70F"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2.4.2 PREPARATION OF POTATO DEXTROSE BROTH (PDB)</w:t>
      </w:r>
    </w:p>
    <w:p w14:paraId="63DCA7E3" w14:textId="77777777" w:rsid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AB512B">
        <w:rPr>
          <w:rFonts w:ascii="Times New Roman" w:eastAsia="Times New Roman" w:hAnsi="Times New Roman" w:cs="Times New Roman"/>
          <w:sz w:val="28"/>
          <w:szCs w:val="28"/>
        </w:rPr>
        <w:t xml:space="preserve"> and for the extraction of fungal metabolites, including toxins, by allowing the fungus to grow under stationary conditions for several days.</w:t>
      </w:r>
    </w:p>
    <w:p w14:paraId="2321AD92" w14:textId="77777777" w:rsidR="008E4415"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5E0C886A" w14:textId="77777777" w:rsidR="008E4415" w:rsidRPr="000972BC"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21DA2433" w14:textId="77777777" w:rsidR="00AB512B" w:rsidRPr="00AB512B" w:rsidRDefault="00AB512B"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lastRenderedPageBreak/>
        <w:t xml:space="preserve">2.5 </w:t>
      </w:r>
      <w:r w:rsidR="008E4415" w:rsidRPr="000972BC">
        <w:rPr>
          <w:rFonts w:ascii="Times New Roman" w:eastAsia="Times New Roman" w:hAnsi="Times New Roman" w:cs="Times New Roman"/>
          <w:b/>
          <w:bCs/>
          <w:sz w:val="28"/>
          <w:szCs w:val="28"/>
        </w:rPr>
        <w:t xml:space="preserve">ISOLATION OF </w:t>
      </w:r>
      <w:r w:rsidR="008E4415" w:rsidRPr="008E4415">
        <w:rPr>
          <w:rFonts w:ascii="Times New Roman" w:eastAsia="Times New Roman" w:hAnsi="Times New Roman" w:cs="Times New Roman"/>
          <w:b/>
          <w:bCs/>
          <w:i/>
          <w:iCs/>
          <w:sz w:val="28"/>
          <w:szCs w:val="28"/>
        </w:rPr>
        <w:t>FUSARIUM GRAMINEARUM</w:t>
      </w:r>
      <w:r w:rsidR="008E4415" w:rsidRPr="000972BC">
        <w:rPr>
          <w:rFonts w:ascii="Times New Roman" w:eastAsia="Times New Roman" w:hAnsi="Times New Roman" w:cs="Times New Roman"/>
          <w:b/>
          <w:bCs/>
          <w:sz w:val="28"/>
          <w:szCs w:val="28"/>
        </w:rPr>
        <w:t xml:space="preserve"> FROM MAIZE</w:t>
      </w:r>
    </w:p>
    <w:p w14:paraId="48AB7C43" w14:textId="77777777" w:rsidR="00AB512B"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0972BC">
        <w:rPr>
          <w:rFonts w:ascii="Times New Roman" w:eastAsia="Times New Roman" w:hAnsi="Times New Roman" w:cs="Times New Roman"/>
          <w:sz w:val="28"/>
          <w:szCs w:val="28"/>
        </w:rPr>
        <w:t xml:space="preserve">To isolate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0972BC">
        <w:rPr>
          <w:rFonts w:ascii="Times New Roman" w:eastAsia="Times New Roman" w:hAnsi="Times New Roman" w:cs="Times New Roman"/>
          <w:sz w:val="28"/>
          <w:szCs w:val="28"/>
        </w:rPr>
        <w:t xml:space="preserve">, visibly infected and discolored maize kernels were selected as they are more likely to harbor the fungus. These infected kernels were first cleaned to remove surface debris and then ground into a coarse powder using a sterile mortar and pestle. The ground maize sample was evenly sprinkled over the surface of already prepared and solidified Potato Dextrose Agar (PDA) plates under aseptic conditions. The plates were then incubated at 28°C for 5 days. Fungal growth was observed daily, and colonies exhibiting morphological features typical of </w:t>
      </w:r>
      <w:r w:rsidR="008E4415" w:rsidRPr="008E4415">
        <w:rPr>
          <w:rFonts w:ascii="Times New Roman" w:eastAsia="Times New Roman" w:hAnsi="Times New Roman" w:cs="Times New Roman"/>
          <w:i/>
          <w:iCs/>
          <w:sz w:val="28"/>
          <w:szCs w:val="28"/>
        </w:rPr>
        <w:t>Fusarium</w:t>
      </w:r>
      <w:r w:rsidRPr="000972BC">
        <w:rPr>
          <w:rFonts w:ascii="Times New Roman" w:eastAsia="Times New Roman" w:hAnsi="Times New Roman" w:cs="Times New Roman"/>
          <w:sz w:val="28"/>
          <w:szCs w:val="28"/>
        </w:rPr>
        <w:t xml:space="preserve"> species such as cottony or fluffy mycelia with grayish green pigmentation—were carefully monitored. Distinct colonies were sub-cultured onto fresh PDA plates to obtain pure isolates for further identification and characterization.</w:t>
      </w:r>
    </w:p>
    <w:p w14:paraId="75CAF7F8" w14:textId="77777777" w:rsidR="007819E8" w:rsidRPr="007819E8" w:rsidRDefault="007819E8"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 xml:space="preserve">2.6 </w:t>
      </w:r>
      <w:r w:rsidR="008E4415" w:rsidRPr="000972BC">
        <w:rPr>
          <w:rFonts w:ascii="Times New Roman" w:eastAsia="Times New Roman" w:hAnsi="Times New Roman" w:cs="Times New Roman"/>
          <w:b/>
          <w:bCs/>
          <w:sz w:val="28"/>
          <w:szCs w:val="28"/>
        </w:rPr>
        <w:t xml:space="preserve">CHARACTERIZATION AND IDENTIFICATION OF </w:t>
      </w:r>
      <w:r w:rsidR="008E4415" w:rsidRPr="008E4415">
        <w:rPr>
          <w:rFonts w:ascii="Times New Roman" w:eastAsia="Times New Roman" w:hAnsi="Times New Roman" w:cs="Times New Roman"/>
          <w:b/>
          <w:bCs/>
          <w:i/>
          <w:iCs/>
          <w:sz w:val="28"/>
          <w:szCs w:val="28"/>
        </w:rPr>
        <w:t>FUSARIUM GRAMINEARUM</w:t>
      </w:r>
    </w:p>
    <w:p w14:paraId="0697D8F0" w14:textId="77777777" w:rsidR="007819E8"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7819E8">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w:t>
      </w:r>
      <w:r w:rsidRPr="007819E8">
        <w:rPr>
          <w:rFonts w:ascii="Times New Roman" w:eastAsia="Times New Roman" w:hAnsi="Times New Roman" w:cs="Times New Roman"/>
          <w:sz w:val="28"/>
          <w:szCs w:val="28"/>
        </w:rPr>
        <w:lastRenderedPageBreak/>
        <w:t xml:space="preserve">macroconidia shape, number of septa, and hyphal structure were compared with standard taxonomic keys to confirm the presence of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7819E8">
        <w:rPr>
          <w:rFonts w:ascii="Times New Roman" w:eastAsia="Times New Roman" w:hAnsi="Times New Roman" w:cs="Times New Roman"/>
          <w:sz w:val="28"/>
          <w:szCs w:val="28"/>
        </w:rPr>
        <w:t>.</w:t>
      </w:r>
    </w:p>
    <w:p w14:paraId="0A6A1BC6" w14:textId="77777777" w:rsidR="007819E8" w:rsidRPr="000972BC" w:rsidRDefault="00110600" w:rsidP="000972BC">
      <w:pPr>
        <w:spacing w:before="100" w:beforeAutospacing="1" w:after="100" w:afterAutospacing="1" w:line="480" w:lineRule="auto"/>
        <w:jc w:val="both"/>
        <w:rPr>
          <w:rFonts w:ascii="Times New Roman" w:hAnsi="Times New Roman" w:cs="Times New Roman"/>
          <w:b/>
          <w:i/>
          <w:sz w:val="28"/>
          <w:szCs w:val="28"/>
        </w:rPr>
      </w:pPr>
      <w:r w:rsidRPr="000972BC">
        <w:rPr>
          <w:rFonts w:ascii="Times New Roman" w:hAnsi="Times New Roman" w:cs="Times New Roman"/>
          <w:b/>
          <w:sz w:val="28"/>
          <w:szCs w:val="28"/>
        </w:rPr>
        <w:t xml:space="preserve">2.7 SUB-CULTURING AND EXTRACTION OF </w:t>
      </w:r>
      <w:r w:rsidR="008E4415" w:rsidRPr="008E4415">
        <w:rPr>
          <w:rFonts w:ascii="Times New Roman" w:hAnsi="Times New Roman" w:cs="Times New Roman"/>
          <w:b/>
          <w:i/>
          <w:sz w:val="28"/>
          <w:szCs w:val="28"/>
        </w:rPr>
        <w:t>FUSARIUM</w:t>
      </w:r>
      <w:r w:rsidRPr="000972BC">
        <w:rPr>
          <w:rFonts w:ascii="Times New Roman" w:hAnsi="Times New Roman" w:cs="Times New Roman"/>
          <w:b/>
          <w:i/>
          <w:sz w:val="28"/>
          <w:szCs w:val="28"/>
        </w:rPr>
        <w:t xml:space="preserve"> GRAMINEARIUM</w:t>
      </w:r>
    </w:p>
    <w:p w14:paraId="23B83154" w14:textId="77777777" w:rsidR="00110600" w:rsidRPr="000972BC" w:rsidRDefault="00110600"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After characterization, fungi identified as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in the isolates were sub-cultured in Potato Dextrose Broth (PDB) and incubated</w:t>
      </w:r>
      <w:r w:rsidR="00DE6D8E">
        <w:rPr>
          <w:rFonts w:ascii="Times New Roman" w:hAnsi="Times New Roman" w:cs="Times New Roman"/>
          <w:sz w:val="28"/>
          <w:szCs w:val="28"/>
        </w:rPr>
        <w:t xml:space="preserve"> in a shaking incubated</w:t>
      </w:r>
      <w:r w:rsidRPr="000972BC">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fungal biomass, and the </w:t>
      </w:r>
      <w:proofErr w:type="gramStart"/>
      <w:r w:rsidRPr="000972BC">
        <w:rPr>
          <w:rFonts w:ascii="Times New Roman" w:hAnsi="Times New Roman" w:cs="Times New Roman"/>
          <w:sz w:val="28"/>
          <w:szCs w:val="28"/>
        </w:rPr>
        <w:t>supernatan</w:t>
      </w:r>
      <w:r w:rsidR="00B473F4">
        <w:rPr>
          <w:rFonts w:ascii="Times New Roman" w:hAnsi="Times New Roman" w:cs="Times New Roman"/>
          <w:sz w:val="28"/>
          <w:szCs w:val="28"/>
        </w:rPr>
        <w:t xml:space="preserve">t </w:t>
      </w:r>
      <w:r w:rsidRPr="000972BC">
        <w:rPr>
          <w:rFonts w:ascii="Times New Roman" w:hAnsi="Times New Roman" w:cs="Times New Roman"/>
          <w:sz w:val="28"/>
          <w:szCs w:val="28"/>
        </w:rPr>
        <w:t xml:space="preserve"> presumed</w:t>
      </w:r>
      <w:proofErr w:type="gramEnd"/>
      <w:r w:rsidRPr="000972BC">
        <w:rPr>
          <w:rFonts w:ascii="Times New Roman" w:hAnsi="Times New Roman" w:cs="Times New Roman"/>
          <w:sz w:val="28"/>
          <w:szCs w:val="28"/>
        </w:rPr>
        <w:t xml:space="preserve"> to contain the toxin was carefully decanted. This decanted supernatant was then subjected to spectrophotometric analysis to assess the presence and concentration of the produced toxin.</w:t>
      </w:r>
    </w:p>
    <w:p w14:paraId="6C493868" w14:textId="77777777" w:rsidR="00110600" w:rsidRPr="000972BC" w:rsidRDefault="00110600" w:rsidP="000972BC">
      <w:pPr>
        <w:spacing w:line="480" w:lineRule="auto"/>
        <w:jc w:val="both"/>
        <w:rPr>
          <w:rFonts w:ascii="Times New Roman" w:hAnsi="Times New Roman" w:cs="Times New Roman"/>
          <w:b/>
          <w:sz w:val="28"/>
          <w:szCs w:val="28"/>
        </w:rPr>
      </w:pPr>
      <w:r w:rsidRPr="000972BC">
        <w:rPr>
          <w:rFonts w:ascii="Times New Roman" w:hAnsi="Times New Roman" w:cs="Times New Roman"/>
          <w:sz w:val="28"/>
          <w:szCs w:val="28"/>
        </w:rPr>
        <w:t xml:space="preserve">2.8 </w:t>
      </w:r>
      <w:r w:rsidRPr="000972BC">
        <w:rPr>
          <w:rFonts w:ascii="Times New Roman" w:hAnsi="Times New Roman" w:cs="Times New Roman"/>
          <w:b/>
          <w:sz w:val="28"/>
          <w:szCs w:val="28"/>
        </w:rPr>
        <w:t>ADMINISTRATION AND EVALUATION OF THE POTENCY OF THE TOXIN IN WHITE RATS</w:t>
      </w:r>
    </w:p>
    <w:p w14:paraId="5005E644" w14:textId="77777777" w:rsidR="006401AF" w:rsidRDefault="000972BC"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To evaluate the potency of the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w:t>
      </w:r>
      <w:r w:rsidR="001A77D8">
        <w:rPr>
          <w:rFonts w:ascii="Times New Roman" w:hAnsi="Times New Roman" w:cs="Times New Roman"/>
          <w:sz w:val="28"/>
          <w:szCs w:val="28"/>
        </w:rPr>
        <w:t>, the 5</w:t>
      </w:r>
      <w:r w:rsidR="001A77D8" w:rsidRPr="001A77D8">
        <w:rPr>
          <w:rFonts w:ascii="Times New Roman" w:hAnsi="Times New Roman" w:cs="Times New Roman"/>
          <w:sz w:val="28"/>
          <w:szCs w:val="28"/>
          <w:vertAlign w:val="superscript"/>
        </w:rPr>
        <w:t>th</w:t>
      </w:r>
      <w:r w:rsidR="001A77D8">
        <w:rPr>
          <w:rFonts w:ascii="Times New Roman" w:hAnsi="Times New Roman" w:cs="Times New Roman"/>
          <w:sz w:val="28"/>
          <w:szCs w:val="28"/>
        </w:rPr>
        <w:t xml:space="preserve"> rat was not injected serving as </w:t>
      </w:r>
      <w:r w:rsidR="001A77D8">
        <w:rPr>
          <w:rFonts w:ascii="Times New Roman" w:hAnsi="Times New Roman" w:cs="Times New Roman"/>
          <w:sz w:val="28"/>
          <w:szCs w:val="28"/>
        </w:rPr>
        <w:lastRenderedPageBreak/>
        <w:t>a control</w:t>
      </w:r>
      <w:r w:rsidRPr="000972BC">
        <w:rPr>
          <w:rFonts w:ascii="Times New Roman" w:hAnsi="Times New Roman" w:cs="Times New Roman"/>
          <w:sz w:val="28"/>
          <w:szCs w:val="28"/>
        </w:rPr>
        <w:t xml:space="preserve">.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at different concentrations.</w:t>
      </w:r>
    </w:p>
    <w:p w14:paraId="0D5F9B8B" w14:textId="77777777" w:rsidR="006401AF" w:rsidRDefault="006401AF">
      <w:pPr>
        <w:rPr>
          <w:rFonts w:ascii="Times New Roman" w:hAnsi="Times New Roman" w:cs="Times New Roman"/>
          <w:sz w:val="28"/>
          <w:szCs w:val="28"/>
        </w:rPr>
        <w:sectPr w:rsidR="006401AF" w:rsidSect="00EB0977">
          <w:pgSz w:w="12240" w:h="15840"/>
          <w:pgMar w:top="1440" w:right="1440" w:bottom="1440" w:left="1440" w:header="708" w:footer="708" w:gutter="0"/>
          <w:pgNumType w:start="1"/>
          <w:cols w:space="708"/>
          <w:docGrid w:linePitch="360"/>
        </w:sectPr>
      </w:pPr>
    </w:p>
    <w:p w14:paraId="27DED8FF" w14:textId="77777777" w:rsidR="00110600" w:rsidRDefault="006401AF" w:rsidP="006401AF">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2B377CA3" w14:textId="77777777" w:rsidR="00B473F4" w:rsidRDefault="00B473F4" w:rsidP="00B473F4">
      <w:pPr>
        <w:rPr>
          <w:rFonts w:ascii="Times New Roman" w:hAnsi="Times New Roman" w:cs="Times New Roman"/>
          <w:b/>
          <w:sz w:val="28"/>
          <w:szCs w:val="28"/>
        </w:rPr>
      </w:pPr>
      <w:r w:rsidRPr="004C6431">
        <w:rPr>
          <w:rFonts w:ascii="Times New Roman" w:hAnsi="Times New Roman" w:cs="Times New Roman"/>
          <w:b/>
          <w:sz w:val="28"/>
          <w:szCs w:val="28"/>
        </w:rPr>
        <w:t>3.1 Characterization and Identification of Fungal Isolate</w:t>
      </w:r>
    </w:p>
    <w:p w14:paraId="0AB5566E" w14:textId="77777777" w:rsidR="00B473F4" w:rsidRPr="00B473F4" w:rsidRDefault="00B473F4" w:rsidP="00B473F4">
      <w:pPr>
        <w:spacing w:before="100" w:beforeAutospacing="1" w:after="100" w:afterAutospacing="1" w:line="240" w:lineRule="auto"/>
        <w:outlineLvl w:val="2"/>
        <w:rPr>
          <w:rFonts w:ascii="Times New Roman" w:eastAsia="Times New Roman" w:hAnsi="Times New Roman" w:cs="Times New Roman"/>
          <w:b/>
          <w:bCs/>
          <w:sz w:val="27"/>
          <w:szCs w:val="27"/>
        </w:rPr>
      </w:pPr>
      <w:r w:rsidRPr="00B473F4">
        <w:rPr>
          <w:rFonts w:ascii="Times New Roman" w:eastAsia="Times New Roman" w:hAnsi="Times New Roman" w:cs="Times New Roman"/>
          <w:b/>
          <w:bCs/>
          <w:sz w:val="27"/>
          <w:szCs w:val="27"/>
        </w:rPr>
        <w:t xml:space="preserve">Table 1: Characterization and Identification of </w:t>
      </w:r>
      <w:proofErr w:type="spellStart"/>
      <w:r w:rsidRPr="00B473F4">
        <w:rPr>
          <w:rFonts w:ascii="Times New Roman" w:eastAsia="Times New Roman" w:hAnsi="Times New Roman" w:cs="Times New Roman"/>
          <w:b/>
          <w:bCs/>
          <w:i/>
          <w:iCs/>
          <w:sz w:val="27"/>
          <w:szCs w:val="27"/>
        </w:rPr>
        <w:t>Fusarium</w:t>
      </w:r>
      <w:proofErr w:type="spellEnd"/>
      <w:r w:rsidRPr="00B473F4">
        <w:rPr>
          <w:rFonts w:ascii="Times New Roman" w:eastAsia="Times New Roman" w:hAnsi="Times New Roman" w:cs="Times New Roman"/>
          <w:b/>
          <w:bCs/>
          <w:i/>
          <w:iCs/>
          <w:sz w:val="27"/>
          <w:szCs w:val="27"/>
        </w:rPr>
        <w:t xml:space="preserve"> </w:t>
      </w:r>
      <w:proofErr w:type="spellStart"/>
      <w:r w:rsidRPr="00B473F4">
        <w:rPr>
          <w:rFonts w:ascii="Times New Roman" w:eastAsia="Times New Roman" w:hAnsi="Times New Roman" w:cs="Times New Roman"/>
          <w:b/>
          <w:bCs/>
          <w:i/>
          <w:iCs/>
          <w:sz w:val="27"/>
          <w:szCs w:val="27"/>
        </w:rPr>
        <w:t>graminearum</w:t>
      </w:r>
      <w:proofErr w:type="spellEnd"/>
      <w:r w:rsidRPr="00B473F4">
        <w:rPr>
          <w:rFonts w:ascii="Times New Roman" w:eastAsia="Times New Roman" w:hAnsi="Times New Roman" w:cs="Times New Roman"/>
          <w:b/>
          <w:bCs/>
          <w:sz w:val="27"/>
          <w:szCs w:val="27"/>
        </w:rPr>
        <w:t xml:space="preserve"> Isolate</w:t>
      </w:r>
    </w:p>
    <w:tbl>
      <w:tblPr>
        <w:tblStyle w:val="ListTable6Colorful"/>
        <w:tblW w:w="0" w:type="auto"/>
        <w:tblLook w:val="04A0" w:firstRow="1" w:lastRow="0" w:firstColumn="1" w:lastColumn="0" w:noHBand="0" w:noVBand="1"/>
      </w:tblPr>
      <w:tblGrid>
        <w:gridCol w:w="4939"/>
        <w:gridCol w:w="5501"/>
      </w:tblGrid>
      <w:tr w:rsidR="00B473F4" w:rsidRPr="00B473F4" w14:paraId="658EE3FF" w14:textId="77777777" w:rsidTr="00B47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C16BF0" w14:textId="77777777" w:rsidR="00B473F4" w:rsidRPr="00B473F4" w:rsidRDefault="00B473F4" w:rsidP="00B473F4">
            <w:pPr>
              <w:spacing w:line="360" w:lineRule="auto"/>
              <w:jc w:val="center"/>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Cultural Features on PDA</w:t>
            </w:r>
          </w:p>
        </w:tc>
        <w:tc>
          <w:tcPr>
            <w:tcW w:w="0" w:type="auto"/>
            <w:shd w:val="clear" w:color="auto" w:fill="auto"/>
            <w:hideMark/>
          </w:tcPr>
          <w:p w14:paraId="3C56B5F2" w14:textId="77777777" w:rsidR="00B473F4" w:rsidRPr="00B473F4" w:rsidRDefault="00B473F4" w:rsidP="00B473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Microscopic Characteristics</w:t>
            </w:r>
          </w:p>
        </w:tc>
      </w:tr>
      <w:tr w:rsidR="00B473F4" w:rsidRPr="00B473F4" w14:paraId="7BEF4B8F"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CD9ABC" w14:textId="77777777" w:rsidR="00B473F4" w:rsidRPr="00B473F4" w:rsidRDefault="00B473F4" w:rsidP="005C2B97">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initially</w:t>
            </w:r>
            <w:r w:rsidR="005C2B97">
              <w:rPr>
                <w:rFonts w:ascii="Times New Roman" w:eastAsia="Times New Roman" w:hAnsi="Times New Roman" w:cs="Times New Roman"/>
                <w:sz w:val="28"/>
                <w:szCs w:val="28"/>
              </w:rPr>
              <w:t xml:space="preserve"> white, becoming pink to greyish green</w:t>
            </w:r>
            <w:r w:rsidRPr="00B473F4">
              <w:rPr>
                <w:rFonts w:ascii="Times New Roman" w:eastAsia="Times New Roman" w:hAnsi="Times New Roman" w:cs="Times New Roman"/>
                <w:sz w:val="28"/>
                <w:szCs w:val="28"/>
              </w:rPr>
              <w:t xml:space="preserve"> </w:t>
            </w:r>
          </w:p>
        </w:tc>
        <w:tc>
          <w:tcPr>
            <w:tcW w:w="0" w:type="auto"/>
            <w:shd w:val="clear" w:color="auto" w:fill="auto"/>
            <w:hideMark/>
          </w:tcPr>
          <w:p w14:paraId="2BB5E3C2"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Septate hyphae with branched conidiophores.</w:t>
            </w:r>
          </w:p>
        </w:tc>
      </w:tr>
      <w:tr w:rsidR="00B473F4" w:rsidRPr="00B473F4" w14:paraId="59B803C6"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32B519"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Cottony or fluffy aerial mycelium covering the surface of the plate.</w:t>
            </w:r>
          </w:p>
        </w:tc>
        <w:tc>
          <w:tcPr>
            <w:tcW w:w="0" w:type="auto"/>
            <w:shd w:val="clear" w:color="auto" w:fill="auto"/>
            <w:hideMark/>
          </w:tcPr>
          <w:p w14:paraId="025A3536"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Macroconidia are abundant, fusiform (sickle-shaped), with multiple septa (usually 5–7).</w:t>
            </w:r>
          </w:p>
        </w:tc>
      </w:tr>
      <w:tr w:rsidR="00B473F4" w:rsidRPr="00B473F4" w14:paraId="0D5BE9DD"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75B4C1"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Pigmentation often more intense at the center or reverse side of the colony.</w:t>
            </w:r>
          </w:p>
        </w:tc>
        <w:tc>
          <w:tcPr>
            <w:tcW w:w="0" w:type="auto"/>
            <w:shd w:val="clear" w:color="auto" w:fill="auto"/>
            <w:hideMark/>
          </w:tcPr>
          <w:p w14:paraId="55A3F0DB"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Microconidia may be present, oval to club-shaped, produced in false heads.</w:t>
            </w:r>
          </w:p>
        </w:tc>
      </w:tr>
      <w:tr w:rsidR="00B473F4" w:rsidRPr="00B473F4" w14:paraId="75FAABB9"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2770C5"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Growth is rapid and may show concentric zones on PDA.</w:t>
            </w:r>
          </w:p>
        </w:tc>
        <w:tc>
          <w:tcPr>
            <w:tcW w:w="0" w:type="auto"/>
            <w:shd w:val="clear" w:color="auto" w:fill="auto"/>
            <w:hideMark/>
          </w:tcPr>
          <w:p w14:paraId="761DF2DB"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 xml:space="preserve">Conidiophores are short, simple or branched, bearing </w:t>
            </w:r>
            <w:proofErr w:type="spellStart"/>
            <w:r w:rsidRPr="00B473F4">
              <w:rPr>
                <w:rFonts w:ascii="Times New Roman" w:eastAsia="Times New Roman" w:hAnsi="Times New Roman" w:cs="Times New Roman"/>
                <w:sz w:val="28"/>
                <w:szCs w:val="28"/>
              </w:rPr>
              <w:t>monophialides</w:t>
            </w:r>
            <w:proofErr w:type="spellEnd"/>
            <w:r w:rsidRPr="00B473F4">
              <w:rPr>
                <w:rFonts w:ascii="Times New Roman" w:eastAsia="Times New Roman" w:hAnsi="Times New Roman" w:cs="Times New Roman"/>
                <w:sz w:val="28"/>
                <w:szCs w:val="28"/>
              </w:rPr>
              <w:t>.</w:t>
            </w:r>
          </w:p>
        </w:tc>
      </w:tr>
      <w:tr w:rsidR="00B473F4" w:rsidRPr="00B473F4" w14:paraId="18FA7CC8"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9AD544"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may emit a slight fruity odor or remain odorless.</w:t>
            </w:r>
          </w:p>
        </w:tc>
        <w:tc>
          <w:tcPr>
            <w:tcW w:w="0" w:type="auto"/>
            <w:shd w:val="clear" w:color="auto" w:fill="auto"/>
            <w:hideMark/>
          </w:tcPr>
          <w:p w14:paraId="4AF44B53"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Chlamydospores may form under stress conditions or prolonged incubation.</w:t>
            </w:r>
          </w:p>
        </w:tc>
      </w:tr>
    </w:tbl>
    <w:p w14:paraId="5C91BF06" w14:textId="77777777" w:rsidR="00B473F4" w:rsidRDefault="00B473F4" w:rsidP="00B473F4">
      <w:pPr>
        <w:rPr>
          <w:rFonts w:ascii="Times New Roman" w:hAnsi="Times New Roman" w:cs="Times New Roman"/>
          <w:b/>
          <w:sz w:val="28"/>
          <w:szCs w:val="28"/>
        </w:rPr>
      </w:pPr>
    </w:p>
    <w:p w14:paraId="5E5A3620" w14:textId="77777777" w:rsidR="00B473F4" w:rsidRDefault="00B473F4" w:rsidP="00B473F4">
      <w:pPr>
        <w:rPr>
          <w:rFonts w:ascii="Times New Roman" w:hAnsi="Times New Roman" w:cs="Times New Roman"/>
          <w:b/>
          <w:sz w:val="28"/>
          <w:szCs w:val="28"/>
        </w:rPr>
      </w:pPr>
    </w:p>
    <w:p w14:paraId="45DB4783" w14:textId="77777777" w:rsidR="00B473F4" w:rsidRDefault="00B473F4"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Fig.1 </w:t>
      </w:r>
    </w:p>
    <w:p w14:paraId="085336EC" w14:textId="77777777" w:rsidR="00B473F4" w:rsidRDefault="009F6A06"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Showing microscopic 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B6EB666" w14:textId="77777777" w:rsidR="00B473F4" w:rsidRDefault="009F6A06" w:rsidP="00B473F4">
      <w:pPr>
        <w:spacing w:line="480" w:lineRule="auto"/>
        <w:jc w:val="both"/>
        <w:rPr>
          <w:rFonts w:ascii="Times New Roman" w:hAnsi="Times New Roman" w:cs="Times New Roman"/>
          <w:b/>
          <w:sz w:val="28"/>
          <w:szCs w:val="28"/>
        </w:rPr>
      </w:pPr>
      <w:r w:rsidRPr="007246ED">
        <w:rPr>
          <w:noProof/>
        </w:rPr>
        <w:drawing>
          <wp:inline distT="0" distB="0" distL="0" distR="0" wp14:anchorId="37735972" wp14:editId="5F3B3544">
            <wp:extent cx="1974437" cy="1906172"/>
            <wp:effectExtent l="0" t="0" r="6985" b="0"/>
            <wp:docPr id="4" name="Picture 4" descr="C:\Users\BALOGUN JAMIU\AppData\Local\Packages\5319275A.WhatsAppDesktop_cv1g1gvanyjgm\TempState\31B9BD09BE1C41231E7D03F4CA57DEC6\WhatsApp Image 2025-07-07 at 12.56.05_136f0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1B9BD09BE1C41231E7D03F4CA57DEC6\WhatsApp Image 2025-07-07 at 12.56.05_136f013b.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253" t="11684" r="9656" b="31760"/>
                    <a:stretch/>
                  </pic:blipFill>
                  <pic:spPr bwMode="auto">
                    <a:xfrm>
                      <a:off x="0" y="0"/>
                      <a:ext cx="1977026" cy="1908672"/>
                    </a:xfrm>
                    <a:prstGeom prst="rect">
                      <a:avLst/>
                    </a:prstGeom>
                    <a:noFill/>
                    <a:ln>
                      <a:noFill/>
                    </a:ln>
                    <a:extLst>
                      <a:ext uri="{53640926-AAD7-44D8-BBD7-CCE9431645EC}">
                        <a14:shadowObscured xmlns:a14="http://schemas.microsoft.com/office/drawing/2010/main"/>
                      </a:ext>
                    </a:extLst>
                  </pic:spPr>
                </pic:pic>
              </a:graphicData>
            </a:graphic>
          </wp:inline>
        </w:drawing>
      </w:r>
      <w:r w:rsidR="007737D1">
        <w:rPr>
          <w:rFonts w:ascii="Times New Roman" w:hAnsi="Times New Roman" w:cs="Times New Roman"/>
          <w:b/>
          <w:sz w:val="28"/>
          <w:szCs w:val="28"/>
        </w:rPr>
        <w:t xml:space="preserve">    </w:t>
      </w:r>
    </w:p>
    <w:p w14:paraId="25C16C28" w14:textId="77777777" w:rsidR="00E432E1" w:rsidRDefault="00E432E1" w:rsidP="003E04D9">
      <w:pPr>
        <w:spacing w:line="480" w:lineRule="auto"/>
        <w:rPr>
          <w:rFonts w:ascii="Times New Roman" w:eastAsia="Times New Roman" w:hAnsi="Times New Roman" w:cs="Times New Roman"/>
          <w:b/>
          <w:sz w:val="28"/>
          <w:szCs w:val="28"/>
        </w:rPr>
      </w:pPr>
    </w:p>
    <w:p w14:paraId="0A184FF5" w14:textId="392E0B99" w:rsidR="00436040" w:rsidRPr="003E04D9" w:rsidRDefault="00E432E1" w:rsidP="003E04D9">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3.2 </w:t>
      </w:r>
      <w:r w:rsidR="0088366B" w:rsidRPr="0088366B">
        <w:rPr>
          <w:rFonts w:ascii="Times New Roman" w:hAnsi="Times New Roman" w:cs="Times New Roman"/>
          <w:b/>
          <w:sz w:val="28"/>
          <w:szCs w:val="28"/>
        </w:rPr>
        <w:t>Weekly Clinical Observations in Experimental Rats</w:t>
      </w:r>
    </w:p>
    <w:p w14:paraId="22EFC115" w14:textId="5759FC28"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_Hlk203431835"/>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2</w:t>
      </w:r>
      <w:r w:rsidR="00436040" w:rsidRPr="00436040">
        <w:rPr>
          <w:rFonts w:ascii="Times New Roman" w:eastAsia="Times New Roman" w:hAnsi="Times New Roman" w:cs="Times New Roman"/>
          <w:b/>
          <w:bCs/>
          <w:sz w:val="27"/>
          <w:szCs w:val="27"/>
        </w:rPr>
        <w:t xml:space="preserve"> Daily Observation for 100% Conc. Toxin Administration in Rats</w:t>
      </w:r>
    </w:p>
    <w:tbl>
      <w:tblPr>
        <w:tblStyle w:val="ListTable6Colorful"/>
        <w:tblW w:w="0" w:type="auto"/>
        <w:tblLook w:val="04A0" w:firstRow="1" w:lastRow="0" w:firstColumn="1" w:lastColumn="0" w:noHBand="0" w:noVBand="1"/>
      </w:tblPr>
      <w:tblGrid>
        <w:gridCol w:w="630"/>
        <w:gridCol w:w="1556"/>
        <w:gridCol w:w="1283"/>
        <w:gridCol w:w="1481"/>
        <w:gridCol w:w="1548"/>
        <w:gridCol w:w="1302"/>
        <w:gridCol w:w="1554"/>
        <w:gridCol w:w="1086"/>
      </w:tblGrid>
      <w:tr w:rsidR="00436040" w:rsidRPr="00436040" w14:paraId="0B4963AF"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bookmarkEnd w:id="2"/>
          <w:p w14:paraId="62CEFA73"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396AF3F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571EB4B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50084DE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A0E324"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C36C89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3CB989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4E9E02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693657BD"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81DB70"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25CC07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F3FA2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674FD08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BFFF8E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25FB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 eyes</w:t>
            </w:r>
          </w:p>
        </w:tc>
        <w:tc>
          <w:tcPr>
            <w:tcW w:w="0" w:type="auto"/>
            <w:shd w:val="clear" w:color="auto" w:fill="auto"/>
            <w:hideMark/>
          </w:tcPr>
          <w:p w14:paraId="3F3B8BD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deeper</w:t>
            </w:r>
          </w:p>
        </w:tc>
        <w:tc>
          <w:tcPr>
            <w:tcW w:w="0" w:type="auto"/>
            <w:shd w:val="clear" w:color="auto" w:fill="auto"/>
            <w:hideMark/>
          </w:tcPr>
          <w:p w14:paraId="6A70172F"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14:paraId="1724791E"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D0DC8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3BAA06D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4D4EBA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7612A1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9814E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1666173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65956F2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Reddened</w:t>
            </w:r>
          </w:p>
        </w:tc>
        <w:tc>
          <w:tcPr>
            <w:tcW w:w="0" w:type="auto"/>
            <w:shd w:val="clear" w:color="auto" w:fill="auto"/>
            <w:hideMark/>
          </w:tcPr>
          <w:p w14:paraId="30D5DA4D" w14:textId="77777777" w:rsidR="00436040" w:rsidRPr="00436040" w:rsidRDefault="009A4CCF"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14:paraId="237DE1AC"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472FC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5F00511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A32AB2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4DCD6E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572E212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FBBCEE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02FC8088" w14:textId="77777777" w:rsidR="00436040" w:rsidRPr="00436040" w:rsidRDefault="009A4CCF"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Reddened</w:t>
            </w:r>
          </w:p>
        </w:tc>
        <w:tc>
          <w:tcPr>
            <w:tcW w:w="0" w:type="auto"/>
            <w:shd w:val="clear" w:color="auto" w:fill="auto"/>
            <w:hideMark/>
          </w:tcPr>
          <w:p w14:paraId="2BDB9F6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63B22253"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474C0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D3C08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63268D4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907876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0E18E3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819EF7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60431A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79F268F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r w:rsidR="00436040" w:rsidRPr="00436040" w14:paraId="5B7DC086"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DBAC6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5D710A7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4AB290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4552F6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ABE9C6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D8294A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58E7D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66BAAA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bl>
    <w:p w14:paraId="024FACF3"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367FCB4B"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9D16FDA" w14:textId="18A8FD14"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45AA98B4" w14:textId="77777777" w:rsidR="00F753C2"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3CB11499" w14:textId="489C00D1"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3</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80% Conc. Toxin Administration in Rats</w:t>
      </w:r>
    </w:p>
    <w:tbl>
      <w:tblPr>
        <w:tblStyle w:val="ListTable6Colorful"/>
        <w:tblW w:w="0" w:type="auto"/>
        <w:tblLook w:val="04A0" w:firstRow="1" w:lastRow="0" w:firstColumn="1" w:lastColumn="0" w:noHBand="0" w:noVBand="1"/>
      </w:tblPr>
      <w:tblGrid>
        <w:gridCol w:w="630"/>
        <w:gridCol w:w="1550"/>
        <w:gridCol w:w="1284"/>
        <w:gridCol w:w="1502"/>
        <w:gridCol w:w="1542"/>
        <w:gridCol w:w="1255"/>
        <w:gridCol w:w="1548"/>
        <w:gridCol w:w="1129"/>
      </w:tblGrid>
      <w:tr w:rsidR="007737D1" w:rsidRPr="00436040" w14:paraId="2ED40400"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700EF1"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5FA19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36BDB19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26536E1D"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B40A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3AF470C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4E98046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8EE738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7CFC78D9"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AA3FA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1C59BB3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970385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212E827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0505B7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75D283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814750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3DB3E9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FBCAEBF"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B508C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481F96E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EEE2F6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129D87C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406F368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58B092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41EB9E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0733F7F9"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436040" w:rsidRPr="00436040" w14:paraId="52A1D058"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88C46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7DE4914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4A6C23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4C75750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5118289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26DB3EB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labored</w:t>
            </w:r>
          </w:p>
        </w:tc>
        <w:tc>
          <w:tcPr>
            <w:tcW w:w="0" w:type="auto"/>
            <w:shd w:val="clear" w:color="auto" w:fill="auto"/>
            <w:hideMark/>
          </w:tcPr>
          <w:p w14:paraId="4402D6D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3BF8CB73"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C06BF00"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C2AA7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B118F2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BADF72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6BEE81A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37F0ED9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30D862F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58BF9E"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FBC0B3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3D708D34"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DA5F9B"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299299D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24D9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8C52BC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7F2D26B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023327E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F8D9DB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6E800B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darker</w:t>
            </w:r>
          </w:p>
        </w:tc>
      </w:tr>
    </w:tbl>
    <w:p w14:paraId="1CC2EE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D505E07" w14:textId="77777777"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1EC80684" w14:textId="0F3422CA"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5E2756C1" w14:textId="26380CDF"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4F5289EC" w14:textId="77777777"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084A79B3" w14:textId="38A63DC5"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Table </w:t>
      </w:r>
      <w:r w:rsidR="00B213B7">
        <w:rPr>
          <w:rFonts w:ascii="Times New Roman" w:eastAsia="Times New Roman" w:hAnsi="Times New Roman" w:cs="Times New Roman"/>
          <w:b/>
          <w:bCs/>
          <w:sz w:val="27"/>
          <w:szCs w:val="27"/>
        </w:rPr>
        <w:t>4</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60% Conc. Toxin Administration in Rats</w:t>
      </w:r>
    </w:p>
    <w:tbl>
      <w:tblPr>
        <w:tblStyle w:val="ListTable6Colorful"/>
        <w:tblW w:w="0" w:type="auto"/>
        <w:tblLook w:val="04A0" w:firstRow="1" w:lastRow="0" w:firstColumn="1" w:lastColumn="0" w:noHBand="0" w:noVBand="1"/>
      </w:tblPr>
      <w:tblGrid>
        <w:gridCol w:w="630"/>
        <w:gridCol w:w="1625"/>
        <w:gridCol w:w="1397"/>
        <w:gridCol w:w="1548"/>
        <w:gridCol w:w="1057"/>
        <w:gridCol w:w="1338"/>
        <w:gridCol w:w="1631"/>
        <w:gridCol w:w="1214"/>
      </w:tblGrid>
      <w:tr w:rsidR="007737D1" w:rsidRPr="00436040" w14:paraId="14852A4B"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2B74E9"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A30E0E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60315BC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09ADB46"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2FDB018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7FD707A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774DDA3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00BAAC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24069365"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B43A9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4438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9649FD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345494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BD7C8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103582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FE3A6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B71B3AC"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w:t>
            </w:r>
          </w:p>
        </w:tc>
      </w:tr>
      <w:tr w:rsidR="007737D1" w:rsidRPr="00436040" w14:paraId="2025D9BF"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514F3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69592D20"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25024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2FD5864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2D8E4BB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46FC264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254D6A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BBC4167"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F753C2" w:rsidRPr="00436040" w14:paraId="21D76371"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1F393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33E3FC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C6BF90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3D59F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DB0F2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85CCAE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AE0A0C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6861B7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5F5BC237"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0EB20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1D0976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A4E051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2E27258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2ED8109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3200B16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5FA228EF"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B09505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F753C2" w:rsidRPr="00436040" w14:paraId="3C9F04DE"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36A33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711FD8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6DD30B63"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5468D3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5492E6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22A9187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C1CC3AE"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68BCF5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B8A8992"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4AEAD1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12F1377F" w14:textId="1EEAFD75" w:rsidR="00E432E1" w:rsidRP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4CCC8679" w14:textId="7BDF12D0"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5</w:t>
      </w:r>
      <w:r w:rsidR="00436040" w:rsidRPr="00436040">
        <w:rPr>
          <w:rFonts w:ascii="Times New Roman" w:eastAsia="Times New Roman" w:hAnsi="Times New Roman" w:cs="Times New Roman"/>
          <w:b/>
          <w:bCs/>
          <w:sz w:val="27"/>
          <w:szCs w:val="27"/>
        </w:rPr>
        <w:t xml:space="preserve"> Daily Observation for 50% Conc. Toxin Administration in Rats</w:t>
      </w:r>
    </w:p>
    <w:tbl>
      <w:tblPr>
        <w:tblStyle w:val="ListTable6Colorful"/>
        <w:tblW w:w="0" w:type="auto"/>
        <w:tblLook w:val="04A0" w:firstRow="1" w:lastRow="0" w:firstColumn="1" w:lastColumn="0" w:noHBand="0" w:noVBand="1"/>
      </w:tblPr>
      <w:tblGrid>
        <w:gridCol w:w="630"/>
        <w:gridCol w:w="1662"/>
        <w:gridCol w:w="1285"/>
        <w:gridCol w:w="1486"/>
        <w:gridCol w:w="1062"/>
        <w:gridCol w:w="1379"/>
        <w:gridCol w:w="1672"/>
        <w:gridCol w:w="1264"/>
      </w:tblGrid>
      <w:tr w:rsidR="007737D1" w:rsidRPr="00436040" w14:paraId="6DDFA75F"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4FA107"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52E177E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2EC214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6A644D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13AC941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EB962C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09108B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5AB5072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4B275412"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24E9A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7B24E5D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193379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17C8495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9B24BE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4816805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247201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A7D872"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7737D1" w:rsidRPr="00436040" w14:paraId="4A09B514"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D11B65"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7714B7E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0DFD3F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55D3634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Reduced</w:t>
            </w:r>
          </w:p>
        </w:tc>
        <w:tc>
          <w:tcPr>
            <w:tcW w:w="0" w:type="auto"/>
            <w:shd w:val="clear" w:color="auto" w:fill="auto"/>
            <w:hideMark/>
          </w:tcPr>
          <w:p w14:paraId="2995603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6298A5E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5223251"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BF11043"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F753C2" w:rsidRPr="00436040" w14:paraId="616AC148"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7498D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2117F1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E9F730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60BE2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00FF185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555652C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6BB319A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0EAF94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7737D1" w:rsidRPr="00436040" w14:paraId="7162A4C6"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5DDD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459C768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E7B97F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0682D6A6"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64715CF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6C07840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77620C9C"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78AC2D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dull</w:t>
            </w:r>
          </w:p>
        </w:tc>
      </w:tr>
      <w:tr w:rsidR="00F753C2" w:rsidRPr="00436040" w14:paraId="4117C9DA"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582FDF"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0231663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3C2BFF1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7EE6C3E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5F6EA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C960D0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37E63BD"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2C52B3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80A2E46"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99DF2D1" w14:textId="7CC71DE8"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8A7871D" w14:textId="77777777" w:rsidR="00436040" w:rsidRPr="00436040" w:rsidRDefault="00436040"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p>
    <w:p w14:paraId="5DF731FC" w14:textId="77777777" w:rsidR="00436040" w:rsidRDefault="00436040" w:rsidP="003E04D9">
      <w:pPr>
        <w:spacing w:line="240" w:lineRule="auto"/>
        <w:rPr>
          <w:rFonts w:ascii="Times New Roman" w:eastAsia="Times New Roman" w:hAnsi="Times New Roman" w:cs="Times New Roman"/>
          <w:b/>
          <w:sz w:val="28"/>
          <w:szCs w:val="28"/>
        </w:rPr>
      </w:pPr>
    </w:p>
    <w:p w14:paraId="6F457134" w14:textId="77777777" w:rsidR="007737D1" w:rsidRDefault="007737D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614BDDE" w14:textId="67C5006F" w:rsidR="00675843" w:rsidRPr="00675843" w:rsidRDefault="004B209B" w:rsidP="0088366B">
      <w:pPr>
        <w:rPr>
          <w:rFonts w:ascii="Times New Roman" w:eastAsia="Times New Roman" w:hAnsi="Times New Roman" w:cs="Times New Roman"/>
          <w:b/>
          <w:sz w:val="28"/>
          <w:szCs w:val="28"/>
        </w:rPr>
      </w:pPr>
      <w:bookmarkStart w:id="3" w:name="_Hlk203431870"/>
      <w:r w:rsidRPr="00675843">
        <w:rPr>
          <w:rFonts w:ascii="Times New Roman" w:eastAsia="Times New Roman" w:hAnsi="Times New Roman" w:cs="Times New Roman"/>
          <w:b/>
          <w:sz w:val="28"/>
          <w:szCs w:val="28"/>
        </w:rPr>
        <w:lastRenderedPageBreak/>
        <w:t>T</w:t>
      </w:r>
      <w:r w:rsidR="00675843">
        <w:rPr>
          <w:rFonts w:ascii="Times New Roman" w:eastAsia="Times New Roman" w:hAnsi="Times New Roman" w:cs="Times New Roman"/>
          <w:b/>
          <w:sz w:val="28"/>
          <w:szCs w:val="28"/>
        </w:rPr>
        <w:t>able</w:t>
      </w:r>
      <w:r w:rsidR="003E04D9">
        <w:rPr>
          <w:rFonts w:ascii="Times New Roman" w:eastAsia="Times New Roman" w:hAnsi="Times New Roman" w:cs="Times New Roman"/>
          <w:b/>
          <w:sz w:val="28"/>
          <w:szCs w:val="28"/>
        </w:rPr>
        <w:t xml:space="preserve"> </w:t>
      </w:r>
      <w:r w:rsidR="00B213B7">
        <w:rPr>
          <w:rFonts w:ascii="Times New Roman" w:eastAsia="Times New Roman" w:hAnsi="Times New Roman" w:cs="Times New Roman"/>
          <w:b/>
          <w:sz w:val="28"/>
          <w:szCs w:val="28"/>
        </w:rPr>
        <w:t>6</w:t>
      </w:r>
      <w:r w:rsidR="00922BF2" w:rsidRPr="00675843">
        <w:rPr>
          <w:rFonts w:ascii="Times New Roman" w:eastAsia="Times New Roman" w:hAnsi="Times New Roman" w:cs="Times New Roman"/>
          <w:b/>
          <w:sz w:val="28"/>
          <w:szCs w:val="28"/>
        </w:rPr>
        <w:t xml:space="preserve">: </w:t>
      </w:r>
      <w:r w:rsidR="00675843" w:rsidRPr="00675843">
        <w:rPr>
          <w:rFonts w:ascii="Times New Roman" w:eastAsia="Times New Roman" w:hAnsi="Times New Roman" w:cs="Times New Roman"/>
          <w:b/>
          <w:sz w:val="28"/>
          <w:szCs w:val="28"/>
        </w:rPr>
        <w:t xml:space="preserve"> Post-Mortem Findings in Experimental Rats</w:t>
      </w:r>
    </w:p>
    <w:tbl>
      <w:tblPr>
        <w:tblStyle w:val="ListTable6Colorful"/>
        <w:tblW w:w="0" w:type="auto"/>
        <w:tblLook w:val="04A0" w:firstRow="1" w:lastRow="0" w:firstColumn="1" w:lastColumn="0" w:noHBand="0" w:noVBand="1"/>
      </w:tblPr>
      <w:tblGrid>
        <w:gridCol w:w="2042"/>
        <w:gridCol w:w="2043"/>
        <w:gridCol w:w="2043"/>
        <w:gridCol w:w="2043"/>
        <w:gridCol w:w="2043"/>
      </w:tblGrid>
      <w:tr w:rsidR="00922BF2" w14:paraId="69F4EF2D" w14:textId="77777777" w:rsidTr="009F6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bookmarkEnd w:id="3"/>
          <w:p w14:paraId="74C4CFBA" w14:textId="77777777" w:rsidR="00922BF2" w:rsidRPr="0088366B" w:rsidRDefault="00922BF2" w:rsidP="003E04D9">
            <w:pPr>
              <w:spacing w:line="360" w:lineRule="auto"/>
              <w:jc w:val="both"/>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Organ</w:t>
            </w:r>
          </w:p>
        </w:tc>
        <w:tc>
          <w:tcPr>
            <w:tcW w:w="2043" w:type="dxa"/>
            <w:shd w:val="clear" w:color="auto" w:fill="auto"/>
          </w:tcPr>
          <w:p w14:paraId="3D6209DB"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proofErr w:type="gramStart"/>
            <w:r w:rsidRPr="0088366B">
              <w:rPr>
                <w:rFonts w:ascii="Times New Roman" w:eastAsia="Times New Roman" w:hAnsi="Times New Roman" w:cs="Times New Roman"/>
                <w:sz w:val="28"/>
                <w:szCs w:val="28"/>
              </w:rPr>
              <w:t>Green(</w:t>
            </w:r>
            <w:proofErr w:type="gramEnd"/>
            <w:r w:rsidRPr="0088366B">
              <w:rPr>
                <w:rFonts w:ascii="Times New Roman" w:eastAsia="Times New Roman" w:hAnsi="Times New Roman" w:cs="Times New Roman"/>
                <w:sz w:val="28"/>
                <w:szCs w:val="28"/>
              </w:rPr>
              <w:t>50%)</w:t>
            </w:r>
          </w:p>
        </w:tc>
        <w:tc>
          <w:tcPr>
            <w:tcW w:w="2043" w:type="dxa"/>
            <w:shd w:val="clear" w:color="auto" w:fill="auto"/>
          </w:tcPr>
          <w:p w14:paraId="7520F6FD"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 xml:space="preserve">Blue (60%) </w:t>
            </w:r>
          </w:p>
        </w:tc>
        <w:tc>
          <w:tcPr>
            <w:tcW w:w="2043" w:type="dxa"/>
            <w:shd w:val="clear" w:color="auto" w:fill="auto"/>
          </w:tcPr>
          <w:p w14:paraId="0CB03F59"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Red (80%)</w:t>
            </w:r>
          </w:p>
        </w:tc>
        <w:tc>
          <w:tcPr>
            <w:tcW w:w="2043" w:type="dxa"/>
            <w:shd w:val="clear" w:color="auto" w:fill="auto"/>
          </w:tcPr>
          <w:p w14:paraId="607B017C"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Black 100%</w:t>
            </w:r>
          </w:p>
        </w:tc>
      </w:tr>
      <w:tr w:rsidR="00922BF2" w14:paraId="2E7FEA2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4887839"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Intestine</w:t>
            </w:r>
          </w:p>
        </w:tc>
        <w:tc>
          <w:tcPr>
            <w:tcW w:w="2043" w:type="dxa"/>
            <w:shd w:val="clear" w:color="auto" w:fill="auto"/>
          </w:tcPr>
          <w:p w14:paraId="32790B9C" w14:textId="77777777" w:rsidR="00922BF2" w:rsidRDefault="00922BF2"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r w:rsidR="0088366B">
              <w:rPr>
                <w:rFonts w:ascii="Times New Roman" w:eastAsia="Times New Roman" w:hAnsi="Times New Roman" w:cs="Times New Roman"/>
                <w:sz w:val="28"/>
                <w:szCs w:val="28"/>
              </w:rPr>
              <w:t xml:space="preserve"> and darker</w:t>
            </w:r>
          </w:p>
        </w:tc>
        <w:tc>
          <w:tcPr>
            <w:tcW w:w="2043" w:type="dxa"/>
            <w:shd w:val="clear" w:color="auto" w:fill="auto"/>
          </w:tcPr>
          <w:p w14:paraId="68BF1E89"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Placid (Shrink) and very dark</w:t>
            </w:r>
          </w:p>
        </w:tc>
        <w:tc>
          <w:tcPr>
            <w:tcW w:w="2043" w:type="dxa"/>
            <w:shd w:val="clear" w:color="auto" w:fill="auto"/>
          </w:tcPr>
          <w:p w14:paraId="070356D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Shrink but not as blue</w:t>
            </w:r>
          </w:p>
        </w:tc>
        <w:tc>
          <w:tcPr>
            <w:tcW w:w="2043" w:type="dxa"/>
            <w:shd w:val="clear" w:color="auto" w:fill="auto"/>
          </w:tcPr>
          <w:p w14:paraId="26268318"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Died during experiment</w:t>
            </w:r>
          </w:p>
        </w:tc>
      </w:tr>
      <w:tr w:rsidR="00922BF2" w14:paraId="3D0B06A4"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C471ACE"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Liver</w:t>
            </w:r>
          </w:p>
        </w:tc>
        <w:tc>
          <w:tcPr>
            <w:tcW w:w="2043" w:type="dxa"/>
            <w:shd w:val="clear" w:color="auto" w:fill="auto"/>
          </w:tcPr>
          <w:p w14:paraId="4EDC50F6"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51ADE95"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Very reddish</w:t>
            </w:r>
          </w:p>
        </w:tc>
        <w:tc>
          <w:tcPr>
            <w:tcW w:w="2043" w:type="dxa"/>
            <w:shd w:val="clear" w:color="auto" w:fill="auto"/>
          </w:tcPr>
          <w:p w14:paraId="22D9E594" w14:textId="77777777" w:rsidR="0088366B"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Dark in </w:t>
            </w:r>
            <w:proofErr w:type="spellStart"/>
            <w:r>
              <w:rPr>
                <w:rFonts w:ascii="Times New Roman" w:eastAsia="Times New Roman" w:hAnsi="Times New Roman" w:cs="Times New Roman"/>
                <w:sz w:val="28"/>
                <w:szCs w:val="28"/>
              </w:rPr>
              <w:t>colour</w:t>
            </w:r>
            <w:proofErr w:type="spellEnd"/>
          </w:p>
        </w:tc>
        <w:tc>
          <w:tcPr>
            <w:tcW w:w="2043" w:type="dxa"/>
            <w:shd w:val="clear" w:color="auto" w:fill="auto"/>
          </w:tcPr>
          <w:p w14:paraId="1C492487"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50809FB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6B0A92DF"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Kidney</w:t>
            </w:r>
          </w:p>
        </w:tc>
        <w:tc>
          <w:tcPr>
            <w:tcW w:w="2043" w:type="dxa"/>
            <w:shd w:val="clear" w:color="auto" w:fill="auto"/>
          </w:tcPr>
          <w:p w14:paraId="0FB1784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Reduce in size</w:t>
            </w:r>
          </w:p>
        </w:tc>
        <w:tc>
          <w:tcPr>
            <w:tcW w:w="2043" w:type="dxa"/>
            <w:shd w:val="clear" w:color="auto" w:fill="auto"/>
          </w:tcPr>
          <w:p w14:paraId="26606B5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 smaller and pale</w:t>
            </w:r>
          </w:p>
        </w:tc>
        <w:tc>
          <w:tcPr>
            <w:tcW w:w="2043" w:type="dxa"/>
            <w:shd w:val="clear" w:color="auto" w:fill="auto"/>
          </w:tcPr>
          <w:p w14:paraId="5C03259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FC555FC" w14:textId="77777777" w:rsidR="00922BF2" w:rsidRDefault="007737D1"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7629750D"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17C9415"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Heart</w:t>
            </w:r>
          </w:p>
        </w:tc>
        <w:tc>
          <w:tcPr>
            <w:tcW w:w="2043" w:type="dxa"/>
            <w:shd w:val="clear" w:color="auto" w:fill="auto"/>
          </w:tcPr>
          <w:p w14:paraId="5349F0F3"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Abnormal</w:t>
            </w:r>
          </w:p>
        </w:tc>
        <w:tc>
          <w:tcPr>
            <w:tcW w:w="2043" w:type="dxa"/>
            <w:shd w:val="clear" w:color="auto" w:fill="auto"/>
          </w:tcPr>
          <w:p w14:paraId="56AD75EA"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57917177"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01BACBCF"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bl>
    <w:p w14:paraId="2F7C5E0D" w14:textId="77777777" w:rsidR="00922BF2" w:rsidRDefault="00922BF2" w:rsidP="000972BC">
      <w:pPr>
        <w:spacing w:line="480" w:lineRule="auto"/>
        <w:jc w:val="both"/>
        <w:rPr>
          <w:rFonts w:ascii="Times New Roman" w:eastAsia="Times New Roman" w:hAnsi="Times New Roman" w:cs="Times New Roman"/>
          <w:sz w:val="28"/>
          <w:szCs w:val="28"/>
        </w:rPr>
      </w:pPr>
    </w:p>
    <w:p w14:paraId="5130D989" w14:textId="77777777" w:rsidR="00B473F4"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Fig 2</w:t>
      </w:r>
    </w:p>
    <w:p w14:paraId="5A163B2E" w14:textId="77777777" w:rsidR="00B473F4" w:rsidRDefault="00B473F4" w:rsidP="00B473F4">
      <w:pPr>
        <w:spacing w:line="480" w:lineRule="auto"/>
        <w:jc w:val="both"/>
        <w:rPr>
          <w:rFonts w:ascii="Times New Roman" w:eastAsia="Times New Roman" w:hAnsi="Times New Roman" w:cs="Times New Roman"/>
          <w:b/>
          <w:sz w:val="28"/>
          <w:szCs w:val="28"/>
        </w:rPr>
      </w:pPr>
      <w:r w:rsidRPr="00675843">
        <w:rPr>
          <w:rFonts w:ascii="Times New Roman" w:eastAsia="Times New Roman" w:hAnsi="Times New Roman" w:cs="Times New Roman"/>
          <w:b/>
          <w:sz w:val="28"/>
          <w:szCs w:val="28"/>
        </w:rPr>
        <w:t>Post-Mortem Findings in Experimental Rats</w:t>
      </w:r>
    </w:p>
    <w:p w14:paraId="21E92875" w14:textId="77777777" w:rsidR="00B473F4" w:rsidRDefault="00B473F4" w:rsidP="00B473F4">
      <w:pPr>
        <w:spacing w:line="480" w:lineRule="auto"/>
        <w:jc w:val="both"/>
        <w:rPr>
          <w:rFonts w:ascii="Times New Roman" w:eastAsia="Times New Roman" w:hAnsi="Times New Roman" w:cs="Times New Roman"/>
          <w:b/>
          <w:sz w:val="28"/>
          <w:szCs w:val="28"/>
        </w:rPr>
      </w:pPr>
      <w:r>
        <w:rPr>
          <w:rFonts w:ascii="Times New Roman" w:hAnsi="Times New Roman" w:cs="Times New Roman"/>
          <w:sz w:val="28"/>
          <w:szCs w:val="28"/>
        </w:rPr>
        <w:t>T</w:t>
      </w:r>
      <w:r w:rsidRPr="0088366B">
        <w:rPr>
          <w:rFonts w:ascii="Times New Roman" w:hAnsi="Times New Roman" w:cs="Times New Roman"/>
          <w:sz w:val="28"/>
          <w:szCs w:val="28"/>
        </w:rPr>
        <w:t>he Black-labeled rat was administered 100%, the Red-labeled rat received 80%, the Blue-labeled rat was given 60%, and the Green-labeled rat received 50%.</w:t>
      </w:r>
    </w:p>
    <w:p w14:paraId="08C1D4B1" w14:textId="77777777" w:rsidR="00B473F4" w:rsidRPr="008825DF" w:rsidRDefault="00B473F4" w:rsidP="00B473F4">
      <w:pPr>
        <w:pStyle w:val="ListParagraph"/>
        <w:numPr>
          <w:ilvl w:val="0"/>
          <w:numId w:val="4"/>
        </w:numPr>
        <w:jc w:val="both"/>
        <w:rPr>
          <w:b/>
        </w:rPr>
      </w:pPr>
      <w:r>
        <w:rPr>
          <w:b/>
        </w:rPr>
        <w:t xml:space="preserve">Green        </w:t>
      </w:r>
      <w:r>
        <w:rPr>
          <w:b/>
        </w:rPr>
        <w:tab/>
        <w:t xml:space="preserve">(b)  Red </w:t>
      </w:r>
      <w:r>
        <w:rPr>
          <w:b/>
        </w:rPr>
        <w:tab/>
      </w:r>
      <w:r>
        <w:rPr>
          <w:b/>
        </w:rPr>
        <w:tab/>
      </w:r>
      <w:r>
        <w:rPr>
          <w:b/>
        </w:rPr>
        <w:tab/>
        <w:t xml:space="preserve">(c) Blue </w:t>
      </w:r>
      <w:r>
        <w:rPr>
          <w:b/>
        </w:rPr>
        <w:tab/>
      </w:r>
      <w:r>
        <w:rPr>
          <w:b/>
        </w:rPr>
        <w:tab/>
        <w:t>(d)Control</w:t>
      </w:r>
    </w:p>
    <w:p w14:paraId="0F094905" w14:textId="77777777" w:rsidR="00B473F4" w:rsidRPr="000972BC" w:rsidRDefault="00B473F4" w:rsidP="00B473F4">
      <w:pPr>
        <w:spacing w:line="480" w:lineRule="auto"/>
        <w:jc w:val="both"/>
        <w:rPr>
          <w:rFonts w:ascii="Times New Roman" w:hAnsi="Times New Roman" w:cs="Times New Roman"/>
          <w:b/>
          <w:sz w:val="28"/>
          <w:szCs w:val="28"/>
        </w:rPr>
      </w:pPr>
      <w:r w:rsidRPr="008825DF">
        <w:rPr>
          <w:rFonts w:ascii="Times New Roman" w:hAnsi="Times New Roman" w:cs="Times New Roman"/>
          <w:b/>
          <w:noProof/>
          <w:sz w:val="28"/>
          <w:szCs w:val="28"/>
        </w:rPr>
        <w:drawing>
          <wp:inline distT="0" distB="0" distL="0" distR="0" wp14:anchorId="7D775D26" wp14:editId="673D66C6">
            <wp:extent cx="1491694" cy="1993078"/>
            <wp:effectExtent l="0" t="0" r="0" b="7620"/>
            <wp:docPr id="1" name="Picture 1" descr="C:\Users\BALOGUN JAMIU\AppData\Local\Packages\5319275A.WhatsAppDesktop_cv1g1gvanyjgm\TempState\5FACAAC7B76130599DD9CAE646EBD77B\WhatsApp Image 2025-05-22 at 11.10.39_b8681f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FACAAC7B76130599DD9CAE646EBD77B\WhatsApp Image 2025-05-22 at 11.10.39_b8681f4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9735" cy="2030544"/>
                    </a:xfrm>
                    <a:prstGeom prst="rect">
                      <a:avLst/>
                    </a:prstGeom>
                    <a:noFill/>
                    <a:ln>
                      <a:noFill/>
                    </a:ln>
                  </pic:spPr>
                </pic:pic>
              </a:graphicData>
            </a:graphic>
          </wp:inline>
        </w:drawing>
      </w:r>
      <w:r>
        <w:rPr>
          <w:rFonts w:ascii="Times New Roman" w:hAnsi="Times New Roman" w:cs="Times New Roman"/>
          <w:b/>
          <w:sz w:val="28"/>
          <w:szCs w:val="28"/>
        </w:rPr>
        <w:t xml:space="preserve"> </w:t>
      </w:r>
      <w:r w:rsidRPr="008825DF">
        <w:rPr>
          <w:rFonts w:ascii="Times New Roman" w:hAnsi="Times New Roman" w:cs="Times New Roman"/>
          <w:b/>
          <w:noProof/>
          <w:sz w:val="28"/>
          <w:szCs w:val="28"/>
        </w:rPr>
        <w:drawing>
          <wp:inline distT="0" distB="0" distL="0" distR="0" wp14:anchorId="399CB064" wp14:editId="4B27CCD6">
            <wp:extent cx="1507993" cy="2014855"/>
            <wp:effectExtent l="0" t="0" r="0" b="4445"/>
            <wp:docPr id="2" name="Picture 2" descr="C:\Users\BALOGUN JAMIU\AppData\Local\Packages\5319275A.WhatsAppDesktop_cv1g1gvanyjgm\TempState\29B5E37B16365048EBAC38E1BBB468A1\WhatsApp Image 2025-05-22 at 11.10.54_81311d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29B5E37B16365048EBAC38E1BBB468A1\WhatsApp Image 2025-05-22 at 11.10.54_81311df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3063" cy="2034990"/>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0EA05C8" wp14:editId="3CECB3E8">
            <wp:extent cx="1505853" cy="2011995"/>
            <wp:effectExtent l="0" t="0" r="0" b="7620"/>
            <wp:docPr id="3" name="Picture 3" descr="C:\Users\BALOGUN JAMIU\AppData\Local\Packages\5319275A.WhatsAppDesktop_cv1g1gvanyjgm\TempState\D9292B6B2C3F09A0C86C3119F78A24FB\WhatsApp Image 2025-05-22 at 11.11.13_63cac9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D9292B6B2C3F09A0C86C3119F78A24FB\WhatsApp Image 2025-05-22 at 11.11.13_63cac9b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7872" cy="2028054"/>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FBE947C" wp14:editId="2D5344A5">
            <wp:extent cx="1549261" cy="2069995"/>
            <wp:effectExtent l="0" t="0" r="0" b="6985"/>
            <wp:docPr id="5" name="Picture 5" descr="C:\Users\BALOGUN JAMIU\AppData\Local\Packages\5319275A.WhatsAppDesktop_cv1g1gvanyjgm\TempState\AFCEBF5FEDF9EEBA9D61206C57969B37\WhatsApp Image 2025-05-22 at 11.11.58_33630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AFCEBF5FEDF9EEBA9D61206C57969B37\WhatsApp Image 2025-05-22 at 11.11.58_336306b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0010" cy="2084358"/>
                    </a:xfrm>
                    <a:prstGeom prst="rect">
                      <a:avLst/>
                    </a:prstGeom>
                    <a:noFill/>
                    <a:ln>
                      <a:noFill/>
                    </a:ln>
                  </pic:spPr>
                </pic:pic>
              </a:graphicData>
            </a:graphic>
          </wp:inline>
        </w:drawing>
      </w:r>
    </w:p>
    <w:p w14:paraId="7242F990" w14:textId="77777777" w:rsidR="0088366B" w:rsidRPr="0088366B" w:rsidRDefault="0088366B" w:rsidP="003E04D9">
      <w:pPr>
        <w:jc w:val="center"/>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lastRenderedPageBreak/>
        <w:t>CHAPTER FOUR</w:t>
      </w:r>
    </w:p>
    <w:p w14:paraId="0E6D04B9" w14:textId="77777777" w:rsidR="0088366B" w:rsidRPr="0088366B" w:rsidRDefault="0088366B" w:rsidP="000972BC">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4.0 DISCUSSION AND CONCLUSION</w:t>
      </w:r>
    </w:p>
    <w:p w14:paraId="075AE6FB" w14:textId="77777777" w:rsidR="00BA04F1" w:rsidRPr="007129B8" w:rsidRDefault="0088366B" w:rsidP="00CB5175">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 xml:space="preserve">4.1 DISCUSSION </w:t>
      </w:r>
    </w:p>
    <w:p w14:paraId="455BE062"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cultural and microscopic identification of the fungal isolate from this study confirmed the organism as </w:t>
      </w:r>
      <w:proofErr w:type="spellStart"/>
      <w:r w:rsidRPr="007129B8">
        <w:rPr>
          <w:rFonts w:ascii="Times New Roman" w:eastAsia="Times New Roman" w:hAnsi="Times New Roman" w:cs="Times New Roman"/>
          <w:i/>
          <w:iCs/>
          <w:sz w:val="28"/>
          <w:szCs w:val="28"/>
        </w:rPr>
        <w:t>Fusarium</w:t>
      </w:r>
      <w:proofErr w:type="spellEnd"/>
      <w:r w:rsidRPr="007129B8">
        <w:rPr>
          <w:rFonts w:ascii="Times New Roman" w:eastAsia="Times New Roman" w:hAnsi="Times New Roman" w:cs="Times New Roman"/>
          <w:i/>
          <w:iCs/>
          <w:sz w:val="28"/>
          <w:szCs w:val="28"/>
        </w:rPr>
        <w:t xml:space="preserve">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both macroscopic and microscopic criteria. On Potato Dextrose Agar (PDA), the isolate exhibited colonies that were initially white, later developing pink to greyish-green pigmentation concentrated at the colony center and reverse, along with a cottony, fluffy aerial mycelium. These features are consistent with descriptions by Zhou et al. (2022), who emphasized that such pigmentation patterns, colony texture, and pigmentation gradient are diagnostic traits for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Microscopically, the presence of septate hyphae, branched conidiophores, sickle-shaped (fusiform) macroconidia with 5–7 septa, and microconidia in false heads, as well as chlamydospore formation under stress, matched previous morphological characterizations of the species. These confirmatory features validate the identification process and support the findings presented in Table 1 and Figure 1 of this study.</w:t>
      </w:r>
    </w:p>
    <w:p w14:paraId="70BBE817"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Following successful identification, the toxicological evaluation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toxins on </w:t>
      </w:r>
      <w:proofErr w:type="spellStart"/>
      <w:r w:rsidRPr="007129B8">
        <w:rPr>
          <w:rFonts w:ascii="Times New Roman" w:eastAsia="Times New Roman" w:hAnsi="Times New Roman" w:cs="Times New Roman"/>
          <w:sz w:val="28"/>
          <w:szCs w:val="28"/>
        </w:rPr>
        <w:t>Wistar</w:t>
      </w:r>
      <w:proofErr w:type="spellEnd"/>
      <w:r w:rsidRPr="007129B8">
        <w:rPr>
          <w:rFonts w:ascii="Times New Roman" w:eastAsia="Times New Roman" w:hAnsi="Times New Roman" w:cs="Times New Roman"/>
          <w:sz w:val="28"/>
          <w:szCs w:val="28"/>
        </w:rPr>
        <w:t xml:space="preserve"> rats revealed a clear </w:t>
      </w:r>
      <w:r w:rsidRPr="007129B8">
        <w:rPr>
          <w:rFonts w:ascii="Times New Roman" w:eastAsia="Times New Roman" w:hAnsi="Times New Roman" w:cs="Times New Roman"/>
          <w:bCs/>
          <w:sz w:val="28"/>
          <w:szCs w:val="28"/>
        </w:rPr>
        <w:t>dose-dependent relationship</w:t>
      </w:r>
      <w:r w:rsidRPr="007129B8">
        <w:rPr>
          <w:rFonts w:ascii="Times New Roman" w:eastAsia="Times New Roman" w:hAnsi="Times New Roman" w:cs="Times New Roman"/>
          <w:sz w:val="28"/>
          <w:szCs w:val="28"/>
        </w:rPr>
        <w:t xml:space="preserve"> in the severity of clinical symptoms and organ damage. Rats administered higher concentrations (100% and 80%) of fungal toxin exhibited pronounced clinical signs and mortality, whereas those given lower concentrations (60% and 50%) showed milder effects.</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 xml:space="preserve">In the 100% group (Black-labeled rat), as detailed in Table 3, progressive decline in activity, feeding behavior, and </w:t>
      </w:r>
      <w:r w:rsidRPr="007129B8">
        <w:rPr>
          <w:rFonts w:ascii="Times New Roman" w:eastAsia="Times New Roman" w:hAnsi="Times New Roman" w:cs="Times New Roman"/>
          <w:sz w:val="28"/>
          <w:szCs w:val="28"/>
        </w:rPr>
        <w:lastRenderedPageBreak/>
        <w:t xml:space="preserve">locomotion was observed by Day 2, along with labored breathing and eye discoloration. By Day 4, the rat was dead, indicating acute toxicity. These results are consistent with findings by Guo et al. (2023), who reported systemic toxicity and multi-organ failure in rats exposed to high doses of trichothecenes, especially </w:t>
      </w:r>
      <w:proofErr w:type="spellStart"/>
      <w:r w:rsidRPr="007129B8">
        <w:rPr>
          <w:rFonts w:ascii="Times New Roman" w:eastAsia="Times New Roman" w:hAnsi="Times New Roman" w:cs="Times New Roman"/>
          <w:sz w:val="28"/>
          <w:szCs w:val="28"/>
        </w:rPr>
        <w:t>deoxynivalenol</w:t>
      </w:r>
      <w:proofErr w:type="spellEnd"/>
      <w:r w:rsidRPr="007129B8">
        <w:rPr>
          <w:rFonts w:ascii="Times New Roman" w:eastAsia="Times New Roman" w:hAnsi="Times New Roman" w:cs="Times New Roman"/>
          <w:sz w:val="28"/>
          <w:szCs w:val="28"/>
        </w:rPr>
        <w:t xml:space="preserve"> (DON) and </w:t>
      </w:r>
      <w:proofErr w:type="spellStart"/>
      <w:r w:rsidRPr="007129B8">
        <w:rPr>
          <w:rFonts w:ascii="Times New Roman" w:eastAsia="Times New Roman" w:hAnsi="Times New Roman" w:cs="Times New Roman"/>
          <w:sz w:val="28"/>
          <w:szCs w:val="28"/>
        </w:rPr>
        <w:t>fusarenon</w:t>
      </w:r>
      <w:proofErr w:type="spellEnd"/>
      <w:r w:rsidRPr="007129B8">
        <w:rPr>
          <w:rFonts w:ascii="Times New Roman" w:eastAsia="Times New Roman" w:hAnsi="Times New Roman" w:cs="Times New Roman"/>
          <w:sz w:val="28"/>
          <w:szCs w:val="28"/>
        </w:rPr>
        <w:t>-X (FX).</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The Red-labeled rat (80%) also exhibited reduced activity, slow movement, poor feeding, and visible ocular changes by Day 5 (Table 4), though not as severe as the 100% group. These findings align with Wang et al. (2023), who observed that exposure to DON in moderate concentrations caused behavioral impairments and respiratory distress, with symptoms intensifying with prolonged exposure.</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In contrast, the 60% (Blue) and 50% (Green) groups showed delayed onset and milder progression of clinical signs. By Day 5, both rats had decreased feeding and locomotor activity, but remained alive (Tables 5 and 6). These results support the conclusions of Martínez-Moral et al. (2022), who highlighted the risk of chronic sub-lethal toxicity at lower concentrations, which may not produce immediate mortality but result in cumulative organ damage and physiological stress over time.</w:t>
      </w:r>
    </w:p>
    <w:p w14:paraId="73C3A80C"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w:t>
      </w:r>
      <w:r w:rsidRPr="007129B8">
        <w:rPr>
          <w:rFonts w:ascii="Times New Roman" w:eastAsia="Times New Roman" w:hAnsi="Times New Roman" w:cs="Times New Roman"/>
          <w:bCs/>
          <w:sz w:val="28"/>
          <w:szCs w:val="28"/>
        </w:rPr>
        <w:t>post-mortem findings</w:t>
      </w:r>
      <w:r w:rsidRPr="007129B8">
        <w:rPr>
          <w:rFonts w:ascii="Times New Roman" w:eastAsia="Times New Roman" w:hAnsi="Times New Roman" w:cs="Times New Roman"/>
          <w:sz w:val="28"/>
          <w:szCs w:val="28"/>
        </w:rPr>
        <w:t xml:space="preserve"> presented in Table 3 and Figure 2 further corroborate the clinical observations. The 100% dose group showed total organ failure, while rats in the 80% and 60% groups exhibited shrinking of the intestines and kidneys, as well as darkened and atrophic liver tissue. Guo et al. (2023) similarly documented </w:t>
      </w:r>
      <w:r w:rsidRPr="007129B8">
        <w:rPr>
          <w:rFonts w:ascii="Times New Roman" w:eastAsia="Times New Roman" w:hAnsi="Times New Roman" w:cs="Times New Roman"/>
          <w:bCs/>
          <w:sz w:val="28"/>
          <w:szCs w:val="28"/>
        </w:rPr>
        <w:t>hepatic and renal degeneration</w:t>
      </w:r>
      <w:r w:rsidRPr="007129B8">
        <w:rPr>
          <w:rFonts w:ascii="Times New Roman" w:eastAsia="Times New Roman" w:hAnsi="Times New Roman" w:cs="Times New Roman"/>
          <w:sz w:val="28"/>
          <w:szCs w:val="28"/>
        </w:rPr>
        <w:t xml:space="preserve"> in rats exposed to </w:t>
      </w:r>
      <w:r w:rsidRPr="007129B8">
        <w:rPr>
          <w:rFonts w:ascii="Times New Roman" w:eastAsia="Times New Roman" w:hAnsi="Times New Roman" w:cs="Times New Roman"/>
          <w:i/>
          <w:iCs/>
          <w:sz w:val="28"/>
          <w:szCs w:val="28"/>
        </w:rPr>
        <w:t>Fusarium</w:t>
      </w:r>
      <w:r w:rsidRPr="007129B8">
        <w:rPr>
          <w:rFonts w:ascii="Times New Roman" w:eastAsia="Times New Roman" w:hAnsi="Times New Roman" w:cs="Times New Roman"/>
          <w:sz w:val="28"/>
          <w:szCs w:val="28"/>
        </w:rPr>
        <w:t xml:space="preserve"> mycotoxins. Interestingly, the Blue-labeled rat also displayed pale kidneys and reddish liver, consistent with nephrotoxicity and </w:t>
      </w:r>
      <w:r w:rsidRPr="007129B8">
        <w:rPr>
          <w:rFonts w:ascii="Times New Roman" w:eastAsia="Times New Roman" w:hAnsi="Times New Roman" w:cs="Times New Roman"/>
          <w:sz w:val="28"/>
          <w:szCs w:val="28"/>
        </w:rPr>
        <w:lastRenderedPageBreak/>
        <w:t xml:space="preserve">hepatotoxicity as noted by Adeyemi et al. (2023). Notably, only the 100% group (Black) showed an </w:t>
      </w:r>
      <w:r w:rsidRPr="007129B8">
        <w:rPr>
          <w:rFonts w:ascii="Times New Roman" w:eastAsia="Times New Roman" w:hAnsi="Times New Roman" w:cs="Times New Roman"/>
          <w:bCs/>
          <w:sz w:val="28"/>
          <w:szCs w:val="28"/>
        </w:rPr>
        <w:t>abnormal heart</w:t>
      </w:r>
      <w:r w:rsidRPr="007129B8">
        <w:rPr>
          <w:rFonts w:ascii="Times New Roman" w:eastAsia="Times New Roman" w:hAnsi="Times New Roman" w:cs="Times New Roman"/>
          <w:sz w:val="28"/>
          <w:szCs w:val="28"/>
        </w:rPr>
        <w:t>, suggesting that high concentrations may extend toxicity to cardiac tissue—an outcome rarely reported, but plausible due to the systemic nature of trichothecene toxins.</w:t>
      </w:r>
    </w:p>
    <w:p w14:paraId="3412D191"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In the 50% group (Green), only mild intestinal shrinkage and slight discoloration of the liver and kidney were observed, and the rat remained clinically stable throughout the observation period. This aligns with findings by Sánchez-</w:t>
      </w:r>
      <w:proofErr w:type="spellStart"/>
      <w:r w:rsidRPr="007129B8">
        <w:rPr>
          <w:rFonts w:ascii="Times New Roman" w:eastAsia="Times New Roman" w:hAnsi="Times New Roman" w:cs="Times New Roman"/>
          <w:sz w:val="28"/>
          <w:szCs w:val="28"/>
        </w:rPr>
        <w:t>Bayo</w:t>
      </w:r>
      <w:proofErr w:type="spellEnd"/>
      <w:r w:rsidRPr="007129B8">
        <w:rPr>
          <w:rFonts w:ascii="Times New Roman" w:eastAsia="Times New Roman" w:hAnsi="Times New Roman" w:cs="Times New Roman"/>
          <w:sz w:val="28"/>
          <w:szCs w:val="28"/>
        </w:rPr>
        <w:t xml:space="preserve"> et al. (2024), who reported </w:t>
      </w:r>
      <w:r w:rsidRPr="007129B8">
        <w:rPr>
          <w:rFonts w:ascii="Times New Roman" w:eastAsia="Times New Roman" w:hAnsi="Times New Roman" w:cs="Times New Roman"/>
          <w:bCs/>
          <w:sz w:val="28"/>
          <w:szCs w:val="28"/>
        </w:rPr>
        <w:t>subtle but persistent physiological alterations</w:t>
      </w:r>
      <w:r w:rsidRPr="007129B8">
        <w:rPr>
          <w:rFonts w:ascii="Times New Roman" w:eastAsia="Times New Roman" w:hAnsi="Times New Roman" w:cs="Times New Roman"/>
          <w:sz w:val="28"/>
          <w:szCs w:val="28"/>
        </w:rPr>
        <w:t xml:space="preserve"> and </w:t>
      </w:r>
      <w:r w:rsidRPr="007129B8">
        <w:rPr>
          <w:rFonts w:ascii="Times New Roman" w:eastAsia="Times New Roman" w:hAnsi="Times New Roman" w:cs="Times New Roman"/>
          <w:bCs/>
          <w:sz w:val="28"/>
          <w:szCs w:val="28"/>
        </w:rPr>
        <w:t>endocrine disruptions</w:t>
      </w:r>
      <w:r w:rsidRPr="007129B8">
        <w:rPr>
          <w:rFonts w:ascii="Times New Roman" w:eastAsia="Times New Roman" w:hAnsi="Times New Roman" w:cs="Times New Roman"/>
          <w:sz w:val="28"/>
          <w:szCs w:val="28"/>
        </w:rPr>
        <w:t xml:space="preserve"> at low-dose, long-term exposure to zearalenone (ZEA) and FX. Although reproductive or immunological parameters were not directly assessed in this study, the behavioral and histopathological outcomes suggest possible underlying disruptions.</w:t>
      </w:r>
    </w:p>
    <w:p w14:paraId="50FE6F3B" w14:textId="77777777" w:rsidR="0088366B" w:rsidRPr="00CB5175" w:rsidRDefault="0088366B" w:rsidP="00CB5175">
      <w:pPr>
        <w:spacing w:line="480" w:lineRule="auto"/>
        <w:jc w:val="both"/>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4.2 CONCLUSION</w:t>
      </w:r>
    </w:p>
    <w:p w14:paraId="4BFE162E" w14:textId="77777777" w:rsidR="0088366B" w:rsidRPr="00CB5175" w:rsidRDefault="007129B8" w:rsidP="00CB517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129B8">
        <w:rPr>
          <w:rFonts w:ascii="Times New Roman" w:eastAsia="Times New Roman" w:hAnsi="Times New Roman" w:cs="Times New Roman"/>
          <w:sz w:val="28"/>
          <w:szCs w:val="28"/>
        </w:rPr>
        <w:t xml:space="preserve">he present study successfully isolated and identified </w:t>
      </w:r>
      <w:proofErr w:type="spellStart"/>
      <w:r w:rsidRPr="007129B8">
        <w:rPr>
          <w:rFonts w:ascii="Times New Roman" w:eastAsia="Times New Roman" w:hAnsi="Times New Roman" w:cs="Times New Roman"/>
          <w:i/>
          <w:iCs/>
          <w:sz w:val="28"/>
          <w:szCs w:val="28"/>
        </w:rPr>
        <w:t>Fusarium</w:t>
      </w:r>
      <w:proofErr w:type="spellEnd"/>
      <w:r w:rsidRPr="007129B8">
        <w:rPr>
          <w:rFonts w:ascii="Times New Roman" w:eastAsia="Times New Roman" w:hAnsi="Times New Roman" w:cs="Times New Roman"/>
          <w:i/>
          <w:iCs/>
          <w:sz w:val="28"/>
          <w:szCs w:val="28"/>
        </w:rPr>
        <w:t xml:space="preserve">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its distinct cultural and microscopic characteristics, which aligned with standard morphological descriptions in existing literature. The toxicity evaluation revealed a clear dose-dependent effect of the fungal toxins on experimental rats, with higher concentrations (100% and 80%) resulting in severe clinical symptoms and organ damage, including mortality. Lower concentrations (60% and 50%) produced milder but progressive physiological changes. These findings corroborate earlier research on the toxicological </w:t>
      </w:r>
      <w:r w:rsidRPr="007129B8">
        <w:rPr>
          <w:rFonts w:ascii="Times New Roman" w:eastAsia="Times New Roman" w:hAnsi="Times New Roman" w:cs="Times New Roman"/>
          <w:sz w:val="28"/>
          <w:szCs w:val="28"/>
        </w:rPr>
        <w:lastRenderedPageBreak/>
        <w:t xml:space="preserve">impact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w:t>
      </w:r>
      <w:proofErr w:type="spellStart"/>
      <w:r w:rsidRPr="007129B8">
        <w:rPr>
          <w:rFonts w:ascii="Times New Roman" w:eastAsia="Times New Roman" w:hAnsi="Times New Roman" w:cs="Times New Roman"/>
          <w:sz w:val="28"/>
          <w:szCs w:val="28"/>
        </w:rPr>
        <w:t>mycotoxins</w:t>
      </w:r>
      <w:proofErr w:type="spellEnd"/>
      <w:r w:rsidRPr="007129B8">
        <w:rPr>
          <w:rFonts w:ascii="Times New Roman" w:eastAsia="Times New Roman" w:hAnsi="Times New Roman" w:cs="Times New Roman"/>
          <w:sz w:val="28"/>
          <w:szCs w:val="28"/>
        </w:rPr>
        <w:t>, particularly DON, ZEA, and FX, highlighting their potential threat to food safety and public health.</w:t>
      </w:r>
      <w:r w:rsidR="0088366B" w:rsidRPr="00CB5175">
        <w:rPr>
          <w:rFonts w:ascii="Times New Roman" w:eastAsia="Times New Roman" w:hAnsi="Times New Roman" w:cs="Times New Roman"/>
          <w:sz w:val="28"/>
          <w:szCs w:val="28"/>
        </w:rPr>
        <w:br w:type="page"/>
      </w:r>
    </w:p>
    <w:p w14:paraId="6DA5C431" w14:textId="77777777" w:rsidR="00D32D82" w:rsidRPr="00CB5175" w:rsidRDefault="00D32D82" w:rsidP="00CB5175">
      <w:pPr>
        <w:spacing w:line="480" w:lineRule="auto"/>
        <w:jc w:val="both"/>
        <w:rPr>
          <w:rFonts w:ascii="Times New Roman" w:eastAsia="Times New Roman" w:hAnsi="Times New Roman" w:cs="Times New Roman"/>
          <w:sz w:val="28"/>
          <w:szCs w:val="28"/>
        </w:rPr>
      </w:pPr>
    </w:p>
    <w:p w14:paraId="0B6471B5" w14:textId="77777777" w:rsidR="00D32D82" w:rsidRPr="00CB5175" w:rsidRDefault="008E4415" w:rsidP="00CB5175">
      <w:pPr>
        <w:spacing w:before="100" w:beforeAutospacing="1" w:after="100" w:afterAutospacing="1" w:line="480" w:lineRule="auto"/>
        <w:jc w:val="center"/>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REFERENCE</w:t>
      </w:r>
      <w:r w:rsidR="00F86524">
        <w:rPr>
          <w:rFonts w:ascii="Times New Roman" w:eastAsia="Times New Roman" w:hAnsi="Times New Roman" w:cs="Times New Roman"/>
          <w:b/>
          <w:sz w:val="28"/>
          <w:szCs w:val="28"/>
        </w:rPr>
        <w:t>S</w:t>
      </w:r>
    </w:p>
    <w:p w14:paraId="276AE16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 N. A., Urban, M. and </w:t>
      </w:r>
      <w:r w:rsidR="008E4415" w:rsidRPr="00CB5175">
        <w:rPr>
          <w:rFonts w:ascii="Times New Roman" w:eastAsia="Times New Roman" w:hAnsi="Times New Roman" w:cs="Times New Roman"/>
          <w:sz w:val="28"/>
          <w:szCs w:val="28"/>
        </w:rPr>
        <w:t>Hammond-</w:t>
      </w:r>
      <w:proofErr w:type="spellStart"/>
      <w:r w:rsidR="008E4415" w:rsidRPr="00CB5175">
        <w:rPr>
          <w:rFonts w:ascii="Times New Roman" w:eastAsia="Times New Roman" w:hAnsi="Times New Roman" w:cs="Times New Roman"/>
          <w:sz w:val="28"/>
          <w:szCs w:val="28"/>
        </w:rPr>
        <w:t>Kosack</w:t>
      </w:r>
      <w:proofErr w:type="spellEnd"/>
      <w:r w:rsidR="008E4415" w:rsidRPr="00CB5175">
        <w:rPr>
          <w:rFonts w:ascii="Times New Roman" w:eastAsia="Times New Roman" w:hAnsi="Times New Roman" w:cs="Times New Roman"/>
          <w:sz w:val="28"/>
          <w:szCs w:val="28"/>
        </w:rPr>
        <w:t xml:space="preserve">, K. E. (2017). The trans-kingdom identification of negative regulators of toxin production in </w:t>
      </w:r>
      <w:proofErr w:type="spellStart"/>
      <w:r w:rsidR="008E4415" w:rsidRPr="00CB5175">
        <w:rPr>
          <w:rFonts w:ascii="Times New Roman" w:eastAsia="Times New Roman" w:hAnsi="Times New Roman" w:cs="Times New Roman"/>
          <w:i/>
          <w:iCs/>
          <w:sz w:val="28"/>
          <w:szCs w:val="28"/>
        </w:rPr>
        <w:t>Fusarium</w:t>
      </w:r>
      <w:proofErr w:type="spellEnd"/>
      <w:r w:rsidR="008E4415" w:rsidRPr="00CB5175">
        <w:rPr>
          <w:rFonts w:ascii="Times New Roman" w:eastAsia="Times New Roman" w:hAnsi="Times New Roman" w:cs="Times New Roman"/>
          <w:i/>
          <w:iCs/>
          <w:sz w:val="28"/>
          <w:szCs w:val="28"/>
        </w:rPr>
        <w:t xml:space="preserve"> </w:t>
      </w:r>
      <w:proofErr w:type="spellStart"/>
      <w:r w:rsidR="008E4415" w:rsidRPr="00CB5175">
        <w:rPr>
          <w:rFonts w:ascii="Times New Roman" w:eastAsia="Times New Roman" w:hAnsi="Times New Roman" w:cs="Times New Roman"/>
          <w:i/>
          <w:iCs/>
          <w:sz w:val="28"/>
          <w:szCs w:val="28"/>
        </w:rPr>
        <w:t>graminearum</w:t>
      </w:r>
      <w:proofErr w:type="spellEnd"/>
      <w:r w:rsidR="008E4415" w:rsidRPr="00CB5175">
        <w:rPr>
          <w:rFonts w:ascii="Times New Roman" w:eastAsia="Times New Roman" w:hAnsi="Times New Roman" w:cs="Times New Roman"/>
          <w:sz w:val="28"/>
          <w:szCs w:val="28"/>
        </w:rPr>
        <w:t xml:space="preserve">. </w:t>
      </w:r>
      <w:r w:rsidR="008E4415" w:rsidRPr="00CB5175">
        <w:rPr>
          <w:rFonts w:ascii="Times New Roman" w:eastAsia="Times New Roman" w:hAnsi="Times New Roman" w:cs="Times New Roman"/>
          <w:i/>
          <w:iCs/>
          <w:sz w:val="28"/>
          <w:szCs w:val="28"/>
        </w:rPr>
        <w:t>Fungal Genetics and Biology</w:t>
      </w:r>
      <w:r w:rsidR="008E4415" w:rsidRPr="00CB5175">
        <w:rPr>
          <w:rFonts w:ascii="Times New Roman" w:eastAsia="Times New Roman" w:hAnsi="Times New Roman" w:cs="Times New Roman"/>
          <w:sz w:val="28"/>
          <w:szCs w:val="28"/>
        </w:rPr>
        <w:t xml:space="preserve">, 106, 1–12. </w:t>
      </w:r>
      <w:hyperlink r:id="rId16" w:history="1">
        <w:r w:rsidR="008E4415" w:rsidRPr="00CB5175">
          <w:rPr>
            <w:rStyle w:val="Hyperlink"/>
            <w:rFonts w:ascii="Times New Roman" w:eastAsia="Times New Roman" w:hAnsi="Times New Roman" w:cs="Times New Roman"/>
            <w:sz w:val="28"/>
            <w:szCs w:val="28"/>
          </w:rPr>
          <w:t>https://doi.org/10.1016/j.fgb.2017.06.002</w:t>
        </w:r>
      </w:hyperlink>
    </w:p>
    <w:p w14:paraId="4A570709"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Desjardins, A. E. (2006). </w:t>
      </w:r>
      <w:r w:rsidRPr="00CB5175">
        <w:rPr>
          <w:rFonts w:ascii="Times New Roman" w:eastAsia="Times New Roman" w:hAnsi="Times New Roman" w:cs="Times New Roman"/>
          <w:i/>
          <w:iCs/>
          <w:sz w:val="28"/>
          <w:szCs w:val="28"/>
        </w:rPr>
        <w:t>Fusarium Mycotoxins: Chemistry, Genetics, and Biology</w:t>
      </w:r>
      <w:r w:rsidRPr="00CB5175">
        <w:rPr>
          <w:rFonts w:ascii="Times New Roman" w:eastAsia="Times New Roman" w:hAnsi="Times New Roman" w:cs="Times New Roman"/>
          <w:sz w:val="28"/>
          <w:szCs w:val="28"/>
        </w:rPr>
        <w:t>. APS Press.</w:t>
      </w:r>
    </w:p>
    <w:p w14:paraId="07B5C874"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Ding, X., Wu, S.</w:t>
      </w:r>
      <w:r w:rsidR="008E4415" w:rsidRPr="00CB5175">
        <w:rPr>
          <w:rFonts w:ascii="Times New Roman" w:eastAsia="Times New Roman" w:hAnsi="Times New Roman" w:cs="Times New Roman"/>
          <w:sz w:val="28"/>
          <w:szCs w:val="28"/>
        </w:rPr>
        <w:t xml:space="preserve"> &amp; Tan, Q. (2022). Cellular and molecular responses to Fusarium mycotoxins. </w:t>
      </w:r>
      <w:r w:rsidR="008E4415" w:rsidRPr="00CB5175">
        <w:rPr>
          <w:rFonts w:ascii="Times New Roman" w:eastAsia="Times New Roman" w:hAnsi="Times New Roman" w:cs="Times New Roman"/>
          <w:i/>
          <w:iCs/>
          <w:sz w:val="28"/>
          <w:szCs w:val="28"/>
        </w:rPr>
        <w:t>Journal of Agricultural and Food Chemistry</w:t>
      </w:r>
      <w:r w:rsidR="008E4415" w:rsidRPr="00CB5175">
        <w:rPr>
          <w:rFonts w:ascii="Times New Roman" w:eastAsia="Times New Roman" w:hAnsi="Times New Roman" w:cs="Times New Roman"/>
          <w:sz w:val="28"/>
          <w:szCs w:val="28"/>
        </w:rPr>
        <w:t>, 70(25), 7598-7605. https://doi.org/10.1021/acs.jafc.2c02742</w:t>
      </w:r>
    </w:p>
    <w:p w14:paraId="63D7B7F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European Food Safety Authority (EFSA). (2013). Scientific opinion on the risks for public health related to the presence of deoxynivalenol (DON) in food and feed. </w:t>
      </w:r>
      <w:r w:rsidRPr="00CB5175">
        <w:rPr>
          <w:rFonts w:ascii="Times New Roman" w:eastAsia="Times New Roman" w:hAnsi="Times New Roman" w:cs="Times New Roman"/>
          <w:i/>
          <w:iCs/>
          <w:sz w:val="28"/>
          <w:szCs w:val="28"/>
        </w:rPr>
        <w:t>EFSA Journal</w:t>
      </w:r>
      <w:r w:rsidRPr="00CB5175">
        <w:rPr>
          <w:rFonts w:ascii="Times New Roman" w:eastAsia="Times New Roman" w:hAnsi="Times New Roman" w:cs="Times New Roman"/>
          <w:sz w:val="28"/>
          <w:szCs w:val="28"/>
        </w:rPr>
        <w:t>, 11(10), 3379. https://doi.org/10.2903/j.efsa.2013.3379</w:t>
      </w:r>
    </w:p>
    <w:p w14:paraId="65BA91C5"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Fandohan</w:t>
      </w:r>
      <w:proofErr w:type="spellEnd"/>
      <w:r w:rsidRPr="00CB5175">
        <w:rPr>
          <w:rFonts w:ascii="Times New Roman" w:eastAsia="Times New Roman" w:hAnsi="Times New Roman" w:cs="Times New Roman"/>
          <w:sz w:val="28"/>
          <w:szCs w:val="28"/>
        </w:rPr>
        <w:t xml:space="preserve">, </w:t>
      </w:r>
      <w:r w:rsidR="00B7692B">
        <w:rPr>
          <w:rFonts w:ascii="Times New Roman" w:eastAsia="Times New Roman" w:hAnsi="Times New Roman" w:cs="Times New Roman"/>
          <w:sz w:val="28"/>
          <w:szCs w:val="28"/>
        </w:rPr>
        <w:t xml:space="preserve">P., Hell, K., </w:t>
      </w:r>
      <w:proofErr w:type="spellStart"/>
      <w:r w:rsidR="00B7692B">
        <w:rPr>
          <w:rFonts w:ascii="Times New Roman" w:eastAsia="Times New Roman" w:hAnsi="Times New Roman" w:cs="Times New Roman"/>
          <w:sz w:val="28"/>
          <w:szCs w:val="28"/>
        </w:rPr>
        <w:t>Marasas</w:t>
      </w:r>
      <w:proofErr w:type="spellEnd"/>
      <w:r w:rsidR="00B7692B">
        <w:rPr>
          <w:rFonts w:ascii="Times New Roman" w:eastAsia="Times New Roman" w:hAnsi="Times New Roman" w:cs="Times New Roman"/>
          <w:sz w:val="28"/>
          <w:szCs w:val="28"/>
        </w:rPr>
        <w:t>, W. F. O.</w:t>
      </w:r>
      <w:r w:rsidRPr="00CB5175">
        <w:rPr>
          <w:rFonts w:ascii="Times New Roman" w:eastAsia="Times New Roman" w:hAnsi="Times New Roman" w:cs="Times New Roman"/>
          <w:sz w:val="28"/>
          <w:szCs w:val="28"/>
        </w:rPr>
        <w:t xml:space="preserve"> &amp; Wingfield, M. J. (2012). Impact of </w:t>
      </w:r>
      <w:r w:rsidRPr="00CB5175">
        <w:rPr>
          <w:rFonts w:ascii="Times New Roman" w:eastAsia="Times New Roman" w:hAnsi="Times New Roman" w:cs="Times New Roman"/>
          <w:i/>
          <w:iCs/>
          <w:sz w:val="28"/>
          <w:szCs w:val="28"/>
        </w:rPr>
        <w:t>Fusarium</w:t>
      </w:r>
      <w:r w:rsidRPr="00CB5175">
        <w:rPr>
          <w:rFonts w:ascii="Times New Roman" w:eastAsia="Times New Roman" w:hAnsi="Times New Roman" w:cs="Times New Roman"/>
          <w:sz w:val="28"/>
          <w:szCs w:val="28"/>
        </w:rPr>
        <w:t xml:space="preserve"> and its toxins on human and animal health in West Africa. </w:t>
      </w:r>
      <w:r w:rsidRPr="00CB5175">
        <w:rPr>
          <w:rFonts w:ascii="Times New Roman" w:eastAsia="Times New Roman" w:hAnsi="Times New Roman" w:cs="Times New Roman"/>
          <w:i/>
          <w:iCs/>
          <w:sz w:val="28"/>
          <w:szCs w:val="28"/>
        </w:rPr>
        <w:t>African Journal of Food, Agriculture, Nutrition and Development</w:t>
      </w:r>
      <w:r w:rsidRPr="00CB5175">
        <w:rPr>
          <w:rFonts w:ascii="Times New Roman" w:eastAsia="Times New Roman" w:hAnsi="Times New Roman" w:cs="Times New Roman"/>
          <w:sz w:val="28"/>
          <w:szCs w:val="28"/>
        </w:rPr>
        <w:t>, 12(3), 6132–6145. https://doi.org/10.4314/ajfand.v12i3.5</w:t>
      </w:r>
    </w:p>
    <w:p w14:paraId="41770E21"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Foroud</w:t>
      </w:r>
      <w:proofErr w:type="spellEnd"/>
      <w:r>
        <w:rPr>
          <w:rFonts w:ascii="Times New Roman" w:eastAsia="Times New Roman" w:hAnsi="Times New Roman" w:cs="Times New Roman"/>
          <w:sz w:val="28"/>
          <w:szCs w:val="28"/>
        </w:rPr>
        <w:t>, N. A.</w:t>
      </w:r>
      <w:r w:rsidR="008E4415" w:rsidRPr="00CB5175">
        <w:rPr>
          <w:rFonts w:ascii="Times New Roman" w:eastAsia="Times New Roman" w:hAnsi="Times New Roman" w:cs="Times New Roman"/>
          <w:sz w:val="28"/>
          <w:szCs w:val="28"/>
        </w:rPr>
        <w:t xml:space="preserve"> &amp; </w:t>
      </w:r>
      <w:proofErr w:type="spellStart"/>
      <w:r w:rsidR="008E4415" w:rsidRPr="00CB5175">
        <w:rPr>
          <w:rFonts w:ascii="Times New Roman" w:eastAsia="Times New Roman" w:hAnsi="Times New Roman" w:cs="Times New Roman"/>
          <w:sz w:val="28"/>
          <w:szCs w:val="28"/>
        </w:rPr>
        <w:t>Eudes</w:t>
      </w:r>
      <w:proofErr w:type="spellEnd"/>
      <w:r w:rsidR="008E4415" w:rsidRPr="00CB5175">
        <w:rPr>
          <w:rFonts w:ascii="Times New Roman" w:eastAsia="Times New Roman" w:hAnsi="Times New Roman" w:cs="Times New Roman"/>
          <w:sz w:val="28"/>
          <w:szCs w:val="28"/>
        </w:rPr>
        <w:t xml:space="preserve">, F. (2009). Trichothecenes in cereal grains. </w:t>
      </w:r>
      <w:r w:rsidR="008E4415" w:rsidRPr="00CB5175">
        <w:rPr>
          <w:rFonts w:ascii="Times New Roman" w:eastAsia="Times New Roman" w:hAnsi="Times New Roman" w:cs="Times New Roman"/>
          <w:i/>
          <w:iCs/>
          <w:sz w:val="28"/>
          <w:szCs w:val="28"/>
        </w:rPr>
        <w:t>International Journal of Molecular Sciences</w:t>
      </w:r>
      <w:r w:rsidR="008E4415" w:rsidRPr="00CB5175">
        <w:rPr>
          <w:rFonts w:ascii="Times New Roman" w:eastAsia="Times New Roman" w:hAnsi="Times New Roman" w:cs="Times New Roman"/>
          <w:sz w:val="28"/>
          <w:szCs w:val="28"/>
        </w:rPr>
        <w:t>, 10(1), 147–173. https://doi.org/10.3390/ijms10010147</w:t>
      </w:r>
    </w:p>
    <w:p w14:paraId="0F65E07B"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Huang, T., Lu, L.</w:t>
      </w:r>
      <w:r w:rsidR="008E4415" w:rsidRPr="00CB5175">
        <w:rPr>
          <w:rFonts w:ascii="Times New Roman" w:eastAsia="Times New Roman" w:hAnsi="Times New Roman" w:cs="Times New Roman"/>
          <w:sz w:val="28"/>
          <w:szCs w:val="28"/>
        </w:rPr>
        <w:t xml:space="preserve"> &amp; Li, H. (2022). </w:t>
      </w:r>
      <w:proofErr w:type="spellStart"/>
      <w:r w:rsidR="008E4415" w:rsidRPr="00CB5175">
        <w:rPr>
          <w:rFonts w:ascii="Times New Roman" w:eastAsia="Times New Roman" w:hAnsi="Times New Roman" w:cs="Times New Roman"/>
          <w:sz w:val="28"/>
          <w:szCs w:val="28"/>
        </w:rPr>
        <w:t>Fusarium</w:t>
      </w:r>
      <w:proofErr w:type="spellEnd"/>
      <w:r w:rsidR="008E4415" w:rsidRPr="00CB5175">
        <w:rPr>
          <w:rFonts w:ascii="Times New Roman" w:eastAsia="Times New Roman" w:hAnsi="Times New Roman" w:cs="Times New Roman"/>
          <w:sz w:val="28"/>
          <w:szCs w:val="28"/>
        </w:rPr>
        <w:t xml:space="preserve"> </w:t>
      </w:r>
      <w:proofErr w:type="spellStart"/>
      <w:r w:rsidR="008E4415" w:rsidRPr="00CB5175">
        <w:rPr>
          <w:rFonts w:ascii="Times New Roman" w:eastAsia="Times New Roman" w:hAnsi="Times New Roman" w:cs="Times New Roman"/>
          <w:sz w:val="28"/>
          <w:szCs w:val="28"/>
        </w:rPr>
        <w:t>graminearum</w:t>
      </w:r>
      <w:proofErr w:type="spellEnd"/>
      <w:r w:rsidR="008E4415" w:rsidRPr="00CB5175">
        <w:rPr>
          <w:rFonts w:ascii="Times New Roman" w:eastAsia="Times New Roman" w:hAnsi="Times New Roman" w:cs="Times New Roman"/>
          <w:sz w:val="28"/>
          <w:szCs w:val="28"/>
        </w:rPr>
        <w:t xml:space="preserve"> and its </w:t>
      </w:r>
      <w:proofErr w:type="spellStart"/>
      <w:r w:rsidR="008E4415" w:rsidRPr="00CB5175">
        <w:rPr>
          <w:rFonts w:ascii="Times New Roman" w:eastAsia="Times New Roman" w:hAnsi="Times New Roman" w:cs="Times New Roman"/>
          <w:sz w:val="28"/>
          <w:szCs w:val="28"/>
        </w:rPr>
        <w:t>mycotoxins</w:t>
      </w:r>
      <w:proofErr w:type="spellEnd"/>
      <w:r w:rsidR="008E4415" w:rsidRPr="00CB5175">
        <w:rPr>
          <w:rFonts w:ascii="Times New Roman" w:eastAsia="Times New Roman" w:hAnsi="Times New Roman" w:cs="Times New Roman"/>
          <w:sz w:val="28"/>
          <w:szCs w:val="28"/>
        </w:rPr>
        <w:t xml:space="preserve"> in food and feed. </w:t>
      </w:r>
      <w:r w:rsidR="008E4415" w:rsidRPr="00CB5175">
        <w:rPr>
          <w:rFonts w:ascii="Times New Roman" w:eastAsia="Times New Roman" w:hAnsi="Times New Roman" w:cs="Times New Roman"/>
          <w:i/>
          <w:iCs/>
          <w:sz w:val="28"/>
          <w:szCs w:val="28"/>
        </w:rPr>
        <w:t>Toxicology Reports</w:t>
      </w:r>
      <w:r w:rsidR="008E4415" w:rsidRPr="00CB5175">
        <w:rPr>
          <w:rFonts w:ascii="Times New Roman" w:eastAsia="Times New Roman" w:hAnsi="Times New Roman" w:cs="Times New Roman"/>
          <w:sz w:val="28"/>
          <w:szCs w:val="28"/>
        </w:rPr>
        <w:t>, 9, 785-792. https://doi.org/10.1016/j.toxrep.2022.03.013</w:t>
      </w:r>
    </w:p>
    <w:p w14:paraId="52619604"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International Agency for Research on Cancer (IARC). (1993). </w:t>
      </w:r>
      <w:r w:rsidRPr="00CB5175">
        <w:rPr>
          <w:rFonts w:ascii="Times New Roman" w:eastAsia="Times New Roman" w:hAnsi="Times New Roman" w:cs="Times New Roman"/>
          <w:i/>
          <w:iCs/>
          <w:sz w:val="28"/>
          <w:szCs w:val="28"/>
        </w:rPr>
        <w:t>Some naturally occurring substances: Food items and constituents, heterocyclic aromatic amines and mycotoxins</w:t>
      </w:r>
      <w:r w:rsidRPr="00CB5175">
        <w:rPr>
          <w:rFonts w:ascii="Times New Roman" w:eastAsia="Times New Roman" w:hAnsi="Times New Roman" w:cs="Times New Roman"/>
          <w:sz w:val="28"/>
          <w:szCs w:val="28"/>
        </w:rPr>
        <w:t xml:space="preserve"> (Vol. 56). IARC Monographs on the Evaluation of Carcinogenic Risks to Humans. https://publications.iarc.fr</w:t>
      </w:r>
    </w:p>
    <w:p w14:paraId="04C4EE4D"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Jabeen</w:t>
      </w:r>
      <w:proofErr w:type="spellEnd"/>
      <w:r>
        <w:rPr>
          <w:rFonts w:ascii="Times New Roman" w:eastAsia="Times New Roman" w:hAnsi="Times New Roman" w:cs="Times New Roman"/>
          <w:sz w:val="28"/>
          <w:szCs w:val="28"/>
        </w:rPr>
        <w:t>, S., Khan, R. M.</w:t>
      </w:r>
      <w:r w:rsidR="008E4415" w:rsidRPr="00CB5175">
        <w:rPr>
          <w:rFonts w:ascii="Times New Roman" w:eastAsia="Times New Roman" w:hAnsi="Times New Roman" w:cs="Times New Roman"/>
          <w:sz w:val="28"/>
          <w:szCs w:val="28"/>
        </w:rPr>
        <w:t xml:space="preserve"> &amp; Khan, M. S. (2023). Fusarium mycotoxins: Sources, impacts, and management. </w:t>
      </w:r>
      <w:r w:rsidR="008E4415" w:rsidRPr="00CB5175">
        <w:rPr>
          <w:rFonts w:ascii="Times New Roman" w:eastAsia="Times New Roman" w:hAnsi="Times New Roman" w:cs="Times New Roman"/>
          <w:i/>
          <w:iCs/>
          <w:sz w:val="28"/>
          <w:szCs w:val="28"/>
        </w:rPr>
        <w:t>Journal of Food Safety</w:t>
      </w:r>
      <w:r w:rsidR="008E4415" w:rsidRPr="00CB5175">
        <w:rPr>
          <w:rFonts w:ascii="Times New Roman" w:eastAsia="Times New Roman" w:hAnsi="Times New Roman" w:cs="Times New Roman"/>
          <w:sz w:val="28"/>
          <w:szCs w:val="28"/>
        </w:rPr>
        <w:t>, 43(2), e13176. https://doi.org/10.1111/jfs.13176</w:t>
      </w:r>
    </w:p>
    <w:p w14:paraId="11F6A118"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Müller, W., Smith, L. M.</w:t>
      </w:r>
      <w:r w:rsidR="008E4415" w:rsidRPr="00CB5175">
        <w:rPr>
          <w:rFonts w:ascii="Times New Roman" w:eastAsia="Times New Roman" w:hAnsi="Times New Roman" w:cs="Times New Roman"/>
          <w:sz w:val="28"/>
          <w:szCs w:val="28"/>
        </w:rPr>
        <w:t xml:space="preserve"> &amp; Johnson, R. (2020). Histopathological effects of Fusarium toxins in rat liver and kidneys. </w:t>
      </w:r>
      <w:r w:rsidR="008E4415" w:rsidRPr="00CB5175">
        <w:rPr>
          <w:rFonts w:ascii="Times New Roman" w:eastAsia="Times New Roman" w:hAnsi="Times New Roman" w:cs="Times New Roman"/>
          <w:i/>
          <w:iCs/>
          <w:sz w:val="28"/>
          <w:szCs w:val="28"/>
        </w:rPr>
        <w:t>Environmental Toxicology and Pharmacology</w:t>
      </w:r>
      <w:r w:rsidR="008E4415" w:rsidRPr="00CB5175">
        <w:rPr>
          <w:rFonts w:ascii="Times New Roman" w:eastAsia="Times New Roman" w:hAnsi="Times New Roman" w:cs="Times New Roman"/>
          <w:sz w:val="28"/>
          <w:szCs w:val="28"/>
        </w:rPr>
        <w:t>, 72, 103265. https://doi.org/10.1016/j.etap.2020.103265</w:t>
      </w:r>
    </w:p>
    <w:p w14:paraId="3D8ED422"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Pestk</w:t>
      </w:r>
      <w:r w:rsidR="00B7692B">
        <w:rPr>
          <w:rFonts w:ascii="Times New Roman" w:eastAsia="Times New Roman" w:hAnsi="Times New Roman" w:cs="Times New Roman"/>
          <w:sz w:val="28"/>
          <w:szCs w:val="28"/>
        </w:rPr>
        <w:t>a</w:t>
      </w:r>
      <w:proofErr w:type="spellEnd"/>
      <w:r w:rsidR="00B7692B">
        <w:rPr>
          <w:rFonts w:ascii="Times New Roman" w:eastAsia="Times New Roman" w:hAnsi="Times New Roman" w:cs="Times New Roman"/>
          <w:sz w:val="28"/>
          <w:szCs w:val="28"/>
        </w:rPr>
        <w:t>, J. J., Zhou, H. R., Moon, Y.</w:t>
      </w:r>
      <w:r w:rsidRPr="00CB5175">
        <w:rPr>
          <w:rFonts w:ascii="Times New Roman" w:eastAsia="Times New Roman" w:hAnsi="Times New Roman" w:cs="Times New Roman"/>
          <w:sz w:val="28"/>
          <w:szCs w:val="28"/>
        </w:rPr>
        <w:t xml:space="preserve"> &amp; Chung, Y. J. (2018). Cellular and molecular mechanisms for immune modulation by deoxynivalenol and other trichothecenes: Unregulated inflammation and immune cell apoptosis. </w:t>
      </w:r>
      <w:r w:rsidRPr="00CB5175">
        <w:rPr>
          <w:rFonts w:ascii="Times New Roman" w:eastAsia="Times New Roman" w:hAnsi="Times New Roman" w:cs="Times New Roman"/>
          <w:i/>
          <w:iCs/>
          <w:sz w:val="28"/>
          <w:szCs w:val="28"/>
        </w:rPr>
        <w:t>Toxicology Letters</w:t>
      </w:r>
      <w:r w:rsidRPr="00CB5175">
        <w:rPr>
          <w:rFonts w:ascii="Times New Roman" w:eastAsia="Times New Roman" w:hAnsi="Times New Roman" w:cs="Times New Roman"/>
          <w:sz w:val="28"/>
          <w:szCs w:val="28"/>
        </w:rPr>
        <w:t>, 153(1), 61–73. https://doi.org/10.1016/j.toxlet.2004.04.023</w:t>
      </w:r>
    </w:p>
    <w:p w14:paraId="2B6D01F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Sánchez, D., García, L.</w:t>
      </w:r>
      <w:r w:rsidR="008E4415" w:rsidRPr="00CB5175">
        <w:rPr>
          <w:rFonts w:ascii="Times New Roman" w:eastAsia="Times New Roman" w:hAnsi="Times New Roman" w:cs="Times New Roman"/>
          <w:sz w:val="28"/>
          <w:szCs w:val="28"/>
        </w:rPr>
        <w:t xml:space="preserve"> &amp; Díaz, G. (2022). Neurotoxic effects of deoxynivalenol on cognitive and motor behavior in rats. </w:t>
      </w:r>
      <w:r w:rsidR="008E4415" w:rsidRPr="00CB5175">
        <w:rPr>
          <w:rFonts w:ascii="Times New Roman" w:eastAsia="Times New Roman" w:hAnsi="Times New Roman" w:cs="Times New Roman"/>
          <w:i/>
          <w:iCs/>
          <w:sz w:val="28"/>
          <w:szCs w:val="28"/>
        </w:rPr>
        <w:t>Toxicology Letters</w:t>
      </w:r>
      <w:r w:rsidR="008E4415" w:rsidRPr="00CB5175">
        <w:rPr>
          <w:rFonts w:ascii="Times New Roman" w:eastAsia="Times New Roman" w:hAnsi="Times New Roman" w:cs="Times New Roman"/>
          <w:sz w:val="28"/>
          <w:szCs w:val="28"/>
        </w:rPr>
        <w:t>, 365, 124-130. https://doi.org/10.1016/j.toxlet.2022.02.003</w:t>
      </w:r>
    </w:p>
    <w:p w14:paraId="0FF0D32C"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S</w:t>
      </w:r>
      <w:r w:rsidR="00B7692B">
        <w:rPr>
          <w:rFonts w:ascii="Times New Roman" w:eastAsia="Times New Roman" w:hAnsi="Times New Roman" w:cs="Times New Roman"/>
          <w:sz w:val="28"/>
          <w:szCs w:val="28"/>
        </w:rPr>
        <w:t>ørensen</w:t>
      </w:r>
      <w:proofErr w:type="spellEnd"/>
      <w:r w:rsidR="00B7692B">
        <w:rPr>
          <w:rFonts w:ascii="Times New Roman" w:eastAsia="Times New Roman" w:hAnsi="Times New Roman" w:cs="Times New Roman"/>
          <w:sz w:val="28"/>
          <w:szCs w:val="28"/>
        </w:rPr>
        <w:t>, J. L., Pedersen, L. B.</w:t>
      </w:r>
      <w:r w:rsidRPr="00CB5175">
        <w:rPr>
          <w:rFonts w:ascii="Times New Roman" w:eastAsia="Times New Roman" w:hAnsi="Times New Roman" w:cs="Times New Roman"/>
          <w:sz w:val="28"/>
          <w:szCs w:val="28"/>
        </w:rPr>
        <w:t xml:space="preserve"> &amp; </w:t>
      </w:r>
      <w:proofErr w:type="spellStart"/>
      <w:r w:rsidRPr="00CB5175">
        <w:rPr>
          <w:rFonts w:ascii="Times New Roman" w:eastAsia="Times New Roman" w:hAnsi="Times New Roman" w:cs="Times New Roman"/>
          <w:sz w:val="28"/>
          <w:szCs w:val="28"/>
        </w:rPr>
        <w:t>Møller</w:t>
      </w:r>
      <w:proofErr w:type="spellEnd"/>
      <w:r w:rsidRPr="00CB5175">
        <w:rPr>
          <w:rFonts w:ascii="Times New Roman" w:eastAsia="Times New Roman" w:hAnsi="Times New Roman" w:cs="Times New Roman"/>
          <w:sz w:val="28"/>
          <w:szCs w:val="28"/>
        </w:rPr>
        <w:t xml:space="preserve">, K. (2021). Immunomodulatory effects of Fusarium toxins in animals. </w:t>
      </w:r>
      <w:r w:rsidRPr="00CB5175">
        <w:rPr>
          <w:rFonts w:ascii="Times New Roman" w:eastAsia="Times New Roman" w:hAnsi="Times New Roman" w:cs="Times New Roman"/>
          <w:i/>
          <w:iCs/>
          <w:sz w:val="28"/>
          <w:szCs w:val="28"/>
        </w:rPr>
        <w:t>Veterinary Toxicology</w:t>
      </w:r>
      <w:r w:rsidRPr="00CB5175">
        <w:rPr>
          <w:rFonts w:ascii="Times New Roman" w:eastAsia="Times New Roman" w:hAnsi="Times New Roman" w:cs="Times New Roman"/>
          <w:sz w:val="28"/>
          <w:szCs w:val="28"/>
        </w:rPr>
        <w:t>, 48(1), 95-103. https://doi.org/10.1016/j.vetox.2021.01.007</w:t>
      </w:r>
    </w:p>
    <w:p w14:paraId="24E1F72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U.S. Food and Drug Administration (FDA). (2010). </w:t>
      </w:r>
      <w:r w:rsidRPr="00CB5175">
        <w:rPr>
          <w:rFonts w:ascii="Times New Roman" w:eastAsia="Times New Roman" w:hAnsi="Times New Roman" w:cs="Times New Roman"/>
          <w:i/>
          <w:iCs/>
          <w:sz w:val="28"/>
          <w:szCs w:val="28"/>
        </w:rPr>
        <w:t>Guidance for industry and FDA: Advisory levels for deoxynivalenol (DON) in finished wheat products for human consumption and grains and grain by-products used for animal feed</w:t>
      </w:r>
      <w:r w:rsidRPr="00CB5175">
        <w:rPr>
          <w:rFonts w:ascii="Times New Roman" w:eastAsia="Times New Roman" w:hAnsi="Times New Roman" w:cs="Times New Roman"/>
          <w:sz w:val="28"/>
          <w:szCs w:val="28"/>
        </w:rPr>
        <w:t xml:space="preserve">. </w:t>
      </w:r>
      <w:hyperlink r:id="rId17" w:history="1">
        <w:r w:rsidRPr="00CB5175">
          <w:rPr>
            <w:rStyle w:val="Hyperlink"/>
            <w:rFonts w:ascii="Times New Roman" w:eastAsia="Times New Roman" w:hAnsi="Times New Roman" w:cs="Times New Roman"/>
            <w:sz w:val="28"/>
            <w:szCs w:val="28"/>
          </w:rPr>
          <w:t>https://www.fda.gov/media/121202/download</w:t>
        </w:r>
      </w:hyperlink>
    </w:p>
    <w:p w14:paraId="0BD4826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Yin, Y., Wu, L.</w:t>
      </w:r>
      <w:r w:rsidR="008E4415" w:rsidRPr="00CB5175">
        <w:rPr>
          <w:rFonts w:ascii="Times New Roman" w:eastAsia="Times New Roman" w:hAnsi="Times New Roman" w:cs="Times New Roman"/>
          <w:sz w:val="28"/>
          <w:szCs w:val="28"/>
        </w:rPr>
        <w:t xml:space="preserve"> &amp; Li, C. (2022). Advanced molecular techniques in the study of Fusarium toxin toxicity. </w:t>
      </w:r>
      <w:r w:rsidR="008E4415" w:rsidRPr="00CB5175">
        <w:rPr>
          <w:rFonts w:ascii="Times New Roman" w:eastAsia="Times New Roman" w:hAnsi="Times New Roman" w:cs="Times New Roman"/>
          <w:i/>
          <w:iCs/>
          <w:sz w:val="28"/>
          <w:szCs w:val="28"/>
        </w:rPr>
        <w:t>Molecular Toxicology</w:t>
      </w:r>
      <w:r w:rsidR="008E4415" w:rsidRPr="00CB5175">
        <w:rPr>
          <w:rFonts w:ascii="Times New Roman" w:eastAsia="Times New Roman" w:hAnsi="Times New Roman" w:cs="Times New Roman"/>
          <w:sz w:val="28"/>
          <w:szCs w:val="28"/>
        </w:rPr>
        <w:t>, 22(4), 249-257. https://doi.org/10.1016/j.mtox.2022.03.003</w:t>
      </w:r>
    </w:p>
    <w:p w14:paraId="729B18A2"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Zhao, L., Wang, X.</w:t>
      </w:r>
      <w:r w:rsidR="008E4415" w:rsidRPr="00CB5175">
        <w:rPr>
          <w:rFonts w:ascii="Times New Roman" w:eastAsia="Times New Roman" w:hAnsi="Times New Roman" w:cs="Times New Roman"/>
          <w:sz w:val="28"/>
          <w:szCs w:val="28"/>
        </w:rPr>
        <w:t xml:space="preserve"> &amp; Xu, W. (2021). Deoxynivalenol-induced toxicity in animals: Mechanisms and potential treatments.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10(4), 548-561. https://doi.org/10.1093/toxres/tfab006</w:t>
      </w:r>
    </w:p>
    <w:p w14:paraId="430CE4A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Zhu, Z., Jiang, X., &amp; Li</w:t>
      </w:r>
      <w:r w:rsidR="008E4415" w:rsidRPr="00CB5175">
        <w:rPr>
          <w:rFonts w:ascii="Times New Roman" w:eastAsia="Times New Roman" w:hAnsi="Times New Roman" w:cs="Times New Roman"/>
          <w:sz w:val="28"/>
          <w:szCs w:val="28"/>
        </w:rPr>
        <w:t xml:space="preserve"> H. (2023). Mechanisms of Fusarium toxin-induced toxicity in rats: Implications for food safety.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40(1), 15-24. https://doi.org/10.1039/d3tx00006b</w:t>
      </w:r>
    </w:p>
    <w:p w14:paraId="60ADBB5B" w14:textId="77777777" w:rsidR="000C4A15" w:rsidRPr="00CB5175" w:rsidRDefault="000C4A15" w:rsidP="00CB5175">
      <w:pPr>
        <w:spacing w:before="100" w:beforeAutospacing="1" w:after="100" w:afterAutospacing="1" w:line="480" w:lineRule="auto"/>
        <w:jc w:val="both"/>
        <w:rPr>
          <w:rFonts w:ascii="Times New Roman" w:eastAsia="Times New Roman" w:hAnsi="Times New Roman" w:cs="Times New Roman"/>
          <w:sz w:val="28"/>
          <w:szCs w:val="28"/>
        </w:rPr>
      </w:pPr>
    </w:p>
    <w:p w14:paraId="03F96B3A" w14:textId="77777777" w:rsidR="00D32D82" w:rsidRPr="00CB5175" w:rsidRDefault="00D32D82" w:rsidP="00CB5175">
      <w:pPr>
        <w:spacing w:before="100" w:beforeAutospacing="1" w:after="100" w:afterAutospacing="1" w:line="480" w:lineRule="auto"/>
        <w:jc w:val="both"/>
        <w:rPr>
          <w:rFonts w:ascii="Times New Roman" w:eastAsia="Times New Roman" w:hAnsi="Times New Roman" w:cs="Times New Roman"/>
          <w:sz w:val="28"/>
          <w:szCs w:val="28"/>
        </w:rPr>
      </w:pPr>
    </w:p>
    <w:p w14:paraId="12934965" w14:textId="77777777" w:rsidR="00280381" w:rsidRPr="00CB5175" w:rsidRDefault="00280381" w:rsidP="00CB5175">
      <w:pPr>
        <w:spacing w:line="480" w:lineRule="auto"/>
        <w:jc w:val="both"/>
        <w:rPr>
          <w:rFonts w:ascii="Times New Roman" w:hAnsi="Times New Roman" w:cs="Times New Roman"/>
          <w:sz w:val="28"/>
          <w:szCs w:val="28"/>
        </w:rPr>
      </w:pPr>
    </w:p>
    <w:sectPr w:rsidR="00280381" w:rsidRPr="00CB5175" w:rsidSect="00EB0977">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389C5" w14:textId="77777777" w:rsidR="008A493B" w:rsidRDefault="008A493B" w:rsidP="00636B0C">
      <w:pPr>
        <w:spacing w:after="0" w:line="240" w:lineRule="auto"/>
      </w:pPr>
      <w:r>
        <w:separator/>
      </w:r>
    </w:p>
  </w:endnote>
  <w:endnote w:type="continuationSeparator" w:id="0">
    <w:p w14:paraId="15BC2C8B" w14:textId="77777777" w:rsidR="008A493B" w:rsidRDefault="008A493B" w:rsidP="0063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3417CE37" w14:textId="77777777" w:rsidR="00EB0977" w:rsidRDefault="00EB09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104ED805" w14:textId="77777777" w:rsidR="00EB0977" w:rsidRDefault="00EB0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967355"/>
      <w:docPartObj>
        <w:docPartGallery w:val="Page Numbers (Bottom of Page)"/>
        <w:docPartUnique/>
      </w:docPartObj>
    </w:sdtPr>
    <w:sdtEndPr>
      <w:rPr>
        <w:noProof/>
      </w:rPr>
    </w:sdtEndPr>
    <w:sdtContent>
      <w:p w14:paraId="706A898B" w14:textId="1A308255" w:rsidR="00EB0977" w:rsidRDefault="00EB0977">
        <w:pPr>
          <w:pStyle w:val="Footer"/>
          <w:jc w:val="center"/>
        </w:pPr>
        <w:r>
          <w:fldChar w:fldCharType="begin"/>
        </w:r>
        <w:r>
          <w:instrText xml:space="preserve"> PAGE   \* MERGEFORMAT </w:instrText>
        </w:r>
        <w:r>
          <w:fldChar w:fldCharType="separate"/>
        </w:r>
        <w:r w:rsidR="00A52A58">
          <w:rPr>
            <w:noProof/>
          </w:rPr>
          <w:t>1</w:t>
        </w:r>
        <w:r>
          <w:rPr>
            <w:noProof/>
          </w:rPr>
          <w:fldChar w:fldCharType="end"/>
        </w:r>
      </w:p>
    </w:sdtContent>
  </w:sdt>
  <w:p w14:paraId="37C7CD49" w14:textId="77777777" w:rsidR="009F6A06" w:rsidRDefault="009F6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D417C" w14:textId="77777777" w:rsidR="008A493B" w:rsidRDefault="008A493B" w:rsidP="00636B0C">
      <w:pPr>
        <w:spacing w:after="0" w:line="240" w:lineRule="auto"/>
      </w:pPr>
      <w:r>
        <w:separator/>
      </w:r>
    </w:p>
  </w:footnote>
  <w:footnote w:type="continuationSeparator" w:id="0">
    <w:p w14:paraId="5B4DD23D" w14:textId="77777777" w:rsidR="008A493B" w:rsidRDefault="008A493B" w:rsidP="00636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14BE"/>
    <w:multiLevelType w:val="hybridMultilevel"/>
    <w:tmpl w:val="09FED8FE"/>
    <w:lvl w:ilvl="0" w:tplc="F45AD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26F86"/>
    <w:multiLevelType w:val="multilevel"/>
    <w:tmpl w:val="69D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56142A"/>
    <w:multiLevelType w:val="multilevel"/>
    <w:tmpl w:val="81F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3741B9"/>
    <w:multiLevelType w:val="multilevel"/>
    <w:tmpl w:val="1A6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82"/>
    <w:rsid w:val="00011A4F"/>
    <w:rsid w:val="00012661"/>
    <w:rsid w:val="00014B45"/>
    <w:rsid w:val="000972BC"/>
    <w:rsid w:val="000C1865"/>
    <w:rsid w:val="000C4A15"/>
    <w:rsid w:val="00106FAA"/>
    <w:rsid w:val="00107089"/>
    <w:rsid w:val="00110600"/>
    <w:rsid w:val="00155D6A"/>
    <w:rsid w:val="00191234"/>
    <w:rsid w:val="001A77D8"/>
    <w:rsid w:val="001C372B"/>
    <w:rsid w:val="002207E9"/>
    <w:rsid w:val="00280381"/>
    <w:rsid w:val="002927F7"/>
    <w:rsid w:val="002A33A6"/>
    <w:rsid w:val="002B0BB5"/>
    <w:rsid w:val="002E4A29"/>
    <w:rsid w:val="003642C9"/>
    <w:rsid w:val="003B2169"/>
    <w:rsid w:val="003E04D9"/>
    <w:rsid w:val="00436040"/>
    <w:rsid w:val="004A7744"/>
    <w:rsid w:val="004B209B"/>
    <w:rsid w:val="004F6E78"/>
    <w:rsid w:val="00577DEE"/>
    <w:rsid w:val="005C2377"/>
    <w:rsid w:val="005C2B97"/>
    <w:rsid w:val="00615C7E"/>
    <w:rsid w:val="0063417C"/>
    <w:rsid w:val="00636B0C"/>
    <w:rsid w:val="006401AF"/>
    <w:rsid w:val="00645FF4"/>
    <w:rsid w:val="00675843"/>
    <w:rsid w:val="006B506F"/>
    <w:rsid w:val="006E5C67"/>
    <w:rsid w:val="007129B8"/>
    <w:rsid w:val="0076088A"/>
    <w:rsid w:val="007737D1"/>
    <w:rsid w:val="00776F0A"/>
    <w:rsid w:val="007819E8"/>
    <w:rsid w:val="00785497"/>
    <w:rsid w:val="0078606D"/>
    <w:rsid w:val="007A5C16"/>
    <w:rsid w:val="008825DF"/>
    <w:rsid w:val="0088366B"/>
    <w:rsid w:val="008A493B"/>
    <w:rsid w:val="008C68C4"/>
    <w:rsid w:val="008E05E5"/>
    <w:rsid w:val="008E4415"/>
    <w:rsid w:val="00922BF2"/>
    <w:rsid w:val="00963BCA"/>
    <w:rsid w:val="009A4CCF"/>
    <w:rsid w:val="009F0B3E"/>
    <w:rsid w:val="009F6A06"/>
    <w:rsid w:val="00A506B9"/>
    <w:rsid w:val="00A52A58"/>
    <w:rsid w:val="00A93800"/>
    <w:rsid w:val="00AB512B"/>
    <w:rsid w:val="00B213B7"/>
    <w:rsid w:val="00B473F4"/>
    <w:rsid w:val="00B52347"/>
    <w:rsid w:val="00B64854"/>
    <w:rsid w:val="00B7692B"/>
    <w:rsid w:val="00BA04F1"/>
    <w:rsid w:val="00C306A6"/>
    <w:rsid w:val="00C443BE"/>
    <w:rsid w:val="00C740BD"/>
    <w:rsid w:val="00C77AD7"/>
    <w:rsid w:val="00CB5175"/>
    <w:rsid w:val="00D05E71"/>
    <w:rsid w:val="00D32D82"/>
    <w:rsid w:val="00D348C1"/>
    <w:rsid w:val="00D415F8"/>
    <w:rsid w:val="00DA0F41"/>
    <w:rsid w:val="00DA765F"/>
    <w:rsid w:val="00DB5F86"/>
    <w:rsid w:val="00DE6D8E"/>
    <w:rsid w:val="00E432E1"/>
    <w:rsid w:val="00E61148"/>
    <w:rsid w:val="00E71726"/>
    <w:rsid w:val="00E958D6"/>
    <w:rsid w:val="00EB0977"/>
    <w:rsid w:val="00F32A83"/>
    <w:rsid w:val="00F57D6E"/>
    <w:rsid w:val="00F753C2"/>
    <w:rsid w:val="00F84F98"/>
    <w:rsid w:val="00F86524"/>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customStyle="1"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customStyle="1"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216">
      <w:bodyDiv w:val="1"/>
      <w:marLeft w:val="0"/>
      <w:marRight w:val="0"/>
      <w:marTop w:val="0"/>
      <w:marBottom w:val="0"/>
      <w:divBdr>
        <w:top w:val="none" w:sz="0" w:space="0" w:color="auto"/>
        <w:left w:val="none" w:sz="0" w:space="0" w:color="auto"/>
        <w:bottom w:val="none" w:sz="0" w:space="0" w:color="auto"/>
        <w:right w:val="none" w:sz="0" w:space="0" w:color="auto"/>
      </w:divBdr>
    </w:div>
    <w:div w:id="68039955">
      <w:bodyDiv w:val="1"/>
      <w:marLeft w:val="0"/>
      <w:marRight w:val="0"/>
      <w:marTop w:val="0"/>
      <w:marBottom w:val="0"/>
      <w:divBdr>
        <w:top w:val="none" w:sz="0" w:space="0" w:color="auto"/>
        <w:left w:val="none" w:sz="0" w:space="0" w:color="auto"/>
        <w:bottom w:val="none" w:sz="0" w:space="0" w:color="auto"/>
        <w:right w:val="none" w:sz="0" w:space="0" w:color="auto"/>
      </w:divBdr>
    </w:div>
    <w:div w:id="78715816">
      <w:bodyDiv w:val="1"/>
      <w:marLeft w:val="0"/>
      <w:marRight w:val="0"/>
      <w:marTop w:val="0"/>
      <w:marBottom w:val="0"/>
      <w:divBdr>
        <w:top w:val="none" w:sz="0" w:space="0" w:color="auto"/>
        <w:left w:val="none" w:sz="0" w:space="0" w:color="auto"/>
        <w:bottom w:val="none" w:sz="0" w:space="0" w:color="auto"/>
        <w:right w:val="none" w:sz="0" w:space="0" w:color="auto"/>
      </w:divBdr>
    </w:div>
    <w:div w:id="205678685">
      <w:bodyDiv w:val="1"/>
      <w:marLeft w:val="0"/>
      <w:marRight w:val="0"/>
      <w:marTop w:val="0"/>
      <w:marBottom w:val="0"/>
      <w:divBdr>
        <w:top w:val="none" w:sz="0" w:space="0" w:color="auto"/>
        <w:left w:val="none" w:sz="0" w:space="0" w:color="auto"/>
        <w:bottom w:val="none" w:sz="0" w:space="0" w:color="auto"/>
        <w:right w:val="none" w:sz="0" w:space="0" w:color="auto"/>
      </w:divBdr>
    </w:div>
    <w:div w:id="269624562">
      <w:bodyDiv w:val="1"/>
      <w:marLeft w:val="0"/>
      <w:marRight w:val="0"/>
      <w:marTop w:val="0"/>
      <w:marBottom w:val="0"/>
      <w:divBdr>
        <w:top w:val="none" w:sz="0" w:space="0" w:color="auto"/>
        <w:left w:val="none" w:sz="0" w:space="0" w:color="auto"/>
        <w:bottom w:val="none" w:sz="0" w:space="0" w:color="auto"/>
        <w:right w:val="none" w:sz="0" w:space="0" w:color="auto"/>
      </w:divBdr>
    </w:div>
    <w:div w:id="338240317">
      <w:bodyDiv w:val="1"/>
      <w:marLeft w:val="0"/>
      <w:marRight w:val="0"/>
      <w:marTop w:val="0"/>
      <w:marBottom w:val="0"/>
      <w:divBdr>
        <w:top w:val="none" w:sz="0" w:space="0" w:color="auto"/>
        <w:left w:val="none" w:sz="0" w:space="0" w:color="auto"/>
        <w:bottom w:val="none" w:sz="0" w:space="0" w:color="auto"/>
        <w:right w:val="none" w:sz="0" w:space="0" w:color="auto"/>
      </w:divBdr>
    </w:div>
    <w:div w:id="368384504">
      <w:bodyDiv w:val="1"/>
      <w:marLeft w:val="0"/>
      <w:marRight w:val="0"/>
      <w:marTop w:val="0"/>
      <w:marBottom w:val="0"/>
      <w:divBdr>
        <w:top w:val="none" w:sz="0" w:space="0" w:color="auto"/>
        <w:left w:val="none" w:sz="0" w:space="0" w:color="auto"/>
        <w:bottom w:val="none" w:sz="0" w:space="0" w:color="auto"/>
        <w:right w:val="none" w:sz="0" w:space="0" w:color="auto"/>
      </w:divBdr>
    </w:div>
    <w:div w:id="414712666">
      <w:bodyDiv w:val="1"/>
      <w:marLeft w:val="0"/>
      <w:marRight w:val="0"/>
      <w:marTop w:val="0"/>
      <w:marBottom w:val="0"/>
      <w:divBdr>
        <w:top w:val="none" w:sz="0" w:space="0" w:color="auto"/>
        <w:left w:val="none" w:sz="0" w:space="0" w:color="auto"/>
        <w:bottom w:val="none" w:sz="0" w:space="0" w:color="auto"/>
        <w:right w:val="none" w:sz="0" w:space="0" w:color="auto"/>
      </w:divBdr>
    </w:div>
    <w:div w:id="447552163">
      <w:bodyDiv w:val="1"/>
      <w:marLeft w:val="0"/>
      <w:marRight w:val="0"/>
      <w:marTop w:val="0"/>
      <w:marBottom w:val="0"/>
      <w:divBdr>
        <w:top w:val="none" w:sz="0" w:space="0" w:color="auto"/>
        <w:left w:val="none" w:sz="0" w:space="0" w:color="auto"/>
        <w:bottom w:val="none" w:sz="0" w:space="0" w:color="auto"/>
        <w:right w:val="none" w:sz="0" w:space="0" w:color="auto"/>
      </w:divBdr>
    </w:div>
    <w:div w:id="471288811">
      <w:bodyDiv w:val="1"/>
      <w:marLeft w:val="0"/>
      <w:marRight w:val="0"/>
      <w:marTop w:val="0"/>
      <w:marBottom w:val="0"/>
      <w:divBdr>
        <w:top w:val="none" w:sz="0" w:space="0" w:color="auto"/>
        <w:left w:val="none" w:sz="0" w:space="0" w:color="auto"/>
        <w:bottom w:val="none" w:sz="0" w:space="0" w:color="auto"/>
        <w:right w:val="none" w:sz="0" w:space="0" w:color="auto"/>
      </w:divBdr>
    </w:div>
    <w:div w:id="474877180">
      <w:bodyDiv w:val="1"/>
      <w:marLeft w:val="0"/>
      <w:marRight w:val="0"/>
      <w:marTop w:val="0"/>
      <w:marBottom w:val="0"/>
      <w:divBdr>
        <w:top w:val="none" w:sz="0" w:space="0" w:color="auto"/>
        <w:left w:val="none" w:sz="0" w:space="0" w:color="auto"/>
        <w:bottom w:val="none" w:sz="0" w:space="0" w:color="auto"/>
        <w:right w:val="none" w:sz="0" w:space="0" w:color="auto"/>
      </w:divBdr>
    </w:div>
    <w:div w:id="496575370">
      <w:bodyDiv w:val="1"/>
      <w:marLeft w:val="0"/>
      <w:marRight w:val="0"/>
      <w:marTop w:val="0"/>
      <w:marBottom w:val="0"/>
      <w:divBdr>
        <w:top w:val="none" w:sz="0" w:space="0" w:color="auto"/>
        <w:left w:val="none" w:sz="0" w:space="0" w:color="auto"/>
        <w:bottom w:val="none" w:sz="0" w:space="0" w:color="auto"/>
        <w:right w:val="none" w:sz="0" w:space="0" w:color="auto"/>
      </w:divBdr>
      <w:divsChild>
        <w:div w:id="595753821">
          <w:marLeft w:val="0"/>
          <w:marRight w:val="0"/>
          <w:marTop w:val="0"/>
          <w:marBottom w:val="0"/>
          <w:divBdr>
            <w:top w:val="none" w:sz="0" w:space="0" w:color="auto"/>
            <w:left w:val="none" w:sz="0" w:space="0" w:color="auto"/>
            <w:bottom w:val="none" w:sz="0" w:space="0" w:color="auto"/>
            <w:right w:val="none" w:sz="0" w:space="0" w:color="auto"/>
          </w:divBdr>
          <w:divsChild>
            <w:div w:id="1081220159">
              <w:marLeft w:val="0"/>
              <w:marRight w:val="0"/>
              <w:marTop w:val="0"/>
              <w:marBottom w:val="0"/>
              <w:divBdr>
                <w:top w:val="none" w:sz="0" w:space="0" w:color="auto"/>
                <w:left w:val="none" w:sz="0" w:space="0" w:color="auto"/>
                <w:bottom w:val="none" w:sz="0" w:space="0" w:color="auto"/>
                <w:right w:val="none" w:sz="0" w:space="0" w:color="auto"/>
              </w:divBdr>
            </w:div>
          </w:divsChild>
        </w:div>
        <w:div w:id="1864782922">
          <w:marLeft w:val="0"/>
          <w:marRight w:val="0"/>
          <w:marTop w:val="0"/>
          <w:marBottom w:val="0"/>
          <w:divBdr>
            <w:top w:val="none" w:sz="0" w:space="0" w:color="auto"/>
            <w:left w:val="none" w:sz="0" w:space="0" w:color="auto"/>
            <w:bottom w:val="none" w:sz="0" w:space="0" w:color="auto"/>
            <w:right w:val="none" w:sz="0" w:space="0" w:color="auto"/>
          </w:divBdr>
          <w:divsChild>
            <w:div w:id="471367171">
              <w:marLeft w:val="0"/>
              <w:marRight w:val="0"/>
              <w:marTop w:val="0"/>
              <w:marBottom w:val="0"/>
              <w:divBdr>
                <w:top w:val="none" w:sz="0" w:space="0" w:color="auto"/>
                <w:left w:val="none" w:sz="0" w:space="0" w:color="auto"/>
                <w:bottom w:val="none" w:sz="0" w:space="0" w:color="auto"/>
                <w:right w:val="none" w:sz="0" w:space="0" w:color="auto"/>
              </w:divBdr>
            </w:div>
          </w:divsChild>
        </w:div>
        <w:div w:id="299457197">
          <w:marLeft w:val="0"/>
          <w:marRight w:val="0"/>
          <w:marTop w:val="0"/>
          <w:marBottom w:val="0"/>
          <w:divBdr>
            <w:top w:val="none" w:sz="0" w:space="0" w:color="auto"/>
            <w:left w:val="none" w:sz="0" w:space="0" w:color="auto"/>
            <w:bottom w:val="none" w:sz="0" w:space="0" w:color="auto"/>
            <w:right w:val="none" w:sz="0" w:space="0" w:color="auto"/>
          </w:divBdr>
          <w:divsChild>
            <w:div w:id="1114978448">
              <w:marLeft w:val="0"/>
              <w:marRight w:val="0"/>
              <w:marTop w:val="0"/>
              <w:marBottom w:val="0"/>
              <w:divBdr>
                <w:top w:val="none" w:sz="0" w:space="0" w:color="auto"/>
                <w:left w:val="none" w:sz="0" w:space="0" w:color="auto"/>
                <w:bottom w:val="none" w:sz="0" w:space="0" w:color="auto"/>
                <w:right w:val="none" w:sz="0" w:space="0" w:color="auto"/>
              </w:divBdr>
            </w:div>
          </w:divsChild>
        </w:div>
        <w:div w:id="1439443108">
          <w:marLeft w:val="0"/>
          <w:marRight w:val="0"/>
          <w:marTop w:val="0"/>
          <w:marBottom w:val="0"/>
          <w:divBdr>
            <w:top w:val="none" w:sz="0" w:space="0" w:color="auto"/>
            <w:left w:val="none" w:sz="0" w:space="0" w:color="auto"/>
            <w:bottom w:val="none" w:sz="0" w:space="0" w:color="auto"/>
            <w:right w:val="none" w:sz="0" w:space="0" w:color="auto"/>
          </w:divBdr>
          <w:divsChild>
            <w:div w:id="1504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344">
      <w:bodyDiv w:val="1"/>
      <w:marLeft w:val="0"/>
      <w:marRight w:val="0"/>
      <w:marTop w:val="0"/>
      <w:marBottom w:val="0"/>
      <w:divBdr>
        <w:top w:val="none" w:sz="0" w:space="0" w:color="auto"/>
        <w:left w:val="none" w:sz="0" w:space="0" w:color="auto"/>
        <w:bottom w:val="none" w:sz="0" w:space="0" w:color="auto"/>
        <w:right w:val="none" w:sz="0" w:space="0" w:color="auto"/>
      </w:divBdr>
    </w:div>
    <w:div w:id="556866970">
      <w:bodyDiv w:val="1"/>
      <w:marLeft w:val="0"/>
      <w:marRight w:val="0"/>
      <w:marTop w:val="0"/>
      <w:marBottom w:val="0"/>
      <w:divBdr>
        <w:top w:val="none" w:sz="0" w:space="0" w:color="auto"/>
        <w:left w:val="none" w:sz="0" w:space="0" w:color="auto"/>
        <w:bottom w:val="none" w:sz="0" w:space="0" w:color="auto"/>
        <w:right w:val="none" w:sz="0" w:space="0" w:color="auto"/>
      </w:divBdr>
    </w:div>
    <w:div w:id="579759418">
      <w:bodyDiv w:val="1"/>
      <w:marLeft w:val="0"/>
      <w:marRight w:val="0"/>
      <w:marTop w:val="0"/>
      <w:marBottom w:val="0"/>
      <w:divBdr>
        <w:top w:val="none" w:sz="0" w:space="0" w:color="auto"/>
        <w:left w:val="none" w:sz="0" w:space="0" w:color="auto"/>
        <w:bottom w:val="none" w:sz="0" w:space="0" w:color="auto"/>
        <w:right w:val="none" w:sz="0" w:space="0" w:color="auto"/>
      </w:divBdr>
    </w:div>
    <w:div w:id="611858560">
      <w:bodyDiv w:val="1"/>
      <w:marLeft w:val="0"/>
      <w:marRight w:val="0"/>
      <w:marTop w:val="0"/>
      <w:marBottom w:val="0"/>
      <w:divBdr>
        <w:top w:val="none" w:sz="0" w:space="0" w:color="auto"/>
        <w:left w:val="none" w:sz="0" w:space="0" w:color="auto"/>
        <w:bottom w:val="none" w:sz="0" w:space="0" w:color="auto"/>
        <w:right w:val="none" w:sz="0" w:space="0" w:color="auto"/>
      </w:divBdr>
    </w:div>
    <w:div w:id="618874010">
      <w:bodyDiv w:val="1"/>
      <w:marLeft w:val="0"/>
      <w:marRight w:val="0"/>
      <w:marTop w:val="0"/>
      <w:marBottom w:val="0"/>
      <w:divBdr>
        <w:top w:val="none" w:sz="0" w:space="0" w:color="auto"/>
        <w:left w:val="none" w:sz="0" w:space="0" w:color="auto"/>
        <w:bottom w:val="none" w:sz="0" w:space="0" w:color="auto"/>
        <w:right w:val="none" w:sz="0" w:space="0" w:color="auto"/>
      </w:divBdr>
    </w:div>
    <w:div w:id="629432965">
      <w:bodyDiv w:val="1"/>
      <w:marLeft w:val="0"/>
      <w:marRight w:val="0"/>
      <w:marTop w:val="0"/>
      <w:marBottom w:val="0"/>
      <w:divBdr>
        <w:top w:val="none" w:sz="0" w:space="0" w:color="auto"/>
        <w:left w:val="none" w:sz="0" w:space="0" w:color="auto"/>
        <w:bottom w:val="none" w:sz="0" w:space="0" w:color="auto"/>
        <w:right w:val="none" w:sz="0" w:space="0" w:color="auto"/>
      </w:divBdr>
    </w:div>
    <w:div w:id="646475538">
      <w:bodyDiv w:val="1"/>
      <w:marLeft w:val="0"/>
      <w:marRight w:val="0"/>
      <w:marTop w:val="0"/>
      <w:marBottom w:val="0"/>
      <w:divBdr>
        <w:top w:val="none" w:sz="0" w:space="0" w:color="auto"/>
        <w:left w:val="none" w:sz="0" w:space="0" w:color="auto"/>
        <w:bottom w:val="none" w:sz="0" w:space="0" w:color="auto"/>
        <w:right w:val="none" w:sz="0" w:space="0" w:color="auto"/>
      </w:divBdr>
    </w:div>
    <w:div w:id="665210805">
      <w:bodyDiv w:val="1"/>
      <w:marLeft w:val="0"/>
      <w:marRight w:val="0"/>
      <w:marTop w:val="0"/>
      <w:marBottom w:val="0"/>
      <w:divBdr>
        <w:top w:val="none" w:sz="0" w:space="0" w:color="auto"/>
        <w:left w:val="none" w:sz="0" w:space="0" w:color="auto"/>
        <w:bottom w:val="none" w:sz="0" w:space="0" w:color="auto"/>
        <w:right w:val="none" w:sz="0" w:space="0" w:color="auto"/>
      </w:divBdr>
    </w:div>
    <w:div w:id="787506476">
      <w:bodyDiv w:val="1"/>
      <w:marLeft w:val="0"/>
      <w:marRight w:val="0"/>
      <w:marTop w:val="0"/>
      <w:marBottom w:val="0"/>
      <w:divBdr>
        <w:top w:val="none" w:sz="0" w:space="0" w:color="auto"/>
        <w:left w:val="none" w:sz="0" w:space="0" w:color="auto"/>
        <w:bottom w:val="none" w:sz="0" w:space="0" w:color="auto"/>
        <w:right w:val="none" w:sz="0" w:space="0" w:color="auto"/>
      </w:divBdr>
    </w:div>
    <w:div w:id="796726645">
      <w:bodyDiv w:val="1"/>
      <w:marLeft w:val="0"/>
      <w:marRight w:val="0"/>
      <w:marTop w:val="0"/>
      <w:marBottom w:val="0"/>
      <w:divBdr>
        <w:top w:val="none" w:sz="0" w:space="0" w:color="auto"/>
        <w:left w:val="none" w:sz="0" w:space="0" w:color="auto"/>
        <w:bottom w:val="none" w:sz="0" w:space="0" w:color="auto"/>
        <w:right w:val="none" w:sz="0" w:space="0" w:color="auto"/>
      </w:divBdr>
    </w:div>
    <w:div w:id="826173191">
      <w:bodyDiv w:val="1"/>
      <w:marLeft w:val="0"/>
      <w:marRight w:val="0"/>
      <w:marTop w:val="0"/>
      <w:marBottom w:val="0"/>
      <w:divBdr>
        <w:top w:val="none" w:sz="0" w:space="0" w:color="auto"/>
        <w:left w:val="none" w:sz="0" w:space="0" w:color="auto"/>
        <w:bottom w:val="none" w:sz="0" w:space="0" w:color="auto"/>
        <w:right w:val="none" w:sz="0" w:space="0" w:color="auto"/>
      </w:divBdr>
    </w:div>
    <w:div w:id="861745959">
      <w:bodyDiv w:val="1"/>
      <w:marLeft w:val="0"/>
      <w:marRight w:val="0"/>
      <w:marTop w:val="0"/>
      <w:marBottom w:val="0"/>
      <w:divBdr>
        <w:top w:val="none" w:sz="0" w:space="0" w:color="auto"/>
        <w:left w:val="none" w:sz="0" w:space="0" w:color="auto"/>
        <w:bottom w:val="none" w:sz="0" w:space="0" w:color="auto"/>
        <w:right w:val="none" w:sz="0" w:space="0" w:color="auto"/>
      </w:divBdr>
    </w:div>
    <w:div w:id="881283561">
      <w:bodyDiv w:val="1"/>
      <w:marLeft w:val="0"/>
      <w:marRight w:val="0"/>
      <w:marTop w:val="0"/>
      <w:marBottom w:val="0"/>
      <w:divBdr>
        <w:top w:val="none" w:sz="0" w:space="0" w:color="auto"/>
        <w:left w:val="none" w:sz="0" w:space="0" w:color="auto"/>
        <w:bottom w:val="none" w:sz="0" w:space="0" w:color="auto"/>
        <w:right w:val="none" w:sz="0" w:space="0" w:color="auto"/>
      </w:divBdr>
    </w:div>
    <w:div w:id="887378250">
      <w:bodyDiv w:val="1"/>
      <w:marLeft w:val="0"/>
      <w:marRight w:val="0"/>
      <w:marTop w:val="0"/>
      <w:marBottom w:val="0"/>
      <w:divBdr>
        <w:top w:val="none" w:sz="0" w:space="0" w:color="auto"/>
        <w:left w:val="none" w:sz="0" w:space="0" w:color="auto"/>
        <w:bottom w:val="none" w:sz="0" w:space="0" w:color="auto"/>
        <w:right w:val="none" w:sz="0" w:space="0" w:color="auto"/>
      </w:divBdr>
      <w:divsChild>
        <w:div w:id="1874414137">
          <w:marLeft w:val="0"/>
          <w:marRight w:val="0"/>
          <w:marTop w:val="0"/>
          <w:marBottom w:val="0"/>
          <w:divBdr>
            <w:top w:val="none" w:sz="0" w:space="0" w:color="auto"/>
            <w:left w:val="none" w:sz="0" w:space="0" w:color="auto"/>
            <w:bottom w:val="none" w:sz="0" w:space="0" w:color="auto"/>
            <w:right w:val="none" w:sz="0" w:space="0" w:color="auto"/>
          </w:divBdr>
          <w:divsChild>
            <w:div w:id="687215300">
              <w:marLeft w:val="0"/>
              <w:marRight w:val="0"/>
              <w:marTop w:val="0"/>
              <w:marBottom w:val="0"/>
              <w:divBdr>
                <w:top w:val="none" w:sz="0" w:space="0" w:color="auto"/>
                <w:left w:val="none" w:sz="0" w:space="0" w:color="auto"/>
                <w:bottom w:val="none" w:sz="0" w:space="0" w:color="auto"/>
                <w:right w:val="none" w:sz="0" w:space="0" w:color="auto"/>
              </w:divBdr>
            </w:div>
          </w:divsChild>
        </w:div>
        <w:div w:id="1517184140">
          <w:marLeft w:val="0"/>
          <w:marRight w:val="0"/>
          <w:marTop w:val="0"/>
          <w:marBottom w:val="0"/>
          <w:divBdr>
            <w:top w:val="none" w:sz="0" w:space="0" w:color="auto"/>
            <w:left w:val="none" w:sz="0" w:space="0" w:color="auto"/>
            <w:bottom w:val="none" w:sz="0" w:space="0" w:color="auto"/>
            <w:right w:val="none" w:sz="0" w:space="0" w:color="auto"/>
          </w:divBdr>
          <w:divsChild>
            <w:div w:id="377585168">
              <w:marLeft w:val="0"/>
              <w:marRight w:val="0"/>
              <w:marTop w:val="0"/>
              <w:marBottom w:val="0"/>
              <w:divBdr>
                <w:top w:val="none" w:sz="0" w:space="0" w:color="auto"/>
                <w:left w:val="none" w:sz="0" w:space="0" w:color="auto"/>
                <w:bottom w:val="none" w:sz="0" w:space="0" w:color="auto"/>
                <w:right w:val="none" w:sz="0" w:space="0" w:color="auto"/>
              </w:divBdr>
            </w:div>
          </w:divsChild>
        </w:div>
        <w:div w:id="391929618">
          <w:marLeft w:val="0"/>
          <w:marRight w:val="0"/>
          <w:marTop w:val="0"/>
          <w:marBottom w:val="0"/>
          <w:divBdr>
            <w:top w:val="none" w:sz="0" w:space="0" w:color="auto"/>
            <w:left w:val="none" w:sz="0" w:space="0" w:color="auto"/>
            <w:bottom w:val="none" w:sz="0" w:space="0" w:color="auto"/>
            <w:right w:val="none" w:sz="0" w:space="0" w:color="auto"/>
          </w:divBdr>
          <w:divsChild>
            <w:div w:id="1330281705">
              <w:marLeft w:val="0"/>
              <w:marRight w:val="0"/>
              <w:marTop w:val="0"/>
              <w:marBottom w:val="0"/>
              <w:divBdr>
                <w:top w:val="none" w:sz="0" w:space="0" w:color="auto"/>
                <w:left w:val="none" w:sz="0" w:space="0" w:color="auto"/>
                <w:bottom w:val="none" w:sz="0" w:space="0" w:color="auto"/>
                <w:right w:val="none" w:sz="0" w:space="0" w:color="auto"/>
              </w:divBdr>
            </w:div>
          </w:divsChild>
        </w:div>
        <w:div w:id="1092238714">
          <w:marLeft w:val="0"/>
          <w:marRight w:val="0"/>
          <w:marTop w:val="0"/>
          <w:marBottom w:val="0"/>
          <w:divBdr>
            <w:top w:val="none" w:sz="0" w:space="0" w:color="auto"/>
            <w:left w:val="none" w:sz="0" w:space="0" w:color="auto"/>
            <w:bottom w:val="none" w:sz="0" w:space="0" w:color="auto"/>
            <w:right w:val="none" w:sz="0" w:space="0" w:color="auto"/>
          </w:divBdr>
          <w:divsChild>
            <w:div w:id="1278410947">
              <w:marLeft w:val="0"/>
              <w:marRight w:val="0"/>
              <w:marTop w:val="0"/>
              <w:marBottom w:val="0"/>
              <w:divBdr>
                <w:top w:val="none" w:sz="0" w:space="0" w:color="auto"/>
                <w:left w:val="none" w:sz="0" w:space="0" w:color="auto"/>
                <w:bottom w:val="none" w:sz="0" w:space="0" w:color="auto"/>
                <w:right w:val="none" w:sz="0" w:space="0" w:color="auto"/>
              </w:divBdr>
            </w:div>
          </w:divsChild>
        </w:div>
        <w:div w:id="1094278482">
          <w:marLeft w:val="0"/>
          <w:marRight w:val="0"/>
          <w:marTop w:val="0"/>
          <w:marBottom w:val="0"/>
          <w:divBdr>
            <w:top w:val="none" w:sz="0" w:space="0" w:color="auto"/>
            <w:left w:val="none" w:sz="0" w:space="0" w:color="auto"/>
            <w:bottom w:val="none" w:sz="0" w:space="0" w:color="auto"/>
            <w:right w:val="none" w:sz="0" w:space="0" w:color="auto"/>
          </w:divBdr>
          <w:divsChild>
            <w:div w:id="2686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7538">
      <w:bodyDiv w:val="1"/>
      <w:marLeft w:val="0"/>
      <w:marRight w:val="0"/>
      <w:marTop w:val="0"/>
      <w:marBottom w:val="0"/>
      <w:divBdr>
        <w:top w:val="none" w:sz="0" w:space="0" w:color="auto"/>
        <w:left w:val="none" w:sz="0" w:space="0" w:color="auto"/>
        <w:bottom w:val="none" w:sz="0" w:space="0" w:color="auto"/>
        <w:right w:val="none" w:sz="0" w:space="0" w:color="auto"/>
      </w:divBdr>
    </w:div>
    <w:div w:id="1002468246">
      <w:bodyDiv w:val="1"/>
      <w:marLeft w:val="0"/>
      <w:marRight w:val="0"/>
      <w:marTop w:val="0"/>
      <w:marBottom w:val="0"/>
      <w:divBdr>
        <w:top w:val="none" w:sz="0" w:space="0" w:color="auto"/>
        <w:left w:val="none" w:sz="0" w:space="0" w:color="auto"/>
        <w:bottom w:val="none" w:sz="0" w:space="0" w:color="auto"/>
        <w:right w:val="none" w:sz="0" w:space="0" w:color="auto"/>
      </w:divBdr>
    </w:div>
    <w:div w:id="1024938938">
      <w:bodyDiv w:val="1"/>
      <w:marLeft w:val="0"/>
      <w:marRight w:val="0"/>
      <w:marTop w:val="0"/>
      <w:marBottom w:val="0"/>
      <w:divBdr>
        <w:top w:val="none" w:sz="0" w:space="0" w:color="auto"/>
        <w:left w:val="none" w:sz="0" w:space="0" w:color="auto"/>
        <w:bottom w:val="none" w:sz="0" w:space="0" w:color="auto"/>
        <w:right w:val="none" w:sz="0" w:space="0" w:color="auto"/>
      </w:divBdr>
    </w:div>
    <w:div w:id="1112240611">
      <w:bodyDiv w:val="1"/>
      <w:marLeft w:val="0"/>
      <w:marRight w:val="0"/>
      <w:marTop w:val="0"/>
      <w:marBottom w:val="0"/>
      <w:divBdr>
        <w:top w:val="none" w:sz="0" w:space="0" w:color="auto"/>
        <w:left w:val="none" w:sz="0" w:space="0" w:color="auto"/>
        <w:bottom w:val="none" w:sz="0" w:space="0" w:color="auto"/>
        <w:right w:val="none" w:sz="0" w:space="0" w:color="auto"/>
      </w:divBdr>
    </w:div>
    <w:div w:id="1123427289">
      <w:bodyDiv w:val="1"/>
      <w:marLeft w:val="0"/>
      <w:marRight w:val="0"/>
      <w:marTop w:val="0"/>
      <w:marBottom w:val="0"/>
      <w:divBdr>
        <w:top w:val="none" w:sz="0" w:space="0" w:color="auto"/>
        <w:left w:val="none" w:sz="0" w:space="0" w:color="auto"/>
        <w:bottom w:val="none" w:sz="0" w:space="0" w:color="auto"/>
        <w:right w:val="none" w:sz="0" w:space="0" w:color="auto"/>
      </w:divBdr>
    </w:div>
    <w:div w:id="1170365269">
      <w:bodyDiv w:val="1"/>
      <w:marLeft w:val="0"/>
      <w:marRight w:val="0"/>
      <w:marTop w:val="0"/>
      <w:marBottom w:val="0"/>
      <w:divBdr>
        <w:top w:val="none" w:sz="0" w:space="0" w:color="auto"/>
        <w:left w:val="none" w:sz="0" w:space="0" w:color="auto"/>
        <w:bottom w:val="none" w:sz="0" w:space="0" w:color="auto"/>
        <w:right w:val="none" w:sz="0" w:space="0" w:color="auto"/>
      </w:divBdr>
    </w:div>
    <w:div w:id="1228997808">
      <w:bodyDiv w:val="1"/>
      <w:marLeft w:val="0"/>
      <w:marRight w:val="0"/>
      <w:marTop w:val="0"/>
      <w:marBottom w:val="0"/>
      <w:divBdr>
        <w:top w:val="none" w:sz="0" w:space="0" w:color="auto"/>
        <w:left w:val="none" w:sz="0" w:space="0" w:color="auto"/>
        <w:bottom w:val="none" w:sz="0" w:space="0" w:color="auto"/>
        <w:right w:val="none" w:sz="0" w:space="0" w:color="auto"/>
      </w:divBdr>
    </w:div>
    <w:div w:id="1296644457">
      <w:bodyDiv w:val="1"/>
      <w:marLeft w:val="0"/>
      <w:marRight w:val="0"/>
      <w:marTop w:val="0"/>
      <w:marBottom w:val="0"/>
      <w:divBdr>
        <w:top w:val="none" w:sz="0" w:space="0" w:color="auto"/>
        <w:left w:val="none" w:sz="0" w:space="0" w:color="auto"/>
        <w:bottom w:val="none" w:sz="0" w:space="0" w:color="auto"/>
        <w:right w:val="none" w:sz="0" w:space="0" w:color="auto"/>
      </w:divBdr>
    </w:div>
    <w:div w:id="1298727077">
      <w:bodyDiv w:val="1"/>
      <w:marLeft w:val="0"/>
      <w:marRight w:val="0"/>
      <w:marTop w:val="0"/>
      <w:marBottom w:val="0"/>
      <w:divBdr>
        <w:top w:val="none" w:sz="0" w:space="0" w:color="auto"/>
        <w:left w:val="none" w:sz="0" w:space="0" w:color="auto"/>
        <w:bottom w:val="none" w:sz="0" w:space="0" w:color="auto"/>
        <w:right w:val="none" w:sz="0" w:space="0" w:color="auto"/>
      </w:divBdr>
    </w:div>
    <w:div w:id="1390225874">
      <w:bodyDiv w:val="1"/>
      <w:marLeft w:val="0"/>
      <w:marRight w:val="0"/>
      <w:marTop w:val="0"/>
      <w:marBottom w:val="0"/>
      <w:divBdr>
        <w:top w:val="none" w:sz="0" w:space="0" w:color="auto"/>
        <w:left w:val="none" w:sz="0" w:space="0" w:color="auto"/>
        <w:bottom w:val="none" w:sz="0" w:space="0" w:color="auto"/>
        <w:right w:val="none" w:sz="0" w:space="0" w:color="auto"/>
      </w:divBdr>
      <w:divsChild>
        <w:div w:id="1522086180">
          <w:marLeft w:val="0"/>
          <w:marRight w:val="0"/>
          <w:marTop w:val="0"/>
          <w:marBottom w:val="0"/>
          <w:divBdr>
            <w:top w:val="none" w:sz="0" w:space="0" w:color="auto"/>
            <w:left w:val="none" w:sz="0" w:space="0" w:color="auto"/>
            <w:bottom w:val="none" w:sz="0" w:space="0" w:color="auto"/>
            <w:right w:val="none" w:sz="0" w:space="0" w:color="auto"/>
          </w:divBdr>
          <w:divsChild>
            <w:div w:id="325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8740">
      <w:bodyDiv w:val="1"/>
      <w:marLeft w:val="0"/>
      <w:marRight w:val="0"/>
      <w:marTop w:val="0"/>
      <w:marBottom w:val="0"/>
      <w:divBdr>
        <w:top w:val="none" w:sz="0" w:space="0" w:color="auto"/>
        <w:left w:val="none" w:sz="0" w:space="0" w:color="auto"/>
        <w:bottom w:val="none" w:sz="0" w:space="0" w:color="auto"/>
        <w:right w:val="none" w:sz="0" w:space="0" w:color="auto"/>
      </w:divBdr>
    </w:div>
    <w:div w:id="1425876790">
      <w:bodyDiv w:val="1"/>
      <w:marLeft w:val="0"/>
      <w:marRight w:val="0"/>
      <w:marTop w:val="0"/>
      <w:marBottom w:val="0"/>
      <w:divBdr>
        <w:top w:val="none" w:sz="0" w:space="0" w:color="auto"/>
        <w:left w:val="none" w:sz="0" w:space="0" w:color="auto"/>
        <w:bottom w:val="none" w:sz="0" w:space="0" w:color="auto"/>
        <w:right w:val="none" w:sz="0" w:space="0" w:color="auto"/>
      </w:divBdr>
    </w:div>
    <w:div w:id="1495296965">
      <w:bodyDiv w:val="1"/>
      <w:marLeft w:val="0"/>
      <w:marRight w:val="0"/>
      <w:marTop w:val="0"/>
      <w:marBottom w:val="0"/>
      <w:divBdr>
        <w:top w:val="none" w:sz="0" w:space="0" w:color="auto"/>
        <w:left w:val="none" w:sz="0" w:space="0" w:color="auto"/>
        <w:bottom w:val="none" w:sz="0" w:space="0" w:color="auto"/>
        <w:right w:val="none" w:sz="0" w:space="0" w:color="auto"/>
      </w:divBdr>
    </w:div>
    <w:div w:id="1556701401">
      <w:bodyDiv w:val="1"/>
      <w:marLeft w:val="0"/>
      <w:marRight w:val="0"/>
      <w:marTop w:val="0"/>
      <w:marBottom w:val="0"/>
      <w:divBdr>
        <w:top w:val="none" w:sz="0" w:space="0" w:color="auto"/>
        <w:left w:val="none" w:sz="0" w:space="0" w:color="auto"/>
        <w:bottom w:val="none" w:sz="0" w:space="0" w:color="auto"/>
        <w:right w:val="none" w:sz="0" w:space="0" w:color="auto"/>
      </w:divBdr>
      <w:divsChild>
        <w:div w:id="2053074128">
          <w:marLeft w:val="0"/>
          <w:marRight w:val="0"/>
          <w:marTop w:val="0"/>
          <w:marBottom w:val="0"/>
          <w:divBdr>
            <w:top w:val="none" w:sz="0" w:space="0" w:color="auto"/>
            <w:left w:val="none" w:sz="0" w:space="0" w:color="auto"/>
            <w:bottom w:val="none" w:sz="0" w:space="0" w:color="auto"/>
            <w:right w:val="none" w:sz="0" w:space="0" w:color="auto"/>
          </w:divBdr>
          <w:divsChild>
            <w:div w:id="2080589298">
              <w:marLeft w:val="0"/>
              <w:marRight w:val="0"/>
              <w:marTop w:val="0"/>
              <w:marBottom w:val="0"/>
              <w:divBdr>
                <w:top w:val="none" w:sz="0" w:space="0" w:color="auto"/>
                <w:left w:val="none" w:sz="0" w:space="0" w:color="auto"/>
                <w:bottom w:val="none" w:sz="0" w:space="0" w:color="auto"/>
                <w:right w:val="none" w:sz="0" w:space="0" w:color="auto"/>
              </w:divBdr>
            </w:div>
          </w:divsChild>
        </w:div>
        <w:div w:id="1276328877">
          <w:marLeft w:val="0"/>
          <w:marRight w:val="0"/>
          <w:marTop w:val="0"/>
          <w:marBottom w:val="0"/>
          <w:divBdr>
            <w:top w:val="none" w:sz="0" w:space="0" w:color="auto"/>
            <w:left w:val="none" w:sz="0" w:space="0" w:color="auto"/>
            <w:bottom w:val="none" w:sz="0" w:space="0" w:color="auto"/>
            <w:right w:val="none" w:sz="0" w:space="0" w:color="auto"/>
          </w:divBdr>
          <w:divsChild>
            <w:div w:id="1685940573">
              <w:marLeft w:val="0"/>
              <w:marRight w:val="0"/>
              <w:marTop w:val="0"/>
              <w:marBottom w:val="0"/>
              <w:divBdr>
                <w:top w:val="none" w:sz="0" w:space="0" w:color="auto"/>
                <w:left w:val="none" w:sz="0" w:space="0" w:color="auto"/>
                <w:bottom w:val="none" w:sz="0" w:space="0" w:color="auto"/>
                <w:right w:val="none" w:sz="0" w:space="0" w:color="auto"/>
              </w:divBdr>
            </w:div>
          </w:divsChild>
        </w:div>
        <w:div w:id="627129137">
          <w:marLeft w:val="0"/>
          <w:marRight w:val="0"/>
          <w:marTop w:val="0"/>
          <w:marBottom w:val="0"/>
          <w:divBdr>
            <w:top w:val="none" w:sz="0" w:space="0" w:color="auto"/>
            <w:left w:val="none" w:sz="0" w:space="0" w:color="auto"/>
            <w:bottom w:val="none" w:sz="0" w:space="0" w:color="auto"/>
            <w:right w:val="none" w:sz="0" w:space="0" w:color="auto"/>
          </w:divBdr>
          <w:divsChild>
            <w:div w:id="889609403">
              <w:marLeft w:val="0"/>
              <w:marRight w:val="0"/>
              <w:marTop w:val="0"/>
              <w:marBottom w:val="0"/>
              <w:divBdr>
                <w:top w:val="none" w:sz="0" w:space="0" w:color="auto"/>
                <w:left w:val="none" w:sz="0" w:space="0" w:color="auto"/>
                <w:bottom w:val="none" w:sz="0" w:space="0" w:color="auto"/>
                <w:right w:val="none" w:sz="0" w:space="0" w:color="auto"/>
              </w:divBdr>
            </w:div>
          </w:divsChild>
        </w:div>
        <w:div w:id="680086464">
          <w:marLeft w:val="0"/>
          <w:marRight w:val="0"/>
          <w:marTop w:val="0"/>
          <w:marBottom w:val="0"/>
          <w:divBdr>
            <w:top w:val="none" w:sz="0" w:space="0" w:color="auto"/>
            <w:left w:val="none" w:sz="0" w:space="0" w:color="auto"/>
            <w:bottom w:val="none" w:sz="0" w:space="0" w:color="auto"/>
            <w:right w:val="none" w:sz="0" w:space="0" w:color="auto"/>
          </w:divBdr>
          <w:divsChild>
            <w:div w:id="726732789">
              <w:marLeft w:val="0"/>
              <w:marRight w:val="0"/>
              <w:marTop w:val="0"/>
              <w:marBottom w:val="0"/>
              <w:divBdr>
                <w:top w:val="none" w:sz="0" w:space="0" w:color="auto"/>
                <w:left w:val="none" w:sz="0" w:space="0" w:color="auto"/>
                <w:bottom w:val="none" w:sz="0" w:space="0" w:color="auto"/>
                <w:right w:val="none" w:sz="0" w:space="0" w:color="auto"/>
              </w:divBdr>
            </w:div>
          </w:divsChild>
        </w:div>
        <w:div w:id="2137329837">
          <w:marLeft w:val="0"/>
          <w:marRight w:val="0"/>
          <w:marTop w:val="0"/>
          <w:marBottom w:val="0"/>
          <w:divBdr>
            <w:top w:val="none" w:sz="0" w:space="0" w:color="auto"/>
            <w:left w:val="none" w:sz="0" w:space="0" w:color="auto"/>
            <w:bottom w:val="none" w:sz="0" w:space="0" w:color="auto"/>
            <w:right w:val="none" w:sz="0" w:space="0" w:color="auto"/>
          </w:divBdr>
          <w:divsChild>
            <w:div w:id="493565625">
              <w:marLeft w:val="0"/>
              <w:marRight w:val="0"/>
              <w:marTop w:val="0"/>
              <w:marBottom w:val="0"/>
              <w:divBdr>
                <w:top w:val="none" w:sz="0" w:space="0" w:color="auto"/>
                <w:left w:val="none" w:sz="0" w:space="0" w:color="auto"/>
                <w:bottom w:val="none" w:sz="0" w:space="0" w:color="auto"/>
                <w:right w:val="none" w:sz="0" w:space="0" w:color="auto"/>
              </w:divBdr>
            </w:div>
          </w:divsChild>
        </w:div>
        <w:div w:id="267081419">
          <w:marLeft w:val="0"/>
          <w:marRight w:val="0"/>
          <w:marTop w:val="0"/>
          <w:marBottom w:val="0"/>
          <w:divBdr>
            <w:top w:val="none" w:sz="0" w:space="0" w:color="auto"/>
            <w:left w:val="none" w:sz="0" w:space="0" w:color="auto"/>
            <w:bottom w:val="none" w:sz="0" w:space="0" w:color="auto"/>
            <w:right w:val="none" w:sz="0" w:space="0" w:color="auto"/>
          </w:divBdr>
          <w:divsChild>
            <w:div w:id="1297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496">
      <w:bodyDiv w:val="1"/>
      <w:marLeft w:val="0"/>
      <w:marRight w:val="0"/>
      <w:marTop w:val="0"/>
      <w:marBottom w:val="0"/>
      <w:divBdr>
        <w:top w:val="none" w:sz="0" w:space="0" w:color="auto"/>
        <w:left w:val="none" w:sz="0" w:space="0" w:color="auto"/>
        <w:bottom w:val="none" w:sz="0" w:space="0" w:color="auto"/>
        <w:right w:val="none" w:sz="0" w:space="0" w:color="auto"/>
      </w:divBdr>
    </w:div>
    <w:div w:id="1655521736">
      <w:bodyDiv w:val="1"/>
      <w:marLeft w:val="0"/>
      <w:marRight w:val="0"/>
      <w:marTop w:val="0"/>
      <w:marBottom w:val="0"/>
      <w:divBdr>
        <w:top w:val="none" w:sz="0" w:space="0" w:color="auto"/>
        <w:left w:val="none" w:sz="0" w:space="0" w:color="auto"/>
        <w:bottom w:val="none" w:sz="0" w:space="0" w:color="auto"/>
        <w:right w:val="none" w:sz="0" w:space="0" w:color="auto"/>
      </w:divBdr>
    </w:div>
    <w:div w:id="1684476998">
      <w:bodyDiv w:val="1"/>
      <w:marLeft w:val="0"/>
      <w:marRight w:val="0"/>
      <w:marTop w:val="0"/>
      <w:marBottom w:val="0"/>
      <w:divBdr>
        <w:top w:val="none" w:sz="0" w:space="0" w:color="auto"/>
        <w:left w:val="none" w:sz="0" w:space="0" w:color="auto"/>
        <w:bottom w:val="none" w:sz="0" w:space="0" w:color="auto"/>
        <w:right w:val="none" w:sz="0" w:space="0" w:color="auto"/>
      </w:divBdr>
    </w:div>
    <w:div w:id="1741708768">
      <w:bodyDiv w:val="1"/>
      <w:marLeft w:val="0"/>
      <w:marRight w:val="0"/>
      <w:marTop w:val="0"/>
      <w:marBottom w:val="0"/>
      <w:divBdr>
        <w:top w:val="none" w:sz="0" w:space="0" w:color="auto"/>
        <w:left w:val="none" w:sz="0" w:space="0" w:color="auto"/>
        <w:bottom w:val="none" w:sz="0" w:space="0" w:color="auto"/>
        <w:right w:val="none" w:sz="0" w:space="0" w:color="auto"/>
      </w:divBdr>
    </w:div>
    <w:div w:id="1771924581">
      <w:bodyDiv w:val="1"/>
      <w:marLeft w:val="0"/>
      <w:marRight w:val="0"/>
      <w:marTop w:val="0"/>
      <w:marBottom w:val="0"/>
      <w:divBdr>
        <w:top w:val="none" w:sz="0" w:space="0" w:color="auto"/>
        <w:left w:val="none" w:sz="0" w:space="0" w:color="auto"/>
        <w:bottom w:val="none" w:sz="0" w:space="0" w:color="auto"/>
        <w:right w:val="none" w:sz="0" w:space="0" w:color="auto"/>
      </w:divBdr>
    </w:div>
    <w:div w:id="1841653497">
      <w:bodyDiv w:val="1"/>
      <w:marLeft w:val="0"/>
      <w:marRight w:val="0"/>
      <w:marTop w:val="0"/>
      <w:marBottom w:val="0"/>
      <w:divBdr>
        <w:top w:val="none" w:sz="0" w:space="0" w:color="auto"/>
        <w:left w:val="none" w:sz="0" w:space="0" w:color="auto"/>
        <w:bottom w:val="none" w:sz="0" w:space="0" w:color="auto"/>
        <w:right w:val="none" w:sz="0" w:space="0" w:color="auto"/>
      </w:divBdr>
    </w:div>
    <w:div w:id="1878934900">
      <w:bodyDiv w:val="1"/>
      <w:marLeft w:val="0"/>
      <w:marRight w:val="0"/>
      <w:marTop w:val="0"/>
      <w:marBottom w:val="0"/>
      <w:divBdr>
        <w:top w:val="none" w:sz="0" w:space="0" w:color="auto"/>
        <w:left w:val="none" w:sz="0" w:space="0" w:color="auto"/>
        <w:bottom w:val="none" w:sz="0" w:space="0" w:color="auto"/>
        <w:right w:val="none" w:sz="0" w:space="0" w:color="auto"/>
      </w:divBdr>
    </w:div>
    <w:div w:id="1892954650">
      <w:bodyDiv w:val="1"/>
      <w:marLeft w:val="0"/>
      <w:marRight w:val="0"/>
      <w:marTop w:val="0"/>
      <w:marBottom w:val="0"/>
      <w:divBdr>
        <w:top w:val="none" w:sz="0" w:space="0" w:color="auto"/>
        <w:left w:val="none" w:sz="0" w:space="0" w:color="auto"/>
        <w:bottom w:val="none" w:sz="0" w:space="0" w:color="auto"/>
        <w:right w:val="none" w:sz="0" w:space="0" w:color="auto"/>
      </w:divBdr>
    </w:div>
    <w:div w:id="1911304104">
      <w:bodyDiv w:val="1"/>
      <w:marLeft w:val="0"/>
      <w:marRight w:val="0"/>
      <w:marTop w:val="0"/>
      <w:marBottom w:val="0"/>
      <w:divBdr>
        <w:top w:val="none" w:sz="0" w:space="0" w:color="auto"/>
        <w:left w:val="none" w:sz="0" w:space="0" w:color="auto"/>
        <w:bottom w:val="none" w:sz="0" w:space="0" w:color="auto"/>
        <w:right w:val="none" w:sz="0" w:space="0" w:color="auto"/>
      </w:divBdr>
    </w:div>
    <w:div w:id="1919556307">
      <w:bodyDiv w:val="1"/>
      <w:marLeft w:val="0"/>
      <w:marRight w:val="0"/>
      <w:marTop w:val="0"/>
      <w:marBottom w:val="0"/>
      <w:divBdr>
        <w:top w:val="none" w:sz="0" w:space="0" w:color="auto"/>
        <w:left w:val="none" w:sz="0" w:space="0" w:color="auto"/>
        <w:bottom w:val="none" w:sz="0" w:space="0" w:color="auto"/>
        <w:right w:val="none" w:sz="0" w:space="0" w:color="auto"/>
      </w:divBdr>
    </w:div>
    <w:div w:id="2064937240">
      <w:bodyDiv w:val="1"/>
      <w:marLeft w:val="0"/>
      <w:marRight w:val="0"/>
      <w:marTop w:val="0"/>
      <w:marBottom w:val="0"/>
      <w:divBdr>
        <w:top w:val="none" w:sz="0" w:space="0" w:color="auto"/>
        <w:left w:val="none" w:sz="0" w:space="0" w:color="auto"/>
        <w:bottom w:val="none" w:sz="0" w:space="0" w:color="auto"/>
        <w:right w:val="none" w:sz="0" w:space="0" w:color="auto"/>
      </w:divBdr>
      <w:divsChild>
        <w:div w:id="1309743409">
          <w:marLeft w:val="0"/>
          <w:marRight w:val="0"/>
          <w:marTop w:val="0"/>
          <w:marBottom w:val="0"/>
          <w:divBdr>
            <w:top w:val="none" w:sz="0" w:space="0" w:color="auto"/>
            <w:left w:val="none" w:sz="0" w:space="0" w:color="auto"/>
            <w:bottom w:val="none" w:sz="0" w:space="0" w:color="auto"/>
            <w:right w:val="none" w:sz="0" w:space="0" w:color="auto"/>
          </w:divBdr>
          <w:divsChild>
            <w:div w:id="17691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2917">
      <w:bodyDiv w:val="1"/>
      <w:marLeft w:val="0"/>
      <w:marRight w:val="0"/>
      <w:marTop w:val="0"/>
      <w:marBottom w:val="0"/>
      <w:divBdr>
        <w:top w:val="none" w:sz="0" w:space="0" w:color="auto"/>
        <w:left w:val="none" w:sz="0" w:space="0" w:color="auto"/>
        <w:bottom w:val="none" w:sz="0" w:space="0" w:color="auto"/>
        <w:right w:val="none" w:sz="0" w:space="0" w:color="auto"/>
      </w:divBdr>
    </w:div>
    <w:div w:id="2136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fda.gov/media/121202/download" TargetMode="External"/><Relationship Id="rId2" Type="http://schemas.openxmlformats.org/officeDocument/2006/relationships/styles" Target="styles.xml"/><Relationship Id="rId16" Type="http://schemas.openxmlformats.org/officeDocument/2006/relationships/hyperlink" Target="https://doi.org/10.1016/j.fgb.2017.06.00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38</Pages>
  <Words>5910</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12</cp:revision>
  <dcterms:created xsi:type="dcterms:W3CDTF">2025-07-10T12:02:00Z</dcterms:created>
  <dcterms:modified xsi:type="dcterms:W3CDTF">2025-08-10T05:44:00Z</dcterms:modified>
</cp:coreProperties>
</file>