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8DFFA" w14:textId="77777777" w:rsidR="00E523C7" w:rsidRPr="00621DA9" w:rsidRDefault="00E523C7" w:rsidP="00E523C7">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14:paraId="50756830" w14:textId="77777777" w:rsidR="00E523C7" w:rsidRDefault="00E523C7" w:rsidP="00E523C7">
      <w:pPr>
        <w:spacing w:after="0" w:line="360" w:lineRule="auto"/>
        <w:jc w:val="center"/>
        <w:rPr>
          <w:rFonts w:ascii="Times New Roman" w:hAnsi="Times New Roman" w:cs="Times New Roman"/>
          <w:b/>
          <w:sz w:val="28"/>
          <w:szCs w:val="28"/>
        </w:rPr>
      </w:pPr>
    </w:p>
    <w:p w14:paraId="432AE8B5" w14:textId="77777777" w:rsidR="00E523C7" w:rsidRPr="006A21FC" w:rsidRDefault="00E523C7" w:rsidP="00E523C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602E377A" w14:textId="77777777" w:rsidR="00E523C7" w:rsidRDefault="00E523C7" w:rsidP="00E523C7">
      <w:pPr>
        <w:spacing w:after="0" w:line="360" w:lineRule="auto"/>
        <w:jc w:val="center"/>
        <w:rPr>
          <w:rFonts w:ascii="Times New Roman" w:hAnsi="Times New Roman" w:cs="Times New Roman"/>
          <w:b/>
          <w:sz w:val="28"/>
          <w:szCs w:val="28"/>
        </w:rPr>
      </w:pPr>
    </w:p>
    <w:p w14:paraId="68132759" w14:textId="77777777" w:rsidR="00E523C7" w:rsidRDefault="00E523C7" w:rsidP="00E523C7">
      <w:pPr>
        <w:spacing w:line="240" w:lineRule="auto"/>
        <w:jc w:val="center"/>
        <w:rPr>
          <w:rFonts w:ascii="Arial Black" w:hAnsi="Arial Black" w:cs="Times New Roman"/>
          <w:sz w:val="28"/>
          <w:szCs w:val="28"/>
        </w:rPr>
      </w:pPr>
      <w:r>
        <w:rPr>
          <w:rFonts w:ascii="Arial Black" w:hAnsi="Arial Black" w:cs="Times New Roman"/>
          <w:sz w:val="28"/>
          <w:szCs w:val="28"/>
        </w:rPr>
        <w:t>MUSA KAOSAR AJOKE</w:t>
      </w:r>
    </w:p>
    <w:p w14:paraId="41D96DFA" w14:textId="77777777" w:rsidR="00E523C7" w:rsidRDefault="00E523C7" w:rsidP="00E523C7">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589</w:t>
      </w:r>
    </w:p>
    <w:p w14:paraId="4D5CF832" w14:textId="77777777" w:rsidR="00E523C7" w:rsidRPr="006A21FC" w:rsidRDefault="00E523C7" w:rsidP="00E523C7">
      <w:pPr>
        <w:spacing w:line="240" w:lineRule="auto"/>
        <w:jc w:val="center"/>
        <w:rPr>
          <w:rFonts w:ascii="Arial Black" w:hAnsi="Arial Black" w:cs="Times New Roman"/>
          <w:sz w:val="28"/>
          <w:szCs w:val="28"/>
        </w:rPr>
      </w:pPr>
    </w:p>
    <w:p w14:paraId="02AA70FB" w14:textId="77777777" w:rsidR="00E523C7" w:rsidRDefault="00E523C7" w:rsidP="00E523C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FBD065A" w14:textId="77777777" w:rsidR="00E523C7" w:rsidRDefault="00E523C7" w:rsidP="00E523C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1A99B3D" w14:textId="77777777" w:rsidR="00E523C7" w:rsidRDefault="00E523C7" w:rsidP="00E523C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2B55D43" w14:textId="77777777" w:rsidR="00E523C7" w:rsidRDefault="00E523C7" w:rsidP="00E523C7">
      <w:pPr>
        <w:spacing w:after="0" w:line="360" w:lineRule="auto"/>
        <w:jc w:val="center"/>
        <w:rPr>
          <w:rFonts w:ascii="Times New Roman" w:hAnsi="Times New Roman" w:cs="Times New Roman"/>
          <w:b/>
          <w:sz w:val="28"/>
          <w:szCs w:val="28"/>
        </w:rPr>
      </w:pPr>
    </w:p>
    <w:p w14:paraId="52C78E9B" w14:textId="77777777" w:rsidR="00E523C7" w:rsidRDefault="00E523C7" w:rsidP="00E523C7">
      <w:pPr>
        <w:spacing w:after="0" w:line="360" w:lineRule="auto"/>
        <w:jc w:val="right"/>
        <w:rPr>
          <w:rFonts w:ascii="Times New Roman" w:hAnsi="Times New Roman" w:cs="Times New Roman"/>
          <w:b/>
          <w:bCs/>
          <w:sz w:val="28"/>
          <w:szCs w:val="28"/>
        </w:rPr>
      </w:pPr>
    </w:p>
    <w:p w14:paraId="4CB6C426" w14:textId="77777777" w:rsidR="00E523C7" w:rsidRDefault="00E523C7" w:rsidP="00E523C7">
      <w:pPr>
        <w:spacing w:after="0" w:line="360" w:lineRule="auto"/>
        <w:jc w:val="right"/>
        <w:rPr>
          <w:rFonts w:ascii="Times New Roman" w:hAnsi="Times New Roman" w:cs="Times New Roman"/>
          <w:b/>
          <w:bCs/>
          <w:sz w:val="28"/>
          <w:szCs w:val="28"/>
        </w:rPr>
      </w:pPr>
    </w:p>
    <w:p w14:paraId="1A8FB89A" w14:textId="77777777" w:rsidR="00E523C7" w:rsidRDefault="00E523C7" w:rsidP="00E523C7">
      <w:pPr>
        <w:spacing w:after="0" w:line="360" w:lineRule="auto"/>
        <w:jc w:val="right"/>
        <w:rPr>
          <w:rFonts w:ascii="Times New Roman" w:hAnsi="Times New Roman" w:cs="Times New Roman"/>
          <w:b/>
          <w:bCs/>
          <w:sz w:val="28"/>
          <w:szCs w:val="28"/>
        </w:rPr>
      </w:pPr>
    </w:p>
    <w:p w14:paraId="16A9BAC6" w14:textId="77777777" w:rsidR="00E523C7" w:rsidRDefault="00E523C7" w:rsidP="00E523C7">
      <w:pPr>
        <w:spacing w:after="0" w:line="360" w:lineRule="auto"/>
        <w:jc w:val="right"/>
        <w:rPr>
          <w:rFonts w:ascii="Times New Roman" w:hAnsi="Times New Roman" w:cs="Times New Roman"/>
          <w:b/>
          <w:bCs/>
          <w:sz w:val="28"/>
          <w:szCs w:val="28"/>
        </w:rPr>
      </w:pPr>
    </w:p>
    <w:p w14:paraId="086EF4B5" w14:textId="77777777" w:rsidR="00E523C7" w:rsidRDefault="00E523C7" w:rsidP="00E523C7">
      <w:pPr>
        <w:spacing w:after="0" w:line="360" w:lineRule="auto"/>
        <w:jc w:val="right"/>
        <w:rPr>
          <w:rFonts w:ascii="Times New Roman" w:hAnsi="Times New Roman" w:cs="Times New Roman"/>
          <w:b/>
          <w:bCs/>
          <w:sz w:val="28"/>
          <w:szCs w:val="28"/>
        </w:rPr>
      </w:pPr>
    </w:p>
    <w:p w14:paraId="23AE6EC4" w14:textId="77777777" w:rsidR="00E523C7" w:rsidRDefault="00E523C7" w:rsidP="00E523C7">
      <w:pPr>
        <w:spacing w:after="0" w:line="360" w:lineRule="auto"/>
        <w:jc w:val="right"/>
        <w:rPr>
          <w:rFonts w:ascii="Times New Roman" w:hAnsi="Times New Roman" w:cs="Times New Roman"/>
          <w:b/>
          <w:bCs/>
          <w:sz w:val="28"/>
          <w:szCs w:val="28"/>
        </w:rPr>
      </w:pPr>
    </w:p>
    <w:p w14:paraId="75DC12B7" w14:textId="77777777" w:rsidR="00E523C7" w:rsidRDefault="00E523C7" w:rsidP="00E523C7">
      <w:pPr>
        <w:spacing w:after="0" w:line="360" w:lineRule="auto"/>
        <w:jc w:val="right"/>
        <w:rPr>
          <w:rFonts w:ascii="Times New Roman" w:hAnsi="Times New Roman" w:cs="Times New Roman"/>
          <w:b/>
          <w:bCs/>
          <w:sz w:val="28"/>
          <w:szCs w:val="28"/>
        </w:rPr>
      </w:pPr>
    </w:p>
    <w:p w14:paraId="16C6FB8E" w14:textId="77777777" w:rsidR="00E523C7" w:rsidRDefault="00E523C7" w:rsidP="00E523C7">
      <w:pPr>
        <w:spacing w:after="0" w:line="360" w:lineRule="auto"/>
        <w:jc w:val="right"/>
        <w:rPr>
          <w:rFonts w:ascii="Times New Roman" w:hAnsi="Times New Roman" w:cs="Times New Roman"/>
          <w:b/>
          <w:bCs/>
          <w:sz w:val="28"/>
          <w:szCs w:val="28"/>
        </w:rPr>
      </w:pPr>
    </w:p>
    <w:p w14:paraId="6AAD40D6" w14:textId="77777777" w:rsidR="00E523C7" w:rsidRDefault="00E523C7" w:rsidP="00E523C7">
      <w:pPr>
        <w:spacing w:after="0" w:line="360" w:lineRule="auto"/>
        <w:jc w:val="right"/>
        <w:rPr>
          <w:rFonts w:ascii="Times New Roman" w:hAnsi="Times New Roman" w:cs="Times New Roman"/>
          <w:b/>
          <w:bCs/>
          <w:sz w:val="28"/>
          <w:szCs w:val="28"/>
        </w:rPr>
      </w:pPr>
    </w:p>
    <w:p w14:paraId="139D522C" w14:textId="77777777" w:rsidR="00E523C7" w:rsidRDefault="00E523C7" w:rsidP="00E523C7">
      <w:pPr>
        <w:spacing w:after="0" w:line="360" w:lineRule="auto"/>
        <w:jc w:val="right"/>
        <w:rPr>
          <w:rFonts w:ascii="Times New Roman" w:hAnsi="Times New Roman" w:cs="Times New Roman"/>
          <w:b/>
          <w:bCs/>
          <w:sz w:val="28"/>
          <w:szCs w:val="28"/>
        </w:rPr>
      </w:pPr>
    </w:p>
    <w:p w14:paraId="15662233" w14:textId="77777777" w:rsidR="00E523C7" w:rsidRPr="006A21FC" w:rsidRDefault="00E523C7" w:rsidP="00E523C7">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A3ACB8F" w14:textId="77777777" w:rsidR="00E523C7" w:rsidRDefault="00E523C7" w:rsidP="00E523C7">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08ED90E4" wp14:editId="1CDC3473">
            <wp:simplePos x="0" y="0"/>
            <wp:positionH relativeFrom="column">
              <wp:posOffset>-645160</wp:posOffset>
            </wp:positionH>
            <wp:positionV relativeFrom="paragraph">
              <wp:posOffset>-875030</wp:posOffset>
            </wp:positionV>
            <wp:extent cx="7120255" cy="7096125"/>
            <wp:effectExtent l="0" t="0" r="444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 cert.jpg"/>
                    <pic:cNvPicPr/>
                  </pic:nvPicPr>
                  <pic:blipFill rotWithShape="1">
                    <a:blip r:embed="rId8">
                      <a:extLst>
                        <a:ext uri="{28A0092B-C50C-407E-A947-70E740481C1C}">
                          <a14:useLocalDpi xmlns:a14="http://schemas.microsoft.com/office/drawing/2010/main" val="0"/>
                        </a:ext>
                      </a:extLst>
                    </a:blip>
                    <a:srcRect t="6285" b="22275"/>
                    <a:stretch/>
                  </pic:blipFill>
                  <pic:spPr bwMode="auto">
                    <a:xfrm>
                      <a:off x="0" y="0"/>
                      <a:ext cx="7120255" cy="709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FD5F0" w14:textId="77777777" w:rsidR="00E523C7" w:rsidRDefault="00E523C7" w:rsidP="00E523C7">
      <w:pPr>
        <w:spacing w:line="480" w:lineRule="auto"/>
        <w:rPr>
          <w:rFonts w:ascii="Times New Roman" w:hAnsi="Times New Roman" w:cs="Times New Roman"/>
          <w:b/>
          <w:bCs/>
          <w:sz w:val="28"/>
          <w:szCs w:val="28"/>
        </w:rPr>
      </w:pPr>
    </w:p>
    <w:p w14:paraId="6ADF195F" w14:textId="77777777" w:rsidR="00E523C7" w:rsidRDefault="00E523C7" w:rsidP="00E523C7">
      <w:pPr>
        <w:spacing w:line="480" w:lineRule="auto"/>
        <w:rPr>
          <w:rFonts w:ascii="Times New Roman" w:hAnsi="Times New Roman" w:cs="Times New Roman"/>
          <w:b/>
          <w:bCs/>
          <w:sz w:val="28"/>
          <w:szCs w:val="28"/>
        </w:rPr>
      </w:pPr>
    </w:p>
    <w:p w14:paraId="0BDD52C4" w14:textId="77777777" w:rsidR="00E523C7" w:rsidRDefault="00E523C7" w:rsidP="00E523C7">
      <w:pPr>
        <w:spacing w:line="480" w:lineRule="auto"/>
        <w:rPr>
          <w:rFonts w:ascii="Times New Roman" w:hAnsi="Times New Roman" w:cs="Times New Roman"/>
          <w:b/>
          <w:bCs/>
          <w:sz w:val="28"/>
          <w:szCs w:val="28"/>
        </w:rPr>
      </w:pPr>
    </w:p>
    <w:p w14:paraId="44BCE96B" w14:textId="77777777" w:rsidR="00E523C7" w:rsidRDefault="00E523C7" w:rsidP="00E523C7">
      <w:pPr>
        <w:spacing w:line="480" w:lineRule="auto"/>
        <w:rPr>
          <w:rFonts w:ascii="Times New Roman" w:hAnsi="Times New Roman" w:cs="Times New Roman"/>
          <w:b/>
          <w:bCs/>
          <w:sz w:val="28"/>
          <w:szCs w:val="28"/>
        </w:rPr>
      </w:pPr>
    </w:p>
    <w:p w14:paraId="71A46926" w14:textId="77777777" w:rsidR="00E523C7" w:rsidRDefault="00E523C7" w:rsidP="00E523C7">
      <w:pPr>
        <w:spacing w:line="480" w:lineRule="auto"/>
        <w:jc w:val="center"/>
        <w:rPr>
          <w:rFonts w:ascii="Times New Roman" w:hAnsi="Times New Roman" w:cs="Times New Roman"/>
          <w:b/>
          <w:bCs/>
          <w:sz w:val="28"/>
          <w:szCs w:val="28"/>
        </w:rPr>
      </w:pPr>
    </w:p>
    <w:p w14:paraId="1E537AE6" w14:textId="77777777" w:rsidR="00E523C7" w:rsidRDefault="00E523C7" w:rsidP="00E523C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46D4ED67" w14:textId="77777777" w:rsidR="00E523C7" w:rsidRDefault="00E523C7" w:rsidP="00E523C7">
      <w:pPr>
        <w:spacing w:line="480" w:lineRule="auto"/>
        <w:jc w:val="center"/>
        <w:rPr>
          <w:rFonts w:ascii="Times New Roman" w:hAnsi="Times New Roman" w:cs="Times New Roman"/>
          <w:sz w:val="28"/>
          <w:szCs w:val="28"/>
        </w:rPr>
      </w:pPr>
    </w:p>
    <w:p w14:paraId="039E98E8" w14:textId="77777777" w:rsidR="00E523C7" w:rsidRPr="00B12BF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Almighty Allah for giving me sound health throughout my course and to my late mother, ALHAJA RALIAT MUSA (of blessed memory) May Almighty Allah grant her </w:t>
      </w:r>
      <w:proofErr w:type="spellStart"/>
      <w:r>
        <w:rPr>
          <w:rFonts w:ascii="Times New Roman" w:hAnsi="Times New Roman" w:cs="Times New Roman"/>
          <w:sz w:val="28"/>
          <w:szCs w:val="28"/>
        </w:rPr>
        <w:t>Aljana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Fridaous</w:t>
      </w:r>
      <w:proofErr w:type="spellEnd"/>
      <w:r>
        <w:rPr>
          <w:rFonts w:ascii="Times New Roman" w:hAnsi="Times New Roman" w:cs="Times New Roman"/>
          <w:sz w:val="28"/>
          <w:szCs w:val="28"/>
        </w:rPr>
        <w:t xml:space="preserve"> (Amin)</w:t>
      </w:r>
    </w:p>
    <w:p w14:paraId="765CBD77" w14:textId="77777777" w:rsidR="00E523C7" w:rsidRDefault="00E523C7" w:rsidP="00E523C7">
      <w:pPr>
        <w:spacing w:line="480" w:lineRule="auto"/>
        <w:jc w:val="both"/>
        <w:rPr>
          <w:rFonts w:ascii="Times New Roman" w:hAnsi="Times New Roman" w:cs="Times New Roman"/>
          <w:sz w:val="28"/>
          <w:szCs w:val="28"/>
        </w:rPr>
      </w:pPr>
    </w:p>
    <w:p w14:paraId="5EDD7F7B" w14:textId="77777777" w:rsidR="00E523C7" w:rsidRDefault="00E523C7" w:rsidP="00E523C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2707842" w14:textId="77777777" w:rsidR="00E523C7" w:rsidRDefault="00E523C7" w:rsidP="00E523C7">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FC26F5D" w14:textId="77777777" w:rsidR="00E523C7" w:rsidRDefault="00E523C7" w:rsidP="00E523C7">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Alhamdullilah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Robillihalain</w:t>
      </w:r>
      <w:proofErr w:type="spellEnd"/>
      <w:r>
        <w:rPr>
          <w:rFonts w:ascii="Times New Roman" w:hAnsi="Times New Roman" w:cs="Times New Roman"/>
          <w:sz w:val="28"/>
          <w:szCs w:val="28"/>
        </w:rPr>
        <w:t xml:space="preserve">. All glory, all honors and adoration goes to the mighty </w:t>
      </w:r>
      <w:proofErr w:type="gramStart"/>
      <w:r>
        <w:rPr>
          <w:rFonts w:ascii="Times New Roman" w:hAnsi="Times New Roman" w:cs="Times New Roman"/>
          <w:sz w:val="28"/>
          <w:szCs w:val="28"/>
        </w:rPr>
        <w:t>one(</w:t>
      </w:r>
      <w:proofErr w:type="gramEnd"/>
      <w:r>
        <w:rPr>
          <w:rFonts w:ascii="Times New Roman" w:hAnsi="Times New Roman" w:cs="Times New Roman"/>
          <w:sz w:val="28"/>
          <w:szCs w:val="28"/>
        </w:rPr>
        <w:t>Allah) for giving me the rare privilege to complete this work. It is very important to appreciate the efforts of my Dad (ALH. CHIEF, SULAIMON MUSA)</w:t>
      </w:r>
      <w:proofErr w:type="gramStart"/>
      <w:r>
        <w:rPr>
          <w:rFonts w:ascii="Times New Roman" w:hAnsi="Times New Roman" w:cs="Times New Roman"/>
          <w:sz w:val="28"/>
          <w:szCs w:val="28"/>
        </w:rPr>
        <w:t>,  who</w:t>
      </w:r>
      <w:proofErr w:type="gramEnd"/>
      <w:r>
        <w:rPr>
          <w:rFonts w:ascii="Times New Roman" w:hAnsi="Times New Roman" w:cs="Times New Roman"/>
          <w:sz w:val="28"/>
          <w:szCs w:val="28"/>
        </w:rPr>
        <w:t xml:space="preserve"> has contributed greatly to my success in the course of my study both financially and morally. I pray that May Allah continue to guide, protect, and shower him unending blessings (Amin). I will like to appreciate my amiable and concierge supervisor MR. OLARONGBE, G.O whose suggestion and supervision has led to the success of this project, May Almighty Allah reward him abundantly. I would also like to appreciate my siblings, efforts, their moral support and words of encouragement goes a long way for me, </w:t>
      </w:r>
      <w:proofErr w:type="gramStart"/>
      <w:r>
        <w:rPr>
          <w:rFonts w:ascii="Times New Roman" w:hAnsi="Times New Roman" w:cs="Times New Roman"/>
          <w:sz w:val="28"/>
          <w:szCs w:val="28"/>
        </w:rPr>
        <w:t>may</w:t>
      </w:r>
      <w:proofErr w:type="gramEnd"/>
      <w:r>
        <w:rPr>
          <w:rFonts w:ascii="Times New Roman" w:hAnsi="Times New Roman" w:cs="Times New Roman"/>
          <w:sz w:val="28"/>
          <w:szCs w:val="28"/>
        </w:rPr>
        <w:t xml:space="preserve"> Allah help me to reward them. </w:t>
      </w:r>
      <w:proofErr w:type="gramStart"/>
      <w:r>
        <w:rPr>
          <w:rFonts w:ascii="Times New Roman" w:hAnsi="Times New Roman" w:cs="Times New Roman"/>
          <w:sz w:val="28"/>
          <w:szCs w:val="28"/>
        </w:rPr>
        <w:t>(Amin).</w:t>
      </w:r>
      <w:proofErr w:type="gramEnd"/>
      <w:r>
        <w:rPr>
          <w:rFonts w:ascii="Times New Roman" w:hAnsi="Times New Roman" w:cs="Times New Roman"/>
          <w:sz w:val="28"/>
          <w:szCs w:val="28"/>
        </w:rPr>
        <w:t xml:space="preserve"> Furthermore, my appreciation goes to my very good </w:t>
      </w:r>
      <w:proofErr w:type="gramStart"/>
      <w:r>
        <w:rPr>
          <w:rFonts w:ascii="Times New Roman" w:hAnsi="Times New Roman" w:cs="Times New Roman"/>
          <w:sz w:val="28"/>
          <w:szCs w:val="28"/>
        </w:rPr>
        <w:t>friends who has</w:t>
      </w:r>
      <w:proofErr w:type="gramEnd"/>
      <w:r>
        <w:rPr>
          <w:rFonts w:ascii="Times New Roman" w:hAnsi="Times New Roman" w:cs="Times New Roman"/>
          <w:sz w:val="28"/>
          <w:szCs w:val="28"/>
        </w:rPr>
        <w:t xml:space="preserve"> always have my back during this phase. AREMU SALAWA OLAIDE, MALIK ZAINAB OYINDAMOLA. I love you both. My appreciation goes to the entire lecturers and staffs of the Department of Science Laboratory Technology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to my colleagues for a good relationship and cooperation from the beginning of my program till the end. May God be with you all in all the ramifications of </w:t>
      </w:r>
      <w:proofErr w:type="gramStart"/>
      <w:r>
        <w:rPr>
          <w:rFonts w:ascii="Times New Roman" w:hAnsi="Times New Roman" w:cs="Times New Roman"/>
          <w:sz w:val="28"/>
          <w:szCs w:val="28"/>
        </w:rPr>
        <w:t>life.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Amin.</w:t>
      </w:r>
      <w:proofErr w:type="gramEnd"/>
    </w:p>
    <w:p w14:paraId="4137387F" w14:textId="77777777" w:rsidR="00E523C7" w:rsidRDefault="00E523C7" w:rsidP="00E523C7">
      <w:pPr>
        <w:tabs>
          <w:tab w:val="left" w:pos="3340"/>
        </w:tabs>
        <w:spacing w:line="360" w:lineRule="auto"/>
        <w:rPr>
          <w:rFonts w:ascii="Times New Roman" w:hAnsi="Times New Roman" w:cs="Times New Roman"/>
          <w:b/>
          <w:bCs/>
          <w:sz w:val="28"/>
          <w:szCs w:val="28"/>
        </w:rPr>
      </w:pPr>
      <w:r>
        <w:rPr>
          <w:rFonts w:ascii="Times New Roman" w:hAnsi="Times New Roman" w:cs="Times New Roman"/>
          <w:sz w:val="28"/>
          <w:szCs w:val="28"/>
        </w:rPr>
        <w:t>]</w:t>
      </w:r>
    </w:p>
    <w:p w14:paraId="4B62C3C0" w14:textId="77777777" w:rsidR="00E523C7" w:rsidRDefault="00E523C7" w:rsidP="00E523C7">
      <w:pPr>
        <w:spacing w:line="360" w:lineRule="auto"/>
        <w:jc w:val="center"/>
        <w:rPr>
          <w:rFonts w:ascii="Times New Roman" w:hAnsi="Times New Roman" w:cs="Times New Roman"/>
          <w:b/>
          <w:bCs/>
          <w:sz w:val="28"/>
          <w:szCs w:val="28"/>
        </w:rPr>
      </w:pPr>
    </w:p>
    <w:p w14:paraId="26FC7AA3" w14:textId="77777777" w:rsidR="00E523C7" w:rsidRDefault="00E523C7" w:rsidP="00E523C7">
      <w:pPr>
        <w:spacing w:line="360" w:lineRule="auto"/>
        <w:jc w:val="center"/>
        <w:rPr>
          <w:rFonts w:ascii="Times New Roman" w:hAnsi="Times New Roman" w:cs="Times New Roman"/>
          <w:b/>
          <w:bCs/>
          <w:sz w:val="28"/>
          <w:szCs w:val="28"/>
        </w:rPr>
      </w:pPr>
    </w:p>
    <w:p w14:paraId="7E7F47AF" w14:textId="77777777" w:rsidR="00E523C7" w:rsidRDefault="00E523C7" w:rsidP="00E523C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3EE05D3"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D62563C"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1092E28A"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6E097816"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7C50C76B"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41FF5592"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7B82AC0F"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F0FBC79"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9BE65EA" w14:textId="77777777" w:rsidR="00E523C7" w:rsidRDefault="00E523C7" w:rsidP="00E523C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858BACC"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1F02D018"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49F5F419"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7BA23294"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187B4D42"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4D4F8942" w14:textId="77777777" w:rsidR="00E523C7" w:rsidRDefault="00E523C7" w:rsidP="00E523C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7F519039"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716E672"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4939A7A"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D9A05EC"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8E21323"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24050ED7"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711721DF"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F7B6B10"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5CC712D0"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C2992C6"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1F08E45"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48ECCD3"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55499BD"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99AAE65"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E211E27"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278E8042"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0DB1F66"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1150411B"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4EDE735D" w14:textId="77777777" w:rsidR="00E523C7" w:rsidRDefault="00E523C7" w:rsidP="00E523C7">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37                      </w:t>
      </w:r>
    </w:p>
    <w:p w14:paraId="46FC865C"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r>
      <w:r>
        <w:rPr>
          <w:rFonts w:ascii="Times New Roman" w:hAnsi="Times New Roman" w:cs="Times New Roman"/>
          <w:sz w:val="28"/>
          <w:szCs w:val="28"/>
        </w:rPr>
        <w:tab/>
        <w:t>37</w:t>
      </w:r>
    </w:p>
    <w:p w14:paraId="60BB4D83"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r>
      <w:r>
        <w:rPr>
          <w:rFonts w:ascii="Times New Roman" w:hAnsi="Times New Roman" w:cs="Times New Roman"/>
          <w:sz w:val="28"/>
          <w:szCs w:val="28"/>
        </w:rPr>
        <w:tab/>
        <w:t>38</w:t>
      </w:r>
    </w:p>
    <w:p w14:paraId="0C998F7B"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7A2222F1" w14:textId="77777777" w:rsidR="00E523C7" w:rsidRDefault="00E523C7" w:rsidP="00E523C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AA37FC6"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698AF3" w14:textId="01A8D556"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150452B6"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1E5E010"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4AD1BEBF" w14:textId="77777777" w:rsidR="00E523C7" w:rsidRDefault="00E523C7" w:rsidP="00E523C7">
      <w:pPr>
        <w:tabs>
          <w:tab w:val="left" w:pos="3780"/>
        </w:tabs>
        <w:spacing w:line="480" w:lineRule="auto"/>
        <w:jc w:val="both"/>
        <w:rPr>
          <w:rFonts w:ascii="Times New Roman" w:hAnsi="Times New Roman" w:cs="Times New Roman"/>
          <w:sz w:val="28"/>
          <w:szCs w:val="28"/>
        </w:rPr>
      </w:pPr>
    </w:p>
    <w:p w14:paraId="6B8F85AB" w14:textId="77777777" w:rsidR="00E523C7" w:rsidRDefault="00E523C7" w:rsidP="00E523C7">
      <w:pPr>
        <w:spacing w:line="480" w:lineRule="auto"/>
        <w:jc w:val="both"/>
        <w:rPr>
          <w:rFonts w:ascii="Times New Roman" w:hAnsi="Times New Roman" w:cs="Times New Roman"/>
          <w:sz w:val="28"/>
          <w:szCs w:val="28"/>
        </w:rPr>
      </w:pPr>
    </w:p>
    <w:p w14:paraId="7C07DA9E" w14:textId="77777777" w:rsidR="00E523C7" w:rsidRDefault="00E523C7" w:rsidP="00E523C7">
      <w:pPr>
        <w:spacing w:line="480" w:lineRule="auto"/>
        <w:jc w:val="both"/>
        <w:rPr>
          <w:rFonts w:ascii="Times New Roman" w:hAnsi="Times New Roman" w:cs="Times New Roman"/>
          <w:sz w:val="28"/>
          <w:szCs w:val="28"/>
        </w:rPr>
      </w:pPr>
    </w:p>
    <w:p w14:paraId="450CFAA4" w14:textId="77777777" w:rsidR="00E523C7" w:rsidRDefault="00E523C7" w:rsidP="00E523C7">
      <w:pPr>
        <w:spacing w:line="480" w:lineRule="auto"/>
        <w:jc w:val="center"/>
        <w:rPr>
          <w:rFonts w:ascii="Times New Roman" w:hAnsi="Times New Roman" w:cs="Times New Roman"/>
          <w:b/>
          <w:bCs/>
          <w:sz w:val="28"/>
          <w:szCs w:val="28"/>
        </w:rPr>
      </w:pPr>
    </w:p>
    <w:p w14:paraId="1DF83A7A" w14:textId="77777777" w:rsidR="00E523C7" w:rsidRDefault="00E523C7" w:rsidP="00E523C7">
      <w:pPr>
        <w:spacing w:line="480" w:lineRule="auto"/>
        <w:jc w:val="center"/>
        <w:rPr>
          <w:rFonts w:ascii="Times New Roman" w:hAnsi="Times New Roman" w:cs="Times New Roman"/>
          <w:b/>
          <w:bCs/>
          <w:sz w:val="28"/>
          <w:szCs w:val="28"/>
        </w:rPr>
      </w:pPr>
    </w:p>
    <w:p w14:paraId="56E8118B" w14:textId="77777777" w:rsidR="00E523C7" w:rsidRDefault="00E523C7" w:rsidP="00E523C7">
      <w:pPr>
        <w:spacing w:line="480" w:lineRule="auto"/>
        <w:jc w:val="center"/>
        <w:rPr>
          <w:rFonts w:ascii="Times New Roman" w:hAnsi="Times New Roman" w:cs="Times New Roman"/>
          <w:b/>
          <w:bCs/>
          <w:sz w:val="28"/>
          <w:szCs w:val="28"/>
        </w:rPr>
      </w:pPr>
    </w:p>
    <w:p w14:paraId="1FF5D651" w14:textId="77777777" w:rsidR="00E523C7" w:rsidRDefault="00E523C7" w:rsidP="00E523C7">
      <w:pPr>
        <w:spacing w:line="480" w:lineRule="auto"/>
        <w:jc w:val="center"/>
        <w:rPr>
          <w:rFonts w:ascii="Times New Roman" w:hAnsi="Times New Roman" w:cs="Times New Roman"/>
          <w:b/>
          <w:bCs/>
          <w:sz w:val="28"/>
          <w:szCs w:val="28"/>
        </w:rPr>
      </w:pPr>
    </w:p>
    <w:p w14:paraId="352BAC94" w14:textId="77777777" w:rsidR="00E523C7" w:rsidRDefault="00E523C7" w:rsidP="00E523C7">
      <w:pPr>
        <w:spacing w:line="480" w:lineRule="auto"/>
        <w:jc w:val="center"/>
        <w:rPr>
          <w:rFonts w:ascii="Times New Roman" w:hAnsi="Times New Roman" w:cs="Times New Roman"/>
          <w:b/>
          <w:bCs/>
          <w:sz w:val="28"/>
          <w:szCs w:val="28"/>
        </w:rPr>
      </w:pPr>
    </w:p>
    <w:p w14:paraId="545AD602" w14:textId="77777777" w:rsidR="00E523C7" w:rsidRDefault="00E523C7" w:rsidP="00E523C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BD0F93F"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AF6BCA7"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46B0398B" w14:textId="77777777" w:rsidR="00E523C7" w:rsidRDefault="00E523C7" w:rsidP="00E523C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37                      </w:t>
      </w:r>
    </w:p>
    <w:p w14:paraId="719C7265"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37</w:t>
      </w:r>
    </w:p>
    <w:p w14:paraId="19DD71EC"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38</w:t>
      </w:r>
    </w:p>
    <w:p w14:paraId="5F682D7E"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3AA634E8" w14:textId="77777777" w:rsidR="00E523C7" w:rsidRDefault="00E523C7" w:rsidP="00E523C7">
      <w:pPr>
        <w:spacing w:line="480" w:lineRule="auto"/>
        <w:jc w:val="both"/>
        <w:rPr>
          <w:rFonts w:ascii="Times New Roman" w:hAnsi="Times New Roman" w:cs="Times New Roman"/>
          <w:sz w:val="28"/>
          <w:szCs w:val="28"/>
        </w:rPr>
      </w:pPr>
    </w:p>
    <w:p w14:paraId="154884F8"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A21EC06" w14:textId="77777777" w:rsidR="00E523C7" w:rsidRDefault="00E523C7" w:rsidP="00E523C7">
      <w:pPr>
        <w:spacing w:line="480" w:lineRule="auto"/>
        <w:jc w:val="both"/>
        <w:rPr>
          <w:rFonts w:ascii="Times New Roman" w:hAnsi="Times New Roman" w:cs="Times New Roman"/>
          <w:sz w:val="28"/>
          <w:szCs w:val="28"/>
        </w:rPr>
      </w:pPr>
    </w:p>
    <w:p w14:paraId="22685210" w14:textId="77777777" w:rsidR="00E523C7" w:rsidRDefault="00E523C7" w:rsidP="00E523C7">
      <w:pPr>
        <w:spacing w:line="480" w:lineRule="auto"/>
        <w:jc w:val="both"/>
        <w:rPr>
          <w:rFonts w:ascii="Times New Roman" w:hAnsi="Times New Roman" w:cs="Times New Roman"/>
          <w:sz w:val="28"/>
          <w:szCs w:val="28"/>
        </w:rPr>
      </w:pPr>
    </w:p>
    <w:p w14:paraId="1720E5EA" w14:textId="77777777" w:rsidR="00E523C7" w:rsidRDefault="00E523C7" w:rsidP="00E523C7">
      <w:pPr>
        <w:spacing w:line="480" w:lineRule="auto"/>
        <w:jc w:val="both"/>
        <w:rPr>
          <w:rFonts w:ascii="Times New Roman" w:hAnsi="Times New Roman" w:cs="Times New Roman"/>
          <w:sz w:val="28"/>
          <w:szCs w:val="28"/>
        </w:rPr>
      </w:pPr>
    </w:p>
    <w:p w14:paraId="6420FB07" w14:textId="77777777" w:rsidR="00E523C7" w:rsidRDefault="00E523C7" w:rsidP="00E523C7">
      <w:pPr>
        <w:spacing w:line="480" w:lineRule="auto"/>
        <w:jc w:val="center"/>
        <w:rPr>
          <w:rFonts w:ascii="Times New Roman" w:hAnsi="Times New Roman" w:cs="Times New Roman"/>
          <w:b/>
          <w:bCs/>
          <w:sz w:val="28"/>
          <w:szCs w:val="28"/>
        </w:rPr>
      </w:pPr>
    </w:p>
    <w:p w14:paraId="604B1E26" w14:textId="77777777" w:rsidR="00E523C7" w:rsidRDefault="00E523C7" w:rsidP="00E523C7">
      <w:pPr>
        <w:spacing w:line="480" w:lineRule="auto"/>
        <w:jc w:val="center"/>
        <w:rPr>
          <w:rFonts w:ascii="Times New Roman" w:hAnsi="Times New Roman" w:cs="Times New Roman"/>
          <w:b/>
          <w:bCs/>
          <w:sz w:val="28"/>
          <w:szCs w:val="28"/>
        </w:rPr>
      </w:pPr>
    </w:p>
    <w:p w14:paraId="3CD07325" w14:textId="77777777" w:rsidR="00E523C7" w:rsidRDefault="00E523C7" w:rsidP="00E523C7">
      <w:pPr>
        <w:spacing w:line="480" w:lineRule="auto"/>
        <w:jc w:val="center"/>
        <w:rPr>
          <w:rFonts w:ascii="Times New Roman" w:hAnsi="Times New Roman" w:cs="Times New Roman"/>
          <w:b/>
          <w:bCs/>
          <w:sz w:val="28"/>
          <w:szCs w:val="28"/>
        </w:rPr>
      </w:pPr>
    </w:p>
    <w:p w14:paraId="67888AB9" w14:textId="77777777" w:rsidR="00E523C7" w:rsidRDefault="00E523C7" w:rsidP="00E523C7">
      <w:pPr>
        <w:spacing w:line="480" w:lineRule="auto"/>
        <w:jc w:val="center"/>
        <w:rPr>
          <w:rFonts w:ascii="Times New Roman" w:hAnsi="Times New Roman" w:cs="Times New Roman"/>
          <w:b/>
          <w:bCs/>
          <w:sz w:val="28"/>
          <w:szCs w:val="28"/>
        </w:rPr>
      </w:pPr>
    </w:p>
    <w:p w14:paraId="78BBA8E3" w14:textId="77777777" w:rsidR="00E523C7" w:rsidRDefault="00E523C7" w:rsidP="00E523C7">
      <w:pPr>
        <w:spacing w:line="480" w:lineRule="auto"/>
        <w:jc w:val="center"/>
        <w:rPr>
          <w:rFonts w:ascii="Times New Roman" w:hAnsi="Times New Roman" w:cs="Times New Roman"/>
          <w:b/>
          <w:bCs/>
          <w:sz w:val="28"/>
          <w:szCs w:val="28"/>
        </w:rPr>
      </w:pPr>
    </w:p>
    <w:p w14:paraId="23DE1607" w14:textId="77777777" w:rsidR="00E523C7" w:rsidRDefault="00E523C7" w:rsidP="00E523C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19FFDE3E" w14:textId="77777777" w:rsidR="00E523C7" w:rsidRDefault="00E523C7" w:rsidP="00E523C7">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 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 The results </w:t>
      </w:r>
      <w:r>
        <w:rPr>
          <w:rFonts w:ascii="Times New Roman" w:hAnsi="Times New Roman" w:cs="Times New Roman"/>
          <w:sz w:val="28"/>
          <w:szCs w:val="28"/>
        </w:rPr>
        <w:lastRenderedPageBreak/>
        <w:t xml:space="preserve">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07FD9FE2" w14:textId="77777777" w:rsidR="00E523C7" w:rsidRDefault="00E523C7" w:rsidP="00E523C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fungal toxin, food spoilage, toxicity, rats, concentration-dependent effects</w:t>
      </w:r>
    </w:p>
    <w:p w14:paraId="27EB4CC9" w14:textId="77777777" w:rsidR="00E523C7" w:rsidRDefault="00E523C7" w:rsidP="00E523C7">
      <w:pPr>
        <w:spacing w:line="480" w:lineRule="auto"/>
        <w:jc w:val="both"/>
      </w:pPr>
    </w:p>
    <w:p w14:paraId="21708C08" w14:textId="77777777" w:rsidR="00E523C7" w:rsidRDefault="00E523C7" w:rsidP="00753DC2">
      <w:pPr>
        <w:spacing w:line="480" w:lineRule="auto"/>
        <w:jc w:val="center"/>
        <w:rPr>
          <w:rFonts w:ascii="Times New Roman" w:hAnsi="Times New Roman" w:cs="Times New Roman"/>
          <w:sz w:val="28"/>
          <w:szCs w:val="28"/>
        </w:rPr>
      </w:pPr>
    </w:p>
    <w:p w14:paraId="524B094B" w14:textId="77777777" w:rsidR="00E523C7" w:rsidRDefault="00E523C7" w:rsidP="00753DC2">
      <w:pPr>
        <w:spacing w:line="480" w:lineRule="auto"/>
        <w:jc w:val="center"/>
        <w:rPr>
          <w:rFonts w:ascii="Times New Roman" w:hAnsi="Times New Roman" w:cs="Times New Roman"/>
          <w:sz w:val="28"/>
          <w:szCs w:val="28"/>
        </w:rPr>
      </w:pPr>
    </w:p>
    <w:p w14:paraId="23B0739D" w14:textId="77777777" w:rsidR="00E523C7" w:rsidRDefault="00E523C7" w:rsidP="00753DC2">
      <w:pPr>
        <w:spacing w:line="480" w:lineRule="auto"/>
        <w:jc w:val="center"/>
        <w:rPr>
          <w:rFonts w:ascii="Times New Roman" w:hAnsi="Times New Roman" w:cs="Times New Roman"/>
          <w:sz w:val="28"/>
          <w:szCs w:val="28"/>
        </w:rPr>
      </w:pPr>
    </w:p>
    <w:p w14:paraId="4350210E" w14:textId="77777777" w:rsidR="00E523C7" w:rsidRDefault="00E523C7" w:rsidP="00753DC2">
      <w:pPr>
        <w:spacing w:line="480" w:lineRule="auto"/>
        <w:jc w:val="center"/>
        <w:rPr>
          <w:rFonts w:ascii="Times New Roman" w:hAnsi="Times New Roman" w:cs="Times New Roman"/>
          <w:sz w:val="28"/>
          <w:szCs w:val="28"/>
        </w:rPr>
      </w:pPr>
    </w:p>
    <w:p w14:paraId="04A800A4" w14:textId="77777777" w:rsidR="00E523C7" w:rsidRDefault="00E523C7" w:rsidP="00E523C7">
      <w:pPr>
        <w:spacing w:line="480" w:lineRule="auto"/>
        <w:rPr>
          <w:rFonts w:ascii="Times New Roman" w:hAnsi="Times New Roman" w:cs="Times New Roman"/>
          <w:sz w:val="28"/>
          <w:szCs w:val="28"/>
        </w:rPr>
        <w:sectPr w:rsidR="00E523C7" w:rsidSect="00E523C7">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49BF96E5" w14:textId="77777777" w:rsidR="00E523C7" w:rsidRDefault="00E523C7" w:rsidP="00E523C7">
      <w:pPr>
        <w:spacing w:line="480" w:lineRule="auto"/>
        <w:rPr>
          <w:rFonts w:ascii="Times New Roman" w:hAnsi="Times New Roman" w:cs="Times New Roman"/>
          <w:sz w:val="28"/>
          <w:szCs w:val="28"/>
        </w:rPr>
      </w:pPr>
    </w:p>
    <w:p w14:paraId="0B891162" w14:textId="66DA02C5"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w:t>
      </w:r>
      <w:proofErr w:type="spellStart"/>
      <w:r w:rsidRPr="00471BB7">
        <w:rPr>
          <w:rFonts w:ascii="Times New Roman" w:hAnsi="Times New Roman" w:cs="Times New Roman"/>
          <w:sz w:val="28"/>
          <w:szCs w:val="28"/>
        </w:rPr>
        <w:t>Heitman</w:t>
      </w:r>
      <w:proofErr w:type="spellEnd"/>
      <w:r w:rsidRPr="00471BB7">
        <w:rPr>
          <w:rFonts w:ascii="Times New Roman" w:hAnsi="Times New Roman" w:cs="Times New Roman"/>
          <w:sz w:val="28"/>
          <w:szCs w:val="28"/>
        </w:rPr>
        <w:t xml:space="preserve">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w:t>
      </w:r>
      <w:proofErr w:type="spellStart"/>
      <w:r w:rsidRPr="00471BB7">
        <w:rPr>
          <w:rFonts w:ascii="Times New Roman" w:hAnsi="Times New Roman" w:cs="Times New Roman"/>
          <w:sz w:val="28"/>
          <w:szCs w:val="28"/>
        </w:rPr>
        <w:t>Gao</w:t>
      </w:r>
      <w:proofErr w:type="spellEnd"/>
      <w:r w:rsidRPr="00471BB7">
        <w:rPr>
          <w:rFonts w:ascii="Times New Roman" w:hAnsi="Times New Roman" w:cs="Times New Roman"/>
          <w:sz w:val="28"/>
          <w:szCs w:val="28"/>
        </w:rPr>
        <w:t xml:space="preserve">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Structurally, fungi exhibit great variation, but most filamentous species consist of hyphae, which form an interconnected network known as mycelium. The </w:t>
      </w:r>
      <w:proofErr w:type="spellStart"/>
      <w:r w:rsidRPr="00471BB7">
        <w:rPr>
          <w:rFonts w:ascii="Times New Roman" w:hAnsi="Times New Roman" w:cs="Times New Roman"/>
          <w:sz w:val="28"/>
          <w:szCs w:val="28"/>
        </w:rPr>
        <w:t>hyphal</w:t>
      </w:r>
      <w:proofErr w:type="spellEnd"/>
      <w:r w:rsidRPr="00471BB7">
        <w:rPr>
          <w:rFonts w:ascii="Times New Roman" w:hAnsi="Times New Roman" w:cs="Times New Roman"/>
          <w:sz w:val="28"/>
          <w:szCs w:val="28"/>
        </w:rPr>
        <w:t xml:space="preserve">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w:t>
      </w:r>
      <w:r w:rsidRPr="00471BB7">
        <w:rPr>
          <w:rFonts w:ascii="Times New Roman" w:hAnsi="Times New Roman" w:cs="Times New Roman"/>
          <w:sz w:val="28"/>
          <w:szCs w:val="28"/>
        </w:rPr>
        <w:lastRenderedPageBreak/>
        <w:t xml:space="preserve">classification of fungi is based on morphological, reproductive, and molecular characteristics. Major fungal phyla include Ascomycota (sac fungi), </w:t>
      </w:r>
      <w:proofErr w:type="spellStart"/>
      <w:r w:rsidRPr="00AA12BF">
        <w:rPr>
          <w:rFonts w:ascii="Times New Roman" w:hAnsi="Times New Roman" w:cs="Times New Roman"/>
          <w:iCs/>
          <w:sz w:val="28"/>
          <w:szCs w:val="28"/>
        </w:rPr>
        <w:t>Basidiomycota</w:t>
      </w:r>
      <w:proofErr w:type="spellEnd"/>
      <w:r w:rsidRPr="00471BB7">
        <w:rPr>
          <w:rFonts w:ascii="Times New Roman" w:hAnsi="Times New Roman" w:cs="Times New Roman"/>
          <w:sz w:val="28"/>
          <w:szCs w:val="28"/>
        </w:rPr>
        <w:t xml:space="preserve"> (club fungi), </w:t>
      </w:r>
      <w:proofErr w:type="spellStart"/>
      <w:r w:rsidRPr="00AA12BF">
        <w:rPr>
          <w:rFonts w:ascii="Times New Roman" w:hAnsi="Times New Roman" w:cs="Times New Roman"/>
          <w:iCs/>
          <w:sz w:val="28"/>
          <w:szCs w:val="28"/>
        </w:rPr>
        <w:t>Zygomycota</w:t>
      </w:r>
      <w:proofErr w:type="spellEnd"/>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proofErr w:type="spellStart"/>
      <w:r w:rsidRPr="00AA12BF">
        <w:rPr>
          <w:rFonts w:ascii="Times New Roman" w:hAnsi="Times New Roman" w:cs="Times New Roman"/>
          <w:iCs/>
          <w:sz w:val="28"/>
          <w:szCs w:val="28"/>
        </w:rPr>
        <w:t>Chytridiomycota</w:t>
      </w:r>
      <w:proofErr w:type="spellEnd"/>
      <w:r w:rsidRPr="00471BB7">
        <w:rPr>
          <w:rFonts w:ascii="Times New Roman" w:hAnsi="Times New Roman" w:cs="Times New Roman"/>
          <w:sz w:val="28"/>
          <w:szCs w:val="28"/>
        </w:rPr>
        <w:t xml:space="preserve"> (aquatic fungi), and </w:t>
      </w:r>
      <w:proofErr w:type="spellStart"/>
      <w:r w:rsidRPr="00AA12BF">
        <w:rPr>
          <w:rFonts w:ascii="Times New Roman" w:hAnsi="Times New Roman" w:cs="Times New Roman"/>
          <w:iCs/>
          <w:sz w:val="28"/>
          <w:szCs w:val="28"/>
        </w:rPr>
        <w:t>Glomeromycota</w:t>
      </w:r>
      <w:proofErr w:type="spellEnd"/>
      <w:r w:rsidRPr="00471BB7">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arbuscular</w:t>
      </w:r>
      <w:proofErr w:type="spellEnd"/>
      <w:r w:rsidRPr="00AA12BF">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fungi). Among these, Ascomycota is the largest phylum, encompassing many industrially and medically significant genera such as </w:t>
      </w:r>
      <w:proofErr w:type="spellStart"/>
      <w:r w:rsidRPr="007669DB">
        <w:rPr>
          <w:rFonts w:ascii="Times New Roman" w:hAnsi="Times New Roman" w:cs="Times New Roman"/>
          <w:i/>
          <w:iCs/>
          <w:sz w:val="28"/>
          <w:szCs w:val="28"/>
        </w:rPr>
        <w:t>Penicillium</w:t>
      </w:r>
      <w:proofErr w:type="spellEnd"/>
      <w:r w:rsidRPr="00471BB7">
        <w:rPr>
          <w:rFonts w:ascii="Times New Roman" w:hAnsi="Times New Roman" w:cs="Times New Roman"/>
          <w:sz w:val="28"/>
          <w:szCs w:val="28"/>
        </w:rPr>
        <w:t xml:space="preserve">, </w:t>
      </w:r>
      <w:proofErr w:type="spellStart"/>
      <w:r w:rsidRPr="007669DB">
        <w:rPr>
          <w:rFonts w:ascii="Times New Roman" w:hAnsi="Times New Roman" w:cs="Times New Roman"/>
          <w:i/>
          <w:iCs/>
          <w:sz w:val="28"/>
          <w:szCs w:val="28"/>
        </w:rPr>
        <w:t>Aspergillus</w:t>
      </w:r>
      <w:proofErr w:type="spellEnd"/>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w:t>
      </w:r>
      <w:proofErr w:type="spellStart"/>
      <w:r w:rsidRPr="00471BB7">
        <w:rPr>
          <w:rFonts w:ascii="Times New Roman" w:hAnsi="Times New Roman" w:cs="Times New Roman"/>
          <w:sz w:val="28"/>
          <w:szCs w:val="28"/>
        </w:rPr>
        <w:t>Alexopoulos</w:t>
      </w:r>
      <w:proofErr w:type="spellEnd"/>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w:t>
      </w:r>
      <w:proofErr w:type="spellStart"/>
      <w:r w:rsidRPr="00471BB7">
        <w:rPr>
          <w:rFonts w:ascii="Times New Roman" w:hAnsi="Times New Roman" w:cs="Times New Roman"/>
          <w:sz w:val="28"/>
          <w:szCs w:val="28"/>
        </w:rPr>
        <w:t>Ghosh</w:t>
      </w:r>
      <w:proofErr w:type="spellEnd"/>
      <w:r w:rsidRPr="00471BB7">
        <w:rPr>
          <w:rFonts w:ascii="Times New Roman" w:hAnsi="Times New Roman" w:cs="Times New Roman"/>
          <w:sz w:val="28"/>
          <w:szCs w:val="28"/>
        </w:rPr>
        <w:t>,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 xml:space="preserve">Saccharomyces </w:t>
      </w:r>
      <w:proofErr w:type="spellStart"/>
      <w:r w:rsidRPr="00AA12BF">
        <w:rPr>
          <w:rFonts w:ascii="Times New Roman" w:hAnsi="Times New Roman" w:cs="Times New Roman"/>
          <w:i/>
          <w:sz w:val="28"/>
          <w:szCs w:val="28"/>
        </w:rPr>
        <w:t>cerevisiae</w:t>
      </w:r>
      <w:proofErr w:type="spellEnd"/>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w:t>
      </w:r>
      <w:proofErr w:type="spellStart"/>
      <w:r w:rsidRPr="00471BB7">
        <w:rPr>
          <w:rFonts w:ascii="Times New Roman" w:hAnsi="Times New Roman" w:cs="Times New Roman"/>
          <w:sz w:val="28"/>
          <w:szCs w:val="28"/>
        </w:rPr>
        <w:t>immunosuppressants</w:t>
      </w:r>
      <w:proofErr w:type="spellEnd"/>
      <w:r w:rsidRPr="00471BB7">
        <w:rPr>
          <w:rFonts w:ascii="Times New Roman" w:hAnsi="Times New Roman" w:cs="Times New Roman"/>
          <w:sz w:val="28"/>
          <w:szCs w:val="28"/>
        </w:rPr>
        <w:t xml:space="preserve"> like cyclosporine, and cholesterol-lowering drugs such as lovastatin (</w:t>
      </w:r>
      <w:proofErr w:type="spellStart"/>
      <w:r w:rsidRPr="00471BB7">
        <w:rPr>
          <w:rFonts w:ascii="Times New Roman" w:hAnsi="Times New Roman" w:cs="Times New Roman"/>
          <w:sz w:val="28"/>
          <w:szCs w:val="28"/>
        </w:rPr>
        <w:t>Hibbett</w:t>
      </w:r>
      <w:proofErr w:type="spellEnd"/>
      <w:r w:rsidRPr="00471BB7">
        <w:rPr>
          <w:rFonts w:ascii="Times New Roman" w:hAnsi="Times New Roman" w:cs="Times New Roman"/>
          <w:sz w:val="28"/>
          <w:szCs w:val="28"/>
        </w:rPr>
        <w:t xml:space="preserve"> et al., 2018). However, some fungi also pose serious threats to human health, agriculture, and food safety. Pathogenic species like </w:t>
      </w:r>
      <w:r w:rsidRPr="00E31755">
        <w:rPr>
          <w:rFonts w:ascii="Times New Roman" w:hAnsi="Times New Roman" w:cs="Times New Roman"/>
          <w:i/>
          <w:iCs/>
          <w:sz w:val="28"/>
          <w:szCs w:val="28"/>
        </w:rPr>
        <w:t xml:space="preserve">Candida </w:t>
      </w:r>
      <w:proofErr w:type="spellStart"/>
      <w:r w:rsidRPr="00E31755">
        <w:rPr>
          <w:rFonts w:ascii="Times New Roman" w:hAnsi="Times New Roman" w:cs="Times New Roman"/>
          <w:i/>
          <w:iCs/>
          <w:sz w:val="28"/>
          <w:szCs w:val="28"/>
        </w:rPr>
        <w:t>albicans</w:t>
      </w:r>
      <w:proofErr w:type="spellEnd"/>
      <w:r w:rsidRPr="00471BB7">
        <w:rPr>
          <w:rFonts w:ascii="Times New Roman" w:hAnsi="Times New Roman" w:cs="Times New Roman"/>
          <w:sz w:val="28"/>
          <w:szCs w:val="28"/>
        </w:rPr>
        <w:t xml:space="preserve"> cause opportunistic infections, while plant pathogens such as </w:t>
      </w:r>
      <w:proofErr w:type="spellStart"/>
      <w:r w:rsidRPr="00E31755">
        <w:rPr>
          <w:rFonts w:ascii="Times New Roman" w:hAnsi="Times New Roman" w:cs="Times New Roman"/>
          <w:i/>
          <w:iCs/>
          <w:sz w:val="28"/>
          <w:szCs w:val="28"/>
        </w:rPr>
        <w:t>Fusarium</w:t>
      </w:r>
      <w:proofErr w:type="spellEnd"/>
      <w:r w:rsidRPr="00471BB7">
        <w:rPr>
          <w:rFonts w:ascii="Times New Roman" w:hAnsi="Times New Roman" w:cs="Times New Roman"/>
          <w:sz w:val="28"/>
          <w:szCs w:val="28"/>
        </w:rPr>
        <w:t xml:space="preserve"> and </w:t>
      </w:r>
      <w:proofErr w:type="spellStart"/>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s</w:t>
      </w:r>
      <w:proofErr w:type="spellEnd"/>
      <w:r w:rsidR="0013206C">
        <w:rPr>
          <w:rFonts w:ascii="Times New Roman" w:hAnsi="Times New Roman" w:cs="Times New Roman"/>
          <w:i/>
          <w:iCs/>
          <w:sz w:val="28"/>
          <w:szCs w:val="28"/>
        </w:rPr>
        <w:t xml:space="preserve">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w:t>
      </w:r>
      <w:r w:rsidR="00AA12BF">
        <w:rPr>
          <w:rFonts w:ascii="Times New Roman" w:hAnsi="Times New Roman" w:cs="Times New Roman"/>
          <w:sz w:val="28"/>
          <w:szCs w:val="28"/>
        </w:rPr>
        <w:lastRenderedPageBreak/>
        <w:t xml:space="preserve">species produce </w:t>
      </w:r>
      <w:proofErr w:type="spellStart"/>
      <w:r w:rsidR="00AA12BF">
        <w:rPr>
          <w:rFonts w:ascii="Times New Roman" w:hAnsi="Times New Roman" w:cs="Times New Roman"/>
          <w:sz w:val="28"/>
          <w:szCs w:val="28"/>
        </w:rPr>
        <w:t>mycotoxins</w:t>
      </w:r>
      <w:proofErr w:type="spellEnd"/>
      <w:r w:rsidR="00AA12BF">
        <w:rPr>
          <w:rFonts w:ascii="Times New Roman" w:hAnsi="Times New Roman" w:cs="Times New Roman"/>
          <w:sz w:val="28"/>
          <w:szCs w:val="28"/>
        </w:rPr>
        <w:t xml:space="preserve"> </w:t>
      </w:r>
      <w:r w:rsidRPr="00471BB7">
        <w:rPr>
          <w:rFonts w:ascii="Times New Roman" w:hAnsi="Times New Roman" w:cs="Times New Roman"/>
          <w:sz w:val="28"/>
          <w:szCs w:val="28"/>
        </w:rPr>
        <w:t>secondary metabolites that contaminate food and feed, leading to severe health consequences (</w:t>
      </w:r>
      <w:proofErr w:type="spellStart"/>
      <w:r w:rsidRPr="00471BB7">
        <w:rPr>
          <w:rFonts w:ascii="Times New Roman" w:hAnsi="Times New Roman" w:cs="Times New Roman"/>
          <w:sz w:val="28"/>
          <w:szCs w:val="28"/>
        </w:rPr>
        <w:t>Frisvad</w:t>
      </w:r>
      <w:proofErr w:type="spellEnd"/>
      <w:r w:rsidRPr="00471BB7">
        <w:rPr>
          <w:rFonts w:ascii="Times New Roman" w:hAnsi="Times New Roman" w:cs="Times New Roman"/>
          <w:sz w:val="28"/>
          <w:szCs w:val="28"/>
        </w:rPr>
        <w:t>,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The study of fungi, known as mycology, continues to expand due to their broad impact on medicine, biotechnology, and agriculture. Emerging research focuses on harnessing fungi for bioremediation, biofuel productio</w:t>
      </w:r>
      <w:bookmarkStart w:id="0" w:name="_GoBack"/>
      <w:bookmarkEnd w:id="0"/>
      <w:r w:rsidRPr="00471BB7">
        <w:rPr>
          <w:rFonts w:ascii="Times New Roman" w:hAnsi="Times New Roman" w:cs="Times New Roman"/>
          <w:sz w:val="28"/>
          <w:szCs w:val="28"/>
        </w:rPr>
        <w:t xml:space="preserve">n, and novel drug discovery. However, challenges such as antifungal resistance, fungal infections in </w:t>
      </w:r>
      <w:proofErr w:type="spellStart"/>
      <w:r w:rsidRPr="00471BB7">
        <w:rPr>
          <w:rFonts w:ascii="Times New Roman" w:hAnsi="Times New Roman" w:cs="Times New Roman"/>
          <w:sz w:val="28"/>
          <w:szCs w:val="28"/>
        </w:rPr>
        <w:t>immunocompromised</w:t>
      </w:r>
      <w:proofErr w:type="spellEnd"/>
      <w:r w:rsidRPr="00471BB7">
        <w:rPr>
          <w:rFonts w:ascii="Times New Roman" w:hAnsi="Times New Roman" w:cs="Times New Roman"/>
          <w:sz w:val="28"/>
          <w:szCs w:val="28"/>
        </w:rPr>
        <w:t xml:space="preserve">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proofErr w:type="spellStart"/>
      <w:r w:rsidRPr="00AA12BF">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proofErr w:type="spellStart"/>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proofErr w:type="spellEnd"/>
      <w:r>
        <w:rPr>
          <w:rFonts w:ascii="Times New Roman" w:hAnsi="Times New Roman" w:cs="Times New Roman"/>
          <w:sz w:val="28"/>
          <w:szCs w:val="28"/>
        </w:rPr>
        <w:t xml:space="preserve">, characterized by their ability to produce conidia in chains from brush-like conidiophores.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Members of the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w:t>
      </w:r>
      <w:r>
        <w:rPr>
          <w:rFonts w:ascii="Times New Roman" w:hAnsi="Times New Roman" w:cs="Times New Roman"/>
          <w:sz w:val="28"/>
          <w:szCs w:val="28"/>
        </w:rPr>
        <w:lastRenderedPageBreak/>
        <w:t xml:space="preserve">into the environment. Due to their high adaptability,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can 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et al., 2017). This adaptability is partly attributed to their ability to produce spores that can withstand harsh conditions and remain dormant until favorable growth conditions arise. The morphological characteristics of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include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conidiophores that branch in a distinctive </w:t>
      </w:r>
      <w:proofErr w:type="spellStart"/>
      <w:r w:rsidRPr="007D0BBF">
        <w:rPr>
          <w:rFonts w:ascii="Times New Roman" w:hAnsi="Times New Roman" w:cs="Times New Roman"/>
          <w:i/>
          <w:iCs/>
          <w:sz w:val="28"/>
          <w:szCs w:val="28"/>
        </w:rPr>
        <w:t>penicillus</w:t>
      </w:r>
      <w:proofErr w:type="spellEnd"/>
      <w:r>
        <w:rPr>
          <w:rFonts w:ascii="Times New Roman" w:hAnsi="Times New Roman" w:cs="Times New Roman"/>
          <w:sz w:val="28"/>
          <w:szCs w:val="28"/>
        </w:rPr>
        <w:t xml:space="preserve">-like structure, and pigmented conidia. Colony appearance varies depending on the species and growth medium, but many species exhibit blue-green, yellow, or white pigmentation. While traditional taxonomy relied on morphological features, advancements in molecular </w:t>
      </w:r>
      <w:proofErr w:type="spellStart"/>
      <w:r>
        <w:rPr>
          <w:rFonts w:ascii="Times New Roman" w:hAnsi="Times New Roman" w:cs="Times New Roman"/>
          <w:sz w:val="28"/>
          <w:szCs w:val="28"/>
        </w:rPr>
        <w:t>phylogenetics</w:t>
      </w:r>
      <w:proofErr w:type="spellEnd"/>
      <w:r>
        <w:rPr>
          <w:rFonts w:ascii="Times New Roman" w:hAnsi="Times New Roman" w:cs="Times New Roman"/>
          <w:sz w:val="28"/>
          <w:szCs w:val="28"/>
        </w:rPr>
        <w:t xml:space="preserve">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 xml:space="preserve">ITS </w:t>
      </w:r>
      <w:proofErr w:type="spellStart"/>
      <w:r>
        <w:rPr>
          <w:rFonts w:ascii="Times New Roman" w:hAnsi="Times New Roman" w:cs="Times New Roman"/>
          <w:sz w:val="28"/>
          <w:szCs w:val="28"/>
        </w:rPr>
        <w:t>rDNA</w:t>
      </w:r>
      <w:proofErr w:type="spellEnd"/>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(Samson et al., 2019). Many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have beneficial applications in biotechnology, agriculture, and medicine. The most well-known example is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proofErr w:type="gramStart"/>
      <w:r w:rsidRPr="00786B70">
        <w:rPr>
          <w:rFonts w:ascii="Times New Roman" w:hAnsi="Times New Roman" w:cs="Times New Roman"/>
          <w:i/>
          <w:iCs/>
          <w:sz w:val="28"/>
          <w:szCs w:val="28"/>
        </w:rPr>
        <w:t>rubens</w:t>
      </w:r>
      <w:proofErr w:type="spellEnd"/>
      <w:proofErr w:type="gramEnd"/>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chrysogenum</w:t>
      </w:r>
      <w:proofErr w:type="spellEnd"/>
      <w:r>
        <w:rPr>
          <w:rFonts w:ascii="Times New Roman" w:hAnsi="Times New Roman" w:cs="Times New Roman"/>
          <w:sz w:val="28"/>
          <w:szCs w:val="28"/>
        </w:rPr>
        <w:t xml:space="preserve">), which produces penicillin, the first widely used antibiotic discovered by Alexander Fleming in 1928. Additionally,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proofErr w:type="spellStart"/>
      <w:r w:rsidRPr="00786B70">
        <w:rPr>
          <w:rFonts w:ascii="Times New Roman" w:hAnsi="Times New Roman" w:cs="Times New Roman"/>
          <w:i/>
          <w:iCs/>
          <w:sz w:val="28"/>
          <w:szCs w:val="28"/>
        </w:rPr>
        <w:lastRenderedPageBreak/>
        <w:t>Penicillium</w:t>
      </w:r>
      <w:proofErr w:type="spellEnd"/>
      <w:r>
        <w:rPr>
          <w:rFonts w:ascii="Times New Roman" w:hAnsi="Times New Roman" w:cs="Times New Roman"/>
          <w:sz w:val="28"/>
          <w:szCs w:val="28"/>
        </w:rPr>
        <w:t xml:space="preserve"> strains, including pectinases, </w:t>
      </w:r>
      <w:proofErr w:type="spellStart"/>
      <w:r>
        <w:rPr>
          <w:rFonts w:ascii="Times New Roman" w:hAnsi="Times New Roman" w:cs="Times New Roman"/>
          <w:sz w:val="28"/>
          <w:szCs w:val="28"/>
        </w:rPr>
        <w:t>cellulases</w:t>
      </w:r>
      <w:proofErr w:type="spellEnd"/>
      <w:r>
        <w:rPr>
          <w:rFonts w:ascii="Times New Roman" w:hAnsi="Times New Roman" w:cs="Times New Roman"/>
          <w:sz w:val="28"/>
          <w:szCs w:val="28"/>
        </w:rPr>
        <w:t xml:space="preserve">, and lipases, are widely used in food processing, textile production, and biofuel generation (De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et al., 2021). Despite their numerous benefits, some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pose serious risks to food safety and human health due to their ability to produce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Among these,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sidRPr="00753DC2">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w:t>
      </w:r>
      <w:proofErr w:type="spellStart"/>
      <w:r w:rsidRPr="00753DC2">
        <w:rPr>
          <w:rFonts w:ascii="Times New Roman" w:hAnsi="Times New Roman" w:cs="Times New Roman"/>
          <w:iCs/>
          <w:sz w:val="28"/>
          <w:szCs w:val="28"/>
        </w:rPr>
        <w:t>ochratoxin</w:t>
      </w:r>
      <w:proofErr w:type="spellEnd"/>
      <w:r>
        <w:rPr>
          <w:rFonts w:ascii="Times New Roman" w:hAnsi="Times New Roman" w:cs="Times New Roman"/>
          <w:sz w:val="28"/>
          <w:szCs w:val="28"/>
        </w:rPr>
        <w:t xml:space="preserve"> A are particularly concerning, as they are associated with nephrotoxicity, hepatotoxicity, and carcinogenicity in humans and animals.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proofErr w:type="spellStart"/>
      <w:r w:rsidRPr="00786B70">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w:t>
      </w:r>
      <w:r w:rsidRPr="005671B3">
        <w:rPr>
          <w:rFonts w:ascii="Times New Roman" w:hAnsi="Times New Roman" w:cs="Times New Roman"/>
          <w:i/>
          <w:iCs/>
          <w:sz w:val="28"/>
          <w:szCs w:val="28"/>
        </w:rPr>
        <w:t xml:space="preserve">P. </w:t>
      </w:r>
      <w:proofErr w:type="spellStart"/>
      <w:r w:rsidRPr="005671B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are notable producers of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which frequently contaminate cereals, fruits, nuts, and dairy products, leading to regulatory concerns and economic losses in the food industry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&amp; Samson, 2018). The presence of </w:t>
      </w:r>
      <w:proofErr w:type="spellStart"/>
      <w:r>
        <w:rPr>
          <w:rFonts w:ascii="Times New Roman" w:hAnsi="Times New Roman" w:cs="Times New Roman"/>
          <w:sz w:val="28"/>
          <w:szCs w:val="28"/>
        </w:rPr>
        <w:t>mycotoxigenic</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has expanded to explore their biotechnological potential beyond antibiotics and enzymes. Some strains exhibit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properties, inhibiting plant pathogens and reducing postharvest spoilage. Others are being investigated for their ability to degrade environmental pollutants, including heavy metals and hydrocarbons, offering promising applications in bioremediation (</w:t>
      </w: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et al., 2020). Understanding the genetic and metabolic pathways responsible for these capabilities can further enhance the exploitation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for sustainable industrial and environmental applications. Despite their economic and ecological significance,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species remain underexplored in certain areas, particularly concerning their potential role in human health beyond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 Some studies suggest that certain strains may produce bioactive compounds with antifungal, anticancer, and </w:t>
      </w:r>
      <w:proofErr w:type="spellStart"/>
      <w:r>
        <w:rPr>
          <w:rFonts w:ascii="Times New Roman" w:hAnsi="Times New Roman" w:cs="Times New Roman"/>
          <w:sz w:val="28"/>
          <w:szCs w:val="28"/>
        </w:rPr>
        <w:t>immunomodulatory</w:t>
      </w:r>
      <w:proofErr w:type="spellEnd"/>
      <w:r>
        <w:rPr>
          <w:rFonts w:ascii="Times New Roman" w:hAnsi="Times New Roman" w:cs="Times New Roman"/>
          <w:sz w:val="28"/>
          <w:szCs w:val="28"/>
        </w:rPr>
        <w:t xml:space="preserve"> properties, opening new avenues for pharmaceutical applications (Zhang et al., 2022). However, the dual nature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while maximizing their biotechnological potential. With growing advancements in genomic research, synthetic biology, and metabolomics, the future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w:t>
      </w:r>
      <w:proofErr w:type="spellStart"/>
      <w:r>
        <w:rPr>
          <w:rFonts w:ascii="Times New Roman" w:hAnsi="Times New Roman" w:cs="Times New Roman"/>
          <w:sz w:val="28"/>
          <w:szCs w:val="28"/>
        </w:rPr>
        <w:t>Cabañes</w:t>
      </w:r>
      <w:proofErr w:type="spellEnd"/>
      <w:r>
        <w:rPr>
          <w:rFonts w:ascii="Times New Roman" w:hAnsi="Times New Roman" w:cs="Times New Roman"/>
          <w:sz w:val="28"/>
          <w:szCs w:val="28"/>
        </w:rPr>
        <w:t xml:space="preserve"> et al., 2021).</w:t>
      </w:r>
    </w:p>
    <w:p w14:paraId="415B6E04" w14:textId="54D7B518" w:rsidR="004F6A58" w:rsidRDefault="004F6A58" w:rsidP="00471BB7">
      <w:pPr>
        <w:spacing w:line="480" w:lineRule="auto"/>
        <w:jc w:val="both"/>
        <w:rPr>
          <w:rFonts w:ascii="Times New Roman" w:hAnsi="Times New Roman" w:cs="Times New Roman"/>
          <w:sz w:val="28"/>
          <w:szCs w:val="28"/>
        </w:rPr>
      </w:pP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produced by several fungal species, primarily from the genera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Monascus</w:t>
      </w:r>
      <w:proofErr w:type="spellEnd"/>
      <w:r>
        <w:rPr>
          <w:rFonts w:ascii="Times New Roman" w:hAnsi="Times New Roman" w:cs="Times New Roman"/>
          <w:sz w:val="28"/>
          <w:szCs w:val="28"/>
        </w:rPr>
        <w:t xml:space="preserve">. It was first discovered in </w:t>
      </w:r>
      <w:proofErr w:type="spellStart"/>
      <w:r w:rsidRPr="00867A2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is particularly </w:t>
      </w:r>
      <w:r>
        <w:rPr>
          <w:rFonts w:ascii="Times New Roman" w:hAnsi="Times New Roman" w:cs="Times New Roman"/>
          <w:sz w:val="28"/>
          <w:szCs w:val="28"/>
        </w:rPr>
        <w:lastRenderedPageBreak/>
        <w:t xml:space="preserve">prevalent in stored grains, nuts, fruits, and dairy products, as well as in fermented food items such as red yeast rice, which is commonly used in traditional Asian medicine and food coloring (Liu et al., 2020). Due to its nephrotoxic, hepatotoxic, and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properties,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class of secondary metabolites, characterized by a </w:t>
      </w:r>
      <w:proofErr w:type="spellStart"/>
      <w:r>
        <w:rPr>
          <w:rFonts w:ascii="Times New Roman" w:hAnsi="Times New Roman" w:cs="Times New Roman"/>
          <w:sz w:val="28"/>
          <w:szCs w:val="28"/>
        </w:rPr>
        <w:t>benzophenone</w:t>
      </w:r>
      <w:proofErr w:type="spellEnd"/>
      <w:r>
        <w:rPr>
          <w:rFonts w:ascii="Times New Roman" w:hAnsi="Times New Roman" w:cs="Times New Roman"/>
          <w:sz w:val="28"/>
          <w:szCs w:val="28"/>
        </w:rPr>
        <w:t xml:space="preserve">-like structure. It is a yellow crystalline compound with relatively high stability under normal storage conditions but can degrade into other toxic metabolites when exposed to heat and light. Recent studies have identified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derivatives, such as </w:t>
      </w:r>
      <w:proofErr w:type="spellStart"/>
      <w:r>
        <w:rPr>
          <w:rFonts w:ascii="Times New Roman" w:hAnsi="Times New Roman" w:cs="Times New Roman"/>
          <w:sz w:val="28"/>
          <w:szCs w:val="28"/>
        </w:rPr>
        <w:t>dihydrocitrinone</w:t>
      </w:r>
      <w:proofErr w:type="spellEnd"/>
      <w:r>
        <w:rPr>
          <w:rFonts w:ascii="Times New Roman" w:hAnsi="Times New Roman" w:cs="Times New Roman"/>
          <w:sz w:val="28"/>
          <w:szCs w:val="28"/>
        </w:rPr>
        <w:t xml:space="preserve">, which exhibit even greater toxicity than the parent compound (Zhou et al., 2021). The biosynthesis of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synthase genes, with regulatory mechanisms that vary between fungal species. Advances in genomic and </w:t>
      </w:r>
      <w:proofErr w:type="spellStart"/>
      <w:r>
        <w:rPr>
          <w:rFonts w:ascii="Times New Roman" w:hAnsi="Times New Roman" w:cs="Times New Roman"/>
          <w:sz w:val="28"/>
          <w:szCs w:val="28"/>
        </w:rPr>
        <w:t>transcriptomic</w:t>
      </w:r>
      <w:proofErr w:type="spellEnd"/>
      <w:r>
        <w:rPr>
          <w:rFonts w:ascii="Times New Roman" w:hAnsi="Times New Roman" w:cs="Times New Roman"/>
          <w:sz w:val="28"/>
          <w:szCs w:val="28"/>
        </w:rPr>
        <w:t xml:space="preserve"> analysis have provided deeper insights into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biosynthetic gene clusters, offering potential strategies for targeted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mitigation (He &amp; Cox, 2019). The toxicological effects of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have been extensively studied in both in vitro and in vivo models. The kidney is the primary target organ, with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proofErr w:type="spellStart"/>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proofErr w:type="spellEnd"/>
      <w:r>
        <w:rPr>
          <w:rFonts w:ascii="Times New Roman" w:hAnsi="Times New Roman" w:cs="Times New Roman"/>
          <w:sz w:val="28"/>
          <w:szCs w:val="28"/>
        </w:rPr>
        <w:t xml:space="preserve"> has been linked to renal fibrosis and progressive kidney damage, particularly in animals consuming contaminated feed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w:t>
      </w:r>
      <w:r>
        <w:rPr>
          <w:rFonts w:ascii="Times New Roman" w:hAnsi="Times New Roman" w:cs="Times New Roman"/>
          <w:sz w:val="28"/>
          <w:szCs w:val="28"/>
        </w:rPr>
        <w:lastRenderedPageBreak/>
        <w:t xml:space="preserve">2021). In addition to nephrotoxicity,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shown to exert hepatotoxic effects by inducing liver enzyme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lipid peroxidation, and inflammation. Emerging evidence also suggests a potential role in carcinogenesis, as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found to cause DNA damage, chromosomal aberrations, and cell cycle arrest in human cell lines (Shi et al., 2022). Human exposure to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micrograms/kilogram, EU 2micrograms/kilogram but FDA has not set an official limits, but check food supplements and removes any that have unsafe amount of </w:t>
      </w:r>
      <w:proofErr w:type="spellStart"/>
      <w:r w:rsidR="00C879DE">
        <w:rPr>
          <w:rFonts w:ascii="Times New Roman" w:hAnsi="Times New Roman" w:cs="Times New Roman"/>
          <w:sz w:val="28"/>
          <w:szCs w:val="28"/>
        </w:rPr>
        <w:t>citrinin</w:t>
      </w:r>
      <w:proofErr w:type="spellEnd"/>
      <w:r>
        <w:rPr>
          <w:rFonts w:ascii="Times New Roman" w:hAnsi="Times New Roman" w:cs="Times New Roman"/>
          <w:sz w:val="28"/>
          <w:szCs w:val="28"/>
        </w:rPr>
        <w:t xml:space="preserve">. However, the global nature of food trade poses challenges in maintaining strict surveillance, particularly in developing countries where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testing infrastructure is limited. Traditional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w:t>
      </w:r>
      <w:r>
        <w:rPr>
          <w:rFonts w:ascii="Times New Roman" w:hAnsi="Times New Roman" w:cs="Times New Roman"/>
          <w:sz w:val="28"/>
          <w:szCs w:val="28"/>
        </w:rPr>
        <w:lastRenderedPageBreak/>
        <w:t xml:space="preserve">Additionally, livestock consuming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-contaminated feed can suffer from reduced productivity, weight loss, and reproductive issues, further exacerbating economic burdens. Strategies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include improved storage conditions,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approaches using antagonistic microorganisms, and the development of detoxification methods such as enzymatic degradation and adsorption techniques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Recent research has explored potential applications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management strategies, including genetic engineering approaches to inhibit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biosynthesis, the use of probiotics to degrade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the gut, and improved regulatory frameworks to minimize exposure risks. The interplay between environmental factors, fungal metabolism, and human health underscores the need for a multidisciplinary approach in addressing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and its associated hazards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investigated the occurrence of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DNA damage and chromosomal aberrations, raising concerns about its potential carcinogenicity. In animal models,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(He &amp; Cox, 2019). Detection methods have also been an area of active research. Traditional techniques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to quantify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in food (Wang et al., 2020). However, recent advancements in biosensor technology and molecular diagnostics have led to </w:t>
      </w:r>
      <w:r>
        <w:rPr>
          <w:rFonts w:ascii="Times New Roman" w:hAnsi="Times New Roman" w:cs="Times New Roman"/>
          <w:sz w:val="28"/>
          <w:szCs w:val="28"/>
        </w:rPr>
        <w:lastRenderedPageBreak/>
        <w:t xml:space="preserve">more rapid and sensitive detection methods. For example,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developed a novel fluorescence-based biosensor capable of detecting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offering a promising alternative for food safety monitoring. Research on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strategies has expanded significantly. Various physical, chemical, and biological approaches have been investigated to reduce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explored the use of probiotic bacteria to degrade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contaminated food, demonstrating a significant reduction in toxin levels. Similarly, enzymatic degradation techniques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potential in detoxification (Liu et al., 2020). A study by Zhou et al. (2021) found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potential carcinogenic effects. Although it is not classified as a confirmed human carcinogen, studies suggest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may act as a co-carcinogen by inducing DNA damage and promoting </w:t>
      </w:r>
      <w:proofErr w:type="spellStart"/>
      <w:r>
        <w:rPr>
          <w:rFonts w:ascii="Times New Roman" w:hAnsi="Times New Roman" w:cs="Times New Roman"/>
          <w:sz w:val="28"/>
          <w:szCs w:val="28"/>
        </w:rPr>
        <w:t>tumorigenesis</w:t>
      </w:r>
      <w:proofErr w:type="spellEnd"/>
      <w:r>
        <w:rPr>
          <w:rFonts w:ascii="Times New Roman" w:hAnsi="Times New Roman" w:cs="Times New Roman"/>
          <w:sz w:val="28"/>
          <w:szCs w:val="28"/>
        </w:rPr>
        <w:t xml:space="preserve">. For example, He and Cox (2019) demonstrated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enhances the mutagenic effects of other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such as </w:t>
      </w:r>
      <w:proofErr w:type="spellStart"/>
      <w:r>
        <w:rPr>
          <w:rFonts w:ascii="Times New Roman" w:hAnsi="Times New Roman" w:cs="Times New Roman"/>
          <w:sz w:val="28"/>
          <w:szCs w:val="28"/>
        </w:rPr>
        <w:t>aflatoxins</w:t>
      </w:r>
      <w:proofErr w:type="spellEnd"/>
      <w:r>
        <w:rPr>
          <w:rFonts w:ascii="Times New Roman" w:hAnsi="Times New Roman" w:cs="Times New Roman"/>
          <w:sz w:val="28"/>
          <w:szCs w:val="28"/>
        </w:rPr>
        <w:t xml:space="preserve">, by disrupting DNA repair mechanisms. This has led to growing concerns about its long-term impact on public health, particularly in populations with high dietary exposure. </w:t>
      </w:r>
      <w:r>
        <w:rPr>
          <w:rFonts w:ascii="Times New Roman" w:hAnsi="Times New Roman" w:cs="Times New Roman"/>
          <w:sz w:val="28"/>
          <w:szCs w:val="28"/>
        </w:rPr>
        <w:lastRenderedPageBreak/>
        <w:t xml:space="preserve">Numerous studies have examined the prevalence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focused on fermented foods, particularly red yeast rice,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widely consumed traditional food product known to contain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due to fungal fermentation. Their findings emphasized the difficulty of eliminating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from such products without affecting their desired characteristics. In addition to dietary exposure, occupational exposure to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also been studied. Agricultural workers, millers, and food handlers are at higher risk due to inhalation of airborne fungal spores containing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 study by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analyzed occupational exposure in grain storage facilities and found that workers had significantly higher urinary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levels compared to the general population. This raises concerns about the need for improved workplace safety measures and exposure monitoring in high-risk industries. The detection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offering high sensitivity and specificity. However, these techniques are often expensive and require specialized laboratory equipment, </w:t>
      </w:r>
      <w:r>
        <w:rPr>
          <w:rFonts w:ascii="Times New Roman" w:hAnsi="Times New Roman" w:cs="Times New Roman"/>
          <w:sz w:val="28"/>
          <w:szCs w:val="28"/>
        </w:rPr>
        <w:lastRenderedPageBreak/>
        <w:t xml:space="preserve">limiting their accessibility in resource-limited settings (Wang et al., 2020). Recent advancements have led to the development of more rapid and cost-effective detection methods. A study by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introduced a biosensor-based detection system that utilizes fluorescence and electrochemical signals to detect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Similarly, Liu et al. (2020) explored the use of molecularly imprinted polymers for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Efforts to mitigate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demonstrated that certain probiotic bacteria, such as Lactobacillus strains, can degrade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into non-toxic metabolites. Similarly, enzymatic degradation methods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-degrading enzymes have shown promise in reducing toxin levels in contaminated food products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Further research is needed to optimize these approaches and assess their feasibility for large-scale application. Several theoretical frameworks have guided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research, particularly in toxicology, food safety, and microbiology. The dose-response theory has been widely used to </w:t>
      </w:r>
      <w:r>
        <w:rPr>
          <w:rFonts w:ascii="Times New Roman" w:hAnsi="Times New Roman" w:cs="Times New Roman"/>
          <w:sz w:val="28"/>
          <w:szCs w:val="28"/>
        </w:rPr>
        <w:lastRenderedPageBreak/>
        <w:t xml:space="preserve">assess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during food production and storage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proofErr w:type="spellStart"/>
      <w:r w:rsidRPr="00486D4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486D48">
        <w:rPr>
          <w:rFonts w:ascii="Times New Roman" w:hAnsi="Times New Roman" w:cs="Times New Roman"/>
          <w:i/>
          <w:iCs/>
          <w:sz w:val="28"/>
          <w:szCs w:val="28"/>
        </w:rPr>
        <w:t>citrinin</w:t>
      </w:r>
      <w:proofErr w:type="spellEnd"/>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-associated risks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improving food safety regulations. </w:t>
      </w:r>
      <w:r w:rsidRPr="00E932B2">
        <w:rPr>
          <w:rFonts w:ascii="Times New Roman" w:hAnsi="Times New Roman" w:cs="Times New Roman"/>
          <w:sz w:val="28"/>
          <w:szCs w:val="28"/>
        </w:rPr>
        <w:t xml:space="preserve">While the nephrotoxic and hepatotoxic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w:t>
      </w:r>
      <w:r w:rsidRPr="00E932B2">
        <w:rPr>
          <w:rFonts w:ascii="Times New Roman" w:hAnsi="Times New Roman" w:cs="Times New Roman"/>
          <w:sz w:val="28"/>
          <w:szCs w:val="28"/>
        </w:rPr>
        <w:lastRenderedPageBreak/>
        <w:t xml:space="preserve">chronic illnesses (Zhou et al., 2021). Additionally, the potential synergistic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with other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such as </w:t>
      </w:r>
      <w:proofErr w:type="spellStart"/>
      <w:r w:rsidRPr="005C7A45">
        <w:rPr>
          <w:rFonts w:ascii="Times New Roman" w:hAnsi="Times New Roman" w:cs="Times New Roman"/>
          <w:iCs/>
          <w:sz w:val="28"/>
          <w:szCs w:val="28"/>
        </w:rPr>
        <w:t>ochratoxin</w:t>
      </w:r>
      <w:proofErr w:type="spellEnd"/>
      <w:r w:rsidRPr="00E932B2">
        <w:rPr>
          <w:rFonts w:ascii="Times New Roman" w:hAnsi="Times New Roman" w:cs="Times New Roman"/>
          <w:sz w:val="28"/>
          <w:szCs w:val="28"/>
        </w:rPr>
        <w:t xml:space="preserve"> A and </w:t>
      </w:r>
      <w:proofErr w:type="spellStart"/>
      <w:proofErr w:type="gramStart"/>
      <w:r w:rsidRPr="00E932B2">
        <w:rPr>
          <w:rFonts w:ascii="Times New Roman" w:hAnsi="Times New Roman" w:cs="Times New Roman"/>
          <w:sz w:val="28"/>
          <w:szCs w:val="28"/>
        </w:rPr>
        <w:t>aflatoxins</w:t>
      </w:r>
      <w:proofErr w:type="spellEnd"/>
      <w:r w:rsidRPr="00E932B2">
        <w:rPr>
          <w:rFonts w:ascii="Times New Roman" w:hAnsi="Times New Roman" w:cs="Times New Roman"/>
          <w:sz w:val="28"/>
          <w:szCs w:val="28"/>
        </w:rPr>
        <w:t>,</w:t>
      </w:r>
      <w:proofErr w:type="gramEnd"/>
      <w:r w:rsidRPr="00E932B2">
        <w:rPr>
          <w:rFonts w:ascii="Times New Roman" w:hAnsi="Times New Roman" w:cs="Times New Roman"/>
          <w:sz w:val="28"/>
          <w:szCs w:val="28"/>
        </w:rPr>
        <w:t xml:space="preserve"> remain underexplored (Wang et al., 2020). Despite the widespread occurrence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w:t>
      </w:r>
      <w:proofErr w:type="spellStart"/>
      <w:r w:rsidRPr="00E932B2">
        <w:rPr>
          <w:rFonts w:ascii="Times New Roman" w:hAnsi="Times New Roman" w:cs="Times New Roman"/>
          <w:sz w:val="28"/>
          <w:szCs w:val="28"/>
        </w:rPr>
        <w:t>biomonitoring</w:t>
      </w:r>
      <w:proofErr w:type="spellEnd"/>
      <w:r w:rsidRPr="00E932B2">
        <w:rPr>
          <w:rFonts w:ascii="Times New Roman" w:hAnsi="Times New Roman" w:cs="Times New Roman"/>
          <w:sz w:val="28"/>
          <w:szCs w:val="28"/>
        </w:rPr>
        <w:t xml:space="preserve"> in individuals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The development of reliable biomarkers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levels, requiring region-specific studies to develop more accurate exposure models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Regulatory guidelines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detection methods have improved analytical sensitivity, many techniques remain expensive, time-consuming, and inaccessible in low-</w:t>
      </w:r>
      <w:r w:rsidRPr="00E932B2">
        <w:rPr>
          <w:rFonts w:ascii="Times New Roman" w:hAnsi="Times New Roman" w:cs="Times New Roman"/>
          <w:sz w:val="28"/>
          <w:szCs w:val="28"/>
        </w:rPr>
        <w:lastRenderedPageBreak/>
        <w:t xml:space="preserve">resource settings. Traditional methods such as high-performance liquid chromatography (HPLC) and enzyme-linked </w:t>
      </w:r>
      <w:proofErr w:type="spellStart"/>
      <w:r w:rsidRPr="00E932B2">
        <w:rPr>
          <w:rFonts w:ascii="Times New Roman" w:hAnsi="Times New Roman" w:cs="Times New Roman"/>
          <w:sz w:val="28"/>
          <w:szCs w:val="28"/>
        </w:rPr>
        <w:t>immunosorbent</w:t>
      </w:r>
      <w:proofErr w:type="spellEnd"/>
      <w:r w:rsidRPr="00E932B2">
        <w:rPr>
          <w:rFonts w:ascii="Times New Roman" w:hAnsi="Times New Roman" w:cs="Times New Roman"/>
          <w:sz w:val="28"/>
          <w:szCs w:val="28"/>
        </w:rPr>
        <w:t xml:space="preserve">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w:t>
      </w:r>
      <w:proofErr w:type="spellStart"/>
      <w:r w:rsidRPr="00E932B2">
        <w:rPr>
          <w:rFonts w:ascii="Times New Roman" w:hAnsi="Times New Roman" w:cs="Times New Roman"/>
          <w:sz w:val="28"/>
          <w:szCs w:val="28"/>
        </w:rPr>
        <w:t>Rai</w:t>
      </w:r>
      <w:proofErr w:type="spellEnd"/>
      <w:r w:rsidRPr="00E932B2">
        <w:rPr>
          <w:rFonts w:ascii="Times New Roman" w:hAnsi="Times New Roman" w:cs="Times New Roman"/>
          <w:sz w:val="28"/>
          <w:szCs w:val="28"/>
        </w:rPr>
        <w:t xml:space="preserve"> et al., 2023). Most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More research is required to identify effective microbial strains and enzymes capable of degrading </w:t>
      </w:r>
      <w:proofErr w:type="spellStart"/>
      <w:r w:rsidRPr="00BE2569">
        <w:rPr>
          <w:rFonts w:ascii="Times New Roman" w:hAnsi="Times New Roman" w:cs="Times New Roman"/>
          <w:i/>
          <w:iCs/>
          <w:sz w:val="28"/>
          <w:szCs w:val="28"/>
        </w:rPr>
        <w:t>citrinin</w:t>
      </w:r>
      <w:proofErr w:type="spellEnd"/>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and feed products. The biosynthetic pathway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w:t>
      </w:r>
      <w:proofErr w:type="spellStart"/>
      <w:r w:rsidRPr="00E932B2">
        <w:rPr>
          <w:rFonts w:ascii="Times New Roman" w:hAnsi="Times New Roman" w:cs="Times New Roman"/>
          <w:sz w:val="28"/>
          <w:szCs w:val="28"/>
        </w:rPr>
        <w:t>Grollman</w:t>
      </w:r>
      <w:proofErr w:type="spellEnd"/>
      <w:r w:rsidRPr="00E932B2">
        <w:rPr>
          <w:rFonts w:ascii="Times New Roman" w:hAnsi="Times New Roman" w:cs="Times New Roman"/>
          <w:sz w:val="28"/>
          <w:szCs w:val="28"/>
        </w:rPr>
        <w:t xml:space="preserve"> et al., 2017). Further genomic and </w:t>
      </w:r>
      <w:proofErr w:type="spellStart"/>
      <w:r w:rsidRPr="00E932B2">
        <w:rPr>
          <w:rFonts w:ascii="Times New Roman" w:hAnsi="Times New Roman" w:cs="Times New Roman"/>
          <w:sz w:val="28"/>
          <w:szCs w:val="28"/>
        </w:rPr>
        <w:t>transcriptomic</w:t>
      </w:r>
      <w:proofErr w:type="spellEnd"/>
      <w:r w:rsidRPr="00E932B2">
        <w:rPr>
          <w:rFonts w:ascii="Times New Roman" w:hAnsi="Times New Roman" w:cs="Times New Roman"/>
          <w:sz w:val="28"/>
          <w:szCs w:val="28"/>
        </w:rPr>
        <w:t xml:space="preserve"> studies on </w:t>
      </w:r>
      <w:proofErr w:type="spellStart"/>
      <w:r w:rsidRPr="00BE2569">
        <w:rPr>
          <w:rFonts w:ascii="Times New Roman" w:hAnsi="Times New Roman" w:cs="Times New Roman"/>
          <w:i/>
          <w:iCs/>
          <w:sz w:val="28"/>
          <w:szCs w:val="28"/>
        </w:rPr>
        <w:t>Penicillium</w:t>
      </w:r>
      <w:proofErr w:type="spellEnd"/>
      <w:r w:rsidRPr="00E932B2">
        <w:rPr>
          <w:rFonts w:ascii="Times New Roman" w:hAnsi="Times New Roman" w:cs="Times New Roman"/>
          <w:sz w:val="28"/>
          <w:szCs w:val="28"/>
        </w:rPr>
        <w:t xml:space="preserve"> </w:t>
      </w:r>
      <w:proofErr w:type="spellStart"/>
      <w:r w:rsidRPr="00BE2569">
        <w:rPr>
          <w:rFonts w:ascii="Times New Roman" w:hAnsi="Times New Roman" w:cs="Times New Roman"/>
          <w:i/>
          <w:iCs/>
          <w:sz w:val="28"/>
          <w:szCs w:val="28"/>
        </w:rPr>
        <w:t>citrinum</w:t>
      </w:r>
      <w:proofErr w:type="spellEnd"/>
      <w:r w:rsidRPr="00E932B2">
        <w:rPr>
          <w:rFonts w:ascii="Times New Roman" w:hAnsi="Times New Roman" w:cs="Times New Roman"/>
          <w:sz w:val="28"/>
          <w:szCs w:val="28"/>
        </w:rPr>
        <w:t xml:space="preserve"> could provide insights into gene regulation mechanisms and potential genetic targets for controlling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synthesis (Shi et al., 2022). Understanding these molecular pathways could also aid in developing </w:t>
      </w:r>
      <w:r w:rsidRPr="00E932B2">
        <w:rPr>
          <w:rFonts w:ascii="Times New Roman" w:hAnsi="Times New Roman" w:cs="Times New Roman"/>
          <w:sz w:val="28"/>
          <w:szCs w:val="28"/>
        </w:rPr>
        <w:lastRenderedPageBreak/>
        <w:t xml:space="preserve">antifungal strategies to prevent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at the source. While dietary exposure to </w:t>
      </w:r>
      <w:proofErr w:type="spellStart"/>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yet few studies have investigated the potential respiratory effects and systemic absorption of inhaled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Future research should assess occupational exposure risks and develop protective measures to minimize health hazards for workers in high-risk industries. Consumer awareness regarding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remains low, with limited public health campaigns addressing </w:t>
      </w:r>
      <w:proofErr w:type="spellStart"/>
      <w:r w:rsidRPr="00E932B2">
        <w:rPr>
          <w:rFonts w:ascii="Times New Roman" w:hAnsi="Times New Roman" w:cs="Times New Roman"/>
          <w:sz w:val="28"/>
          <w:szCs w:val="28"/>
        </w:rPr>
        <w:t>mycotoxin</w:t>
      </w:r>
      <w:proofErr w:type="spellEnd"/>
      <w:r w:rsidRPr="00E932B2">
        <w:rPr>
          <w:rFonts w:ascii="Times New Roman" w:hAnsi="Times New Roman" w:cs="Times New Roman"/>
          <w:sz w:val="28"/>
          <w:szCs w:val="28"/>
        </w:rPr>
        <w:t xml:space="preserve"> risks. Studies suggest that many individuals, especially in developing regions, lack knowledge about foodborne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and their potential health effects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Research should explore effective communication strategies to educate consumers about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revolves around its toxicity in humans. While multiple animal studies have confirmed its nephrotoxic, hepatotoxic, and </w:t>
      </w:r>
      <w:proofErr w:type="spellStart"/>
      <w:r w:rsidRPr="008F0058">
        <w:rPr>
          <w:rFonts w:ascii="Times New Roman" w:hAnsi="Times New Roman" w:cs="Times New Roman"/>
          <w:sz w:val="28"/>
          <w:szCs w:val="28"/>
        </w:rPr>
        <w:t>immunotoxic</w:t>
      </w:r>
      <w:proofErr w:type="spellEnd"/>
      <w:r w:rsidRPr="008F0058">
        <w:rPr>
          <w:rFonts w:ascii="Times New Roman" w:hAnsi="Times New Roman" w:cs="Times New Roman"/>
          <w:sz w:val="28"/>
          <w:szCs w:val="28"/>
        </w:rPr>
        <w:t xml:space="preserve"> effects, direct evidence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proofErr w:type="spellStart"/>
      <w:r w:rsidRPr="005C7A45">
        <w:rPr>
          <w:rFonts w:ascii="Times New Roman" w:hAnsi="Times New Roman" w:cs="Times New Roman"/>
          <w:iCs/>
          <w:sz w:val="28"/>
          <w:szCs w:val="28"/>
        </w:rPr>
        <w:lastRenderedPageBreak/>
        <w:t>citrinin</w:t>
      </w:r>
      <w:proofErr w:type="spellEnd"/>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on human health remains inconclusive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ongoing debate has implications for risk assessment and regulatory decisions regarding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limits. There is no global consensus on the permissible limits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in food and feed products. The European Food Safety Authority (EFSA) has set strict limits on </w:t>
      </w:r>
      <w:proofErr w:type="spellStart"/>
      <w:r w:rsidRPr="00A15331">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-related health risks. Some researchers advocate for a harmonized global standard, while others argue that regulatory thresholds should be determined based on region-specific dietary habits and exposure patterns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Another ongoing debate concerns the interaction between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and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particularly </w:t>
      </w:r>
      <w:proofErr w:type="spellStart"/>
      <w:r w:rsidRPr="005C7A45">
        <w:rPr>
          <w:rFonts w:ascii="Times New Roman" w:hAnsi="Times New Roman" w:cs="Times New Roman"/>
          <w:iCs/>
          <w:sz w:val="28"/>
          <w:szCs w:val="28"/>
        </w:rPr>
        <w:t>ochratoxin</w:t>
      </w:r>
      <w:proofErr w:type="spellEnd"/>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acts synergistically with </w:t>
      </w:r>
      <w:proofErr w:type="spellStart"/>
      <w:r w:rsidRPr="005C7A45">
        <w:rPr>
          <w:rFonts w:ascii="Times New Roman" w:hAnsi="Times New Roman" w:cs="Times New Roman"/>
          <w:iCs/>
          <w:sz w:val="28"/>
          <w:szCs w:val="28"/>
        </w:rPr>
        <w:t>ochratoxin</w:t>
      </w:r>
      <w:proofErr w:type="spellEnd"/>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could pose significant health risks when combined with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However, other researchers argue that the evidence supporting this synergistic effect is insufficient and that more mechanistic studies are required to confirm </w:t>
      </w:r>
      <w:r w:rsidRPr="008F0058">
        <w:rPr>
          <w:rFonts w:ascii="Times New Roman" w:hAnsi="Times New Roman" w:cs="Times New Roman"/>
          <w:sz w:val="28"/>
          <w:szCs w:val="28"/>
        </w:rPr>
        <w:lastRenderedPageBreak/>
        <w:t xml:space="preserve">this interaction (Liu et al., 2021). The debate over </w:t>
      </w:r>
      <w:proofErr w:type="spellStart"/>
      <w:r w:rsidRPr="005C7A45">
        <w:rPr>
          <w:rFonts w:ascii="Times New Roman" w:hAnsi="Times New Roman" w:cs="Times New Roman"/>
          <w:iCs/>
          <w:sz w:val="28"/>
          <w:szCs w:val="28"/>
        </w:rPr>
        <w:t>citrinin’s</w:t>
      </w:r>
      <w:proofErr w:type="spellEnd"/>
      <w:r w:rsidRPr="008F0058">
        <w:rPr>
          <w:rFonts w:ascii="Times New Roman" w:hAnsi="Times New Roman" w:cs="Times New Roman"/>
          <w:sz w:val="28"/>
          <w:szCs w:val="28"/>
        </w:rPr>
        <w:t xml:space="preserve"> role in multi-</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toxicity highlights the need for further research into its interactions with other foodborne toxins. The accuracy and reliability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On the other hand, rapid detection methods, such as enzyme-linked </w:t>
      </w:r>
      <w:proofErr w:type="spellStart"/>
      <w:r w:rsidRPr="008F0058">
        <w:rPr>
          <w:rFonts w:ascii="Times New Roman" w:hAnsi="Times New Roman" w:cs="Times New Roman"/>
          <w:sz w:val="28"/>
          <w:szCs w:val="28"/>
        </w:rPr>
        <w:t>immunosorbent</w:t>
      </w:r>
      <w:proofErr w:type="spellEnd"/>
      <w:r w:rsidRPr="008F0058">
        <w:rPr>
          <w:rFonts w:ascii="Times New Roman" w:hAnsi="Times New Roman" w:cs="Times New Roman"/>
          <w:sz w:val="28"/>
          <w:szCs w:val="28"/>
        </w:rPr>
        <w:t xml:space="preserve"> assays (ELISA) and </w:t>
      </w:r>
      <w:proofErr w:type="gramStart"/>
      <w:r w:rsidRPr="008F0058">
        <w:rPr>
          <w:rFonts w:ascii="Times New Roman" w:hAnsi="Times New Roman" w:cs="Times New Roman"/>
          <w:sz w:val="28"/>
          <w:szCs w:val="28"/>
        </w:rPr>
        <w:t>biosensors,</w:t>
      </w:r>
      <w:proofErr w:type="gramEnd"/>
      <w:r w:rsidRPr="008F0058">
        <w:rPr>
          <w:rFonts w:ascii="Times New Roman" w:hAnsi="Times New Roman" w:cs="Times New Roman"/>
          <w:sz w:val="28"/>
          <w:szCs w:val="28"/>
        </w:rPr>
        <w:t xml:space="preserve">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w:t>
      </w:r>
      <w:r w:rsidRPr="008F0058">
        <w:rPr>
          <w:rFonts w:ascii="Times New Roman" w:hAnsi="Times New Roman" w:cs="Times New Roman"/>
          <w:sz w:val="28"/>
          <w:szCs w:val="28"/>
        </w:rPr>
        <w:lastRenderedPageBreak/>
        <w:t xml:space="preserve">2021). However, critics highlight the need for more research to optimize these biological approaches for large-scale application. The lack of a universally accepted detoxification strategy underscores the complexity of managing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effectively. There is a growing discussion on how climate change may impact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proofErr w:type="spellStart"/>
      <w:r w:rsidRPr="0069290A">
        <w:rPr>
          <w:rFonts w:ascii="Times New Roman" w:hAnsi="Times New Roman" w:cs="Times New Roman"/>
          <w:i/>
          <w:iCs/>
          <w:sz w:val="28"/>
          <w:szCs w:val="28"/>
        </w:rPr>
        <w:t>Penicillium</w:t>
      </w:r>
      <w:proofErr w:type="spellEnd"/>
      <w:r w:rsidRPr="008F0058">
        <w:rPr>
          <w:rFonts w:ascii="Times New Roman" w:hAnsi="Times New Roman" w:cs="Times New Roman"/>
          <w:sz w:val="28"/>
          <w:szCs w:val="28"/>
        </w:rPr>
        <w:t xml:space="preserve"> species to thrive, potentially leading to higher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debate highlights the need for interdisciplinary research to assess the long-term impact of climate change on </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prevalence. The economic implications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and mitigation strategies have also been a point of contention. Stricter regulations on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could lead to increased food waste, higher production costs, and economic losses for farmers and food manufacturers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Some industry stakeholders argue that overly stringent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w:t>
      </w:r>
      <w:r w:rsidRPr="008F0058">
        <w:rPr>
          <w:rFonts w:ascii="Times New Roman" w:hAnsi="Times New Roman" w:cs="Times New Roman"/>
          <w:sz w:val="28"/>
          <w:szCs w:val="28"/>
        </w:rPr>
        <w:lastRenderedPageBreak/>
        <w:t xml:space="preserve">concerns is necessary to prevent long-term health consequences associated with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1.2  STATEMENT</w:t>
      </w:r>
      <w:proofErr w:type="gramEnd"/>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There is limited local research on the presence and potency of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Low-cost, simple methods for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w:t>
      </w:r>
      <w:proofErr w:type="spellStart"/>
      <w:r>
        <w:rPr>
          <w:sz w:val="28"/>
          <w:szCs w:val="28"/>
        </w:rPr>
        <w:t>citrinin’s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t xml:space="preserve">The variation in </w:t>
      </w:r>
      <w:proofErr w:type="spellStart"/>
      <w:r>
        <w:rPr>
          <w:sz w:val="28"/>
          <w:szCs w:val="28"/>
        </w:rPr>
        <w:t>citrinin</w:t>
      </w:r>
      <w:proofErr w:type="spellEnd"/>
      <w:r>
        <w:rPr>
          <w:sz w:val="28"/>
          <w:szCs w:val="28"/>
        </w:rPr>
        <w:t xml:space="preserve">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proofErr w:type="spellStart"/>
      <w:r w:rsidRPr="00B80C1B">
        <w:rPr>
          <w:i/>
          <w:iCs/>
          <w:sz w:val="28"/>
          <w:szCs w:val="28"/>
        </w:rPr>
        <w:t>Penicillium</w:t>
      </w:r>
      <w:proofErr w:type="spellEnd"/>
      <w:r>
        <w:rPr>
          <w:sz w:val="28"/>
          <w:szCs w:val="28"/>
        </w:rPr>
        <w:t xml:space="preserve"> </w:t>
      </w:r>
      <w:proofErr w:type="spellStart"/>
      <w:r>
        <w:rPr>
          <w:sz w:val="28"/>
          <w:szCs w:val="28"/>
        </w:rPr>
        <w:t>citrinin</w:t>
      </w:r>
      <w:proofErr w:type="spellEnd"/>
      <w:r>
        <w:rPr>
          <w:sz w:val="28"/>
          <w:szCs w:val="28"/>
        </w:rPr>
        <w:t xml:space="preserve"> in food products, particularly fruits and their derivatives, poses a significant public health concern due to its ability to produce </w:t>
      </w:r>
      <w:proofErr w:type="spellStart"/>
      <w:r>
        <w:rPr>
          <w:sz w:val="28"/>
          <w:szCs w:val="28"/>
        </w:rPr>
        <w:t>citrinin</w:t>
      </w:r>
      <w:proofErr w:type="spellEnd"/>
      <w:r>
        <w:rPr>
          <w:sz w:val="28"/>
          <w:szCs w:val="28"/>
        </w:rPr>
        <w:t xml:space="preserve"> a </w:t>
      </w:r>
      <w:proofErr w:type="spellStart"/>
      <w:r>
        <w:rPr>
          <w:sz w:val="28"/>
          <w:szCs w:val="28"/>
        </w:rPr>
        <w:t>mycotoxin</w:t>
      </w:r>
      <w:proofErr w:type="spellEnd"/>
      <w:r>
        <w:rPr>
          <w:sz w:val="28"/>
          <w:szCs w:val="28"/>
        </w:rPr>
        <w:t xml:space="preserve"> with confirmed toxic effects. Although regulatory bodies like the WHO and EFSA have established safety limits, </w:t>
      </w:r>
      <w:proofErr w:type="spellStart"/>
      <w:r>
        <w:rPr>
          <w:sz w:val="28"/>
          <w:szCs w:val="28"/>
        </w:rPr>
        <w:t>citrinin</w:t>
      </w:r>
      <w:proofErr w:type="spellEnd"/>
      <w:r>
        <w:rPr>
          <w:sz w:val="28"/>
          <w:szCs w:val="28"/>
        </w:rPr>
        <w:t xml:space="preserve"> </w:t>
      </w:r>
      <w:r>
        <w:rPr>
          <w:sz w:val="28"/>
          <w:szCs w:val="28"/>
        </w:rPr>
        <w:lastRenderedPageBreak/>
        <w:t xml:space="preserve">contamination remains underreported in many regions, especially in developing countries with limited food quality monitoring. Studying the toxicity of </w:t>
      </w:r>
      <w:proofErr w:type="spellStart"/>
      <w:r>
        <w:rPr>
          <w:sz w:val="28"/>
          <w:szCs w:val="28"/>
        </w:rPr>
        <w:t>citrinin</w:t>
      </w:r>
      <w:proofErr w:type="spellEnd"/>
      <w:r>
        <w:rPr>
          <w:sz w:val="28"/>
          <w:szCs w:val="28"/>
        </w:rPr>
        <w:t xml:space="preserve"> at varying concentrations using animal models provides essential data on dose-dependent pathological effects, which is crucial for refining health guidelines. This study also helps to bridge existing gaps in </w:t>
      </w:r>
      <w:proofErr w:type="spellStart"/>
      <w:r>
        <w:rPr>
          <w:sz w:val="28"/>
          <w:szCs w:val="28"/>
        </w:rPr>
        <w:t>citrinin</w:t>
      </w:r>
      <w:proofErr w:type="spellEnd"/>
      <w:r>
        <w:rPr>
          <w:sz w:val="28"/>
          <w:szCs w:val="28"/>
        </w:rPr>
        <w:t xml:space="preserve">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w:t>
      </w:r>
      <w:proofErr w:type="spellEnd"/>
      <w:r w:rsidRPr="004764C4">
        <w:rPr>
          <w:rFonts w:ascii="Times New Roman" w:hAnsi="Times New Roman" w:cs="Times New Roman"/>
          <w:sz w:val="28"/>
          <w:szCs w:val="28"/>
        </w:rPr>
        <w:t xml:space="preserve"> </w:t>
      </w:r>
      <w:proofErr w:type="spellStart"/>
      <w:r w:rsidRPr="009535E4">
        <w:rPr>
          <w:rFonts w:ascii="Times New Roman" w:hAnsi="Times New Roman" w:cs="Times New Roman"/>
          <w:i/>
          <w:iCs/>
          <w:sz w:val="28"/>
          <w:szCs w:val="28"/>
        </w:rPr>
        <w:t>citrinum</w:t>
      </w:r>
      <w:proofErr w:type="spellEnd"/>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xml:space="preserve">,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sidR="0066433F">
        <w:rPr>
          <w:rFonts w:ascii="Times New Roman" w:hAnsi="Times New Roman" w:cs="Times New Roman"/>
          <w:sz w:val="28"/>
          <w:szCs w:val="28"/>
        </w:rPr>
        <w:t>wistar</w:t>
      </w:r>
      <w:proofErr w:type="spellEnd"/>
      <w:r w:rsidR="0066433F">
        <w:rPr>
          <w:rFonts w:ascii="Times New Roman" w:hAnsi="Times New Roman" w:cs="Times New Roman"/>
          <w:sz w:val="28"/>
          <w:szCs w:val="28"/>
        </w:rPr>
        <w:t xml:space="preserve">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pieces</w:t>
      </w:r>
      <w:proofErr w:type="gramEnd"/>
      <w:r>
        <w:rPr>
          <w:rFonts w:ascii="Times New Roman" w:hAnsi="Times New Roman" w:cs="Times New Roman"/>
          <w:sz w:val="28"/>
          <w:szCs w:val="28"/>
        </w:rPr>
        <w:t xml:space="preserve"> of overripe banana was brought from a fruit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w:t>
      </w:r>
      <w:proofErr w:type="gramStart"/>
      <w:r w:rsidR="00D62A45">
        <w:rPr>
          <w:rFonts w:ascii="Times New Roman" w:hAnsi="Times New Roman" w:cs="Times New Roman"/>
          <w:sz w:val="28"/>
          <w:szCs w:val="28"/>
        </w:rPr>
        <w:t>then</w:t>
      </w:r>
      <w:proofErr w:type="gramEnd"/>
      <w:r w:rsidR="00D62A45">
        <w:rPr>
          <w:rFonts w:ascii="Times New Roman" w:hAnsi="Times New Roman" w:cs="Times New Roman"/>
          <w:sz w:val="28"/>
          <w:szCs w:val="28"/>
        </w:rPr>
        <w:t xml:space="preserve">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 xml:space="preserve">four (4) </w:t>
      </w:r>
      <w:r w:rsidR="003363C6">
        <w:rPr>
          <w:rFonts w:ascii="Times New Roman" w:hAnsi="Times New Roman" w:cs="Times New Roman"/>
          <w:sz w:val="28"/>
          <w:szCs w:val="28"/>
        </w:rPr>
        <w:lastRenderedPageBreak/>
        <w:t>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w:t>
      </w:r>
      <w:proofErr w:type="spellStart"/>
      <w:r w:rsidR="005B6C47">
        <w:rPr>
          <w:rFonts w:ascii="Times New Roman" w:hAnsi="Times New Roman" w:cs="Times New Roman"/>
          <w:sz w:val="28"/>
          <w:szCs w:val="28"/>
        </w:rPr>
        <w:t>labelled</w:t>
      </w:r>
      <w:proofErr w:type="spellEnd"/>
      <w:r w:rsidR="005B6C47">
        <w:rPr>
          <w:rFonts w:ascii="Times New Roman" w:hAnsi="Times New Roman" w:cs="Times New Roman"/>
          <w:sz w:val="28"/>
          <w:szCs w:val="28"/>
        </w:rPr>
        <w:t xml:space="preserve"> agar plate. After Inoculation, all the plates was placed </w:t>
      </w:r>
      <w:proofErr w:type="spellStart"/>
      <w:r w:rsidR="005B6C47">
        <w:rPr>
          <w:rFonts w:ascii="Times New Roman" w:hAnsi="Times New Roman" w:cs="Times New Roman"/>
          <w:sz w:val="28"/>
          <w:szCs w:val="28"/>
        </w:rPr>
        <w:t>invertedly</w:t>
      </w:r>
      <w:proofErr w:type="spellEnd"/>
      <w:r w:rsidR="005B6C47">
        <w:rPr>
          <w:rFonts w:ascii="Times New Roman" w:hAnsi="Times New Roman" w:cs="Times New Roman"/>
          <w:sz w:val="28"/>
          <w:szCs w:val="28"/>
        </w:rPr>
        <w:t xml:space="preserve">,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proofErr w:type="spellStart"/>
      <w:r w:rsidR="00BB7E69">
        <w:rPr>
          <w:rFonts w:ascii="Times New Roman" w:hAnsi="Times New Roman" w:cs="Times New Roman"/>
          <w:sz w:val="28"/>
          <w:szCs w:val="28"/>
        </w:rPr>
        <w:t>labelled</w:t>
      </w:r>
      <w:proofErr w:type="spellEnd"/>
      <w:r w:rsidR="00BB7E69">
        <w:rPr>
          <w:rFonts w:ascii="Times New Roman" w:hAnsi="Times New Roman" w:cs="Times New Roman"/>
          <w:sz w:val="28"/>
          <w:szCs w:val="28"/>
        </w:rPr>
        <w:t xml:space="preserve">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w:t>
      </w:r>
      <w:proofErr w:type="spellStart"/>
      <w:r w:rsidR="005E3E31">
        <w:rPr>
          <w:rFonts w:ascii="Times New Roman" w:hAnsi="Times New Roman" w:cs="Times New Roman"/>
          <w:sz w:val="28"/>
          <w:szCs w:val="28"/>
        </w:rPr>
        <w:t>Subculturing</w:t>
      </w:r>
      <w:proofErr w:type="spellEnd"/>
      <w:r w:rsidR="005E3E31">
        <w:rPr>
          <w:rFonts w:ascii="Times New Roman" w:hAnsi="Times New Roman" w:cs="Times New Roman"/>
          <w:sz w:val="28"/>
          <w:szCs w:val="28"/>
        </w:rPr>
        <w:t xml:space="preserve">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 xml:space="preserve">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proofErr w:type="spellStart"/>
      <w:r w:rsidR="0051523A">
        <w:rPr>
          <w:rFonts w:ascii="Times New Roman" w:hAnsi="Times New Roman" w:cs="Times New Roman"/>
          <w:sz w:val="28"/>
          <w:szCs w:val="28"/>
        </w:rPr>
        <w:t>Citrinin</w:t>
      </w:r>
      <w:proofErr w:type="spellEnd"/>
      <w:r w:rsidR="0051523A">
        <w:rPr>
          <w:rFonts w:ascii="Times New Roman" w:hAnsi="Times New Roman" w:cs="Times New Roman"/>
          <w:sz w:val="28"/>
          <w:szCs w:val="28"/>
        </w:rPr>
        <w:t xml:space="preserve">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proofErr w:type="spellStart"/>
      <w:r w:rsidR="00E5195E">
        <w:rPr>
          <w:rFonts w:ascii="Times New Roman" w:hAnsi="Times New Roman" w:cs="Times New Roman"/>
          <w:sz w:val="28"/>
          <w:szCs w:val="28"/>
        </w:rPr>
        <w:t>c</w:t>
      </w:r>
      <w:r w:rsidR="00F85C81">
        <w:rPr>
          <w:rFonts w:ascii="Times New Roman" w:hAnsi="Times New Roman" w:cs="Times New Roman"/>
          <w:sz w:val="28"/>
          <w:szCs w:val="28"/>
        </w:rPr>
        <w:t>itrinin</w:t>
      </w:r>
      <w:proofErr w:type="spellEnd"/>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001E0B98" w:rsidRPr="0067383E">
        <w:rPr>
          <w:rFonts w:ascii="Times New Roman" w:hAnsi="Times New Roman" w:cs="Times New Roman"/>
          <w:i/>
          <w:iCs/>
          <w:sz w:val="28"/>
          <w:szCs w:val="28"/>
        </w:rPr>
        <w:t>Penicillium</w:t>
      </w:r>
      <w:proofErr w:type="spellEnd"/>
      <w:r w:rsidR="001E0B98">
        <w:rPr>
          <w:rFonts w:ascii="Times New Roman" w:hAnsi="Times New Roman" w:cs="Times New Roman"/>
          <w:sz w:val="28"/>
          <w:szCs w:val="28"/>
        </w:rPr>
        <w:t xml:space="preserve"> </w:t>
      </w:r>
      <w:proofErr w:type="spellStart"/>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proofErr w:type="spellEnd"/>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Smooth to roughened born in </w:t>
            </w:r>
            <w:proofErr w:type="spellStart"/>
            <w:r>
              <w:rPr>
                <w:rFonts w:ascii="Times New Roman" w:hAnsi="Times New Roman" w:cs="Times New Roman"/>
                <w:sz w:val="28"/>
                <w:szCs w:val="28"/>
              </w:rPr>
              <w:t>unbranched</w:t>
            </w:r>
            <w:proofErr w:type="spellEnd"/>
            <w:r>
              <w:rPr>
                <w:rFonts w:ascii="Times New Roman" w:hAnsi="Times New Roman" w:cs="Times New Roman"/>
                <w:sz w:val="28"/>
                <w:szCs w:val="28"/>
              </w:rPr>
              <w:t xml:space="preserve">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proofErr w:type="spellStart"/>
            <w:r>
              <w:rPr>
                <w:rFonts w:ascii="Times New Roman" w:hAnsi="Times New Roman" w:cs="Times New Roman"/>
                <w:iCs/>
                <w:sz w:val="28"/>
                <w:szCs w:val="28"/>
              </w:rPr>
              <w:t>eeding</w:t>
            </w:r>
            <w:proofErr w:type="spellEnd"/>
            <w:r>
              <w:rPr>
                <w:rFonts w:ascii="Times New Roman" w:hAnsi="Times New Roman" w:cs="Times New Roman"/>
                <w:iCs/>
                <w:sz w:val="28"/>
                <w:szCs w:val="28"/>
              </w:rPr>
              <w:t xml:space="preserve">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findings of this study provide clear evidence of the toxic potential of </w:t>
      </w:r>
      <w:proofErr w:type="spellStart"/>
      <w:r w:rsidRPr="0095602C">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95602C">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its metabolite,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w:t>
      </w:r>
      <w:proofErr w:type="spellStart"/>
      <w:r w:rsidR="00233D4D">
        <w:rPr>
          <w:rFonts w:ascii="Times New Roman" w:hAnsi="Times New Roman" w:cs="Times New Roman"/>
          <w:sz w:val="28"/>
          <w:szCs w:val="28"/>
        </w:rPr>
        <w:t>septate</w:t>
      </w:r>
      <w:proofErr w:type="spellEnd"/>
      <w:r w:rsidR="00233D4D">
        <w:rPr>
          <w:rFonts w:ascii="Times New Roman" w:hAnsi="Times New Roman" w:cs="Times New Roman"/>
          <w:sz w:val="28"/>
          <w:szCs w:val="28"/>
        </w:rPr>
        <w:t xml:space="preserve"> and branched hyphae along with a </w:t>
      </w:r>
      <w:proofErr w:type="spellStart"/>
      <w:r w:rsidR="00233D4D" w:rsidRPr="00233D4D">
        <w:rPr>
          <w:rFonts w:ascii="Times New Roman" w:hAnsi="Times New Roman" w:cs="Times New Roman"/>
          <w:i/>
          <w:sz w:val="28"/>
          <w:szCs w:val="28"/>
        </w:rPr>
        <w:t>penicillus</w:t>
      </w:r>
      <w:proofErr w:type="spellEnd"/>
      <w:r w:rsidR="00233D4D">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233D4D" w:rsidRPr="00233D4D">
        <w:rPr>
          <w:rFonts w:ascii="Times New Roman" w:hAnsi="Times New Roman" w:cs="Times New Roman"/>
          <w:i/>
          <w:sz w:val="28"/>
          <w:szCs w:val="28"/>
        </w:rPr>
        <w:t>Penicillium</w:t>
      </w:r>
      <w:proofErr w:type="spellEnd"/>
      <w:r w:rsidR="00233D4D">
        <w:rPr>
          <w:rFonts w:ascii="Times New Roman" w:hAnsi="Times New Roman" w:cs="Times New Roman"/>
          <w:sz w:val="28"/>
          <w:szCs w:val="28"/>
        </w:rPr>
        <w:t xml:space="preserve"> genus as outlined by Smith &amp; Read (2018) and De </w:t>
      </w:r>
      <w:proofErr w:type="spellStart"/>
      <w:r w:rsidR="00233D4D">
        <w:rPr>
          <w:rFonts w:ascii="Times New Roman" w:hAnsi="Times New Roman" w:cs="Times New Roman"/>
          <w:sz w:val="28"/>
          <w:szCs w:val="28"/>
        </w:rPr>
        <w:t>Vries</w:t>
      </w:r>
      <w:proofErr w:type="spellEnd"/>
      <w:r w:rsidR="00233D4D">
        <w:rPr>
          <w:rFonts w:ascii="Times New Roman" w:hAnsi="Times New Roman" w:cs="Times New Roman"/>
          <w:sz w:val="28"/>
          <w:szCs w:val="28"/>
        </w:rPr>
        <w:t xml:space="preserve">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 xml:space="preserve">detail the physiological and behavioral effects observed in rats administered with varying concentrations of the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w:t>
      </w:r>
      <w:proofErr w:type="spellStart"/>
      <w:r w:rsidR="00637A7F">
        <w:rPr>
          <w:rFonts w:ascii="Times New Roman" w:hAnsi="Times New Roman" w:cs="Times New Roman"/>
          <w:sz w:val="28"/>
          <w:szCs w:val="28"/>
        </w:rPr>
        <w:t>Flajs</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Peraica</w:t>
      </w:r>
      <w:proofErr w:type="spellEnd"/>
      <w:r w:rsidR="00637A7F">
        <w:rPr>
          <w:rFonts w:ascii="Times New Roman" w:hAnsi="Times New Roman" w:cs="Times New Roman"/>
          <w:sz w:val="28"/>
          <w:szCs w:val="28"/>
        </w:rPr>
        <w:t xml:space="preserve"> (2009), who reported nephrotoxicity and behavioral changes in rats exp</w:t>
      </w:r>
      <w:r>
        <w:rPr>
          <w:rFonts w:ascii="Times New Roman" w:hAnsi="Times New Roman" w:cs="Times New Roman"/>
          <w:sz w:val="28"/>
          <w:szCs w:val="28"/>
        </w:rPr>
        <w:t xml:space="preserve">osed to high doses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proofErr w:type="gramStart"/>
      <w:r>
        <w:rPr>
          <w:rFonts w:ascii="Times New Roman" w:hAnsi="Times New Roman" w:cs="Times New Roman"/>
          <w:sz w:val="28"/>
          <w:szCs w:val="28"/>
        </w:rPr>
        <w:t>]</w:t>
      </w:r>
      <w:proofErr w:type="spellStart"/>
      <w:r w:rsidR="00637A7F">
        <w:rPr>
          <w:rFonts w:ascii="Times New Roman" w:hAnsi="Times New Roman" w:cs="Times New Roman"/>
          <w:sz w:val="28"/>
          <w:szCs w:val="28"/>
        </w:rPr>
        <w:t>ullness</w:t>
      </w:r>
      <w:proofErr w:type="spellEnd"/>
      <w:proofErr w:type="gramEnd"/>
      <w:r w:rsidR="00637A7F">
        <w:rPr>
          <w:rFonts w:ascii="Times New Roman" w:hAnsi="Times New Roman" w:cs="Times New Roman"/>
          <w:sz w:val="28"/>
          <w:szCs w:val="28"/>
        </w:rPr>
        <w:t>, slow locomotion, fast breathing, and eventual death by Day 8 were observed. This aligns with the work of O’Brien et al. (2001), who noted progressive organ damage and behavioral alterations at sub-</w:t>
      </w:r>
      <w:r w:rsidR="00637A7F">
        <w:rPr>
          <w:rFonts w:ascii="Times New Roman" w:hAnsi="Times New Roman" w:cs="Times New Roman"/>
          <w:sz w:val="28"/>
          <w:szCs w:val="28"/>
        </w:rPr>
        <w:lastRenderedPageBreak/>
        <w:t xml:space="preserve">lethal </w:t>
      </w:r>
      <w:proofErr w:type="spellStart"/>
      <w:r w:rsidR="00637A7F">
        <w:rPr>
          <w:rFonts w:ascii="Times New Roman" w:hAnsi="Times New Roman" w:cs="Times New Roman"/>
          <w:sz w:val="28"/>
          <w:szCs w:val="28"/>
        </w:rPr>
        <w:t>citri</w:t>
      </w:r>
      <w:r>
        <w:rPr>
          <w:rFonts w:ascii="Times New Roman" w:hAnsi="Times New Roman" w:cs="Times New Roman"/>
          <w:sz w:val="28"/>
          <w:szCs w:val="28"/>
        </w:rPr>
        <w:t>nin</w:t>
      </w:r>
      <w:proofErr w:type="spellEnd"/>
      <w:r>
        <w:rPr>
          <w:rFonts w:ascii="Times New Roman" w:hAnsi="Times New Roman" w:cs="Times New Roman"/>
          <w:sz w:val="28"/>
          <w:szCs w:val="28"/>
        </w:rPr>
        <w:t xml:space="preserve"> doses. At 60% concentration (Table 4</w:t>
      </w:r>
      <w:r w:rsidR="00637A7F">
        <w:rPr>
          <w:rFonts w:ascii="Times New Roman" w:hAnsi="Times New Roman" w:cs="Times New Roman"/>
          <w:sz w:val="28"/>
          <w:szCs w:val="28"/>
        </w:rPr>
        <w:t xml:space="preserve">), the rats showed milder but noticeable symptoms, including slow movement, less active behavior, and pale skin by Day 8. Notably, no deaths were recorded. These results mirror those of </w:t>
      </w:r>
      <w:proofErr w:type="spellStart"/>
      <w:r w:rsidR="00637A7F">
        <w:rPr>
          <w:rFonts w:ascii="Times New Roman" w:hAnsi="Times New Roman" w:cs="Times New Roman"/>
          <w:sz w:val="28"/>
          <w:szCs w:val="28"/>
        </w:rPr>
        <w:t>Bennet</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Klich</w:t>
      </w:r>
      <w:proofErr w:type="spellEnd"/>
      <w:r w:rsidR="00637A7F">
        <w:rPr>
          <w:rFonts w:ascii="Times New Roman" w:hAnsi="Times New Roman" w:cs="Times New Roman"/>
          <w:sz w:val="28"/>
          <w:szCs w:val="28"/>
        </w:rPr>
        <w:t xml:space="preserve"> (2003), who found that moderate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w:t>
      </w:r>
      <w:proofErr w:type="gramStart"/>
      <w:r w:rsidR="00637A7F">
        <w:rPr>
          <w:rFonts w:ascii="Times New Roman" w:hAnsi="Times New Roman" w:cs="Times New Roman"/>
          <w:sz w:val="28"/>
          <w:szCs w:val="28"/>
        </w:rPr>
        <w:t>exposure</w:t>
      </w:r>
      <w:proofErr w:type="gramEnd"/>
      <w:r w:rsidR="00637A7F">
        <w:rPr>
          <w:rFonts w:ascii="Times New Roman" w:hAnsi="Times New Roman" w:cs="Times New Roman"/>
          <w:sz w:val="28"/>
          <w:szCs w:val="28"/>
        </w:rPr>
        <w:t xml:space="preserv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toxicity, consistent with research by </w:t>
      </w:r>
      <w:proofErr w:type="spellStart"/>
      <w:r w:rsidR="00637A7F">
        <w:rPr>
          <w:rFonts w:ascii="Times New Roman" w:hAnsi="Times New Roman" w:cs="Times New Roman"/>
          <w:sz w:val="28"/>
          <w:szCs w:val="28"/>
        </w:rPr>
        <w:t>Zöllner</w:t>
      </w:r>
      <w:proofErr w:type="spellEnd"/>
      <w:r w:rsidR="00637A7F">
        <w:rPr>
          <w:rFonts w:ascii="Times New Roman" w:hAnsi="Times New Roman" w:cs="Times New Roman"/>
          <w:sz w:val="28"/>
          <w:szCs w:val="28"/>
        </w:rPr>
        <w:t xml:space="preserve"> and Mayer-Helm (2006), who demonstrated cumulative sub-lethal effects of </w:t>
      </w:r>
      <w:proofErr w:type="spellStart"/>
      <w:r w:rsidR="00637A7F">
        <w:rPr>
          <w:rFonts w:ascii="Times New Roman" w:hAnsi="Times New Roman" w:cs="Times New Roman"/>
          <w:sz w:val="28"/>
          <w:szCs w:val="28"/>
        </w:rPr>
        <w:t>mycotoxins</w:t>
      </w:r>
      <w:proofErr w:type="spellEnd"/>
      <w:r w:rsidR="00637A7F">
        <w:rPr>
          <w:rFonts w:ascii="Times New Roman" w:hAnsi="Times New Roman" w:cs="Times New Roman"/>
          <w:sz w:val="28"/>
          <w:szCs w:val="28"/>
        </w:rPr>
        <w:t>.</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nephrotoxicity and hepatotoxicity, as also documented by </w:t>
      </w: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and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proofErr w:type="spellStart"/>
      <w:r w:rsidRPr="003363B0">
        <w:rPr>
          <w:rFonts w:ascii="Times New Roman" w:hAnsi="Times New Roman" w:cs="Times New Roman"/>
          <w:i/>
          <w:iCs/>
          <w:sz w:val="28"/>
          <w:szCs w:val="28"/>
        </w:rPr>
        <w:t>Penicillium</w:t>
      </w:r>
      <w:proofErr w:type="spellEnd"/>
      <w:r w:rsidRPr="003363B0">
        <w:rPr>
          <w:rFonts w:ascii="Times New Roman" w:hAnsi="Times New Roman" w:cs="Times New Roman"/>
          <w:i/>
          <w:iCs/>
          <w:sz w:val="28"/>
          <w:szCs w:val="28"/>
        </w:rPr>
        <w:t xml:space="preserve"> </w:t>
      </w:r>
      <w:proofErr w:type="spellStart"/>
      <w:r w:rsidRPr="003363B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the preparation of its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revealing </w:t>
      </w:r>
      <w:r>
        <w:rPr>
          <w:rFonts w:ascii="Times New Roman" w:hAnsi="Times New Roman" w:cs="Times New Roman"/>
          <w:sz w:val="28"/>
          <w:szCs w:val="28"/>
        </w:rPr>
        <w:lastRenderedPageBreak/>
        <w:t xml:space="preserve">significant dose-dependent toxic effects in rat models. High concentrations induced severe symptoms such as weight loss, behavioral changes, and mortality, while lower doses had minimal impact. These findings align with established research on </w:t>
      </w:r>
      <w:proofErr w:type="spellStart"/>
      <w:r>
        <w:rPr>
          <w:rFonts w:ascii="Times New Roman" w:hAnsi="Times New Roman" w:cs="Times New Roman"/>
          <w:sz w:val="28"/>
          <w:szCs w:val="28"/>
        </w:rPr>
        <w:t>citrinin’s</w:t>
      </w:r>
      <w:proofErr w:type="spellEnd"/>
      <w:r>
        <w:rPr>
          <w:rFonts w:ascii="Times New Roman" w:hAnsi="Times New Roman" w:cs="Times New Roman"/>
          <w:sz w:val="28"/>
          <w:szCs w:val="28"/>
        </w:rPr>
        <w:t xml:space="preserve"> nephrotoxic and neurotoxic effects, emphasizing its potential risk to animal and human health. The study underscores the importance of monitoring fungal contamination in food products and highlights the need for stricter regulations to mitigate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Alexopoulo</w:t>
      </w:r>
      <w:proofErr w:type="spellEnd"/>
      <w:proofErr w:type="gramStart"/>
      <w:r w:rsidR="00233D4D">
        <w:rPr>
          <w:rFonts w:ascii="Times New Roman" w:hAnsi="Times New Roman" w:cs="Times New Roman"/>
          <w:sz w:val="28"/>
          <w:szCs w:val="28"/>
        </w:rPr>
        <w:t>]</w:t>
      </w:r>
      <w:r>
        <w:rPr>
          <w:rFonts w:ascii="Times New Roman" w:hAnsi="Times New Roman" w:cs="Times New Roman"/>
          <w:sz w:val="28"/>
          <w:szCs w:val="28"/>
        </w:rPr>
        <w:t>s</w:t>
      </w:r>
      <w:proofErr w:type="gramEnd"/>
      <w:r>
        <w:rPr>
          <w:rFonts w:ascii="Times New Roman" w:hAnsi="Times New Roman" w:cs="Times New Roman"/>
          <w:sz w:val="28"/>
          <w:szCs w:val="28"/>
        </w:rPr>
        <w:t xml:space="preserve">, S., </w:t>
      </w:r>
      <w:proofErr w:type="spellStart"/>
      <w:r>
        <w:rPr>
          <w:rFonts w:ascii="Times New Roman" w:hAnsi="Times New Roman" w:cs="Times New Roman"/>
          <w:sz w:val="28"/>
          <w:szCs w:val="28"/>
        </w:rPr>
        <w:t>Stamatelopoulou</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Varzakas</w:t>
      </w:r>
      <w:proofErr w:type="spellEnd"/>
      <w:r>
        <w:rPr>
          <w:rFonts w:ascii="Times New Roman" w:hAnsi="Times New Roman" w:cs="Times New Roman"/>
          <w:sz w:val="28"/>
          <w:szCs w:val="28"/>
        </w:rPr>
        <w:t xml:space="preserve">, T. (2020). Advances in occurrence, detection, and detoxification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potential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threat in food safety. </w:t>
      </w:r>
      <w:proofErr w:type="gramStart"/>
      <w:r>
        <w:rPr>
          <w:rFonts w:ascii="Times New Roman" w:hAnsi="Times New Roman" w:cs="Times New Roman"/>
          <w:sz w:val="28"/>
          <w:szCs w:val="28"/>
        </w:rPr>
        <w:t>Foods, 9(11), 1574.</w:t>
      </w:r>
      <w:proofErr w:type="gramEnd"/>
      <w:r>
        <w:rPr>
          <w:rFonts w:ascii="Times New Roman" w:hAnsi="Times New Roman" w:cs="Times New Roman"/>
          <w:sz w:val="28"/>
          <w:szCs w:val="28"/>
        </w:rPr>
        <w:t xml:space="preserve">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Bennett, J. W., &amp; </w:t>
      </w:r>
      <w:proofErr w:type="spellStart"/>
      <w:r>
        <w:rPr>
          <w:rFonts w:ascii="Times New Roman" w:hAnsi="Times New Roman" w:cs="Times New Roman"/>
          <w:sz w:val="28"/>
          <w:szCs w:val="28"/>
        </w:rPr>
        <w:t>Klich</w:t>
      </w:r>
      <w:proofErr w:type="spellEnd"/>
      <w:r>
        <w:rPr>
          <w:rFonts w:ascii="Times New Roman" w:hAnsi="Times New Roman" w:cs="Times New Roman"/>
          <w:sz w:val="28"/>
          <w:szCs w:val="28"/>
        </w:rPr>
        <w:t>, M. (2019).</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Clinical Microbiology Reviews, 16(3), 497–516. </w:t>
      </w:r>
      <w:hyperlink r:id="rId12"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Cabanes</w:t>
      </w:r>
      <w:proofErr w:type="spellEnd"/>
      <w:r>
        <w:rPr>
          <w:rFonts w:ascii="Times New Roman" w:hAnsi="Times New Roman" w:cs="Times New Roman"/>
          <w:sz w:val="28"/>
          <w:szCs w:val="28"/>
        </w:rPr>
        <w:t xml:space="preserve">, F. J., </w:t>
      </w:r>
      <w:proofErr w:type="spellStart"/>
      <w:r>
        <w:rPr>
          <w:rFonts w:ascii="Times New Roman" w:hAnsi="Times New Roman" w:cs="Times New Roman"/>
          <w:sz w:val="28"/>
          <w:szCs w:val="28"/>
        </w:rPr>
        <w:t>Bragulat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Castellá</w:t>
      </w:r>
      <w:proofErr w:type="spellEnd"/>
      <w:r>
        <w:rPr>
          <w:rFonts w:ascii="Times New Roman" w:hAnsi="Times New Roman" w:cs="Times New Roman"/>
          <w:sz w:val="28"/>
          <w:szCs w:val="28"/>
        </w:rPr>
        <w:t>, G., &amp; Martín, R. (2021).</w:t>
      </w:r>
      <w:proofErr w:type="gramEnd"/>
      <w:r>
        <w:rPr>
          <w:rFonts w:ascii="Times New Roman" w:hAnsi="Times New Roman" w:cs="Times New Roman"/>
          <w:sz w:val="28"/>
          <w:szCs w:val="28"/>
        </w:rPr>
        <w:t xml:space="preserve"> Occurrence and significance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species related to food and indoor environments. </w:t>
      </w:r>
      <w:proofErr w:type="gramStart"/>
      <w:r>
        <w:rPr>
          <w:rFonts w:ascii="Times New Roman" w:hAnsi="Times New Roman" w:cs="Times New Roman"/>
          <w:sz w:val="28"/>
          <w:szCs w:val="28"/>
        </w:rPr>
        <w:t>International Journal of Environmental Research and Public Health, 18(22), 11771.</w:t>
      </w:r>
      <w:proofErr w:type="gramEnd"/>
      <w:r>
        <w:rPr>
          <w:rFonts w:ascii="Times New Roman" w:hAnsi="Times New Roman" w:cs="Times New Roman"/>
          <w:sz w:val="28"/>
          <w:szCs w:val="28"/>
        </w:rPr>
        <w:t xml:space="preserve"> </w:t>
      </w:r>
      <w:hyperlink r:id="rId13"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G. S., </w:t>
      </w:r>
      <w:proofErr w:type="spellStart"/>
      <w:r>
        <w:rPr>
          <w:rFonts w:ascii="Times New Roman" w:hAnsi="Times New Roman" w:cs="Times New Roman"/>
          <w:sz w:val="28"/>
          <w:szCs w:val="28"/>
        </w:rPr>
        <w:t>Guarro</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Gené</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Figueras</w:t>
      </w:r>
      <w:proofErr w:type="spellEnd"/>
      <w:r>
        <w:rPr>
          <w:rFonts w:ascii="Times New Roman" w:hAnsi="Times New Roman" w:cs="Times New Roman"/>
          <w:sz w:val="28"/>
          <w:szCs w:val="28"/>
        </w:rPr>
        <w:t>, M. J. (2021).</w:t>
      </w:r>
      <w:proofErr w:type="gramEnd"/>
      <w:r>
        <w:rPr>
          <w:rFonts w:ascii="Times New Roman" w:hAnsi="Times New Roman" w:cs="Times New Roman"/>
          <w:sz w:val="28"/>
          <w:szCs w:val="28"/>
        </w:rPr>
        <w:t xml:space="preserve">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Westerdijk</w:t>
      </w:r>
      <w:proofErr w:type="spellEnd"/>
      <w:r>
        <w:rPr>
          <w:rFonts w:ascii="Times New Roman" w:hAnsi="Times New Roman" w:cs="Times New Roman"/>
          <w:sz w:val="28"/>
          <w:szCs w:val="28"/>
        </w:rPr>
        <w:t xml:space="preserve"> Fungal Biodiversity Institute.</w:t>
      </w:r>
      <w:proofErr w:type="gramEnd"/>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EFSA Panel on Contaminants in the Food Chain (CONTAM).</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(2019). Risk assessment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food and feed.</w:t>
      </w:r>
      <w:proofErr w:type="gramEnd"/>
      <w:r>
        <w:rPr>
          <w:rFonts w:ascii="Times New Roman" w:hAnsi="Times New Roman" w:cs="Times New Roman"/>
          <w:sz w:val="28"/>
          <w:szCs w:val="28"/>
        </w:rPr>
        <w:t xml:space="preserve">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Fisher, M. C., </w:t>
      </w:r>
      <w:proofErr w:type="spellStart"/>
      <w:r>
        <w:rPr>
          <w:rFonts w:ascii="Times New Roman" w:hAnsi="Times New Roman" w:cs="Times New Roman"/>
          <w:sz w:val="28"/>
          <w:szCs w:val="28"/>
        </w:rPr>
        <w:t>Alastruey-Izquierdo</w:t>
      </w:r>
      <w:proofErr w:type="spellEnd"/>
      <w:r>
        <w:rPr>
          <w:rFonts w:ascii="Times New Roman" w:hAnsi="Times New Roman" w:cs="Times New Roman"/>
          <w:sz w:val="28"/>
          <w:szCs w:val="28"/>
        </w:rPr>
        <w:t xml:space="preserve">, A., Berman, J., </w:t>
      </w:r>
      <w:proofErr w:type="spellStart"/>
      <w:r>
        <w:rPr>
          <w:rFonts w:ascii="Times New Roman" w:hAnsi="Times New Roman" w:cs="Times New Roman"/>
          <w:sz w:val="28"/>
          <w:szCs w:val="28"/>
        </w:rPr>
        <w:t>Bicanic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Bignell</w:t>
      </w:r>
      <w:proofErr w:type="spellEnd"/>
      <w:r>
        <w:rPr>
          <w:rFonts w:ascii="Times New Roman" w:hAnsi="Times New Roman" w:cs="Times New Roman"/>
          <w:sz w:val="28"/>
          <w:szCs w:val="28"/>
        </w:rPr>
        <w:t>, E. M., Bowyer, P., &amp; White, T.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Tackling the emerging threat of antifungal resistance to human health.</w:t>
      </w:r>
      <w:proofErr w:type="gramEnd"/>
      <w:r>
        <w:rPr>
          <w:rFonts w:ascii="Times New Roman" w:hAnsi="Times New Roman" w:cs="Times New Roman"/>
          <w:sz w:val="28"/>
          <w:szCs w:val="28"/>
        </w:rPr>
        <w:t xml:space="preserve"> Nature Reviews </w:t>
      </w:r>
      <w:r>
        <w:rPr>
          <w:rFonts w:ascii="Times New Roman" w:hAnsi="Times New Roman" w:cs="Times New Roman"/>
          <w:sz w:val="28"/>
          <w:szCs w:val="28"/>
        </w:rPr>
        <w:lastRenderedPageBreak/>
        <w:t xml:space="preserve">Microbiology, 18(7), 401–412. </w:t>
      </w:r>
      <w:hyperlink r:id="rId14"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(2018). </w:t>
      </w:r>
      <w:proofErr w:type="gramStart"/>
      <w:r>
        <w:rPr>
          <w:rFonts w:ascii="Times New Roman" w:hAnsi="Times New Roman" w:cs="Times New Roman"/>
          <w:sz w:val="28"/>
          <w:szCs w:val="28"/>
        </w:rPr>
        <w:t>Fungal secondary metabolites as selective agents for biological interactions and their evolution.</w:t>
      </w:r>
      <w:proofErr w:type="gramEnd"/>
      <w:r>
        <w:rPr>
          <w:rFonts w:ascii="Times New Roman" w:hAnsi="Times New Roman" w:cs="Times New Roman"/>
          <w:sz w:val="28"/>
          <w:szCs w:val="28"/>
        </w:rPr>
        <w:t xml:space="preserve"> Fungal Genetics and Biology, 112, 53–55. </w:t>
      </w:r>
      <w:hyperlink r:id="rId15"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Frisvad</w:t>
      </w:r>
      <w:proofErr w:type="spellEnd"/>
      <w:r>
        <w:rPr>
          <w:rFonts w:ascii="Times New Roman" w:hAnsi="Times New Roman" w:cs="Times New Roman"/>
          <w:sz w:val="28"/>
          <w:szCs w:val="28"/>
        </w:rPr>
        <w:t>, J. C., &amp; Samson, R. A. (2018).</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Polyphasic</w:t>
      </w:r>
      <w:proofErr w:type="spellEnd"/>
      <w:r>
        <w:rPr>
          <w:rFonts w:ascii="Times New Roman" w:hAnsi="Times New Roman" w:cs="Times New Roman"/>
          <w:sz w:val="28"/>
          <w:szCs w:val="28"/>
        </w:rPr>
        <w:t xml:space="preserve">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subgenus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 guide to identification of food and air-borne </w:t>
      </w:r>
      <w:proofErr w:type="spellStart"/>
      <w:r>
        <w:rPr>
          <w:rFonts w:ascii="Times New Roman" w:hAnsi="Times New Roman" w:cs="Times New Roman"/>
          <w:sz w:val="28"/>
          <w:szCs w:val="28"/>
        </w:rPr>
        <w:t>terverticillate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penicillia</w:t>
      </w:r>
      <w:proofErr w:type="spellEnd"/>
      <w:r>
        <w:rPr>
          <w:rFonts w:ascii="Times New Roman" w:hAnsi="Times New Roman" w:cs="Times New Roman"/>
          <w:sz w:val="28"/>
          <w:szCs w:val="28"/>
        </w:rPr>
        <w:t xml:space="preserve"> and their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Studies in Mycology, 70(1), 1–260. </w:t>
      </w:r>
      <w:hyperlink r:id="rId16"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Gao</w:t>
      </w:r>
      <w:proofErr w:type="spellEnd"/>
      <w:proofErr w:type="gramEnd"/>
      <w:r>
        <w:rPr>
          <w:rFonts w:ascii="Times New Roman" w:hAnsi="Times New Roman" w:cs="Times New Roman"/>
          <w:sz w:val="28"/>
          <w:szCs w:val="28"/>
        </w:rPr>
        <w:t xml:space="preserve">, L., Zhang, Y., Zhao, Y., &amp; Wang, J. (2022).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and technologies.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14(5), 312.</w:t>
      </w:r>
      <w:proofErr w:type="gramEnd"/>
      <w:r>
        <w:rPr>
          <w:rFonts w:ascii="Times New Roman" w:hAnsi="Times New Roman" w:cs="Times New Roman"/>
          <w:sz w:val="28"/>
          <w:szCs w:val="28"/>
        </w:rPr>
        <w:t xml:space="preserve"> </w:t>
      </w:r>
      <w:hyperlink r:id="rId17"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Gauther</w:t>
      </w:r>
      <w:proofErr w:type="spellEnd"/>
      <w:r>
        <w:rPr>
          <w:rFonts w:ascii="Times New Roman" w:hAnsi="Times New Roman" w:cs="Times New Roman"/>
          <w:sz w:val="28"/>
          <w:szCs w:val="28"/>
        </w:rPr>
        <w:t xml:space="preserve">, S., Pont, F., Richard, E., &amp;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O.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Fungal secondary metabolites as chemical mediators in fungus–insect interactions.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10, 1168.</w:t>
      </w:r>
      <w:proofErr w:type="gramEnd"/>
      <w:r>
        <w:rPr>
          <w:rFonts w:ascii="Times New Roman" w:hAnsi="Times New Roman" w:cs="Times New Roman"/>
          <w:sz w:val="28"/>
          <w:szCs w:val="28"/>
        </w:rPr>
        <w:t xml:space="preserve"> </w:t>
      </w:r>
      <w:hyperlink r:id="rId18"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Geng</w:t>
      </w:r>
      <w:proofErr w:type="spellEnd"/>
      <w:r>
        <w:rPr>
          <w:rFonts w:ascii="Times New Roman" w:hAnsi="Times New Roman" w:cs="Times New Roman"/>
          <w:sz w:val="28"/>
          <w:szCs w:val="28"/>
        </w:rPr>
        <w:t xml:space="preserve">, P., Kang, X., Chen, H., &amp;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J. (2021).</w:t>
      </w:r>
      <w:proofErr w:type="gramEnd"/>
      <w:r>
        <w:rPr>
          <w:rFonts w:ascii="Times New Roman" w:hAnsi="Times New Roman" w:cs="Times New Roman"/>
          <w:sz w:val="28"/>
          <w:szCs w:val="28"/>
        </w:rPr>
        <w:t xml:space="preserve"> The health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What we know so far. </w:t>
      </w:r>
      <w:proofErr w:type="gramStart"/>
      <w:r>
        <w:rPr>
          <w:rFonts w:ascii="Times New Roman" w:hAnsi="Times New Roman" w:cs="Times New Roman"/>
          <w:sz w:val="28"/>
          <w:szCs w:val="28"/>
        </w:rPr>
        <w:t>Frontiers in Public Health, 9, 652468.</w:t>
      </w:r>
      <w:proofErr w:type="gramEnd"/>
      <w:r>
        <w:rPr>
          <w:rFonts w:ascii="Times New Roman" w:hAnsi="Times New Roman" w:cs="Times New Roman"/>
          <w:sz w:val="28"/>
          <w:szCs w:val="28"/>
        </w:rPr>
        <w:t xml:space="preserve"> </w:t>
      </w:r>
      <w:hyperlink r:id="rId19"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Golan, Y., &amp; Pringle,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Long-distance dispersal of fungi.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5(4), 5-4.</w:t>
      </w:r>
      <w:proofErr w:type="gramEnd"/>
      <w:r>
        <w:rPr>
          <w:rFonts w:ascii="Times New Roman" w:hAnsi="Times New Roman" w:cs="Times New Roman"/>
          <w:sz w:val="28"/>
          <w:szCs w:val="28"/>
        </w:rPr>
        <w:t xml:space="preserve"> </w:t>
      </w:r>
      <w:hyperlink r:id="rId20"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S. S., </w:t>
      </w:r>
      <w:proofErr w:type="spellStart"/>
      <w:r>
        <w:rPr>
          <w:rFonts w:ascii="Times New Roman" w:hAnsi="Times New Roman" w:cs="Times New Roman"/>
          <w:sz w:val="28"/>
          <w:szCs w:val="28"/>
        </w:rPr>
        <w:t>Figueiredo-Carvalho</w:t>
      </w:r>
      <w:proofErr w:type="spellEnd"/>
      <w:r>
        <w:rPr>
          <w:rFonts w:ascii="Times New Roman" w:hAnsi="Times New Roman" w:cs="Times New Roman"/>
          <w:sz w:val="28"/>
          <w:szCs w:val="28"/>
        </w:rPr>
        <w:t xml:space="preserve">, M. H., Pinto, P. M., &amp; </w:t>
      </w:r>
      <w:proofErr w:type="spellStart"/>
      <w:r>
        <w:rPr>
          <w:rFonts w:ascii="Times New Roman" w:hAnsi="Times New Roman" w:cs="Times New Roman"/>
          <w:sz w:val="28"/>
          <w:szCs w:val="28"/>
        </w:rPr>
        <w:t>Zancopé</w:t>
      </w:r>
      <w:proofErr w:type="spellEnd"/>
      <w:r>
        <w:rPr>
          <w:rFonts w:ascii="Times New Roman" w:hAnsi="Times New Roman" w:cs="Times New Roman"/>
          <w:sz w:val="28"/>
          <w:szCs w:val="28"/>
        </w:rPr>
        <w:t>-Oliveira, R. M. (2021).</w:t>
      </w:r>
      <w:proofErr w:type="gramEnd"/>
      <w:r>
        <w:rPr>
          <w:rFonts w:ascii="Times New Roman" w:hAnsi="Times New Roman" w:cs="Times New Roman"/>
          <w:sz w:val="28"/>
          <w:szCs w:val="28"/>
        </w:rPr>
        <w:t xml:space="preserve"> Emerging pathogens: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Mucorales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Microorganisms, 9(6), 1177.</w:t>
      </w:r>
      <w:proofErr w:type="gramEnd"/>
      <w:r>
        <w:rPr>
          <w:rFonts w:ascii="Times New Roman" w:hAnsi="Times New Roman" w:cs="Times New Roman"/>
          <w:sz w:val="28"/>
          <w:szCs w:val="28"/>
        </w:rPr>
        <w:t xml:space="preserve"> </w:t>
      </w:r>
      <w:hyperlink r:id="rId21"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Grollman</w:t>
      </w:r>
      <w:proofErr w:type="spellEnd"/>
      <w:r>
        <w:rPr>
          <w:rFonts w:ascii="Times New Roman" w:hAnsi="Times New Roman" w:cs="Times New Roman"/>
          <w:sz w:val="28"/>
          <w:szCs w:val="28"/>
        </w:rPr>
        <w:t xml:space="preserve">, A. P., </w:t>
      </w:r>
      <w:proofErr w:type="spellStart"/>
      <w:r>
        <w:rPr>
          <w:rFonts w:ascii="Times New Roman" w:hAnsi="Times New Roman" w:cs="Times New Roman"/>
          <w:sz w:val="28"/>
          <w:szCs w:val="28"/>
        </w:rPr>
        <w:t>Shibutani</w:t>
      </w:r>
      <w:proofErr w:type="spellEnd"/>
      <w:r>
        <w:rPr>
          <w:rFonts w:ascii="Times New Roman" w:hAnsi="Times New Roman" w:cs="Times New Roman"/>
          <w:sz w:val="28"/>
          <w:szCs w:val="28"/>
        </w:rPr>
        <w:t xml:space="preserve">, S., Moriya, M., Miller, F., Wu, L., Moll, U., &amp; Poirier, M. C. (2017). </w:t>
      </w:r>
      <w:proofErr w:type="spellStart"/>
      <w:proofErr w:type="gramStart"/>
      <w:r>
        <w:rPr>
          <w:rFonts w:ascii="Times New Roman" w:hAnsi="Times New Roman" w:cs="Times New Roman"/>
          <w:sz w:val="28"/>
          <w:szCs w:val="28"/>
        </w:rPr>
        <w:t>Aristolochic</w:t>
      </w:r>
      <w:proofErr w:type="spellEnd"/>
      <w:r>
        <w:rPr>
          <w:rFonts w:ascii="Times New Roman" w:hAnsi="Times New Roman" w:cs="Times New Roman"/>
          <w:sz w:val="28"/>
          <w:szCs w:val="28"/>
        </w:rPr>
        <w:t xml:space="preserve"> acid and the etiology of endemic (Balkan) nephropathy.</w:t>
      </w:r>
      <w:proofErr w:type="gramEnd"/>
      <w:r>
        <w:rPr>
          <w:rFonts w:ascii="Times New Roman" w:hAnsi="Times New Roman" w:cs="Times New Roman"/>
          <w:sz w:val="28"/>
          <w:szCs w:val="28"/>
        </w:rPr>
        <w:t xml:space="preserve"> Proceedings of the National Academy of Sciences, 111(2), 1301–1306. </w:t>
      </w:r>
      <w:hyperlink r:id="rId22"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Haque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McKimm</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Sartelli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Dhingra</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Bakar</w:t>
      </w:r>
      <w:proofErr w:type="spellEnd"/>
      <w:r>
        <w:rPr>
          <w:rFonts w:ascii="Times New Roman" w:hAnsi="Times New Roman" w:cs="Times New Roman"/>
          <w:sz w:val="28"/>
          <w:szCs w:val="28"/>
        </w:rPr>
        <w:t>, M. A. (2021).</w:t>
      </w:r>
      <w:proofErr w:type="gramEnd"/>
      <w:r>
        <w:rPr>
          <w:rFonts w:ascii="Times New Roman" w:hAnsi="Times New Roman" w:cs="Times New Roman"/>
          <w:sz w:val="28"/>
          <w:szCs w:val="28"/>
        </w:rPr>
        <w:t xml:space="preserve"> Fungal infections: A global burden and an emerging crisis. Infection and Drug Resistance, 14, 629–637. </w:t>
      </w:r>
      <w:hyperlink r:id="rId23"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He, Q., &amp; Cox, R. J.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 molecular steps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biosynthesis in fungi.</w:t>
      </w:r>
      <w:proofErr w:type="gramEnd"/>
      <w:r>
        <w:rPr>
          <w:rFonts w:ascii="Times New Roman" w:hAnsi="Times New Roman" w:cs="Times New Roman"/>
          <w:sz w:val="28"/>
          <w:szCs w:val="28"/>
        </w:rPr>
        <w:t xml:space="preserve"> Fungal Biology Reviews, 33(1), 44–52. </w:t>
      </w:r>
      <w:hyperlink r:id="rId24"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Heitman</w:t>
      </w:r>
      <w:proofErr w:type="spellEnd"/>
      <w:r>
        <w:rPr>
          <w:rFonts w:ascii="Times New Roman" w:hAnsi="Times New Roman" w:cs="Times New Roman"/>
          <w:sz w:val="28"/>
          <w:szCs w:val="28"/>
        </w:rPr>
        <w:t xml:space="preserve">, J., Carter, D. A., Dyer, P. S., &amp; </w:t>
      </w:r>
      <w:proofErr w:type="spellStart"/>
      <w:r>
        <w:rPr>
          <w:rFonts w:ascii="Times New Roman" w:hAnsi="Times New Roman" w:cs="Times New Roman"/>
          <w:sz w:val="28"/>
          <w:szCs w:val="28"/>
        </w:rPr>
        <w:t>Soll</w:t>
      </w:r>
      <w:proofErr w:type="spellEnd"/>
      <w:r>
        <w:rPr>
          <w:rFonts w:ascii="Times New Roman" w:hAnsi="Times New Roman" w:cs="Times New Roman"/>
          <w:sz w:val="28"/>
          <w:szCs w:val="28"/>
        </w:rPr>
        <w:t xml:space="preserve">, D. R. (2021). </w:t>
      </w:r>
      <w:proofErr w:type="gramStart"/>
      <w:r>
        <w:rPr>
          <w:rFonts w:ascii="Times New Roman" w:hAnsi="Times New Roman" w:cs="Times New Roman"/>
          <w:sz w:val="28"/>
          <w:szCs w:val="28"/>
        </w:rPr>
        <w:t>Genomics, molecular biology, and epidemiology of fungal infections.</w:t>
      </w:r>
      <w:proofErr w:type="gramEnd"/>
      <w:r>
        <w:rPr>
          <w:rFonts w:ascii="Times New Roman" w:hAnsi="Times New Roman" w:cs="Times New Roman"/>
          <w:sz w:val="28"/>
          <w:szCs w:val="28"/>
        </w:rPr>
        <w:t xml:space="preserve">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Hetherington, A. C., &amp; </w:t>
      </w:r>
      <w:proofErr w:type="spellStart"/>
      <w:r>
        <w:rPr>
          <w:rFonts w:ascii="Times New Roman" w:hAnsi="Times New Roman" w:cs="Times New Roman"/>
          <w:sz w:val="28"/>
          <w:szCs w:val="28"/>
        </w:rPr>
        <w:t>Raistrick</w:t>
      </w:r>
      <w:proofErr w:type="spellEnd"/>
      <w:r>
        <w:rPr>
          <w:rFonts w:ascii="Times New Roman" w:hAnsi="Times New Roman" w:cs="Times New Roman"/>
          <w:sz w:val="28"/>
          <w:szCs w:val="28"/>
        </w:rPr>
        <w:t>, H. (1931).</w:t>
      </w:r>
      <w:proofErr w:type="gramEnd"/>
      <w:r>
        <w:rPr>
          <w:rFonts w:ascii="Times New Roman" w:hAnsi="Times New Roman" w:cs="Times New Roman"/>
          <w:sz w:val="28"/>
          <w:szCs w:val="28"/>
        </w:rPr>
        <w:t xml:space="preserve"> Studies in the biochemistry of microorganisms: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metabolic product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Hibbett</w:t>
      </w:r>
      <w:proofErr w:type="spellEnd"/>
      <w:r>
        <w:rPr>
          <w:rFonts w:ascii="Times New Roman" w:hAnsi="Times New Roman" w:cs="Times New Roman"/>
          <w:sz w:val="28"/>
          <w:szCs w:val="28"/>
        </w:rPr>
        <w:t xml:space="preserve">, D. S., </w:t>
      </w:r>
      <w:proofErr w:type="spellStart"/>
      <w:r>
        <w:rPr>
          <w:rFonts w:ascii="Times New Roman" w:hAnsi="Times New Roman" w:cs="Times New Roman"/>
          <w:sz w:val="28"/>
          <w:szCs w:val="28"/>
        </w:rPr>
        <w:t>Abarenkov</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Kõljalg</w:t>
      </w:r>
      <w:proofErr w:type="spellEnd"/>
      <w:r>
        <w:rPr>
          <w:rFonts w:ascii="Times New Roman" w:hAnsi="Times New Roman" w:cs="Times New Roman"/>
          <w:sz w:val="28"/>
          <w:szCs w:val="28"/>
        </w:rPr>
        <w:t xml:space="preserve">, U., </w:t>
      </w:r>
      <w:proofErr w:type="spellStart"/>
      <w:r>
        <w:rPr>
          <w:rFonts w:ascii="Times New Roman" w:hAnsi="Times New Roman" w:cs="Times New Roman"/>
          <w:sz w:val="28"/>
          <w:szCs w:val="28"/>
        </w:rPr>
        <w:t>Öpik</w:t>
      </w:r>
      <w:proofErr w:type="spellEnd"/>
      <w:r>
        <w:rPr>
          <w:rFonts w:ascii="Times New Roman" w:hAnsi="Times New Roman" w:cs="Times New Roman"/>
          <w:sz w:val="28"/>
          <w:szCs w:val="28"/>
        </w:rPr>
        <w:t>, M., Chai, B., Cole, J. R., &amp; Nilsson, R. H.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Sequence-based classification and identification of fungi.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xml:space="preserve">, 110(5), 911–930. </w:t>
      </w:r>
      <w:hyperlink r:id="rId25"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C. M., &amp; Samson, R. A.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taxonomy in the genomic era.</w:t>
      </w:r>
      <w:proofErr w:type="gramEnd"/>
      <w:r>
        <w:rPr>
          <w:rFonts w:ascii="Times New Roman" w:hAnsi="Times New Roman" w:cs="Times New Roman"/>
          <w:sz w:val="28"/>
          <w:szCs w:val="28"/>
        </w:rPr>
        <w:t xml:space="preserve"> Studies in Mycology, 95, 1–27. </w:t>
      </w:r>
      <w:hyperlink r:id="rId26"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J., Wang, Y., Liu, Y., &amp; Yan, H. (2020).</w:t>
      </w:r>
      <w:proofErr w:type="gramEnd"/>
      <w:r>
        <w:rPr>
          <w:rFonts w:ascii="Times New Roman" w:hAnsi="Times New Roman" w:cs="Times New Roman"/>
          <w:sz w:val="28"/>
          <w:szCs w:val="28"/>
        </w:rPr>
        <w:t xml:space="preserve"> Molecular characterization and health impact of fungal toxins. </w:t>
      </w:r>
      <w:proofErr w:type="gramStart"/>
      <w:r>
        <w:rPr>
          <w:rFonts w:ascii="Times New Roman" w:hAnsi="Times New Roman" w:cs="Times New Roman"/>
          <w:sz w:val="28"/>
          <w:szCs w:val="28"/>
        </w:rPr>
        <w:t>Environmental Research, 189, 109899.</w:t>
      </w:r>
      <w:proofErr w:type="gramEnd"/>
      <w:r>
        <w:rPr>
          <w:rFonts w:ascii="Times New Roman" w:hAnsi="Times New Roman" w:cs="Times New Roman"/>
          <w:sz w:val="28"/>
          <w:szCs w:val="28"/>
        </w:rPr>
        <w:t xml:space="preserve"> </w:t>
      </w:r>
      <w:hyperlink r:id="rId27"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Y., Lou, Z., &amp; Wang, H.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and human health: Advances in analytical methods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w:t>
      </w:r>
      <w:proofErr w:type="gramStart"/>
      <w:r>
        <w:rPr>
          <w:rFonts w:ascii="Times New Roman" w:hAnsi="Times New Roman" w:cs="Times New Roman"/>
          <w:sz w:val="28"/>
          <w:szCs w:val="28"/>
        </w:rPr>
        <w:t>Comprehensive Reviews in Food Science and Food Safety, 20(6), 5661–5680.</w:t>
      </w:r>
      <w:proofErr w:type="gramEnd"/>
      <w:r>
        <w:rPr>
          <w:rFonts w:ascii="Times New Roman" w:hAnsi="Times New Roman" w:cs="Times New Roman"/>
          <w:sz w:val="28"/>
          <w:szCs w:val="28"/>
        </w:rPr>
        <w:t xml:space="preserve"> </w:t>
      </w:r>
      <w:hyperlink r:id="rId28"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Manda</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Nechifor</w:t>
      </w:r>
      <w:proofErr w:type="spellEnd"/>
      <w:r>
        <w:rPr>
          <w:rFonts w:ascii="Times New Roman" w:hAnsi="Times New Roman" w:cs="Times New Roman"/>
          <w:sz w:val="28"/>
          <w:szCs w:val="28"/>
        </w:rPr>
        <w:t xml:space="preserve">, M. T., &amp; </w:t>
      </w:r>
      <w:proofErr w:type="spellStart"/>
      <w:r>
        <w:rPr>
          <w:rFonts w:ascii="Times New Roman" w:hAnsi="Times New Roman" w:cs="Times New Roman"/>
          <w:sz w:val="28"/>
          <w:szCs w:val="28"/>
        </w:rPr>
        <w:t>Neagu</w:t>
      </w:r>
      <w:proofErr w:type="spellEnd"/>
      <w:r>
        <w:rPr>
          <w:rFonts w:ascii="Times New Roman" w:hAnsi="Times New Roman" w:cs="Times New Roman"/>
          <w:sz w:val="28"/>
          <w:szCs w:val="28"/>
        </w:rPr>
        <w:t>, T. M. (2018).</w:t>
      </w:r>
      <w:proofErr w:type="gramEnd"/>
      <w:r>
        <w:rPr>
          <w:rFonts w:ascii="Times New Roman" w:hAnsi="Times New Roman" w:cs="Times New Roman"/>
          <w:sz w:val="28"/>
          <w:szCs w:val="28"/>
        </w:rPr>
        <w:t xml:space="preserve"> Molecular mechanisms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toxicity: Oxidative stress and mitochondrial failure. Toxicology Reports, 5, 449–456. </w:t>
      </w:r>
      <w:hyperlink r:id="rId29"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Rai</w:t>
      </w:r>
      <w:proofErr w:type="spellEnd"/>
      <w:r>
        <w:rPr>
          <w:rFonts w:ascii="Times New Roman" w:hAnsi="Times New Roman" w:cs="Times New Roman"/>
          <w:sz w:val="28"/>
          <w:szCs w:val="28"/>
        </w:rPr>
        <w:t xml:space="preserve">, M., Ingle, A. P., </w:t>
      </w:r>
      <w:proofErr w:type="spellStart"/>
      <w:r>
        <w:rPr>
          <w:rFonts w:ascii="Times New Roman" w:hAnsi="Times New Roman" w:cs="Times New Roman"/>
          <w:sz w:val="28"/>
          <w:szCs w:val="28"/>
        </w:rPr>
        <w:t>Paralikar</w:t>
      </w:r>
      <w:proofErr w:type="spellEnd"/>
      <w:r>
        <w:rPr>
          <w:rFonts w:ascii="Times New Roman" w:hAnsi="Times New Roman" w:cs="Times New Roman"/>
          <w:sz w:val="28"/>
          <w:szCs w:val="28"/>
        </w:rPr>
        <w:t>, P., &amp; dos Santos, C. A. (2023).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Emerging fungal threats and strategies for combating fungal diseases.</w:t>
      </w:r>
      <w:proofErr w:type="gramEnd"/>
      <w:r>
        <w:rPr>
          <w:rFonts w:ascii="Times New Roman" w:hAnsi="Times New Roman" w:cs="Times New Roman"/>
          <w:sz w:val="28"/>
          <w:szCs w:val="28"/>
        </w:rPr>
        <w:t xml:space="preserve"> Mycoses, 66(2), 147–162. </w:t>
      </w:r>
      <w:hyperlink r:id="rId30"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Hong, S. B., </w:t>
      </w:r>
      <w:proofErr w:type="spellStart"/>
      <w:r>
        <w:rPr>
          <w:rFonts w:ascii="Times New Roman" w:hAnsi="Times New Roman" w:cs="Times New Roman"/>
          <w:sz w:val="28"/>
          <w:szCs w:val="28"/>
        </w:rPr>
        <w:t>Hubka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Klaassen</w:t>
      </w:r>
      <w:proofErr w:type="spellEnd"/>
      <w:r>
        <w:rPr>
          <w:rFonts w:ascii="Times New Roman" w:hAnsi="Times New Roman" w:cs="Times New Roman"/>
          <w:sz w:val="28"/>
          <w:szCs w:val="28"/>
        </w:rPr>
        <w:t xml:space="preserve">, C. H. W.,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w:t>
      </w:r>
      <w:proofErr w:type="gramStart"/>
      <w:r>
        <w:rPr>
          <w:rFonts w:ascii="Times New Roman" w:hAnsi="Times New Roman" w:cs="Times New Roman"/>
          <w:sz w:val="28"/>
          <w:szCs w:val="28"/>
        </w:rPr>
        <w:t xml:space="preserve">Phylogeny, identification and nomenclature of the 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95, 1–249. </w:t>
      </w:r>
      <w:hyperlink r:id="rId31"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Sharma, C., &amp;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A. (2021).</w:t>
      </w:r>
      <w:proofErr w:type="gramEnd"/>
      <w:r>
        <w:rPr>
          <w:rFonts w:ascii="Times New Roman" w:hAnsi="Times New Roman" w:cs="Times New Roman"/>
          <w:sz w:val="28"/>
          <w:szCs w:val="28"/>
        </w:rPr>
        <w:t xml:space="preserve"> Insights into fungal biofilms: A critical appraisal. </w:t>
      </w:r>
      <w:proofErr w:type="gramStart"/>
      <w:r>
        <w:rPr>
          <w:rFonts w:ascii="Times New Roman" w:hAnsi="Times New Roman" w:cs="Times New Roman"/>
          <w:sz w:val="28"/>
          <w:szCs w:val="28"/>
        </w:rPr>
        <w:t>Microorganisms, 9(3), 659.</w:t>
      </w:r>
      <w:proofErr w:type="gramEnd"/>
      <w:r>
        <w:rPr>
          <w:rFonts w:ascii="Times New Roman" w:hAnsi="Times New Roman" w:cs="Times New Roman"/>
          <w:sz w:val="28"/>
          <w:szCs w:val="28"/>
        </w:rPr>
        <w:t xml:space="preserve"> </w:t>
      </w:r>
      <w:hyperlink r:id="rId32"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Shi, J., Liang, Y., Liu, J., &amp; </w:t>
      </w:r>
      <w:proofErr w:type="spellStart"/>
      <w:r>
        <w:rPr>
          <w:rFonts w:ascii="Times New Roman" w:hAnsi="Times New Roman" w:cs="Times New Roman"/>
          <w:sz w:val="28"/>
          <w:szCs w:val="28"/>
        </w:rPr>
        <w:t>Zhong</w:t>
      </w:r>
      <w:proofErr w:type="spellEnd"/>
      <w:r>
        <w:rPr>
          <w:rFonts w:ascii="Times New Roman" w:hAnsi="Times New Roman" w:cs="Times New Roman"/>
          <w:sz w:val="28"/>
          <w:szCs w:val="28"/>
        </w:rPr>
        <w:t>, X.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in food and feed.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Nutrition, 9, 857216.</w:t>
      </w:r>
      <w:proofErr w:type="gramEnd"/>
      <w:r>
        <w:rPr>
          <w:rFonts w:ascii="Times New Roman" w:hAnsi="Times New Roman" w:cs="Times New Roman"/>
          <w:sz w:val="28"/>
          <w:szCs w:val="28"/>
        </w:rPr>
        <w:t xml:space="preserve"> </w:t>
      </w:r>
      <w:hyperlink r:id="rId33"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Shinozuka</w:t>
      </w:r>
      <w:proofErr w:type="spellEnd"/>
      <w:r>
        <w:rPr>
          <w:rFonts w:ascii="Times New Roman" w:hAnsi="Times New Roman" w:cs="Times New Roman"/>
          <w:sz w:val="28"/>
          <w:szCs w:val="28"/>
        </w:rPr>
        <w:t>, J., Murata, Y., &amp; Seki, K.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Citrinin</w:t>
      </w:r>
      <w:proofErr w:type="spellEnd"/>
      <w:r>
        <w:rPr>
          <w:rFonts w:ascii="Times New Roman" w:hAnsi="Times New Roman" w:cs="Times New Roman"/>
          <w:sz w:val="28"/>
          <w:szCs w:val="28"/>
        </w:rPr>
        <w:t>-induced oxidative brain damage in rodents and its potential implications in neurotoxicity.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12(6), 387.</w:t>
      </w:r>
      <w:proofErr w:type="gramEnd"/>
      <w:r>
        <w:rPr>
          <w:rFonts w:ascii="Times New Roman" w:hAnsi="Times New Roman" w:cs="Times New Roman"/>
          <w:sz w:val="28"/>
          <w:szCs w:val="28"/>
        </w:rPr>
        <w:t xml:space="preserve"> </w:t>
      </w:r>
      <w:hyperlink r:id="rId34"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w:t>
      </w:r>
      <w:proofErr w:type="gramStart"/>
      <w:r>
        <w:rPr>
          <w:rFonts w:ascii="Times New Roman" w:hAnsi="Times New Roman" w:cs="Times New Roman"/>
          <w:sz w:val="28"/>
          <w:szCs w:val="28"/>
        </w:rPr>
        <w:t xml:space="preserve">Emerging detection technologies for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14(3), 170.</w:t>
      </w:r>
      <w:proofErr w:type="gramEnd"/>
      <w:r>
        <w:rPr>
          <w:rFonts w:ascii="Times New Roman" w:hAnsi="Times New Roman" w:cs="Times New Roman"/>
          <w:sz w:val="28"/>
          <w:szCs w:val="28"/>
        </w:rPr>
        <w:t xml:space="preserve"> </w:t>
      </w:r>
      <w:hyperlink r:id="rId35"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J., &amp; Samson, R.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Current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88, 1–16. </w:t>
      </w:r>
      <w:hyperlink r:id="rId36"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Wang, Y., Zhao, C., Zhang, D., Wang, J., &amp; Liu, Y.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Toxic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on renal function and oxidative stress in rats.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11(8), 453.</w:t>
      </w:r>
      <w:proofErr w:type="gramEnd"/>
      <w:r>
        <w:rPr>
          <w:rFonts w:ascii="Times New Roman" w:hAnsi="Times New Roman" w:cs="Times New Roman"/>
          <w:sz w:val="28"/>
          <w:szCs w:val="28"/>
        </w:rPr>
        <w:t xml:space="preserve"> </w:t>
      </w:r>
      <w:hyperlink r:id="rId37"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Yang, S., Zhang, Y., &amp; Lin, Y.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induces neurological and hepatic toxicity in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via oxidative and inflammatory pathways. </w:t>
      </w:r>
      <w:proofErr w:type="gramStart"/>
      <w:r>
        <w:rPr>
          <w:rFonts w:ascii="Times New Roman" w:hAnsi="Times New Roman" w:cs="Times New Roman"/>
          <w:sz w:val="28"/>
          <w:szCs w:val="28"/>
        </w:rPr>
        <w:t>Environmental Toxicology and Pharmacology, 88, 103731.</w:t>
      </w:r>
      <w:proofErr w:type="gramEnd"/>
      <w:r>
        <w:rPr>
          <w:rFonts w:ascii="Times New Roman" w:hAnsi="Times New Roman" w:cs="Times New Roman"/>
          <w:sz w:val="28"/>
          <w:szCs w:val="28"/>
        </w:rPr>
        <w:t xml:space="preserve"> </w:t>
      </w:r>
      <w:hyperlink r:id="rId38"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Sun, Y., &amp; Zhang, Y.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Molecular identification of pathogenic fungi and detection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Research, 38(3), 195–205. </w:t>
      </w:r>
      <w:hyperlink r:id="rId39"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Wang, J., &amp; Wang, Y. (2018).</w:t>
      </w:r>
      <w:proofErr w:type="gramEnd"/>
      <w:r>
        <w:rPr>
          <w:rFonts w:ascii="Times New Roman" w:hAnsi="Times New Roman" w:cs="Times New Roman"/>
          <w:sz w:val="28"/>
          <w:szCs w:val="28"/>
        </w:rPr>
        <w:t xml:space="preserve"> Insights into fungal pathogenicity: Molecular mechanisms and emerging therapeutic strategies. Fungal Biology Reviews, 32(2), 50–68. </w:t>
      </w:r>
      <w:hyperlink r:id="rId40"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Zhou, L., Kong, W., Wang, M., &amp; </w:t>
      </w:r>
      <w:proofErr w:type="spellStart"/>
      <w:r>
        <w:rPr>
          <w:rFonts w:ascii="Times New Roman" w:hAnsi="Times New Roman" w:cs="Times New Roman"/>
          <w:sz w:val="28"/>
          <w:szCs w:val="28"/>
        </w:rPr>
        <w:t>Luo</w:t>
      </w:r>
      <w:proofErr w:type="spellEnd"/>
      <w:r>
        <w:rPr>
          <w:rFonts w:ascii="Times New Roman" w:hAnsi="Times New Roman" w:cs="Times New Roman"/>
          <w:sz w:val="28"/>
          <w:szCs w:val="28"/>
        </w:rPr>
        <w:t>, Y.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Challenges in controlling fungal pathogens and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in food crops.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13(2), 102.</w:t>
      </w:r>
      <w:proofErr w:type="gramEnd"/>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E523C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171235"/>
      <w:docPartObj>
        <w:docPartGallery w:val="Page Numbers (Bottom of Page)"/>
        <w:docPartUnique/>
      </w:docPartObj>
    </w:sdtPr>
    <w:sdtEndPr>
      <w:rPr>
        <w:noProof/>
      </w:rPr>
    </w:sdtEndPr>
    <w:sdtContent>
      <w:p w14:paraId="27F3B74C" w14:textId="6002D5DF" w:rsidR="00E523C7" w:rsidRDefault="00E523C7">
        <w:pPr>
          <w:pStyle w:val="Footer"/>
          <w:jc w:val="center"/>
        </w:pPr>
        <w:r>
          <w:fldChar w:fldCharType="begin"/>
        </w:r>
        <w:r>
          <w:instrText xml:space="preserve"> PAGE   \* MERGEFORMAT </w:instrText>
        </w:r>
        <w:r>
          <w:fldChar w:fldCharType="separate"/>
        </w:r>
        <w:r w:rsidR="00411D0F">
          <w:rPr>
            <w:noProof/>
          </w:rPr>
          <w:t>3</w:t>
        </w:r>
        <w:r>
          <w:rPr>
            <w:noProof/>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1D0F"/>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037"/>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3C7"/>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82211771" TargetMode="External"/><Relationship Id="rId18" Type="http://schemas.openxmlformats.org/officeDocument/2006/relationships/hyperlink" Target="https://doi.org/10.3389/fmicb.2019.01168" TargetMode="External"/><Relationship Id="rId26" Type="http://schemas.openxmlformats.org/officeDocument/2006/relationships/hyperlink" Target="https://doi.org/10.1016/j.simyco.2020.05.001" TargetMode="External"/><Relationship Id="rId39" Type="http://schemas.openxmlformats.org/officeDocument/2006/relationships/hyperlink" Target="https://doi.org/10.1007/s12550-022-00447-2" TargetMode="External"/><Relationship Id="rId3" Type="http://schemas.microsoft.com/office/2007/relationships/stylesWithEffects" Target="stylesWithEffects.xml"/><Relationship Id="rId21" Type="http://schemas.openxmlformats.org/officeDocument/2006/relationships/hyperlink" Target="https://doi.org/10.3390/microorganisms9061177" TargetMode="External"/><Relationship Id="rId34" Type="http://schemas.openxmlformats.org/officeDocument/2006/relationships/hyperlink" Target="https://doi.org/10.3390/toxins1206038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28/CMR.16.3.497-516.2003" TargetMode="External"/><Relationship Id="rId17" Type="http://schemas.openxmlformats.org/officeDocument/2006/relationships/hyperlink" Target="https://doi.org/10.3390/toxins14050312" TargetMode="External"/><Relationship Id="rId25" Type="http://schemas.openxmlformats.org/officeDocument/2006/relationships/hyperlink" Target="https://doi.org/10.1080/00275514.2018.1491406" TargetMode="External"/><Relationship Id="rId33" Type="http://schemas.openxmlformats.org/officeDocument/2006/relationships/hyperlink" Target="https://doi.org/10.3389/fnut.2022.857216" TargetMode="External"/><Relationship Id="rId38" Type="http://schemas.openxmlformats.org/officeDocument/2006/relationships/hyperlink" Target="https://doi.org/10.1016/j.etap.2021.103731" TargetMode="External"/><Relationship Id="rId2" Type="http://schemas.openxmlformats.org/officeDocument/2006/relationships/styles" Target="styles.xml"/><Relationship Id="rId16" Type="http://schemas.openxmlformats.org/officeDocument/2006/relationships/hyperlink" Target="https://doi.org/10.3114/sim.2011.70.01" TargetMode="External"/><Relationship Id="rId20" Type="http://schemas.openxmlformats.org/officeDocument/2006/relationships/hyperlink" Target="https://doi.org/10.1128/microbiolspec.FUNK-0047-2016" TargetMode="External"/><Relationship Id="rId29" Type="http://schemas.openxmlformats.org/officeDocument/2006/relationships/hyperlink" Target="https://doi.org/10.1016/j.toxrep.2018.03.0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br.2018.11.002" TargetMode="External"/><Relationship Id="rId32" Type="http://schemas.openxmlformats.org/officeDocument/2006/relationships/hyperlink" Target="https://doi.org/10.3390/microorganisms9030659" TargetMode="External"/><Relationship Id="rId37" Type="http://schemas.openxmlformats.org/officeDocument/2006/relationships/hyperlink" Target="https://doi.org/10.3390/toxins11080453" TargetMode="External"/><Relationship Id="rId40" Type="http://schemas.openxmlformats.org/officeDocument/2006/relationships/hyperlink" Target="https://doi.org/10.1016/j.fbr.2017.12.003" TargetMode="External"/><Relationship Id="rId5" Type="http://schemas.openxmlformats.org/officeDocument/2006/relationships/webSettings" Target="webSettings.xml"/><Relationship Id="rId15" Type="http://schemas.openxmlformats.org/officeDocument/2006/relationships/hyperlink" Target="https://doi.org/10.1016/j.fgb.2017.10.002" TargetMode="External"/><Relationship Id="rId23" Type="http://schemas.openxmlformats.org/officeDocument/2006/relationships/hyperlink" Target="https://doi.org/10.2147/IDR.S291313" TargetMode="External"/><Relationship Id="rId28" Type="http://schemas.openxmlformats.org/officeDocument/2006/relationships/hyperlink" Target="https://doi.org/10.1111/1541-4337.12818" TargetMode="External"/><Relationship Id="rId36" Type="http://schemas.openxmlformats.org/officeDocument/2006/relationships/hyperlink" Target="https://doi.org/10.1016/j.simyco.2017.07.002" TargetMode="External"/><Relationship Id="rId10" Type="http://schemas.openxmlformats.org/officeDocument/2006/relationships/footer" Target="footer2.xml"/><Relationship Id="rId19" Type="http://schemas.openxmlformats.org/officeDocument/2006/relationships/hyperlink" Target="https://doi.org/10.3389/fpubh.2021.652468" TargetMode="External"/><Relationship Id="rId31" Type="http://schemas.openxmlformats.org/officeDocument/2006/relationships/hyperlink" Target="https://doi.org/10.1016/j.simyco.2020.01.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8/s41579-020-0360-3" TargetMode="External"/><Relationship Id="rId22" Type="http://schemas.openxmlformats.org/officeDocument/2006/relationships/hyperlink" Target="https://doi.org/10.1073/pnas.1320997111" TargetMode="External"/><Relationship Id="rId27" Type="http://schemas.openxmlformats.org/officeDocument/2006/relationships/hyperlink" Target="https://doi.org/10.1016/j.envres.2020.109899" TargetMode="External"/><Relationship Id="rId30" Type="http://schemas.openxmlformats.org/officeDocument/2006/relationships/hyperlink" Target="https://doi.org/10.1111/myc.13497" TargetMode="External"/><Relationship Id="rId35" Type="http://schemas.openxmlformats.org/officeDocument/2006/relationships/hyperlink" Target="https://doi.org/10.3390/toxins140301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212365696"/>
        <c:axId val="212367232"/>
      </c:barChart>
      <c:catAx>
        <c:axId val="212365696"/>
        <c:scaling>
          <c:orientation val="minMax"/>
        </c:scaling>
        <c:delete val="0"/>
        <c:axPos val="b"/>
        <c:numFmt formatCode="General" sourceLinked="0"/>
        <c:majorTickMark val="none"/>
        <c:minorTickMark val="none"/>
        <c:tickLblPos val="nextTo"/>
        <c:crossAx val="212367232"/>
        <c:crosses val="autoZero"/>
        <c:auto val="1"/>
        <c:lblAlgn val="ctr"/>
        <c:lblOffset val="100"/>
        <c:noMultiLvlLbl val="0"/>
      </c:catAx>
      <c:valAx>
        <c:axId val="212367232"/>
        <c:scaling>
          <c:orientation val="minMax"/>
        </c:scaling>
        <c:delete val="0"/>
        <c:axPos val="l"/>
        <c:majorGridlines/>
        <c:numFmt formatCode="General" sourceLinked="1"/>
        <c:majorTickMark val="none"/>
        <c:minorTickMark val="none"/>
        <c:tickLblPos val="nextTo"/>
        <c:spPr>
          <a:ln w="12700">
            <a:noFill/>
          </a:ln>
        </c:spPr>
        <c:crossAx val="212365696"/>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9449</Words>
  <Characters>53860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6</cp:revision>
  <dcterms:created xsi:type="dcterms:W3CDTF">2025-07-10T07:32:00Z</dcterms:created>
  <dcterms:modified xsi:type="dcterms:W3CDTF">2025-08-11T20:37:00Z</dcterms:modified>
</cp:coreProperties>
</file>