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DAB" w:rsidRPr="009F43C6" w:rsidRDefault="00047DAB" w:rsidP="00047DAB">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Pr>
          <w:rFonts w:ascii="Times New Roman" w:hAnsi="Times New Roman" w:cs="Times New Roman"/>
          <w:b/>
          <w:bCs/>
          <w:sz w:val="36"/>
          <w:szCs w:val="36"/>
        </w:rPr>
        <w:t>EMISTRY OF IBUPROFEN WITH COPPER SULPHATE</w:t>
      </w:r>
      <w:r w:rsidRPr="009F43C6">
        <w:rPr>
          <w:rFonts w:ascii="Times New Roman" w:hAnsi="Times New Roman" w:cs="Times New Roman"/>
          <w:b/>
          <w:bCs/>
          <w:sz w:val="36"/>
          <w:szCs w:val="36"/>
        </w:rPr>
        <w:t>: FORMATION, CHARACTERIZATION, AND POTENTIAL APPLICATIONS</w:t>
      </w: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1A531D" w:rsidRDefault="00047DAB"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JAJI BASHEER AKANBI</w:t>
      </w:r>
    </w:p>
    <w:p w:rsidR="00047DAB" w:rsidRDefault="00047DAB"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ND/23/SLT/PT/159</w:t>
      </w:r>
    </w:p>
    <w:p w:rsidR="00047DAB" w:rsidRPr="001A531D" w:rsidRDefault="00047DAB" w:rsidP="00047DAB">
      <w:pPr>
        <w:spacing w:after="0" w:line="240" w:lineRule="auto"/>
        <w:jc w:val="center"/>
        <w:rPr>
          <w:rFonts w:ascii="Bookman Old Style" w:hAnsi="Bookman Old Style" w:cstheme="majorBidi"/>
          <w:b/>
          <w:bCs/>
          <w:sz w:val="36"/>
          <w:szCs w:val="36"/>
        </w:rPr>
      </w:pPr>
    </w:p>
    <w:p w:rsidR="00047DAB" w:rsidRPr="00E33B24" w:rsidRDefault="00047DAB" w:rsidP="00047DAB">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047DAB"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047DAB" w:rsidRPr="004A215E" w:rsidRDefault="00047DAB" w:rsidP="00047DAB">
      <w:pPr>
        <w:spacing w:after="0" w:line="374" w:lineRule="exact"/>
        <w:jc w:val="center"/>
        <w:rPr>
          <w:rFonts w:ascii="Bookman Old Style" w:hAnsi="Bookman Old Style"/>
          <w:b/>
          <w:sz w:val="28"/>
          <w:szCs w:val="28"/>
        </w:rPr>
      </w:pPr>
    </w:p>
    <w:p w:rsidR="00047DAB" w:rsidRDefault="00047DAB" w:rsidP="00047DAB">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 ……………………………… to the Department of Science Laboratory technology, Institute of Applied Sciences (IAS) Kwara State Polytechnic, Ilorin and it has been Approved In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047DAB" w:rsidRDefault="00047DAB" w:rsidP="00047DAB">
      <w:pPr>
        <w:spacing w:after="0" w:line="374" w:lineRule="exact"/>
        <w:ind w:left="14"/>
        <w:jc w:val="both"/>
        <w:rPr>
          <w:rFonts w:asciiTheme="majorBidi" w:hAnsiTheme="majorBidi" w:cstheme="majorBidi"/>
          <w:sz w:val="24"/>
          <w:szCs w:val="24"/>
        </w:rPr>
      </w:pPr>
    </w:p>
    <w:p w:rsidR="00047DAB" w:rsidRDefault="00047DAB" w:rsidP="00047DAB">
      <w:pPr>
        <w:spacing w:after="0" w:line="374" w:lineRule="exact"/>
        <w:ind w:left="14"/>
        <w:jc w:val="both"/>
        <w:rPr>
          <w:rFonts w:asciiTheme="majorBidi" w:hAnsiTheme="majorBidi" w:cstheme="majorBidi"/>
          <w:sz w:val="24"/>
          <w:szCs w:val="24"/>
        </w:rPr>
      </w:pPr>
    </w:p>
    <w:p w:rsidR="00047DAB" w:rsidRDefault="00047DAB" w:rsidP="00047DAB">
      <w:pPr>
        <w:spacing w:after="0" w:line="374" w:lineRule="exact"/>
        <w:ind w:left="14"/>
        <w:jc w:val="both"/>
        <w:rPr>
          <w:rFonts w:asciiTheme="majorBidi" w:hAnsiTheme="majorBidi" w:cstheme="majorBidi"/>
          <w:sz w:val="24"/>
          <w:szCs w:val="24"/>
        </w:rPr>
      </w:pPr>
    </w:p>
    <w:p w:rsidR="00047DAB" w:rsidRPr="00270EEE" w:rsidRDefault="00047DAB" w:rsidP="00047DAB">
      <w:pPr>
        <w:spacing w:after="0" w:line="374" w:lineRule="exact"/>
        <w:ind w:left="14"/>
        <w:jc w:val="both"/>
        <w:rPr>
          <w:rFonts w:asciiTheme="majorBidi" w:hAnsiTheme="majorBidi" w:cstheme="majorBidi"/>
          <w:sz w:val="24"/>
          <w:szCs w:val="24"/>
        </w:rPr>
      </w:pPr>
    </w:p>
    <w:p w:rsidR="00047DAB" w:rsidRPr="00270EEE" w:rsidRDefault="00047DAB" w:rsidP="00047DAB">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ADIO OSENI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047DAB" w:rsidRPr="00270EEE"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047DAB" w:rsidRPr="00270EEE"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Pr="00270EEE" w:rsidRDefault="00047DAB" w:rsidP="00047DAB">
      <w:pPr>
        <w:spacing w:after="0" w:line="240" w:lineRule="auto"/>
        <w:rPr>
          <w:rFonts w:asciiTheme="majorBidi" w:hAnsiTheme="majorBidi" w:cstheme="majorBidi"/>
          <w:b/>
          <w:i/>
          <w:sz w:val="24"/>
          <w:szCs w:val="24"/>
        </w:rPr>
      </w:pPr>
    </w:p>
    <w:p w:rsidR="00047DAB" w:rsidRPr="00270EEE" w:rsidRDefault="00047DAB" w:rsidP="00047DAB">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047DAB" w:rsidRDefault="00047DAB" w:rsidP="00047DAB">
      <w:pPr>
        <w:spacing w:after="0" w:line="360" w:lineRule="auto"/>
        <w:ind w:left="14"/>
        <w:jc w:val="center"/>
        <w:rPr>
          <w:rFonts w:asciiTheme="majorBidi" w:hAnsiTheme="majorBidi" w:cstheme="majorBidi"/>
          <w:b/>
          <w:sz w:val="24"/>
          <w:szCs w:val="24"/>
        </w:rPr>
      </w:pPr>
    </w:p>
    <w:p w:rsidR="00047DAB" w:rsidRDefault="00047DAB" w:rsidP="00047DAB">
      <w:pPr>
        <w:spacing w:after="0" w:line="360" w:lineRule="auto"/>
        <w:ind w:left="14"/>
        <w:jc w:val="center"/>
        <w:rPr>
          <w:rFonts w:asciiTheme="majorBidi" w:hAnsiTheme="majorBidi" w:cstheme="majorBidi"/>
          <w:b/>
          <w:sz w:val="24"/>
          <w:szCs w:val="24"/>
        </w:rPr>
      </w:pPr>
    </w:p>
    <w:p w:rsidR="00047DAB" w:rsidRPr="000B40C7" w:rsidRDefault="00047DAB" w:rsidP="00047DAB">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047DAB" w:rsidRPr="000B40C7" w:rsidRDefault="00047DAB" w:rsidP="00047DAB">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Default="00047DAB" w:rsidP="00047DAB">
      <w:pPr>
        <w:spacing w:after="0" w:line="360" w:lineRule="auto"/>
      </w:pPr>
    </w:p>
    <w:p w:rsidR="00047DAB" w:rsidRDefault="00047DAB" w:rsidP="00047DAB">
      <w:pPr>
        <w:spacing w:after="0" w:line="360" w:lineRule="auto"/>
        <w:rPr>
          <w:b/>
        </w:rPr>
      </w:pPr>
    </w:p>
    <w:p w:rsidR="00047DAB" w:rsidRDefault="00047DAB" w:rsidP="00047DAB">
      <w:pPr>
        <w:spacing w:after="0" w:line="360" w:lineRule="auto"/>
        <w:rPr>
          <w:b/>
        </w:rPr>
      </w:pPr>
    </w:p>
    <w:p w:rsidR="00047DAB" w:rsidRDefault="00047DAB" w:rsidP="00047DAB">
      <w:pPr>
        <w:spacing w:after="0" w:line="360" w:lineRule="auto"/>
        <w:rPr>
          <w:b/>
        </w:rPr>
      </w:pPr>
    </w:p>
    <w:p w:rsidR="00047DAB" w:rsidRPr="009062ED" w:rsidRDefault="00047DAB" w:rsidP="00047DAB">
      <w:pPr>
        <w:spacing w:after="0" w:line="360" w:lineRule="auto"/>
        <w:ind w:left="14"/>
        <w:rPr>
          <w:b/>
        </w:rPr>
      </w:pPr>
      <w:r>
        <w:rPr>
          <w:b/>
        </w:rPr>
        <w:t xml:space="preserve">                   </w:t>
      </w:r>
      <w:r>
        <w:rPr>
          <w:b/>
        </w:rPr>
        <w:tab/>
      </w:r>
      <w:r>
        <w:rPr>
          <w:b/>
        </w:rPr>
        <w:tab/>
      </w:r>
      <w:r w:rsidRPr="00675A7F">
        <w:rPr>
          <w:rFonts w:asciiTheme="majorBidi" w:hAnsiTheme="majorBidi" w:cstheme="majorBidi"/>
          <w:b/>
        </w:rPr>
        <w:t>ACKNOWLEDGEMENTS</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047DAB" w:rsidRPr="00675A7F" w:rsidRDefault="00047DAB" w:rsidP="00047DAB">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MR. ADIO OSENI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r>
        <w:rPr>
          <w:rFonts w:asciiTheme="majorBidi" w:hAnsiTheme="majorBidi" w:cstheme="majorBidi"/>
          <w:sz w:val="24"/>
          <w:szCs w:val="24"/>
        </w:rPr>
        <w:t>abundantly.</w:t>
      </w:r>
      <w:r>
        <w:rPr>
          <w:rFonts w:asciiTheme="majorBidi" w:hAnsiTheme="majorBidi" w:cstheme="majorBidi"/>
          <w:sz w:val="24"/>
          <w:szCs w:val="24"/>
        </w:rPr>
        <w:t xml:space="preserve">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(Chemistry</w:t>
      </w:r>
      <w:r w:rsidRPr="00675A7F">
        <w:rPr>
          <w:rFonts w:asciiTheme="majorBidi" w:hAnsiTheme="majorBidi" w:cstheme="majorBidi"/>
          <w:sz w:val="24"/>
          <w:szCs w:val="24"/>
        </w:rPr>
        <w:t>Unit)  and H.O.D (Head of Department), all staffs in SLT department.</w:t>
      </w: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Pr="009062ED" w:rsidRDefault="00047DAB" w:rsidP="00047DAB">
      <w:pPr>
        <w:rPr>
          <w:rFonts w:asciiTheme="majorBidi" w:hAnsiTheme="majorBidi" w:cstheme="majorBidi"/>
          <w:b/>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Pr="009F43C6" w:rsidRDefault="00047DAB" w:rsidP="00047DAB">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9F43C6" w:rsidRDefault="00047DAB" w:rsidP="00047DAB">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Pr="00B65C7A" w:rsidRDefault="00047DAB" w:rsidP="00047DAB">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w:t>
      </w:r>
      <w:r>
        <w:rPr>
          <w:rFonts w:ascii="Times New Roman" w:eastAsia="Times New Roman" w:hAnsi="Times New Roman" w:cs="Times New Roman"/>
          <w:sz w:val="24"/>
          <w:szCs w:val="24"/>
        </w:rPr>
        <w:t>buprofen</w:t>
      </w:r>
      <w:r>
        <w:rPr>
          <w:rFonts w:ascii="Times New Roman" w:eastAsia="Times New Roman" w:hAnsi="Times New Roman" w:cs="Times New Roman"/>
          <w:sz w:val="24"/>
          <w:szCs w:val="24"/>
        </w:rPr>
        <w:br/>
        <w:t>2.4 Copper sulphate</w:t>
      </w:r>
      <w:r w:rsidRPr="00B65C7A">
        <w:rPr>
          <w:rFonts w:ascii="Times New Roman" w:eastAsia="Times New Roman" w:hAnsi="Times New Roman" w:cs="Times New Roman"/>
          <w:sz w:val="24"/>
          <w:szCs w:val="24"/>
        </w:rPr>
        <w:t>: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w:t>
      </w:r>
      <w:r>
        <w:rPr>
          <w:rFonts w:ascii="Times New Roman" w:eastAsia="Times New Roman" w:hAnsi="Times New Roman" w:cs="Times New Roman"/>
          <w:sz w:val="24"/>
          <w:szCs w:val="24"/>
        </w:rPr>
        <w:t>ds</w:t>
      </w:r>
      <w:r>
        <w:rPr>
          <w:rFonts w:ascii="Times New Roman" w:eastAsia="Times New Roman" w:hAnsi="Times New Roman" w:cs="Times New Roman"/>
          <w:sz w:val="24"/>
          <w:szCs w:val="24"/>
        </w:rPr>
        <w:br/>
        <w:t>3.2.1 Synthesis of Copper</w:t>
      </w:r>
      <w:r w:rsidRPr="00B65C7A">
        <w:rPr>
          <w:rFonts w:ascii="Times New Roman" w:eastAsia="Times New Roman" w:hAnsi="Times New Roman" w:cs="Times New Roman"/>
          <w:sz w:val="24"/>
          <w:szCs w:val="24"/>
        </w:rPr>
        <w:t>-Ibuprofen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047DAB"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047DAB" w:rsidRPr="00B65C7A" w:rsidRDefault="00047DAB" w:rsidP="00047DAB">
      <w:pPr>
        <w:spacing w:after="0" w:line="480" w:lineRule="auto"/>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(Basu et al., 2016). Such complexes also hold promise in drug delivery systems and as catalysts in organic synthesis.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Copper sulphate</w:t>
      </w:r>
      <w:r w:rsidRPr="00262D8E">
        <w:rPr>
          <w:rFonts w:ascii="Times New Roman" w:eastAsia="Times New Roman" w:hAnsi="Times New Roman" w:cs="Times New Roman"/>
          <w:b/>
          <w:bCs/>
          <w:sz w:val="27"/>
          <w:szCs w:val="27"/>
        </w:rPr>
        <w:t>: Coordination and Biological Relevance</w:t>
      </w:r>
    </w:p>
    <w:p w:rsidR="00047DAB" w:rsidRPr="00047DAB"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Copper(II) sulphate</w:t>
      </w:r>
      <w:r w:rsidRPr="00047DAB">
        <w:rPr>
          <w:rFonts w:ascii="Times New Roman" w:eastAsia="Times New Roman" w:hAnsi="Times New Roman" w:cs="Times New Roman"/>
          <w:b/>
          <w:bCs/>
          <w:sz w:val="24"/>
          <w:szCs w:val="24"/>
        </w:rPr>
        <w:t xml:space="preserve"> (CuSO₄·5H₂O)</w:t>
      </w:r>
      <w:r w:rsidRPr="00047DAB">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[Cu(H₂O)₄]²⁺ aqua complex, with a distorted octahedral geometry arising from the Jahn–Teller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t>
      </w:r>
      <w:r w:rsidR="003A645A">
        <w:rPr>
          <w:rFonts w:ascii="Times New Roman" w:eastAsia="Times New Roman" w:hAnsi="Times New Roman" w:cs="Times New Roman"/>
          <w:sz w:val="24"/>
          <w:szCs w:val="24"/>
        </w:rPr>
        <w:t xml:space="preserve"> </w:t>
      </w:r>
      <w:r w:rsidRPr="00047DAB">
        <w:rPr>
          <w:rFonts w:ascii="Times New Roman" w:eastAsia="Times New Roman" w:hAnsi="Times New Roman" w:cs="Times New Roman"/>
          <w:sz w:val="24"/>
          <w:szCs w:val="24"/>
        </w:rPr>
        <w:t>When reacting with organic ligands like ibuprofen, copper(II) forms stable coordination complexes by replacing one or more water molecules with the carboxylate group (–COO⁻) of ibuprofen. The carboxylate can act as:</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monodentate ligand</w:t>
      </w:r>
      <w:r w:rsidRPr="00047DAB">
        <w:rPr>
          <w:rFonts w:ascii="Times New Roman" w:eastAsia="Times New Roman" w:hAnsi="Times New Roman" w:cs="Times New Roman"/>
          <w:sz w:val="24"/>
          <w:szCs w:val="24"/>
        </w:rPr>
        <w:t>, binding through a single oxygen atom.</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bidentate chelating ligand</w:t>
      </w:r>
      <w:r w:rsidRPr="00047DAB">
        <w:rPr>
          <w:rFonts w:ascii="Times New Roman" w:eastAsia="Times New Roman" w:hAnsi="Times New Roman" w:cs="Times New Roman"/>
          <w:sz w:val="24"/>
          <w:szCs w:val="24"/>
        </w:rPr>
        <w:t>, forming a five-membered ring with Cu²⁺.</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bridging ligand</w:t>
      </w:r>
      <w:r w:rsidRPr="00047DAB">
        <w:rPr>
          <w:rFonts w:ascii="Times New Roman" w:eastAsia="Times New Roman" w:hAnsi="Times New Roman" w:cs="Times New Roman"/>
          <w:sz w:val="24"/>
          <w:szCs w:val="24"/>
        </w:rPr>
        <w:t>, linking multiple metal centers.</w:t>
      </w:r>
    </w:p>
    <w:p w:rsidR="00047DAB" w:rsidRP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lastRenderedPageBreak/>
        <w:t>The resulting copper–ibuprofen complexes often exhibit square planar or distorted octahedral geometries, depending on the number and type of donor atoms and the ligand-to-metal ratio. Such complexes are typically characterized by:</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Strong blue to green coloration</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d–d transitions</w:t>
      </w:r>
      <w:r w:rsidRPr="00047DAB">
        <w:rPr>
          <w:rFonts w:ascii="Times New Roman" w:eastAsia="Times New Roman" w:hAnsi="Times New Roman" w:cs="Times New Roman"/>
          <w:sz w:val="24"/>
          <w:szCs w:val="24"/>
        </w:rPr>
        <w:t xml:space="preserve"> in UV-Vis spectra around 600–700 nm</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M–O stretching vibrations</w:t>
      </w:r>
      <w:r w:rsidRPr="00047DAB">
        <w:rPr>
          <w:rFonts w:ascii="Times New Roman" w:eastAsia="Times New Roman" w:hAnsi="Times New Roman" w:cs="Times New Roman"/>
          <w:sz w:val="24"/>
          <w:szCs w:val="24"/>
        </w:rPr>
        <w:t xml:space="preserve"> observed in IR spectra (400–600 cm⁻¹)</w:t>
      </w:r>
    </w:p>
    <w:p w:rsidR="003A645A"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3A645A" w:rsidRDefault="003A645A" w:rsidP="003A645A">
      <w:pPr>
        <w:spacing w:before="100" w:beforeAutospacing="1" w:after="100" w:afterAutospacing="1" w:line="480" w:lineRule="auto"/>
        <w:jc w:val="both"/>
        <w:rPr>
          <w:rFonts w:asciiTheme="majorBidi" w:eastAsia="Times New Roman" w:hAnsiTheme="majorBidi" w:cstheme="majorBidi"/>
          <w:sz w:val="24"/>
          <w:szCs w:val="24"/>
        </w:rPr>
      </w:pPr>
      <w:r w:rsidRPr="003A645A">
        <w:rPr>
          <w:rFonts w:asciiTheme="majorBidi" w:hAnsiTheme="majorBidi" w:cstheme="majorBidi"/>
          <w:sz w:val="24"/>
          <w:szCs w:val="24"/>
        </w:rPr>
        <w:t xml:space="preserve">Copper is an </w:t>
      </w:r>
      <w:r w:rsidRPr="003A645A">
        <w:rPr>
          <w:rStyle w:val="Strong"/>
          <w:rFonts w:asciiTheme="majorBidi" w:hAnsiTheme="majorBidi" w:cstheme="majorBidi"/>
          <w:b w:val="0"/>
          <w:bCs w:val="0"/>
          <w:sz w:val="24"/>
          <w:szCs w:val="24"/>
        </w:rPr>
        <w:t>essential trace element</w:t>
      </w:r>
      <w:r w:rsidRPr="003A645A">
        <w:rPr>
          <w:rFonts w:asciiTheme="majorBidi" w:hAnsiTheme="majorBidi" w:cstheme="majorBidi"/>
          <w:sz w:val="24"/>
          <w:szCs w:val="24"/>
        </w:rPr>
        <w:t xml:space="preserve"> involved in various biological functions. It serves as a cofactor in several </w:t>
      </w:r>
      <w:r w:rsidRPr="003A645A">
        <w:rPr>
          <w:rStyle w:val="Strong"/>
          <w:rFonts w:asciiTheme="majorBidi" w:hAnsiTheme="majorBidi" w:cstheme="majorBidi"/>
          <w:b w:val="0"/>
          <w:bCs w:val="0"/>
          <w:sz w:val="24"/>
          <w:szCs w:val="24"/>
        </w:rPr>
        <w:t>metalloenzymes</w:t>
      </w:r>
      <w:r w:rsidRPr="003A645A">
        <w:rPr>
          <w:rFonts w:asciiTheme="majorBidi" w:hAnsiTheme="majorBidi" w:cstheme="majorBidi"/>
          <w:b/>
          <w:bCs/>
          <w:sz w:val="24"/>
          <w:szCs w:val="24"/>
        </w:rPr>
        <w:t>,</w:t>
      </w:r>
      <w:r w:rsidRPr="003A645A">
        <w:rPr>
          <w:rFonts w:asciiTheme="majorBidi" w:hAnsiTheme="majorBidi" w:cstheme="majorBidi"/>
          <w:sz w:val="24"/>
          <w:szCs w:val="24"/>
        </w:rPr>
        <w:t xml:space="preserve"> including:</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Cytochrome c oxidase</w:t>
      </w:r>
      <w:r w:rsidRPr="003A645A">
        <w:rPr>
          <w:rFonts w:asciiTheme="majorBidi" w:hAnsiTheme="majorBidi" w:cstheme="majorBidi"/>
          <w:b/>
          <w:bCs/>
        </w:rPr>
        <w:t xml:space="preserve"> </w:t>
      </w:r>
      <w:r w:rsidRPr="003A645A">
        <w:rPr>
          <w:rFonts w:asciiTheme="majorBidi" w:hAnsiTheme="majorBidi" w:cstheme="majorBidi"/>
        </w:rPr>
        <w:t>(respiratory chain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Superoxide dismutase (Cu/Zn-SOD)</w:t>
      </w:r>
      <w:r w:rsidRPr="003A645A">
        <w:rPr>
          <w:rFonts w:asciiTheme="majorBidi" w:hAnsiTheme="majorBidi" w:cstheme="majorBidi"/>
          <w:b/>
          <w:bCs/>
        </w:rPr>
        <w:t xml:space="preserve"> (</w:t>
      </w:r>
      <w:r w:rsidRPr="003A645A">
        <w:rPr>
          <w:rFonts w:asciiTheme="majorBidi" w:hAnsiTheme="majorBidi" w:cstheme="majorBidi"/>
        </w:rPr>
        <w:t>antioxidant defense)</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Lysyl oxidase</w:t>
      </w:r>
      <w:r w:rsidRPr="003A645A">
        <w:rPr>
          <w:rFonts w:asciiTheme="majorBidi" w:hAnsiTheme="majorBidi" w:cstheme="majorBidi"/>
          <w:b/>
          <w:bCs/>
        </w:rPr>
        <w:t xml:space="preserve"> (</w:t>
      </w:r>
      <w:r w:rsidRPr="003A645A">
        <w:rPr>
          <w:rFonts w:asciiTheme="majorBidi" w:hAnsiTheme="majorBidi" w:cstheme="majorBidi"/>
        </w:rPr>
        <w:t>connective tissue formation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Tyrosinase</w:t>
      </w:r>
      <w:r w:rsidRPr="003A645A">
        <w:rPr>
          <w:rFonts w:asciiTheme="majorBidi" w:hAnsiTheme="majorBidi" w:cstheme="majorBidi"/>
          <w:b/>
          <w:bCs/>
        </w:rPr>
        <w:t xml:space="preserve"> (</w:t>
      </w:r>
      <w:r w:rsidRPr="003A645A">
        <w:rPr>
          <w:rFonts w:asciiTheme="majorBidi" w:hAnsiTheme="majorBidi" w:cstheme="majorBidi"/>
        </w:rPr>
        <w:t>melanin synthesis</w:t>
      </w:r>
      <w:r w:rsidRPr="003A645A">
        <w:rPr>
          <w:rFonts w:asciiTheme="majorBidi" w:hAnsiTheme="majorBidi" w:cstheme="majorBidi"/>
          <w:b/>
          <w:bCs/>
        </w:rPr>
        <w:t>)</w:t>
      </w:r>
    </w:p>
    <w:p w:rsidR="003A645A" w:rsidRPr="003A645A" w:rsidRDefault="003A645A" w:rsidP="003A645A">
      <w:pPr>
        <w:spacing w:line="480" w:lineRule="auto"/>
        <w:rPr>
          <w:rFonts w:asciiTheme="majorBidi" w:hAnsiTheme="majorBidi" w:cstheme="majorBidi"/>
          <w:sz w:val="24"/>
          <w:szCs w:val="24"/>
        </w:rPr>
      </w:pPr>
      <w:r>
        <w:rPr>
          <w:rStyle w:val="Strong"/>
          <w:rFonts w:asciiTheme="majorBidi" w:hAnsiTheme="majorBidi" w:cstheme="majorBidi"/>
          <w:sz w:val="24"/>
          <w:szCs w:val="24"/>
        </w:rPr>
        <w:t xml:space="preserve">  </w:t>
      </w:r>
      <w:r w:rsidRPr="003A645A">
        <w:rPr>
          <w:rStyle w:val="Strong"/>
          <w:rFonts w:asciiTheme="majorBidi" w:hAnsiTheme="majorBidi" w:cstheme="majorBidi"/>
          <w:b w:val="0"/>
          <w:bCs w:val="0"/>
          <w:sz w:val="24"/>
          <w:szCs w:val="24"/>
        </w:rPr>
        <w:t>Antimicrobial and Anti-inflammatory Properties</w:t>
      </w:r>
    </w:p>
    <w:p w:rsidR="003A645A" w:rsidRPr="003A645A" w:rsidRDefault="003A645A" w:rsidP="003A645A">
      <w:pPr>
        <w:pStyle w:val="NormalWeb"/>
        <w:spacing w:line="480" w:lineRule="auto"/>
        <w:rPr>
          <w:b/>
          <w:bCs/>
        </w:rPr>
      </w:pPr>
      <w:r w:rsidRPr="003A645A">
        <w:lastRenderedPageBreak/>
        <w:t>Copper(II) complexes have demonstrated significant</w:t>
      </w:r>
      <w:r>
        <w:t xml:space="preserve"> </w:t>
      </w:r>
      <w:r w:rsidRPr="003A645A">
        <w:rPr>
          <w:rStyle w:val="Strong"/>
          <w:b w:val="0"/>
          <w:bCs w:val="0"/>
        </w:rPr>
        <w:t>antibacterial, antifungal, and anti-inflammatory</w:t>
      </w:r>
      <w:r w:rsidRPr="003A645A">
        <w:rPr>
          <w:b/>
          <w:bCs/>
        </w:rPr>
        <w:t xml:space="preserve"> </w:t>
      </w:r>
      <w:r w:rsidRPr="003A645A">
        <w:t>activities due to</w:t>
      </w:r>
      <w:r w:rsidRPr="003A645A">
        <w:rPr>
          <w:b/>
          <w:bCs/>
        </w:rPr>
        <w:t>:</w:t>
      </w:r>
    </w:p>
    <w:p w:rsidR="003A645A" w:rsidRDefault="003A645A" w:rsidP="003A645A">
      <w:pPr>
        <w:pStyle w:val="NormalWeb"/>
        <w:numPr>
          <w:ilvl w:val="0"/>
          <w:numId w:val="16"/>
        </w:numPr>
        <w:spacing w:line="480" w:lineRule="auto"/>
      </w:pPr>
      <w:r>
        <w:rPr>
          <w:rStyle w:val="Strong"/>
        </w:rPr>
        <w:t>Redox cycling ability (Cu²⁺/Cu⁺)</w:t>
      </w:r>
      <w:r>
        <w:t>, producing reactive oxygen species (ROS) that damage microbial membranes and proteins.</w:t>
      </w:r>
    </w:p>
    <w:p w:rsidR="003A645A" w:rsidRDefault="003A645A" w:rsidP="003A645A">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rsidR="003A645A" w:rsidRDefault="003A645A" w:rsidP="003A645A">
      <w:pPr>
        <w:pStyle w:val="NormalWeb"/>
        <w:numPr>
          <w:ilvl w:val="0"/>
          <w:numId w:val="16"/>
        </w:numPr>
        <w:spacing w:line="480" w:lineRule="auto"/>
      </w:pPr>
      <w:r>
        <w:rPr>
          <w:rStyle w:val="Strong"/>
        </w:rPr>
        <w:t>Modulation of cytokine expression</w:t>
      </w:r>
      <w:r>
        <w:t xml:space="preserve"> in inflammatory pathways.</w:t>
      </w:r>
    </w:p>
    <w:p w:rsidR="003A645A" w:rsidRDefault="003A645A" w:rsidP="003A645A">
      <w:pPr>
        <w:pStyle w:val="NormalWeb"/>
        <w:spacing w:line="480" w:lineRule="auto"/>
      </w:pPr>
      <w:r>
        <w:t xml:space="preserve">In coordination with ibuprofen, Cu(II) complexes may exhibit </w:t>
      </w:r>
      <w:r>
        <w:rPr>
          <w:rStyle w:val="Strong"/>
        </w:rPr>
        <w:t>synergistic effects</w:t>
      </w:r>
      <w:r>
        <w:t>, enhancing the anti-inflammatory activity of ibuprofen while contributing intrinsic antimicrobial properties (Sarkar et al., 2019).</w:t>
      </w:r>
    </w:p>
    <w:p w:rsidR="003A645A" w:rsidRPr="003A645A" w:rsidRDefault="003A645A" w:rsidP="003A645A">
      <w:pPr>
        <w:rPr>
          <w:rFonts w:asciiTheme="majorBidi" w:hAnsiTheme="majorBidi" w:cstheme="majorBidi"/>
          <w:sz w:val="24"/>
          <w:szCs w:val="24"/>
        </w:rPr>
      </w:pPr>
      <w:r w:rsidRPr="003A645A">
        <w:rPr>
          <w:rStyle w:val="Strong"/>
          <w:rFonts w:asciiTheme="majorBidi" w:hAnsiTheme="majorBidi" w:cstheme="majorBidi"/>
          <w:sz w:val="24"/>
          <w:szCs w:val="24"/>
        </w:rPr>
        <w:t xml:space="preserve"> Antioxidant and Anticancer Potential</w:t>
      </w:r>
    </w:p>
    <w:p w:rsidR="003A645A" w:rsidRDefault="003A645A" w:rsidP="003A645A">
      <w:pPr>
        <w:pStyle w:val="NormalWeb"/>
      </w:pPr>
      <w:r>
        <w:t>Copper complexes are being explored in oncology due to their:</w:t>
      </w:r>
    </w:p>
    <w:p w:rsidR="003A645A" w:rsidRPr="003A645A" w:rsidRDefault="003A645A" w:rsidP="003A645A">
      <w:pPr>
        <w:pStyle w:val="NormalWeb"/>
        <w:numPr>
          <w:ilvl w:val="0"/>
          <w:numId w:val="17"/>
        </w:numPr>
        <w:spacing w:line="480" w:lineRule="auto"/>
      </w:pPr>
      <w:r w:rsidRPr="003A645A">
        <w:rPr>
          <w:rStyle w:val="Strong"/>
          <w:b w:val="0"/>
          <w:bCs w:val="0"/>
        </w:rPr>
        <w:t>Pro-oxidant effects</w:t>
      </w:r>
      <w:r w:rsidRPr="003A645A">
        <w:t xml:space="preserve"> in tumor cells</w:t>
      </w:r>
    </w:p>
    <w:p w:rsidR="003A645A" w:rsidRPr="003A645A" w:rsidRDefault="003A645A" w:rsidP="003A645A">
      <w:pPr>
        <w:pStyle w:val="NormalWeb"/>
        <w:numPr>
          <w:ilvl w:val="0"/>
          <w:numId w:val="17"/>
        </w:numPr>
        <w:spacing w:line="480" w:lineRule="auto"/>
      </w:pPr>
      <w:r w:rsidRPr="003A645A">
        <w:rPr>
          <w:rStyle w:val="Strong"/>
          <w:b w:val="0"/>
          <w:bCs w:val="0"/>
        </w:rPr>
        <w:t>Selective cytotoxicity</w:t>
      </w:r>
      <w:r w:rsidRPr="003A645A">
        <w:t xml:space="preserve"> via mitochondrial disruption</w:t>
      </w:r>
    </w:p>
    <w:p w:rsidR="003A645A" w:rsidRPr="003A645A" w:rsidRDefault="003A645A" w:rsidP="003A645A">
      <w:pPr>
        <w:pStyle w:val="NormalWeb"/>
        <w:numPr>
          <w:ilvl w:val="0"/>
          <w:numId w:val="17"/>
        </w:numPr>
        <w:spacing w:line="480" w:lineRule="auto"/>
      </w:pPr>
      <w:r w:rsidRPr="003A645A">
        <w:t xml:space="preserve">Potential to serve as </w:t>
      </w:r>
      <w:r w:rsidRPr="003A645A">
        <w:rPr>
          <w:rStyle w:val="Strong"/>
          <w:b w:val="0"/>
          <w:bCs w:val="0"/>
        </w:rPr>
        <w:t>angiogenesis inhibitors</w:t>
      </w:r>
    </w:p>
    <w:p w:rsidR="003A645A" w:rsidRPr="00047DAB" w:rsidRDefault="003A645A" w:rsidP="003A645A">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lastRenderedPageBreak/>
        <w:t>2.5 Metal-NSAID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2.6 Analytical Techniques in Characterization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2.7 Applications of Metal-Drug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r w:rsidRPr="00262D8E">
        <w:rPr>
          <w:rStyle w:val="Strong"/>
          <w:b/>
          <w:bCs/>
          <w:sz w:val="24"/>
          <w:szCs w:val="24"/>
        </w:rPr>
        <w:lastRenderedPageBreak/>
        <w:t>C</w:t>
      </w:r>
      <w:r>
        <w:rPr>
          <w:rStyle w:val="Strong"/>
          <w:b/>
          <w:bCs/>
          <w:sz w:val="24"/>
          <w:szCs w:val="24"/>
        </w:rPr>
        <w:t>HAPTER THREE</w:t>
      </w:r>
    </w:p>
    <w:p w:rsidR="00047DAB" w:rsidRPr="00262D8E" w:rsidRDefault="00047DAB" w:rsidP="00047DAB">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rsidR="00047DAB" w:rsidRPr="00262D8E" w:rsidRDefault="003A645A" w:rsidP="003A645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Copper sulfate-ibuprofen</w:t>
      </w:r>
      <w:r w:rsidR="00047DAB" w:rsidRPr="00262D8E">
        <w:rPr>
          <w:rFonts w:ascii="Times New Roman" w:hAnsi="Times New Roman" w:cs="Times New Roman"/>
          <w:sz w:val="24"/>
          <w:szCs w:val="24"/>
        </w:rPr>
        <w:t xml:space="preserve"> complex was synthesized via a simple solution-phase reaction. Equimolar s</w:t>
      </w:r>
      <w:r>
        <w:rPr>
          <w:rFonts w:ascii="Times New Roman" w:hAnsi="Times New Roman" w:cs="Times New Roman"/>
          <w:sz w:val="24"/>
          <w:szCs w:val="24"/>
        </w:rPr>
        <w:t>olutions of ibuprofen and copper chloride</w:t>
      </w:r>
      <w:r w:rsidR="00047DAB" w:rsidRPr="00262D8E">
        <w:rPr>
          <w:rFonts w:ascii="Times New Roman" w:hAnsi="Times New Roman" w:cs="Times New Roman"/>
          <w:sz w:val="24"/>
          <w:szCs w:val="24"/>
        </w:rPr>
        <w:t xml:space="preserve"> chloride were prepared in ethanol and distilled water respectively.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(Basu et al., 2016).</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rsidR="00047DAB"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bookmarkStart w:id="0" w:name="_GoBack"/>
      <w:bookmarkEnd w:id="0"/>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deprotonation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047DAB" w:rsidRPr="00262D8E" w:rsidTr="006D1694">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047DAB" w:rsidRPr="00262D8E" w:rsidRDefault="00047DAB" w:rsidP="006D1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047DAB" w:rsidRPr="00262D8E" w:rsidRDefault="00047DAB" w:rsidP="006D1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047DAB" w:rsidRPr="00262D8E"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047DAB" w:rsidRPr="00262D8E"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047DAB" w:rsidRPr="00262D8E"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047DAB" w:rsidRPr="00262D8E"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047DAB" w:rsidRPr="00262D8E" w:rsidRDefault="00047DAB" w:rsidP="00047DAB">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result from increased lipophilicity and better cell membrane penetration due to metal coordination.</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B65C7A" w:rsidRDefault="00047DAB" w:rsidP="00047DAB">
      <w:pPr>
        <w:pStyle w:val="Heading2"/>
        <w:jc w:val="center"/>
        <w:rPr>
          <w:rStyle w:val="Strong"/>
          <w:b/>
          <w:bCs/>
          <w:sz w:val="24"/>
          <w:szCs w:val="24"/>
        </w:rPr>
      </w:pPr>
      <w:r>
        <w:rPr>
          <w:rStyle w:val="Strong"/>
          <w:b/>
          <w:bCs/>
          <w:sz w:val="24"/>
          <w:szCs w:val="24"/>
        </w:rPr>
        <w:lastRenderedPageBreak/>
        <w:t>CHAPTER FIVE</w:t>
      </w:r>
    </w:p>
    <w:p w:rsidR="00047DAB" w:rsidRPr="00B65C7A" w:rsidRDefault="00047DAB" w:rsidP="00047DAB">
      <w:pPr>
        <w:pStyle w:val="Heading2"/>
        <w:jc w:val="center"/>
        <w:rPr>
          <w:b w:val="0"/>
          <w:bCs w:val="0"/>
          <w:sz w:val="24"/>
          <w:szCs w:val="24"/>
        </w:rPr>
      </w:pPr>
      <w:r w:rsidRPr="00B65C7A">
        <w:rPr>
          <w:rStyle w:val="Strong"/>
          <w:b/>
          <w:bCs/>
          <w:sz w:val="24"/>
          <w:szCs w:val="24"/>
        </w:rPr>
        <w:t>CONCLUSION AND RECOMMENDATIONS</w:t>
      </w:r>
    </w:p>
    <w:p w:rsidR="00047DAB" w:rsidRDefault="00047DAB" w:rsidP="00047DAB">
      <w:pPr>
        <w:pStyle w:val="Heading3"/>
        <w:spacing w:line="480" w:lineRule="auto"/>
        <w:jc w:val="both"/>
      </w:pPr>
      <w:r>
        <w:t>5.1 General Conclusion</w:t>
      </w:r>
    </w:p>
    <w:p w:rsidR="00047DAB" w:rsidRDefault="00047DAB" w:rsidP="00047DAB">
      <w:pPr>
        <w:pStyle w:val="NormalWeb"/>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Default="00047DAB" w:rsidP="00047DAB">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w:t>
      </w:r>
      <w:r>
        <w:lastRenderedPageBreak/>
        <w:t>interaction with microbial cell membranes, in line with the Overtone’s concept and chelation theory (Santos et al., 2018).</w:t>
      </w:r>
    </w:p>
    <w:p w:rsidR="00047DAB" w:rsidRDefault="00047DAB" w:rsidP="00047DAB">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Default="00047DAB" w:rsidP="00047DAB">
      <w:pPr>
        <w:pStyle w:val="Heading3"/>
        <w:spacing w:line="480" w:lineRule="auto"/>
        <w:jc w:val="both"/>
      </w:pPr>
      <w:r>
        <w:t>5.2 Specific Findings</w:t>
      </w:r>
    </w:p>
    <w:p w:rsidR="00047DAB" w:rsidRDefault="00047DAB" w:rsidP="00047DAB">
      <w:pPr>
        <w:pStyle w:val="NormalWeb"/>
        <w:numPr>
          <w:ilvl w:val="0"/>
          <w:numId w:val="7"/>
        </w:numPr>
        <w:spacing w:line="480" w:lineRule="auto"/>
        <w:jc w:val="both"/>
      </w:pPr>
      <w:r>
        <w:t>Ibuprofen coordinated to Ni(II) via its carboxylate group, forming a stable octahedral complex.</w:t>
      </w:r>
    </w:p>
    <w:p w:rsidR="00047DAB" w:rsidRDefault="00047DAB" w:rsidP="00047DAB">
      <w:pPr>
        <w:pStyle w:val="NormalWeb"/>
        <w:numPr>
          <w:ilvl w:val="0"/>
          <w:numId w:val="7"/>
        </w:numPr>
        <w:spacing w:line="480" w:lineRule="auto"/>
        <w:jc w:val="both"/>
      </w:pPr>
      <w:r>
        <w:t>FTIR and NMR confirmed structural changes associated with complexation.</w:t>
      </w:r>
    </w:p>
    <w:p w:rsidR="00047DAB" w:rsidRDefault="00047DAB" w:rsidP="00047DAB">
      <w:pPr>
        <w:pStyle w:val="NormalWeb"/>
        <w:numPr>
          <w:ilvl w:val="0"/>
          <w:numId w:val="7"/>
        </w:numPr>
        <w:spacing w:line="480" w:lineRule="auto"/>
        <w:jc w:val="both"/>
      </w:pPr>
      <w:r>
        <w:t>TGA analysis indicated the complex was thermally stable up to ~200°C.</w:t>
      </w:r>
    </w:p>
    <w:p w:rsidR="00047DAB" w:rsidRDefault="00047DAB" w:rsidP="00047DAB">
      <w:pPr>
        <w:pStyle w:val="NormalWeb"/>
        <w:numPr>
          <w:ilvl w:val="0"/>
          <w:numId w:val="7"/>
        </w:numPr>
        <w:spacing w:line="480" w:lineRule="auto"/>
        <w:jc w:val="both"/>
      </w:pPr>
      <w:r>
        <w:t>XRD and SEM revealed the formation of new crystalline and morphological structures.</w:t>
      </w:r>
    </w:p>
    <w:p w:rsidR="00047DAB" w:rsidRDefault="00047DAB" w:rsidP="00047DAB">
      <w:pPr>
        <w:pStyle w:val="NormalWeb"/>
        <w:numPr>
          <w:ilvl w:val="0"/>
          <w:numId w:val="7"/>
        </w:numPr>
        <w:spacing w:line="480" w:lineRule="auto"/>
        <w:jc w:val="both"/>
      </w:pPr>
      <w:r>
        <w:t>The complex displayed superior antimicrobial activity compared to its individual components.</w:t>
      </w:r>
    </w:p>
    <w:p w:rsidR="00047DAB" w:rsidRDefault="00047DAB" w:rsidP="00047DAB">
      <w:pPr>
        <w:pStyle w:val="Heading3"/>
        <w:spacing w:line="480" w:lineRule="auto"/>
        <w:jc w:val="both"/>
      </w:pPr>
      <w:r>
        <w:t>5.3 Contributions to Knowledge</w:t>
      </w:r>
    </w:p>
    <w:p w:rsidR="00047DAB" w:rsidRDefault="00047DAB" w:rsidP="00047DAB">
      <w:pPr>
        <w:pStyle w:val="NormalWeb"/>
        <w:numPr>
          <w:ilvl w:val="0"/>
          <w:numId w:val="8"/>
        </w:numPr>
        <w:spacing w:line="480" w:lineRule="auto"/>
        <w:jc w:val="both"/>
      </w:pPr>
      <w:r>
        <w:lastRenderedPageBreak/>
        <w:t>Demonstrated the feasibility of synthesizing metal complexes using over-the-counter NSAIDs.</w:t>
      </w:r>
    </w:p>
    <w:p w:rsidR="00047DAB" w:rsidRDefault="00047DAB" w:rsidP="00047DAB">
      <w:pPr>
        <w:pStyle w:val="NormalWeb"/>
        <w:numPr>
          <w:ilvl w:val="0"/>
          <w:numId w:val="8"/>
        </w:numPr>
        <w:spacing w:line="480" w:lineRule="auto"/>
        <w:jc w:val="both"/>
      </w:pPr>
      <w:r>
        <w:t>Provided structural and thermal insights into Ni(II)-ibuprofen coordination.</w:t>
      </w:r>
    </w:p>
    <w:p w:rsidR="00047DAB" w:rsidRDefault="00047DAB" w:rsidP="00047DAB">
      <w:pPr>
        <w:pStyle w:val="NormalWeb"/>
        <w:numPr>
          <w:ilvl w:val="0"/>
          <w:numId w:val="8"/>
        </w:numPr>
        <w:spacing w:line="480" w:lineRule="auto"/>
        <w:jc w:val="both"/>
      </w:pPr>
      <w:r>
        <w:t>Highlighted the enhancement of antibacterial properties via metal-ligand interaction.</w:t>
      </w:r>
    </w:p>
    <w:p w:rsidR="00047DAB" w:rsidRDefault="00047DAB" w:rsidP="00047DAB">
      <w:pPr>
        <w:pStyle w:val="NormalWeb"/>
        <w:numPr>
          <w:ilvl w:val="0"/>
          <w:numId w:val="8"/>
        </w:numPr>
        <w:spacing w:line="480" w:lineRule="auto"/>
        <w:jc w:val="both"/>
      </w:pPr>
      <w:r>
        <w:t>Offered a potential model for developing metal-drug conjugates with improved efficacy.</w:t>
      </w:r>
    </w:p>
    <w:p w:rsidR="00047DAB" w:rsidRDefault="00047DAB" w:rsidP="00047DAB">
      <w:pPr>
        <w:pStyle w:val="Heading3"/>
        <w:spacing w:line="480" w:lineRule="auto"/>
        <w:jc w:val="both"/>
      </w:pPr>
      <w:r>
        <w:t>5.4 Recommendations</w:t>
      </w:r>
    </w:p>
    <w:p w:rsidR="00047DAB" w:rsidRDefault="00047DAB" w:rsidP="00047DAB">
      <w:pPr>
        <w:pStyle w:val="NormalWeb"/>
        <w:spacing w:line="480" w:lineRule="auto"/>
        <w:jc w:val="both"/>
      </w:pPr>
      <w:r>
        <w:t>Based on the findings of this study, the following recommendations are proposed:</w:t>
      </w:r>
    </w:p>
    <w:p w:rsidR="00047DAB" w:rsidRDefault="00047DAB" w:rsidP="00047DAB">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047DAB" w:rsidRDefault="00047DAB" w:rsidP="00047DAB">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047DAB" w:rsidRDefault="00047DAB" w:rsidP="00047DAB">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047DAB" w:rsidRDefault="00047DAB" w:rsidP="00047DAB">
      <w:pPr>
        <w:pStyle w:val="NormalWeb"/>
        <w:numPr>
          <w:ilvl w:val="0"/>
          <w:numId w:val="9"/>
        </w:numPr>
        <w:spacing w:line="480" w:lineRule="auto"/>
        <w:jc w:val="both"/>
      </w:pPr>
      <w:r>
        <w:rPr>
          <w:rStyle w:val="Strong"/>
        </w:rPr>
        <w:lastRenderedPageBreak/>
        <w:t>Structural Elucidation</w:t>
      </w:r>
      <w:r>
        <w:t>: Single-crystal X-ray diffraction analysis could provide definitive structural confirmation of the coordination geometry.</w:t>
      </w:r>
    </w:p>
    <w:p w:rsidR="00047DAB" w:rsidRDefault="00047DAB" w:rsidP="00047DAB">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047DAB" w:rsidRDefault="00047DAB" w:rsidP="00047DAB">
      <w:pPr>
        <w:pStyle w:val="Heading3"/>
        <w:spacing w:line="480" w:lineRule="auto"/>
        <w:jc w:val="both"/>
      </w:pPr>
      <w:r>
        <w:t>5.5 Limitations of the Study</w:t>
      </w:r>
    </w:p>
    <w:p w:rsidR="00047DAB" w:rsidRDefault="00047DAB" w:rsidP="00047DAB">
      <w:pPr>
        <w:pStyle w:val="NormalWeb"/>
        <w:numPr>
          <w:ilvl w:val="0"/>
          <w:numId w:val="10"/>
        </w:numPr>
        <w:spacing w:line="480" w:lineRule="auto"/>
        <w:jc w:val="both"/>
      </w:pPr>
      <w:r>
        <w:t>Lack of in vivo biological data to validate in vitro results.</w:t>
      </w:r>
    </w:p>
    <w:p w:rsidR="00047DAB" w:rsidRDefault="00047DAB" w:rsidP="00047DAB">
      <w:pPr>
        <w:pStyle w:val="NormalWeb"/>
        <w:numPr>
          <w:ilvl w:val="0"/>
          <w:numId w:val="10"/>
        </w:numPr>
        <w:spacing w:line="480" w:lineRule="auto"/>
        <w:jc w:val="both"/>
      </w:pPr>
      <w:r>
        <w:t>Absence of single-crystal XRD due to crystallization challenges.</w:t>
      </w:r>
    </w:p>
    <w:p w:rsidR="00047DAB" w:rsidRDefault="00047DAB" w:rsidP="00047DAB">
      <w:pPr>
        <w:pStyle w:val="NormalWeb"/>
        <w:numPr>
          <w:ilvl w:val="0"/>
          <w:numId w:val="10"/>
        </w:numPr>
        <w:spacing w:line="480" w:lineRule="auto"/>
        <w:jc w:val="both"/>
      </w:pPr>
      <w:r>
        <w:t>Limited antimicrobial spectrum tested (only two bacterial strains).</w:t>
      </w:r>
    </w:p>
    <w:p w:rsidR="00047DAB" w:rsidRDefault="00047DAB" w:rsidP="00047DAB">
      <w:pPr>
        <w:pStyle w:val="Heading3"/>
        <w:spacing w:line="480" w:lineRule="auto"/>
        <w:jc w:val="both"/>
      </w:pPr>
      <w:r>
        <w:t>5.6 Future Research Directions</w:t>
      </w:r>
    </w:p>
    <w:p w:rsidR="00047DAB" w:rsidRDefault="00047DAB" w:rsidP="00047DAB">
      <w:pPr>
        <w:pStyle w:val="NormalWeb"/>
        <w:numPr>
          <w:ilvl w:val="0"/>
          <w:numId w:val="11"/>
        </w:numPr>
        <w:spacing w:line="480" w:lineRule="auto"/>
        <w:jc w:val="both"/>
      </w:pPr>
      <w:r>
        <w:t>Synthesis and comparison of similar complexes with other transition metals like Cu(II), Zn(II), and Co(II).</w:t>
      </w:r>
    </w:p>
    <w:p w:rsidR="00047DAB" w:rsidRDefault="00047DAB" w:rsidP="00047DAB">
      <w:pPr>
        <w:pStyle w:val="NormalWeb"/>
        <w:numPr>
          <w:ilvl w:val="0"/>
          <w:numId w:val="11"/>
        </w:numPr>
        <w:spacing w:line="480" w:lineRule="auto"/>
        <w:jc w:val="both"/>
      </w:pPr>
      <w:r>
        <w:t>Exploration of mixed-ligand complexes involving ibuprofen and other bioactive ligands.</w:t>
      </w:r>
    </w:p>
    <w:p w:rsidR="00047DAB" w:rsidRDefault="00047DAB" w:rsidP="00047DAB">
      <w:pPr>
        <w:pStyle w:val="NormalWeb"/>
        <w:numPr>
          <w:ilvl w:val="0"/>
          <w:numId w:val="11"/>
        </w:numPr>
        <w:spacing w:line="480" w:lineRule="auto"/>
        <w:jc w:val="both"/>
      </w:pPr>
      <w:r>
        <w:t>Application of the synthesized complex in green catalysis or electrochemical sensors.</w:t>
      </w:r>
    </w:p>
    <w:p w:rsidR="00047DAB" w:rsidRDefault="00047DAB" w:rsidP="00047DAB">
      <w:pPr>
        <w:pStyle w:val="Heading3"/>
        <w:spacing w:line="480" w:lineRule="auto"/>
        <w:jc w:val="both"/>
      </w:pPr>
      <w:r>
        <w:lastRenderedPageBreak/>
        <w:t>5.7 Final Remarks</w:t>
      </w:r>
    </w:p>
    <w:p w:rsidR="00047DAB" w:rsidRDefault="00047DAB" w:rsidP="00047DAB">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center"/>
      </w:pPr>
      <w:r>
        <w:rPr>
          <w:rStyle w:val="Strong"/>
        </w:rPr>
        <w:lastRenderedPageBreak/>
        <w:t>References</w:t>
      </w:r>
    </w:p>
    <w:p w:rsidR="00047DAB" w:rsidRDefault="00047DAB" w:rsidP="00047DAB">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047DAB" w:rsidRDefault="00047DAB" w:rsidP="00047DAB">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047DAB" w:rsidRDefault="00047DAB" w:rsidP="00047DAB">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047DAB" w:rsidRDefault="00047DAB" w:rsidP="00047DAB">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047DAB" w:rsidRDefault="00047DAB" w:rsidP="00047DAB">
      <w:pPr>
        <w:pStyle w:val="NormalWeb"/>
        <w:numPr>
          <w:ilvl w:val="0"/>
          <w:numId w:val="12"/>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047DAB" w:rsidRDefault="00047DAB" w:rsidP="00047DAB">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047DAB" w:rsidRDefault="00047DAB" w:rsidP="00047DAB">
      <w:pPr>
        <w:pStyle w:val="NormalWeb"/>
        <w:numPr>
          <w:ilvl w:val="0"/>
          <w:numId w:val="12"/>
        </w:numPr>
        <w:spacing w:line="480" w:lineRule="auto"/>
        <w:ind w:left="1440" w:hanging="1080"/>
        <w:jc w:val="both"/>
      </w:pPr>
      <w:r>
        <w:lastRenderedPageBreak/>
        <w:t xml:space="preserve">Santos, T. M., Ribeiro, L. N., &amp; Lima, E. G. (2018). Metal-based NSAID complexes for enhanced therapeutic applications. </w:t>
      </w:r>
      <w:r>
        <w:rPr>
          <w:rStyle w:val="Emphasis"/>
        </w:rPr>
        <w:t>Inorganic Chemistry Frontiers</w:t>
      </w:r>
      <w:r>
        <w:t>, 5(4), 723–739.</w:t>
      </w:r>
    </w:p>
    <w:p w:rsidR="00047DAB" w:rsidRDefault="00047DAB" w:rsidP="00047DAB">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047DAB" w:rsidRDefault="00047DAB" w:rsidP="00047DAB">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047DAB" w:rsidRDefault="00047DAB" w:rsidP="00047DAB">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047DAB" w:rsidRDefault="00047DAB" w:rsidP="00047DAB">
      <w:pPr>
        <w:pStyle w:val="NormalWeb"/>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047DAB" w:rsidRDefault="00047DAB" w:rsidP="00047DAB">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047DAB" w:rsidRDefault="00047DAB" w:rsidP="00047DAB">
      <w:pPr>
        <w:pStyle w:val="NormalWeb"/>
        <w:numPr>
          <w:ilvl w:val="0"/>
          <w:numId w:val="12"/>
        </w:numPr>
        <w:spacing w:line="480" w:lineRule="auto"/>
        <w:ind w:left="1440" w:hanging="1080"/>
        <w:jc w:val="both"/>
      </w:pPr>
      <w:r>
        <w:lastRenderedPageBreak/>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047DAB" w:rsidRPr="00262D8E" w:rsidRDefault="00047DAB" w:rsidP="00047DAB">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047DAB" w:rsidRPr="00262D8E" w:rsidRDefault="00047DAB" w:rsidP="00047DAB">
      <w:pPr>
        <w:spacing w:line="480" w:lineRule="auto"/>
        <w:ind w:left="1440" w:hanging="1080"/>
        <w:jc w:val="both"/>
        <w:rPr>
          <w:rFonts w:ascii="Times New Roman" w:hAnsi="Times New Roman" w:cs="Times New Roman"/>
          <w:sz w:val="24"/>
          <w:szCs w:val="24"/>
        </w:rPr>
      </w:pPr>
    </w:p>
    <w:p w:rsidR="00F92473" w:rsidRDefault="00F92473"/>
    <w:sectPr w:rsidR="00F92473" w:rsidSect="009062ED">
      <w:headerReference w:type="even" r:id="rId5"/>
      <w:headerReference w:type="default" r:id="rId6"/>
      <w:footerReference w:type="even" r:id="rId7"/>
      <w:footerReference w:type="default" r:id="rId8"/>
      <w:headerReference w:type="first" r:id="rId9"/>
      <w:footerReference w:type="first" r:id="rId10"/>
      <w:pgSz w:w="12240" w:h="15840"/>
      <w:pgMar w:top="2160" w:right="2160" w:bottom="2160" w:left="2160" w:header="720" w:footer="273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3A6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CF4695" w:rsidRDefault="003A645A">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CF4695" w:rsidRDefault="003A64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3A645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3A6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3A64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3A6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AB"/>
    <w:rsid w:val="00047DAB"/>
    <w:rsid w:val="003A645A"/>
    <w:rsid w:val="00F92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EF28E-1891-4805-8A70-6A2D416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styleId="PlainTable2">
    <w:name w:val="Plain Table 2"/>
    <w:basedOn w:val="TableNormal"/>
    <w:uiPriority w:val="42"/>
    <w:rsid w:val="00047D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41</Pages>
  <Words>4460</Words>
  <Characters>28012</Characters>
  <Application>Microsoft Office Word</Application>
  <DocSecurity>0</DocSecurity>
  <Lines>737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2025-07-10T21:36:00Z</dcterms:created>
  <dcterms:modified xsi:type="dcterms:W3CDTF">2025-07-10T21:53:00Z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