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CE4" w:rsidRPr="00CF514E" w:rsidRDefault="00775655" w:rsidP="00207CE4">
      <w:pPr>
        <w:spacing w:after="0" w:line="480" w:lineRule="auto"/>
        <w:jc w:val="center"/>
        <w:rPr>
          <w:rFonts w:ascii="Arial Black" w:hAnsi="Arial Black" w:cs="Times New Roman"/>
          <w:b/>
          <w:sz w:val="28"/>
          <w:szCs w:val="28"/>
        </w:rPr>
      </w:pPr>
      <w:r w:rsidRPr="00CF514E">
        <w:rPr>
          <w:rFonts w:ascii="Arial Black" w:hAnsi="Arial Black" w:cs="Times New Roman"/>
          <w:b/>
          <w:sz w:val="28"/>
          <w:szCs w:val="28"/>
        </w:rPr>
        <w:t>HYDROCHEMICAL CHARACTERISTICS OF GROUNDWATER OF PARTS OF ILORIN SOUTHWESTERN, NIGERIA</w:t>
      </w:r>
    </w:p>
    <w:p w:rsidR="00CF514E" w:rsidRDefault="00CF514E" w:rsidP="00CF514E">
      <w:pPr>
        <w:jc w:val="center"/>
        <w:rPr>
          <w:rFonts w:ascii="Arial Black" w:hAnsi="Arial Black"/>
          <w:b/>
          <w:sz w:val="28"/>
          <w:szCs w:val="36"/>
        </w:rPr>
      </w:pPr>
    </w:p>
    <w:p w:rsidR="00CF514E" w:rsidRDefault="00CF514E" w:rsidP="00CF514E">
      <w:pPr>
        <w:jc w:val="center"/>
        <w:rPr>
          <w:rFonts w:ascii="Arial Black" w:hAnsi="Arial Black"/>
          <w:b/>
          <w:sz w:val="28"/>
          <w:szCs w:val="36"/>
        </w:rPr>
      </w:pPr>
    </w:p>
    <w:p w:rsidR="00CF514E" w:rsidRPr="00487BC9" w:rsidRDefault="00CF514E" w:rsidP="00CF514E">
      <w:pPr>
        <w:jc w:val="center"/>
        <w:rPr>
          <w:rFonts w:ascii="Arial Black" w:hAnsi="Arial Black"/>
          <w:b/>
          <w:sz w:val="28"/>
          <w:szCs w:val="36"/>
        </w:rPr>
      </w:pPr>
      <w:r w:rsidRPr="00487BC9">
        <w:rPr>
          <w:rFonts w:ascii="Arial Black" w:hAnsi="Arial Black"/>
          <w:b/>
          <w:sz w:val="28"/>
          <w:szCs w:val="36"/>
        </w:rPr>
        <w:t>BY:</w:t>
      </w:r>
    </w:p>
    <w:p w:rsidR="00CF514E" w:rsidRPr="0049104C" w:rsidRDefault="008A02EA" w:rsidP="00CF514E">
      <w:pPr>
        <w:jc w:val="center"/>
        <w:rPr>
          <w:rFonts w:ascii="Arial Black" w:hAnsi="Arial Black"/>
          <w:sz w:val="28"/>
          <w:szCs w:val="28"/>
        </w:rPr>
      </w:pPr>
      <w:proofErr w:type="spellStart"/>
      <w:r>
        <w:rPr>
          <w:rFonts w:ascii="Arial Black" w:hAnsi="Arial Black"/>
          <w:sz w:val="28"/>
          <w:szCs w:val="28"/>
        </w:rPr>
        <w:t>Abduljalal</w:t>
      </w:r>
      <w:proofErr w:type="spellEnd"/>
      <w:r>
        <w:rPr>
          <w:rFonts w:ascii="Arial Black" w:hAnsi="Arial Black"/>
          <w:sz w:val="28"/>
          <w:szCs w:val="28"/>
        </w:rPr>
        <w:t xml:space="preserve"> </w:t>
      </w:r>
      <w:proofErr w:type="spellStart"/>
      <w:r>
        <w:rPr>
          <w:rFonts w:ascii="Arial Black" w:hAnsi="Arial Black"/>
          <w:sz w:val="28"/>
          <w:szCs w:val="28"/>
        </w:rPr>
        <w:t>Junaid</w:t>
      </w:r>
      <w:proofErr w:type="spellEnd"/>
      <w:r w:rsidR="003137CA">
        <w:rPr>
          <w:rFonts w:ascii="Arial Black" w:hAnsi="Arial Black"/>
          <w:sz w:val="28"/>
          <w:szCs w:val="28"/>
        </w:rPr>
        <w:t xml:space="preserve"> </w:t>
      </w:r>
      <w:r>
        <w:rPr>
          <w:rFonts w:ascii="Arial Black" w:hAnsi="Arial Black"/>
          <w:sz w:val="28"/>
          <w:szCs w:val="28"/>
        </w:rPr>
        <w:t>ISMAIL</w:t>
      </w:r>
    </w:p>
    <w:p w:rsidR="00CF514E" w:rsidRPr="0049104C" w:rsidRDefault="00EF0CC0" w:rsidP="00CF514E">
      <w:pPr>
        <w:jc w:val="center"/>
        <w:rPr>
          <w:rFonts w:ascii="Arial Black" w:hAnsi="Arial Black"/>
          <w:sz w:val="28"/>
          <w:szCs w:val="28"/>
        </w:rPr>
      </w:pPr>
      <w:bookmarkStart w:id="0" w:name="_GoBack"/>
      <w:r>
        <w:rPr>
          <w:rFonts w:ascii="Arial Black" w:hAnsi="Arial Black"/>
          <w:sz w:val="28"/>
          <w:szCs w:val="28"/>
        </w:rPr>
        <w:t>ND/23/MPE/F</w:t>
      </w:r>
      <w:r w:rsidR="00527140">
        <w:rPr>
          <w:rFonts w:ascii="Arial Black" w:hAnsi="Arial Black"/>
          <w:sz w:val="28"/>
          <w:szCs w:val="28"/>
        </w:rPr>
        <w:t>T/</w:t>
      </w:r>
      <w:r w:rsidR="00FD7401">
        <w:rPr>
          <w:rFonts w:ascii="Arial Black" w:hAnsi="Arial Black"/>
          <w:sz w:val="28"/>
          <w:szCs w:val="28"/>
        </w:rPr>
        <w:t>00</w:t>
      </w:r>
      <w:r w:rsidR="008A02EA">
        <w:rPr>
          <w:rFonts w:ascii="Arial Black" w:hAnsi="Arial Black"/>
          <w:sz w:val="28"/>
          <w:szCs w:val="28"/>
        </w:rPr>
        <w:t>5</w:t>
      </w:r>
      <w:r w:rsidR="003137CA">
        <w:rPr>
          <w:rFonts w:ascii="Arial Black" w:hAnsi="Arial Black"/>
          <w:sz w:val="28"/>
          <w:szCs w:val="28"/>
        </w:rPr>
        <w:t>8</w:t>
      </w:r>
    </w:p>
    <w:bookmarkEnd w:id="0"/>
    <w:p w:rsidR="00CF514E" w:rsidRDefault="00CF514E" w:rsidP="00CF514E">
      <w:pPr>
        <w:jc w:val="center"/>
        <w:rPr>
          <w:rFonts w:ascii="Arial Black" w:hAnsi="Arial Black"/>
          <w:sz w:val="28"/>
          <w:szCs w:val="28"/>
        </w:rPr>
      </w:pPr>
    </w:p>
    <w:p w:rsidR="00CF514E" w:rsidRPr="00EB39EB" w:rsidRDefault="00CF514E" w:rsidP="00CF514E">
      <w:pPr>
        <w:jc w:val="center"/>
        <w:rPr>
          <w:rFonts w:ascii="Arial Black" w:hAnsi="Arial Black"/>
          <w:sz w:val="28"/>
          <w:szCs w:val="28"/>
        </w:rPr>
      </w:pPr>
    </w:p>
    <w:p w:rsidR="00CF514E" w:rsidRDefault="00CF514E" w:rsidP="00CF514E">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MINERAL AND PETROLEUM RESOURCES ENGINEERING</w:t>
      </w:r>
      <w:r w:rsidRPr="00704FEC">
        <w:rPr>
          <w:rFonts w:ascii="Arial Black" w:hAnsi="Arial Black"/>
          <w:b/>
          <w:sz w:val="28"/>
          <w:szCs w:val="32"/>
        </w:rPr>
        <w:t xml:space="preserve">, INSTITUTE OF </w:t>
      </w:r>
      <w:r>
        <w:rPr>
          <w:rFonts w:ascii="Arial Black" w:hAnsi="Arial Black"/>
          <w:b/>
          <w:sz w:val="28"/>
          <w:szCs w:val="32"/>
        </w:rPr>
        <w:t>TECHNOLOGY</w:t>
      </w:r>
      <w:r w:rsidRPr="00704FEC">
        <w:rPr>
          <w:rFonts w:ascii="Arial Black" w:hAnsi="Arial Black"/>
          <w:b/>
          <w:sz w:val="28"/>
          <w:szCs w:val="32"/>
        </w:rPr>
        <w:t>, KWARA STATE POLYTECHNIC, ILORIN</w:t>
      </w:r>
    </w:p>
    <w:p w:rsidR="00CF514E" w:rsidRPr="00704FEC" w:rsidRDefault="00CF514E" w:rsidP="00CF514E">
      <w:pPr>
        <w:spacing w:line="360" w:lineRule="auto"/>
        <w:jc w:val="center"/>
        <w:rPr>
          <w:rFonts w:ascii="Arial Black" w:hAnsi="Arial Black"/>
          <w:b/>
          <w:sz w:val="28"/>
          <w:szCs w:val="32"/>
        </w:rPr>
      </w:pPr>
    </w:p>
    <w:p w:rsidR="00CF514E" w:rsidRPr="00704FEC" w:rsidRDefault="00CF514E" w:rsidP="00CF514E">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MINERAL AND PETROLEUM RESOURCES ENGINEERING</w:t>
      </w:r>
    </w:p>
    <w:p w:rsidR="00CF514E" w:rsidRDefault="00CF514E" w:rsidP="00CF514E">
      <w:pPr>
        <w:spacing w:after="0" w:line="360" w:lineRule="auto"/>
        <w:ind w:left="5040" w:firstLine="720"/>
        <w:jc w:val="center"/>
        <w:rPr>
          <w:rFonts w:ascii="Arial Black" w:hAnsi="Arial Black"/>
          <w:b/>
          <w:sz w:val="28"/>
          <w:szCs w:val="36"/>
        </w:rPr>
      </w:pPr>
    </w:p>
    <w:p w:rsidR="00CF514E" w:rsidRDefault="00CF514E" w:rsidP="00CF514E">
      <w:pPr>
        <w:spacing w:after="0" w:line="360" w:lineRule="auto"/>
        <w:ind w:left="5040" w:firstLine="720"/>
        <w:jc w:val="center"/>
        <w:rPr>
          <w:rFonts w:ascii="Arial Black" w:hAnsi="Arial Black"/>
          <w:b/>
          <w:sz w:val="28"/>
          <w:szCs w:val="36"/>
        </w:rPr>
      </w:pPr>
    </w:p>
    <w:p w:rsidR="00CF514E" w:rsidRDefault="00CF514E" w:rsidP="00CF514E">
      <w:pPr>
        <w:spacing w:after="0" w:line="360" w:lineRule="auto"/>
        <w:ind w:left="5760" w:firstLine="720"/>
        <w:rPr>
          <w:rFonts w:ascii="Times New Roman" w:hAnsi="Times New Roman"/>
          <w:b/>
        </w:rPr>
      </w:pPr>
      <w:r>
        <w:rPr>
          <w:rFonts w:ascii="Arial Black" w:hAnsi="Arial Black"/>
          <w:b/>
          <w:sz w:val="28"/>
          <w:szCs w:val="36"/>
        </w:rPr>
        <w:t>AUGUST</w:t>
      </w:r>
      <w:r w:rsidRPr="00487BC9">
        <w:rPr>
          <w:rFonts w:ascii="Arial Black" w:hAnsi="Arial Black"/>
          <w:b/>
          <w:sz w:val="28"/>
          <w:szCs w:val="36"/>
        </w:rPr>
        <w:t>, 2025.</w:t>
      </w:r>
    </w:p>
    <w:p w:rsidR="00CF514E" w:rsidRDefault="00CF514E" w:rsidP="00CF514E">
      <w:pPr>
        <w:spacing w:after="0" w:line="480" w:lineRule="auto"/>
        <w:jc w:val="center"/>
        <w:rPr>
          <w:rFonts w:ascii="Times New Roman" w:hAnsi="Times New Roman"/>
          <w:b/>
        </w:rPr>
      </w:pPr>
    </w:p>
    <w:p w:rsidR="00CF514E" w:rsidRPr="0098551C" w:rsidRDefault="008A02EA" w:rsidP="00CF514E">
      <w:pPr>
        <w:spacing w:after="0" w:line="480" w:lineRule="auto"/>
        <w:jc w:val="both"/>
        <w:rPr>
          <w:rFonts w:ascii="Times New Roman" w:hAnsi="Times New Roman"/>
          <w:i/>
        </w:rPr>
      </w:pPr>
      <w:r>
        <w:rPr>
          <w:rFonts w:ascii="Times New Roman" w:hAnsi="Times New Roman"/>
          <w:i/>
          <w:noProof/>
        </w:rPr>
        <w:lastRenderedPageBreak/>
        <w:drawing>
          <wp:anchor distT="0" distB="0" distL="114300" distR="114300" simplePos="0" relativeHeight="251686912" behindDoc="1" locked="0" layoutInCell="1" allowOverlap="1">
            <wp:simplePos x="0" y="0"/>
            <wp:positionH relativeFrom="column">
              <wp:posOffset>-398145</wp:posOffset>
            </wp:positionH>
            <wp:positionV relativeFrom="paragraph">
              <wp:posOffset>-567055</wp:posOffset>
            </wp:positionV>
            <wp:extent cx="6526530" cy="9342755"/>
            <wp:effectExtent l="0" t="0" r="7620" b="0"/>
            <wp:wrapTight wrapText="bothSides">
              <wp:wrapPolygon edited="0">
                <wp:start x="0" y="0"/>
                <wp:lineTo x="0" y="21537"/>
                <wp:lineTo x="21562" y="21537"/>
                <wp:lineTo x="2156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13_145256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26530" cy="9342755"/>
                    </a:xfrm>
                    <a:prstGeom prst="rect">
                      <a:avLst/>
                    </a:prstGeom>
                  </pic:spPr>
                </pic:pic>
              </a:graphicData>
            </a:graphic>
            <wp14:sizeRelH relativeFrom="page">
              <wp14:pctWidth>0</wp14:pctWidth>
            </wp14:sizeRelH>
            <wp14:sizeRelV relativeFrom="page">
              <wp14:pctHeight>0</wp14:pctHeight>
            </wp14:sizeRelV>
          </wp:anchor>
        </w:drawing>
      </w:r>
      <w:r w:rsidR="00CF514E">
        <w:rPr>
          <w:rFonts w:ascii="Times New Roman" w:hAnsi="Times New Roman"/>
          <w:i/>
        </w:rPr>
        <w:tab/>
      </w:r>
      <w:r w:rsidR="00CF514E">
        <w:rPr>
          <w:rFonts w:ascii="Times New Roman" w:hAnsi="Times New Roman"/>
          <w:i/>
        </w:rPr>
        <w:tab/>
      </w:r>
      <w:r w:rsidR="00CF514E">
        <w:rPr>
          <w:rFonts w:ascii="Times New Roman" w:hAnsi="Times New Roman"/>
          <w:i/>
        </w:rPr>
        <w:tab/>
      </w:r>
      <w:r w:rsidR="00CF514E">
        <w:rPr>
          <w:rFonts w:ascii="Times New Roman" w:hAnsi="Times New Roman"/>
          <w:i/>
        </w:rPr>
        <w:tab/>
      </w:r>
      <w:r w:rsidR="00CF514E">
        <w:rPr>
          <w:rFonts w:ascii="Times New Roman" w:hAnsi="Times New Roman"/>
          <w:i/>
        </w:rPr>
        <w:tab/>
        <w:t xml:space="preserve">         </w:t>
      </w:r>
    </w:p>
    <w:p w:rsidR="00332F7E" w:rsidRDefault="00332F7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after="0" w:line="480" w:lineRule="auto"/>
        <w:jc w:val="center"/>
        <w:rPr>
          <w:rFonts w:ascii="Times New Roman" w:hAnsi="Times New Roman"/>
          <w:b/>
          <w:color w:val="000000" w:themeColor="text1"/>
          <w:sz w:val="24"/>
          <w:szCs w:val="24"/>
        </w:rPr>
      </w:pPr>
      <w:r w:rsidRPr="00C4012A">
        <w:rPr>
          <w:rFonts w:ascii="Times New Roman" w:hAnsi="Times New Roman"/>
          <w:b/>
          <w:color w:val="000000" w:themeColor="text1"/>
          <w:sz w:val="24"/>
          <w:szCs w:val="24"/>
        </w:rPr>
        <w:t>DEDICATION</w:t>
      </w:r>
    </w:p>
    <w:p w:rsidR="00CF514E" w:rsidRPr="00C4012A" w:rsidRDefault="00CF514E" w:rsidP="00CF514E">
      <w:pPr>
        <w:spacing w:after="0" w:line="480" w:lineRule="auto"/>
        <w:jc w:val="both"/>
        <w:rPr>
          <w:rFonts w:ascii="Times New Roman" w:hAnsi="Times New Roman"/>
          <w:b/>
          <w:color w:val="000000" w:themeColor="text1"/>
          <w:sz w:val="24"/>
          <w:szCs w:val="24"/>
        </w:rPr>
      </w:pPr>
      <w:r w:rsidRPr="00C4012A">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C4012A">
        <w:rPr>
          <w:rFonts w:ascii="Times New Roman" w:hAnsi="Times New Roman"/>
          <w:color w:val="000000" w:themeColor="text1"/>
          <w:sz w:val="24"/>
          <w:szCs w:val="24"/>
        </w:rPr>
        <w:t>programme</w:t>
      </w:r>
      <w:proofErr w:type="spellEnd"/>
      <w:r w:rsidRPr="00C4012A">
        <w:rPr>
          <w:rFonts w:ascii="Times New Roman" w:hAnsi="Times New Roman"/>
          <w:color w:val="000000" w:themeColor="text1"/>
          <w:sz w:val="24"/>
          <w:szCs w:val="24"/>
        </w:rPr>
        <w:t xml:space="preserve"> at the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 Polytechnic, Ilorin</w:t>
      </w:r>
      <w:r w:rsidRPr="00C4012A">
        <w:rPr>
          <w:rFonts w:ascii="Times New Roman" w:hAnsi="Times New Roman"/>
          <w:color w:val="000000" w:themeColor="text1"/>
          <w:sz w:val="24"/>
          <w:szCs w:val="24"/>
        </w:rPr>
        <w:t xml:space="preserve"> and to our beloved parents and supervisor, who has stood by our side at all times.</w:t>
      </w:r>
    </w:p>
    <w:p w:rsidR="00CF514E" w:rsidRPr="00C4012A"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Pr="001C7690"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after="0" w:line="480" w:lineRule="auto"/>
        <w:jc w:val="center"/>
        <w:rPr>
          <w:rFonts w:ascii="Times New Roman" w:hAnsi="Times New Roman"/>
          <w:b/>
          <w:color w:val="000000" w:themeColor="text1"/>
          <w:sz w:val="24"/>
          <w:szCs w:val="24"/>
        </w:rPr>
      </w:pPr>
      <w:r w:rsidRPr="00C4012A">
        <w:rPr>
          <w:rFonts w:ascii="Times New Roman" w:hAnsi="Times New Roman"/>
          <w:b/>
          <w:color w:val="000000" w:themeColor="text1"/>
          <w:sz w:val="24"/>
          <w:szCs w:val="24"/>
        </w:rPr>
        <w:t>ACKNOWLEDGEMENT</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I</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my</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fe</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me</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my</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I</w:t>
      </w:r>
      <w:r w:rsidRPr="003B5509">
        <w:rPr>
          <w:rFonts w:ascii="Times New Roman" w:hAnsi="Times New Roman"/>
          <w:color w:val="000000" w:themeColor="text1"/>
          <w:sz w:val="24"/>
          <w:szCs w:val="24"/>
        </w:rPr>
        <w:t xml:space="preserve"> wish to express my profound gratitude to my parents</w:t>
      </w:r>
      <w:r>
        <w:rPr>
          <w:rFonts w:ascii="Times New Roman" w:hAnsi="Times New Roman"/>
          <w:color w:val="000000" w:themeColor="text1"/>
          <w:sz w:val="24"/>
          <w:szCs w:val="24"/>
        </w:rPr>
        <w:t xml:space="preserve">, </w:t>
      </w:r>
      <w:r w:rsidRPr="00DD7C28">
        <w:rPr>
          <w:rFonts w:ascii="Times New Roman" w:hAnsi="Times New Roman"/>
          <w:b/>
          <w:caps/>
          <w:color w:val="000000" w:themeColor="text1"/>
          <w:sz w:val="24"/>
          <w:szCs w:val="24"/>
        </w:rPr>
        <w:t xml:space="preserve">Mr. and Mrs. </w:t>
      </w:r>
      <w:r w:rsidR="00332F7E">
        <w:rPr>
          <w:rFonts w:ascii="Times New Roman" w:hAnsi="Times New Roman"/>
          <w:b/>
          <w:caps/>
          <w:color w:val="000000" w:themeColor="text1"/>
        </w:rPr>
        <w:t>HAMMED</w:t>
      </w:r>
      <w:r w:rsidRPr="00E821B7">
        <w:rPr>
          <w:rFonts w:ascii="Times New Roman" w:hAnsi="Times New Roman"/>
          <w:b/>
          <w:color w:val="000000" w:themeColor="text1"/>
          <w:sz w:val="24"/>
          <w:szCs w:val="24"/>
        </w:rPr>
        <w:t>,</w:t>
      </w:r>
      <w:r w:rsidRPr="003B5509">
        <w:rPr>
          <w:rFonts w:ascii="Times New Roman" w:hAnsi="Times New Roman"/>
          <w:color w:val="000000" w:themeColor="text1"/>
          <w:sz w:val="24"/>
          <w:szCs w:val="24"/>
        </w:rPr>
        <w:t xml:space="preserve">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my</w:t>
      </w:r>
      <w:r w:rsidRPr="003B5509">
        <w:rPr>
          <w:rFonts w:ascii="Times New Roman" w:hAnsi="Times New Roman"/>
          <w:color w:val="000000" w:themeColor="text1"/>
          <w:sz w:val="24"/>
          <w:szCs w:val="24"/>
        </w:rPr>
        <w:t xml:space="preserve"> beloved project supervisor</w:t>
      </w:r>
      <w:r>
        <w:rPr>
          <w:rFonts w:ascii="Times New Roman" w:hAnsi="Times New Roman"/>
          <w:color w:val="000000" w:themeColor="text1"/>
          <w:sz w:val="24"/>
          <w:szCs w:val="24"/>
        </w:rPr>
        <w:t>,</w:t>
      </w:r>
      <w:r w:rsidRPr="003B5509">
        <w:rPr>
          <w:rFonts w:ascii="Times New Roman" w:hAnsi="Times New Roman"/>
          <w:color w:val="000000" w:themeColor="text1"/>
          <w:sz w:val="24"/>
          <w:szCs w:val="24"/>
        </w:rPr>
        <w:t xml:space="preserve"> </w:t>
      </w:r>
      <w:r>
        <w:rPr>
          <w:rFonts w:ascii="Times New Roman" w:hAnsi="Times New Roman"/>
          <w:b/>
          <w:color w:val="000000" w:themeColor="text1"/>
          <w:sz w:val="24"/>
          <w:szCs w:val="24"/>
        </w:rPr>
        <w:t>DR. O</w:t>
      </w:r>
      <w:r w:rsidRPr="00DD7C28">
        <w:rPr>
          <w:rFonts w:ascii="Times New Roman" w:hAnsi="Times New Roman"/>
          <w:b/>
          <w:caps/>
          <w:color w:val="000000" w:themeColor="text1"/>
          <w:sz w:val="24"/>
          <w:szCs w:val="24"/>
        </w:rPr>
        <w:t>latunji</w:t>
      </w:r>
      <w:r>
        <w:rPr>
          <w:rFonts w:ascii="Times New Roman" w:hAnsi="Times New Roman"/>
          <w:color w:val="000000" w:themeColor="text1"/>
          <w:sz w:val="24"/>
          <w:szCs w:val="24"/>
        </w:rPr>
        <w:t xml:space="preserve"> </w:t>
      </w:r>
      <w:r w:rsidRPr="00DD7C28">
        <w:rPr>
          <w:rFonts w:ascii="Times New Roman" w:hAnsi="Times New Roman"/>
          <w:b/>
          <w:color w:val="000000" w:themeColor="text1"/>
          <w:sz w:val="24"/>
          <w:szCs w:val="24"/>
        </w:rPr>
        <w:t>J.A.</w:t>
      </w:r>
      <w:r>
        <w:rPr>
          <w:rFonts w:ascii="Times New Roman" w:hAnsi="Times New Roman"/>
          <w:b/>
          <w:color w:val="000000" w:themeColor="text1"/>
          <w:sz w:val="24"/>
          <w:szCs w:val="24"/>
        </w:rPr>
        <w:t>,</w:t>
      </w:r>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I</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me</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my departmental </w:t>
      </w:r>
      <w:r w:rsidRPr="00E821B7">
        <w:rPr>
          <w:rFonts w:ascii="Times New Roman" w:hAnsi="Times New Roman"/>
          <w:b/>
          <w:color w:val="000000" w:themeColor="text1"/>
          <w:sz w:val="24"/>
          <w:szCs w:val="24"/>
        </w:rPr>
        <w:t>H.O.D.</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DR. O</w:t>
      </w:r>
      <w:r w:rsidRPr="00DD7C28">
        <w:rPr>
          <w:rFonts w:ascii="Times New Roman" w:hAnsi="Times New Roman"/>
          <w:b/>
          <w:caps/>
          <w:color w:val="000000" w:themeColor="text1"/>
          <w:sz w:val="24"/>
          <w:szCs w:val="24"/>
        </w:rPr>
        <w:t>latunji</w:t>
      </w:r>
      <w:r>
        <w:rPr>
          <w:rFonts w:ascii="Times New Roman" w:hAnsi="Times New Roman"/>
          <w:color w:val="000000" w:themeColor="text1"/>
          <w:sz w:val="24"/>
          <w:szCs w:val="24"/>
        </w:rPr>
        <w:t xml:space="preserve"> </w:t>
      </w:r>
      <w:r w:rsidRPr="00DD7C28">
        <w:rPr>
          <w:rFonts w:ascii="Times New Roman" w:hAnsi="Times New Roman"/>
          <w:b/>
          <w:color w:val="000000" w:themeColor="text1"/>
          <w:sz w:val="24"/>
          <w:szCs w:val="24"/>
        </w:rPr>
        <w:t>J.A.</w:t>
      </w:r>
      <w:r w:rsidRPr="003B5509">
        <w:rPr>
          <w:rFonts w:ascii="Times New Roman" w:hAnsi="Times New Roman"/>
          <w:color w:val="000000" w:themeColor="text1"/>
          <w:sz w:val="24"/>
          <w:szCs w:val="24"/>
        </w:rPr>
        <w:t xml:space="preserve"> and others lecture</w:t>
      </w:r>
      <w:r>
        <w:rPr>
          <w:rFonts w:ascii="Times New Roman" w:hAnsi="Times New Roman"/>
          <w:color w:val="000000" w:themeColor="text1"/>
          <w:sz w:val="24"/>
          <w:szCs w:val="24"/>
        </w:rPr>
        <w:t>r</w:t>
      </w:r>
      <w:r w:rsidRPr="003B5509">
        <w:rPr>
          <w:rFonts w:ascii="Times New Roman" w:hAnsi="Times New Roman"/>
          <w:color w:val="000000" w:themeColor="text1"/>
          <w:sz w:val="24"/>
          <w:szCs w:val="24"/>
        </w:rPr>
        <w:t>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my</w:t>
      </w:r>
      <w:r w:rsidRPr="003B5509">
        <w:rPr>
          <w:rFonts w:ascii="Times New Roman" w:hAnsi="Times New Roman"/>
          <w:color w:val="000000" w:themeColor="text1"/>
          <w:sz w:val="24"/>
          <w:szCs w:val="24"/>
        </w:rPr>
        <w:t xml:space="preserve"> life.</w:t>
      </w:r>
    </w:p>
    <w:p w:rsidR="00CF514E" w:rsidRPr="00DD7C28" w:rsidRDefault="00CF514E" w:rsidP="00CF514E">
      <w:pPr>
        <w:spacing w:after="0" w:line="48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I</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myself</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I</w:t>
      </w:r>
      <w:r w:rsidRPr="003B5509">
        <w:rPr>
          <w:rFonts w:ascii="Times New Roman" w:hAnsi="Times New Roman"/>
          <w:color w:val="000000" w:themeColor="text1"/>
          <w:sz w:val="24"/>
          <w:szCs w:val="24"/>
        </w:rPr>
        <w:t xml:space="preserve"> would have gone on and on mentioning them.</w:t>
      </w:r>
    </w:p>
    <w:p w:rsidR="00207CE4" w:rsidRPr="00660F21" w:rsidRDefault="00CF514E" w:rsidP="00CF514E">
      <w:pPr>
        <w:spacing w:after="0" w:line="480" w:lineRule="auto"/>
        <w:jc w:val="both"/>
        <w:rPr>
          <w:rFonts w:ascii="Times New Roman" w:hAnsi="Times New Roman" w:cs="Times New Roman"/>
          <w:b/>
          <w:sz w:val="28"/>
          <w:szCs w:val="28"/>
        </w:rPr>
      </w:pPr>
      <w:r w:rsidRPr="00DD7C28">
        <w:rPr>
          <w:rFonts w:ascii="Times New Roman" w:hAnsi="Times New Roman" w:cs="Times New Roman"/>
          <w:color w:val="000000" w:themeColor="text1"/>
          <w:sz w:val="24"/>
          <w:szCs w:val="24"/>
        </w:rPr>
        <w:t xml:space="preserve">Above all, we give endless thanks to Almighty God, the Author and Finisher of my faith, for giving me the grace to embark and successfully complete this </w:t>
      </w:r>
      <w:proofErr w:type="spellStart"/>
      <w:r w:rsidRPr="00DD7C28">
        <w:rPr>
          <w:rFonts w:ascii="Times New Roman" w:hAnsi="Times New Roman" w:cs="Times New Roman"/>
          <w:color w:val="000000" w:themeColor="text1"/>
          <w:sz w:val="24"/>
          <w:szCs w:val="24"/>
        </w:rPr>
        <w:t>programme</w:t>
      </w:r>
      <w:proofErr w:type="spellEnd"/>
      <w:r w:rsidRPr="00DD7C28">
        <w:rPr>
          <w:rFonts w:ascii="Times New Roman" w:hAnsi="Times New Roman" w:cs="Times New Roman"/>
          <w:color w:val="000000" w:themeColor="text1"/>
          <w:sz w:val="24"/>
          <w:szCs w:val="24"/>
        </w:rPr>
        <w:t>.</w:t>
      </w:r>
    </w:p>
    <w:p w:rsidR="00207CE4" w:rsidRDefault="00207CE4"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775655" w:rsidRDefault="00775655" w:rsidP="003773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775655" w:rsidRPr="00775655" w:rsidRDefault="00775655" w:rsidP="0037735E">
      <w:pPr>
        <w:spacing w:after="0"/>
        <w:jc w:val="both"/>
        <w:rPr>
          <w:rFonts w:ascii="Times New Roman" w:hAnsi="Times New Roman" w:cs="Times New Roman"/>
          <w:i/>
          <w:sz w:val="24"/>
          <w:szCs w:val="24"/>
        </w:rPr>
      </w:pPr>
      <w:r w:rsidRPr="00775655">
        <w:rPr>
          <w:rFonts w:ascii="Times New Roman" w:hAnsi="Times New Roman" w:cs="Times New Roman"/>
          <w:i/>
          <w:sz w:val="24"/>
          <w:szCs w:val="24"/>
        </w:rPr>
        <w:t>This research assesses groundwater pollution levels in selected areas of Ilorin, southwestern Nigeria, focusing on heavy metal contamination and physicochemical parameters. Groundwater samples from hand-dug wells and boreholes across six locations (</w:t>
      </w:r>
      <w:proofErr w:type="spellStart"/>
      <w:r w:rsidRPr="00775655">
        <w:rPr>
          <w:rFonts w:ascii="Times New Roman" w:hAnsi="Times New Roman" w:cs="Times New Roman"/>
          <w:i/>
          <w:sz w:val="24"/>
          <w:szCs w:val="24"/>
        </w:rPr>
        <w:t>Tanke</w:t>
      </w:r>
      <w:proofErr w:type="spellEnd"/>
      <w:r w:rsidRPr="00775655">
        <w:rPr>
          <w:rFonts w:ascii="Times New Roman" w:hAnsi="Times New Roman" w:cs="Times New Roman"/>
          <w:i/>
          <w:sz w:val="24"/>
          <w:szCs w:val="24"/>
        </w:rPr>
        <w:t xml:space="preserve">, </w:t>
      </w:r>
      <w:proofErr w:type="spellStart"/>
      <w:r w:rsidRPr="00775655">
        <w:rPr>
          <w:rFonts w:ascii="Times New Roman" w:hAnsi="Times New Roman" w:cs="Times New Roman"/>
          <w:i/>
          <w:sz w:val="24"/>
          <w:szCs w:val="24"/>
        </w:rPr>
        <w:t>Oke-Odo</w:t>
      </w:r>
      <w:proofErr w:type="spellEnd"/>
      <w:r w:rsidRPr="00775655">
        <w:rPr>
          <w:rFonts w:ascii="Times New Roman" w:hAnsi="Times New Roman" w:cs="Times New Roman"/>
          <w:i/>
          <w:sz w:val="24"/>
          <w:szCs w:val="24"/>
        </w:rPr>
        <w:t xml:space="preserve">, </w:t>
      </w:r>
      <w:proofErr w:type="spellStart"/>
      <w:r w:rsidRPr="00775655">
        <w:rPr>
          <w:rFonts w:ascii="Times New Roman" w:hAnsi="Times New Roman" w:cs="Times New Roman"/>
          <w:i/>
          <w:sz w:val="24"/>
          <w:szCs w:val="24"/>
        </w:rPr>
        <w:t>Agbo</w:t>
      </w:r>
      <w:proofErr w:type="spellEnd"/>
      <w:r w:rsidRPr="00775655">
        <w:rPr>
          <w:rFonts w:ascii="Times New Roman" w:hAnsi="Times New Roman" w:cs="Times New Roman"/>
          <w:i/>
          <w:sz w:val="24"/>
          <w:szCs w:val="24"/>
        </w:rPr>
        <w:t xml:space="preserve">-Oba, </w:t>
      </w:r>
      <w:proofErr w:type="spellStart"/>
      <w:r w:rsidRPr="00775655">
        <w:rPr>
          <w:rFonts w:ascii="Times New Roman" w:hAnsi="Times New Roman" w:cs="Times New Roman"/>
          <w:i/>
          <w:sz w:val="24"/>
          <w:szCs w:val="24"/>
        </w:rPr>
        <w:t>Oja</w:t>
      </w:r>
      <w:proofErr w:type="spellEnd"/>
      <w:r w:rsidRPr="00775655">
        <w:rPr>
          <w:rFonts w:ascii="Times New Roman" w:hAnsi="Times New Roman" w:cs="Times New Roman"/>
          <w:i/>
          <w:sz w:val="24"/>
          <w:szCs w:val="24"/>
        </w:rPr>
        <w:t xml:space="preserve">-Oba, </w:t>
      </w:r>
      <w:proofErr w:type="spellStart"/>
      <w:r w:rsidRPr="00775655">
        <w:rPr>
          <w:rFonts w:ascii="Times New Roman" w:hAnsi="Times New Roman" w:cs="Times New Roman"/>
          <w:i/>
          <w:sz w:val="24"/>
          <w:szCs w:val="24"/>
        </w:rPr>
        <w:t>Gaa-Akanbi</w:t>
      </w:r>
      <w:proofErr w:type="spellEnd"/>
      <w:r w:rsidRPr="00775655">
        <w:rPr>
          <w:rFonts w:ascii="Times New Roman" w:hAnsi="Times New Roman" w:cs="Times New Roman"/>
          <w:i/>
          <w:sz w:val="24"/>
          <w:szCs w:val="24"/>
        </w:rPr>
        <w:t xml:space="preserve">, and Sango) were analyzed following APHA (2017) standards. Results revealed significant spatial variability: pH ranged from 3.7 (acidic) to 7.9 (neutral), electrical conductivity from 44.3 to 1079 </w:t>
      </w:r>
      <w:proofErr w:type="spellStart"/>
      <w:r w:rsidRPr="00775655">
        <w:rPr>
          <w:rFonts w:ascii="Times New Roman" w:hAnsi="Times New Roman" w:cs="Times New Roman"/>
          <w:i/>
          <w:sz w:val="24"/>
          <w:szCs w:val="24"/>
        </w:rPr>
        <w:t>μS</w:t>
      </w:r>
      <w:proofErr w:type="spellEnd"/>
      <w:r w:rsidRPr="00775655">
        <w:rPr>
          <w:rFonts w:ascii="Times New Roman" w:hAnsi="Times New Roman" w:cs="Times New Roman"/>
          <w:i/>
          <w:sz w:val="24"/>
          <w:szCs w:val="24"/>
        </w:rPr>
        <w:t xml:space="preserve">/cm, and total dissolved solids from 10.6 to 501.0 mg/L. Chloride (6.00–229.95 mg/L) indicated urban pollution hotspots, while cadmium concentrations (0.57–0.58 mg/L) consistently exceeded WHO limits, posing severe health risks. Total hardness reached 400 mg/L (as </w:t>
      </w:r>
      <w:proofErr w:type="spellStart"/>
      <w:r w:rsidRPr="00775655">
        <w:rPr>
          <w:rFonts w:ascii="Times New Roman" w:hAnsi="Times New Roman" w:cs="Times New Roman"/>
          <w:i/>
          <w:sz w:val="24"/>
          <w:szCs w:val="24"/>
        </w:rPr>
        <w:t>CaCO</w:t>
      </w:r>
      <w:proofErr w:type="spellEnd"/>
      <w:r w:rsidRPr="00775655">
        <w:rPr>
          <w:rFonts w:ascii="Times New Roman" w:hAnsi="Times New Roman" w:cs="Times New Roman"/>
          <w:i/>
          <w:sz w:val="24"/>
          <w:szCs w:val="24"/>
        </w:rPr>
        <w:t xml:space="preserve">₃) in 25% of samples, rendering them unsafe. The study attributes contamination to anthropogenic activities (industrial discharge, waste disposal, agricultural runoff) and natural </w:t>
      </w:r>
      <w:proofErr w:type="spellStart"/>
      <w:r w:rsidRPr="00775655">
        <w:rPr>
          <w:rFonts w:ascii="Times New Roman" w:hAnsi="Times New Roman" w:cs="Times New Roman"/>
          <w:i/>
          <w:sz w:val="24"/>
          <w:szCs w:val="24"/>
        </w:rPr>
        <w:t>hydrogeochemical</w:t>
      </w:r>
      <w:proofErr w:type="spellEnd"/>
      <w:r w:rsidRPr="00775655">
        <w:rPr>
          <w:rFonts w:ascii="Times New Roman" w:hAnsi="Times New Roman" w:cs="Times New Roman"/>
          <w:i/>
          <w:sz w:val="24"/>
          <w:szCs w:val="24"/>
        </w:rPr>
        <w:t xml:space="preserve"> processes. Recommendations include immediate remediation of cadmium/lead sources, installation of pH-adjustment systems and household filters, strict regulation of industrial discharges, buffer zones around wells, and enhanced monitoring of heavy metals and hardness parameters. </w:t>
      </w: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527140" w:rsidRDefault="00527140"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37735E" w:rsidRDefault="0037735E" w:rsidP="00207CE4">
      <w:pPr>
        <w:spacing w:after="0" w:line="480" w:lineRule="auto"/>
        <w:jc w:val="center"/>
        <w:rPr>
          <w:rFonts w:ascii="Times New Roman" w:hAnsi="Times New Roman" w:cs="Times New Roman"/>
          <w:b/>
          <w:caps/>
          <w:sz w:val="24"/>
          <w:szCs w:val="24"/>
        </w:rPr>
      </w:pPr>
    </w:p>
    <w:p w:rsidR="00207CE4" w:rsidRDefault="00207CE4" w:rsidP="00207CE4">
      <w:pPr>
        <w:spacing w:after="0" w:line="480" w:lineRule="auto"/>
        <w:jc w:val="center"/>
        <w:rPr>
          <w:rFonts w:ascii="Times New Roman" w:hAnsi="Times New Roman" w:cs="Times New Roman"/>
          <w:b/>
          <w:caps/>
          <w:sz w:val="24"/>
          <w:szCs w:val="24"/>
        </w:rPr>
      </w:pPr>
      <w:r w:rsidRPr="00C26982">
        <w:rPr>
          <w:rFonts w:ascii="Times New Roman" w:hAnsi="Times New Roman" w:cs="Times New Roman"/>
          <w:b/>
          <w:caps/>
          <w:sz w:val="24"/>
          <w:szCs w:val="24"/>
        </w:rPr>
        <w:lastRenderedPageBreak/>
        <w:t>Table of Contents</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caps/>
          <w:sz w:val="24"/>
          <w:szCs w:val="24"/>
        </w:rPr>
        <w:t>T</w:t>
      </w:r>
      <w:r>
        <w:rPr>
          <w:rFonts w:ascii="Times New Roman" w:hAnsi="Times New Roman" w:cs="Times New Roman"/>
          <w:b/>
          <w:sz w:val="24"/>
          <w:szCs w:val="24"/>
        </w:rPr>
        <w:t>itle Page</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iii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Acknowledgment</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proofErr w:type="gramStart"/>
      <w:r w:rsidR="00CF514E">
        <w:rPr>
          <w:rFonts w:ascii="Times New Roman" w:hAnsi="Times New Roman" w:cs="Times New Roman"/>
          <w:b/>
          <w:sz w:val="24"/>
          <w:szCs w:val="24"/>
        </w:rPr>
        <w:t>iv</w:t>
      </w:r>
      <w:proofErr w:type="gramEnd"/>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v</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Contents</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proofErr w:type="gramStart"/>
      <w:r w:rsidR="00CF514E">
        <w:rPr>
          <w:rFonts w:ascii="Times New Roman" w:hAnsi="Times New Roman" w:cs="Times New Roman"/>
          <w:b/>
          <w:sz w:val="24"/>
          <w:szCs w:val="24"/>
        </w:rPr>
        <w:t>vi</w:t>
      </w:r>
      <w:proofErr w:type="gramEnd"/>
    </w:p>
    <w:p w:rsidR="00CF514E" w:rsidRDefault="00CF514E"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viii</w:t>
      </w:r>
    </w:p>
    <w:p w:rsidR="00CF514E" w:rsidRPr="00207CE4" w:rsidRDefault="00CF514E"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List</w:t>
      </w:r>
      <w:r w:rsidR="00527140">
        <w:rPr>
          <w:rFonts w:ascii="Times New Roman" w:hAnsi="Times New Roman" w:cs="Times New Roman"/>
          <w:b/>
          <w:sz w:val="24"/>
          <w:szCs w:val="24"/>
        </w:rPr>
        <w:t xml:space="preserve"> of Tables</w:t>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t>ix</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one:</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Introduction</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10</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9C5EAB">
        <w:rPr>
          <w:rFonts w:ascii="Times New Roman" w:hAnsi="Times New Roman" w:cs="Times New Roman"/>
          <w:sz w:val="24"/>
          <w:szCs w:val="24"/>
        </w:rPr>
        <w:t xml:space="preserve">Background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10</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9C5EAB">
        <w:rPr>
          <w:rFonts w:ascii="Times New Roman" w:hAnsi="Times New Roman" w:cs="Times New Roman"/>
          <w:sz w:val="24"/>
          <w:szCs w:val="24"/>
        </w:rPr>
        <w:t xml:space="preserve">Statement of the Problem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Aims </w:t>
      </w:r>
      <w:r w:rsidRPr="009C5EAB">
        <w:rPr>
          <w:rFonts w:ascii="Times New Roman" w:hAnsi="Times New Roman" w:cs="Times New Roman"/>
          <w:sz w:val="24"/>
          <w:szCs w:val="24"/>
        </w:rPr>
        <w:t xml:space="preserve">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9C5EAB">
        <w:rPr>
          <w:rFonts w:ascii="Times New Roman" w:hAnsi="Times New Roman" w:cs="Times New Roman"/>
          <w:sz w:val="24"/>
          <w:szCs w:val="24"/>
        </w:rPr>
        <w:t xml:space="preserve">Objectives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13</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9C5EAB">
        <w:rPr>
          <w:rFonts w:ascii="Times New Roman" w:hAnsi="Times New Roman" w:cs="Times New Roman"/>
          <w:sz w:val="24"/>
          <w:szCs w:val="24"/>
        </w:rPr>
        <w:t xml:space="preserve">Significance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13</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two:</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Literature Review</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15</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2.1</w:t>
      </w:r>
      <w:r w:rsidRPr="003117DC">
        <w:rPr>
          <w:b w:val="0"/>
          <w:sz w:val="24"/>
          <w:szCs w:val="24"/>
        </w:rPr>
        <w:tab/>
        <w:t>Groundwater Occurrence and Hydrogeological Setting in Ilorin</w:t>
      </w:r>
      <w:r w:rsidR="00D370AD">
        <w:rPr>
          <w:b w:val="0"/>
          <w:sz w:val="24"/>
          <w:szCs w:val="24"/>
        </w:rPr>
        <w:tab/>
      </w:r>
      <w:r w:rsidR="00D370AD">
        <w:rPr>
          <w:b w:val="0"/>
          <w:sz w:val="24"/>
          <w:szCs w:val="24"/>
        </w:rPr>
        <w:tab/>
        <w:t>15</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2.2</w:t>
      </w:r>
      <w:r w:rsidRPr="003117DC">
        <w:rPr>
          <w:b w:val="0"/>
          <w:sz w:val="24"/>
          <w:szCs w:val="24"/>
        </w:rPr>
        <w:tab/>
      </w:r>
      <w:proofErr w:type="spellStart"/>
      <w:r w:rsidRPr="003117DC">
        <w:rPr>
          <w:b w:val="0"/>
          <w:sz w:val="24"/>
          <w:szCs w:val="24"/>
        </w:rPr>
        <w:t>Hydrochemical</w:t>
      </w:r>
      <w:proofErr w:type="spellEnd"/>
      <w:r w:rsidRPr="003117DC">
        <w:rPr>
          <w:b w:val="0"/>
          <w:sz w:val="24"/>
          <w:szCs w:val="24"/>
        </w:rPr>
        <w:t xml:space="preserve"> Characteristics and Contamination Sources</w:t>
      </w:r>
      <w:r w:rsidR="00D370AD">
        <w:rPr>
          <w:b w:val="0"/>
          <w:sz w:val="24"/>
          <w:szCs w:val="24"/>
        </w:rPr>
        <w:tab/>
      </w:r>
      <w:r w:rsidR="00D370AD">
        <w:rPr>
          <w:b w:val="0"/>
          <w:sz w:val="24"/>
          <w:szCs w:val="24"/>
        </w:rPr>
        <w:tab/>
      </w:r>
      <w:r w:rsidR="00D370AD">
        <w:rPr>
          <w:b w:val="0"/>
          <w:sz w:val="24"/>
          <w:szCs w:val="24"/>
        </w:rPr>
        <w:tab/>
        <w:t>16</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2.3</w:t>
      </w:r>
      <w:r w:rsidRPr="003117DC">
        <w:rPr>
          <w:b w:val="0"/>
          <w:sz w:val="24"/>
          <w:szCs w:val="24"/>
        </w:rPr>
        <w:tab/>
        <w:t>Groundwater Quality Assessment, Health Implications, and Suitability</w:t>
      </w:r>
      <w:r w:rsidR="00D370AD">
        <w:rPr>
          <w:b w:val="0"/>
          <w:sz w:val="24"/>
          <w:szCs w:val="24"/>
        </w:rPr>
        <w:tab/>
        <w:t>17</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2.4</w:t>
      </w:r>
      <w:r w:rsidRPr="003117DC">
        <w:rPr>
          <w:b w:val="0"/>
          <w:sz w:val="24"/>
          <w:szCs w:val="24"/>
        </w:rPr>
        <w:tab/>
        <w:t>Previous Studies</w:t>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t>18</w:t>
      </w: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527140" w:rsidRDefault="00527140" w:rsidP="00207CE4">
      <w:pPr>
        <w:spacing w:after="0" w:line="480" w:lineRule="auto"/>
        <w:jc w:val="both"/>
        <w:rPr>
          <w:rFonts w:ascii="Times New Roman" w:hAnsi="Times New Roman" w:cs="Times New Roman"/>
          <w:b/>
          <w:caps/>
          <w:sz w:val="24"/>
          <w:szCs w:val="24"/>
        </w:rPr>
      </w:pP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Chapter three:</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Methodology</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20</w:t>
      </w:r>
    </w:p>
    <w:p w:rsidR="00B2439C" w:rsidRPr="003515F9" w:rsidRDefault="00B2439C" w:rsidP="00B2439C">
      <w:pPr>
        <w:spacing w:after="0" w:line="480" w:lineRule="auto"/>
        <w:rPr>
          <w:rFonts w:ascii="Times New Roman" w:hAnsi="Times New Roman" w:cs="Times New Roman"/>
          <w:sz w:val="24"/>
          <w:szCs w:val="24"/>
        </w:rPr>
      </w:pPr>
      <w:r w:rsidRPr="003515F9">
        <w:rPr>
          <w:rFonts w:ascii="Times New Roman" w:hAnsi="Times New Roman" w:cs="Times New Roman"/>
          <w:sz w:val="24"/>
          <w:szCs w:val="24"/>
        </w:rPr>
        <w:t>3.1</w:t>
      </w:r>
      <w:r w:rsidRPr="003515F9">
        <w:rPr>
          <w:rFonts w:ascii="Times New Roman" w:hAnsi="Times New Roman" w:cs="Times New Roman"/>
          <w:sz w:val="24"/>
          <w:szCs w:val="24"/>
        </w:rPr>
        <w:tab/>
        <w:t>Desk Study</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20</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3.2</w:t>
      </w:r>
      <w:r w:rsidRPr="003515F9">
        <w:rPr>
          <w:rFonts w:ascii="Times New Roman" w:hAnsi="Times New Roman" w:cs="Times New Roman"/>
          <w:sz w:val="24"/>
          <w:szCs w:val="24"/>
        </w:rPr>
        <w:tab/>
        <w:t>Research Design</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21</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3.3</w:t>
      </w:r>
      <w:r w:rsidRPr="003515F9">
        <w:rPr>
          <w:rFonts w:ascii="Times New Roman" w:hAnsi="Times New Roman" w:cs="Times New Roman"/>
          <w:sz w:val="24"/>
          <w:szCs w:val="24"/>
        </w:rPr>
        <w:tab/>
        <w:t xml:space="preserve">Reconnaissance Survey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21</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3.4</w:t>
      </w:r>
      <w:r w:rsidRPr="003515F9">
        <w:rPr>
          <w:rFonts w:ascii="Times New Roman" w:hAnsi="Times New Roman" w:cs="Times New Roman"/>
          <w:sz w:val="24"/>
          <w:szCs w:val="24"/>
        </w:rPr>
        <w:tab/>
        <w:t xml:space="preserve">Sampling Locations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22</w:t>
      </w:r>
    </w:p>
    <w:p w:rsidR="00B2439C" w:rsidRPr="003515F9" w:rsidRDefault="00B2439C" w:rsidP="00B243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Collection a</w:t>
      </w:r>
      <w:r w:rsidRPr="003515F9">
        <w:rPr>
          <w:rFonts w:ascii="Times New Roman" w:hAnsi="Times New Roman" w:cs="Times New Roman"/>
          <w:sz w:val="24"/>
          <w:szCs w:val="24"/>
        </w:rPr>
        <w:t>nd Preservation</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23</w:t>
      </w:r>
    </w:p>
    <w:p w:rsidR="00B2439C" w:rsidRPr="003515F9" w:rsidRDefault="00B2439C" w:rsidP="00B2439C">
      <w:pPr>
        <w:spacing w:after="0" w:line="480" w:lineRule="auto"/>
        <w:jc w:val="both"/>
        <w:rPr>
          <w:rFonts w:ascii="Times New Roman" w:hAnsi="Times New Roman" w:cs="Times New Roman"/>
          <w:caps/>
          <w:color w:val="000000" w:themeColor="text1"/>
          <w:sz w:val="24"/>
          <w:szCs w:val="24"/>
        </w:rPr>
      </w:pPr>
      <w:r w:rsidRPr="003515F9">
        <w:rPr>
          <w:rFonts w:ascii="Times New Roman" w:hAnsi="Times New Roman" w:cs="Times New Roman"/>
          <w:color w:val="000000" w:themeColor="text1"/>
          <w:sz w:val="24"/>
          <w:szCs w:val="24"/>
        </w:rPr>
        <w:t>3.6</w:t>
      </w:r>
      <w:r w:rsidRPr="003515F9">
        <w:rPr>
          <w:rFonts w:ascii="Times New Roman" w:hAnsi="Times New Roman" w:cs="Times New Roman"/>
          <w:color w:val="000000" w:themeColor="text1"/>
          <w:sz w:val="24"/>
          <w:szCs w:val="24"/>
        </w:rPr>
        <w:tab/>
        <w:t xml:space="preserve">Laboratory Analytical Procedure </w:t>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t>23</w:t>
      </w:r>
    </w:p>
    <w:p w:rsidR="00B2439C" w:rsidRPr="003515F9" w:rsidRDefault="00B2439C" w:rsidP="00B2439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Data Quality Control a</w:t>
      </w:r>
      <w:r w:rsidRPr="003515F9">
        <w:rPr>
          <w:rFonts w:ascii="Times New Roman" w:hAnsi="Times New Roman" w:cs="Times New Roman"/>
          <w:color w:val="000000" w:themeColor="text1"/>
          <w:sz w:val="24"/>
          <w:szCs w:val="24"/>
        </w:rPr>
        <w:t xml:space="preserve">nd Assurance </w:t>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t>24</w:t>
      </w:r>
    </w:p>
    <w:p w:rsidR="00B2439C" w:rsidRPr="003515F9" w:rsidRDefault="00B2439C" w:rsidP="00B2439C">
      <w:pPr>
        <w:spacing w:after="0" w:line="480" w:lineRule="auto"/>
        <w:outlineLvl w:val="2"/>
        <w:rPr>
          <w:rFonts w:ascii="Times New Roman" w:eastAsia="Times New Roman" w:hAnsi="Times New Roman" w:cs="Times New Roman"/>
          <w:bCs/>
          <w:caps/>
          <w:color w:val="000000" w:themeColor="text1"/>
          <w:sz w:val="24"/>
          <w:szCs w:val="24"/>
        </w:rPr>
      </w:pPr>
      <w:r w:rsidRPr="003515F9">
        <w:rPr>
          <w:rFonts w:ascii="Times New Roman" w:eastAsia="Times New Roman" w:hAnsi="Times New Roman" w:cs="Times New Roman"/>
          <w:bCs/>
          <w:color w:val="000000" w:themeColor="text1"/>
          <w:sz w:val="24"/>
          <w:szCs w:val="24"/>
        </w:rPr>
        <w:t>3.8</w:t>
      </w:r>
      <w:r w:rsidRPr="003515F9">
        <w:rPr>
          <w:rFonts w:ascii="Times New Roman" w:eastAsia="Times New Roman" w:hAnsi="Times New Roman" w:cs="Times New Roman"/>
          <w:bCs/>
          <w:color w:val="000000" w:themeColor="text1"/>
          <w:sz w:val="24"/>
          <w:szCs w:val="24"/>
        </w:rPr>
        <w:tab/>
        <w:t>Data Analysis Techniques</w:t>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t>24</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3.9</w:t>
      </w:r>
      <w:r w:rsidRPr="003515F9">
        <w:rPr>
          <w:rFonts w:ascii="Times New Roman" w:hAnsi="Times New Roman" w:cs="Times New Roman"/>
          <w:sz w:val="24"/>
          <w:szCs w:val="24"/>
        </w:rPr>
        <w:tab/>
        <w:t>Ethical Considerations</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3.10</w:t>
      </w:r>
      <w:r w:rsidRPr="003515F9">
        <w:rPr>
          <w:rFonts w:ascii="Times New Roman" w:hAnsi="Times New Roman" w:cs="Times New Roman"/>
          <w:sz w:val="24"/>
          <w:szCs w:val="24"/>
        </w:rPr>
        <w:tab/>
        <w:t xml:space="preserve">Limitation </w:t>
      </w:r>
      <w:proofErr w:type="gramStart"/>
      <w:r w:rsidRPr="003515F9">
        <w:rPr>
          <w:rFonts w:ascii="Times New Roman" w:hAnsi="Times New Roman" w:cs="Times New Roman"/>
          <w:sz w:val="24"/>
          <w:szCs w:val="24"/>
        </w:rPr>
        <w:t>Of</w:t>
      </w:r>
      <w:proofErr w:type="gramEnd"/>
      <w:r w:rsidRPr="003515F9">
        <w:rPr>
          <w:rFonts w:ascii="Times New Roman" w:hAnsi="Times New Roman" w:cs="Times New Roman"/>
          <w:sz w:val="24"/>
          <w:szCs w:val="24"/>
        </w:rPr>
        <w:t xml:space="preserve"> The Methodology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3.11</w:t>
      </w:r>
      <w:r w:rsidRPr="003515F9">
        <w:rPr>
          <w:rFonts w:ascii="Times New Roman" w:hAnsi="Times New Roman" w:cs="Times New Roman"/>
          <w:sz w:val="24"/>
          <w:szCs w:val="24"/>
        </w:rPr>
        <w:tab/>
        <w:t>Summary</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207CE4" w:rsidRPr="00C26982" w:rsidRDefault="00C1670C"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four:</w:t>
      </w:r>
      <w:r>
        <w:rPr>
          <w:rFonts w:ascii="Times New Roman" w:hAnsi="Times New Roman" w:cs="Times New Roman"/>
          <w:b/>
          <w:caps/>
          <w:sz w:val="24"/>
          <w:szCs w:val="24"/>
        </w:rPr>
        <w:tab/>
      </w:r>
      <w:r w:rsidR="00207CE4" w:rsidRPr="00C26982">
        <w:rPr>
          <w:rFonts w:ascii="Times New Roman" w:hAnsi="Times New Roman" w:cs="Times New Roman"/>
          <w:b/>
          <w:caps/>
          <w:sz w:val="24"/>
          <w:szCs w:val="24"/>
        </w:rPr>
        <w:t>Results and Discussion</w:t>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t>27</w:t>
      </w:r>
    </w:p>
    <w:p w:rsidR="00207CE4"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proofErr w:type="spellStart"/>
      <w:r w:rsidR="008F5D4B">
        <w:rPr>
          <w:rFonts w:ascii="Times New Roman" w:hAnsi="Times New Roman" w:cs="Times New Roman"/>
          <w:sz w:val="24"/>
          <w:szCs w:val="24"/>
        </w:rPr>
        <w:t>Physico</w:t>
      </w:r>
      <w:proofErr w:type="spellEnd"/>
      <w:r w:rsidR="008F5D4B">
        <w:rPr>
          <w:rFonts w:ascii="Times New Roman" w:hAnsi="Times New Roman" w:cs="Times New Roman"/>
          <w:sz w:val="24"/>
          <w:szCs w:val="24"/>
        </w:rPr>
        <w:t>-Chemical Parameters</w:t>
      </w:r>
      <w:r w:rsidRPr="009C5EAB">
        <w:rPr>
          <w:rFonts w:ascii="Times New Roman" w:hAnsi="Times New Roman" w:cs="Times New Roman"/>
          <w:sz w:val="24"/>
          <w:szCs w:val="24"/>
        </w:rPr>
        <w:t xml:space="preserve">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27</w:t>
      </w:r>
    </w:p>
    <w:p w:rsidR="008F5D4B" w:rsidRPr="009C5EAB" w:rsidRDefault="008F5D4B"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Heavy Metals Concentration Yields Risk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five:</w:t>
      </w:r>
      <w:r>
        <w:rPr>
          <w:rFonts w:ascii="Times New Roman" w:hAnsi="Times New Roman" w:cs="Times New Roman"/>
          <w:b/>
          <w:caps/>
          <w:sz w:val="24"/>
          <w:szCs w:val="24"/>
        </w:rPr>
        <w:tab/>
      </w:r>
      <w:r w:rsidRPr="00C26982">
        <w:rPr>
          <w:rFonts w:ascii="Times New Roman" w:hAnsi="Times New Roman" w:cs="Times New Roman"/>
          <w:b/>
          <w:caps/>
          <w:sz w:val="24"/>
          <w:szCs w:val="24"/>
        </w:rPr>
        <w:t>Conclusion and Recommendations</w:t>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t>42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9C5EAB">
        <w:rPr>
          <w:rFonts w:ascii="Times New Roman" w:hAnsi="Times New Roman" w:cs="Times New Roman"/>
          <w:sz w:val="24"/>
          <w:szCs w:val="24"/>
        </w:rPr>
        <w:t xml:space="preserve">Summary of Findings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42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9C5EAB">
        <w:rPr>
          <w:rFonts w:ascii="Times New Roman" w:hAnsi="Times New Roman" w:cs="Times New Roman"/>
          <w:sz w:val="24"/>
          <w:szCs w:val="24"/>
        </w:rPr>
        <w:t xml:space="preserve">Conclusion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43</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9C5EAB">
        <w:rPr>
          <w:rFonts w:ascii="Times New Roman" w:hAnsi="Times New Roman" w:cs="Times New Roman"/>
          <w:sz w:val="24"/>
          <w:szCs w:val="24"/>
        </w:rPr>
        <w:t>Recommendations</w:t>
      </w:r>
      <w:r w:rsidR="00B96E14">
        <w:rPr>
          <w:rFonts w:ascii="Times New Roman" w:hAnsi="Times New Roman" w:cs="Times New Roman"/>
          <w:b/>
          <w:sz w:val="24"/>
          <w:szCs w:val="24"/>
        </w:rPr>
        <w:t xml:space="preserve"> </w:t>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sidRPr="008F5D4B">
        <w:rPr>
          <w:rFonts w:ascii="Times New Roman" w:hAnsi="Times New Roman" w:cs="Times New Roman"/>
          <w:sz w:val="24"/>
          <w:szCs w:val="24"/>
        </w:rPr>
        <w:t>44</w:t>
      </w:r>
    </w:p>
    <w:p w:rsidR="00775655" w:rsidRDefault="008F5D4B"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b/>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w:t>
      </w: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7756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7769"/>
        <w:gridCol w:w="315"/>
      </w:tblGrid>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Calcium Carbonate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4.2</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Calcium Hardness (mg/l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4.3</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Magnesium Hardness (mg/l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4.4</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Calcium Carbonate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4.5</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Magnesium Ions (Mg²⁺)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4.6</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Bicarbonates (HCO₃⁻)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4.7</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w:t>
            </w:r>
            <w:proofErr w:type="spellStart"/>
            <w:r w:rsidRPr="002A6E8B">
              <w:rPr>
                <w:rFonts w:ascii="Times New Roman" w:eastAsia="Times New Roman" w:hAnsi="Times New Roman" w:cs="Times New Roman"/>
                <w:sz w:val="24"/>
                <w:szCs w:val="24"/>
              </w:rPr>
              <w:t>Sulphate</w:t>
            </w:r>
            <w:proofErr w:type="spellEnd"/>
            <w:r w:rsidRPr="002A6E8B">
              <w:rPr>
                <w:rFonts w:ascii="Times New Roman" w:eastAsia="Times New Roman" w:hAnsi="Times New Roman" w:cs="Times New Roman"/>
                <w:sz w:val="24"/>
                <w:szCs w:val="24"/>
              </w:rPr>
              <w:t xml:space="preserve"> (SO₄²⁻)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4.8</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Chloride (</w:t>
            </w:r>
            <w:proofErr w:type="spellStart"/>
            <w:r w:rsidRPr="002A6E8B">
              <w:rPr>
                <w:rFonts w:ascii="Times New Roman" w:eastAsia="Times New Roman" w:hAnsi="Times New Roman" w:cs="Times New Roman"/>
                <w:sz w:val="24"/>
                <w:szCs w:val="24"/>
              </w:rPr>
              <w:t>Cl</w:t>
            </w:r>
            <w:proofErr w:type="spellEnd"/>
            <w:r w:rsidRPr="002A6E8B">
              <w:rPr>
                <w:rFonts w:ascii="Times New Roman" w:eastAsia="Times New Roman" w:hAnsi="Times New Roman" w:cs="Times New Roman"/>
                <w:sz w:val="24"/>
                <w:szCs w:val="24"/>
              </w:rPr>
              <w:t xml:space="preserve">⁻)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4.9</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Nitrate (NO₃⁻)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4.10</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Carbonate (CO₃²⁻)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4.11</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Sodium (Na⁺)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4.12</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Potassium (K⁺)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bl>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7756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6390"/>
        <w:gridCol w:w="990"/>
      </w:tblGrid>
      <w:tr w:rsidR="00527140" w:rsidRPr="002A6E8B" w:rsidTr="00527140">
        <w:trPr>
          <w:tblCellSpacing w:w="15" w:type="dxa"/>
        </w:trPr>
        <w:tc>
          <w:tcPr>
            <w:tcW w:w="1170"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Table 4.1</w:t>
            </w:r>
          </w:p>
        </w:tc>
        <w:tc>
          <w:tcPr>
            <w:tcW w:w="6360"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 of Groundwater Samples</w:t>
            </w:r>
          </w:p>
        </w:tc>
        <w:tc>
          <w:tcPr>
            <w:tcW w:w="945"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27</w:t>
            </w:r>
          </w:p>
        </w:tc>
      </w:tr>
    </w:tbl>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145EE3" w:rsidRDefault="00145EE3" w:rsidP="001B2BB3">
      <w:pPr>
        <w:spacing w:after="0" w:line="480" w:lineRule="auto"/>
        <w:jc w:val="center"/>
        <w:rPr>
          <w:rFonts w:ascii="Times New Roman" w:hAnsi="Times New Roman" w:cs="Times New Roman"/>
          <w:b/>
          <w:sz w:val="24"/>
          <w:szCs w:val="24"/>
        </w:rPr>
      </w:pPr>
    </w:p>
    <w:p w:rsidR="001B2BB3" w:rsidRPr="00B15E44" w:rsidRDefault="001B2BB3" w:rsidP="001B2BB3">
      <w:pPr>
        <w:spacing w:after="0" w:line="480" w:lineRule="auto"/>
        <w:jc w:val="center"/>
        <w:rPr>
          <w:rFonts w:ascii="Times New Roman" w:hAnsi="Times New Roman" w:cs="Times New Roman"/>
          <w:b/>
          <w:sz w:val="24"/>
          <w:szCs w:val="24"/>
        </w:rPr>
      </w:pPr>
      <w:r w:rsidRPr="00B15E44">
        <w:rPr>
          <w:rFonts w:ascii="Times New Roman" w:hAnsi="Times New Roman" w:cs="Times New Roman"/>
          <w:b/>
          <w:sz w:val="24"/>
          <w:szCs w:val="24"/>
        </w:rPr>
        <w:lastRenderedPageBreak/>
        <w:t>CHAPTER ONE</w:t>
      </w:r>
    </w:p>
    <w:p w:rsidR="001B2BB3" w:rsidRPr="00B15E44" w:rsidRDefault="00145EE3" w:rsidP="00145EE3">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1B2BB3" w:rsidRPr="00B15E44">
        <w:rPr>
          <w:rFonts w:ascii="Times New Roman" w:hAnsi="Times New Roman" w:cs="Times New Roman"/>
          <w:b/>
          <w:sz w:val="24"/>
          <w:szCs w:val="24"/>
        </w:rPr>
        <w:t>INTRODUCTION</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1.1</w:t>
      </w:r>
      <w:r w:rsidRPr="00B15E44">
        <w:rPr>
          <w:rFonts w:ascii="Times New Roman" w:hAnsi="Times New Roman" w:cs="Times New Roman"/>
          <w:b/>
          <w:sz w:val="24"/>
          <w:szCs w:val="24"/>
        </w:rPr>
        <w:tab/>
        <w:t>BACKGROUND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Generally groundwater plays a number of very important roles in our environment and socio- economic development of any society. It is a valuable natural resource providing primary sources of water for domestic agriculture and industrial uses throughout the world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Tijani</w:t>
      </w:r>
      <w:proofErr w:type="spellEnd"/>
      <w:r w:rsidRPr="00145EE3">
        <w:rPr>
          <w:rFonts w:ascii="Times New Roman" w:hAnsi="Times New Roman" w:cs="Times New Roman"/>
          <w:i/>
          <w:sz w:val="24"/>
          <w:szCs w:val="24"/>
        </w:rPr>
        <w:t>, 2016)</w:t>
      </w:r>
      <w:r w:rsid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Usually surface water is prone to pollution and contamination from domestic sewage and industrial wastes and therefore there is need for water quality monitoring nonetheless monitoring the quality of water can be expensive the cost of exploitation of surface water and management (construction of dens) is light things has led to the increasing exploitation and development of groundwater. Groundwater is generally believed to be relatively protected sewage groundwater is held within purely space, fracture and weathered regolith depending on the geology settling which makes it widely end generally free from sediment and biological in purities.</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Over the past decade there has been increased research on the evaluation  exploitation and quality assessment of groundwater in the basement complex of Nigeria especially in the south western part of the counting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Idowu</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et,al</w:t>
      </w:r>
      <w:proofErr w:type="spellEnd"/>
      <w:r w:rsidRPr="00145EE3">
        <w:rPr>
          <w:rFonts w:ascii="Times New Roman" w:hAnsi="Times New Roman" w:cs="Times New Roman"/>
          <w:i/>
          <w:sz w:val="24"/>
          <w:szCs w:val="24"/>
        </w:rPr>
        <w:t xml:space="preserve">, 2007, </w:t>
      </w:r>
      <w:proofErr w:type="spellStart"/>
      <w:r w:rsidRPr="00145EE3">
        <w:rPr>
          <w:rFonts w:ascii="Times New Roman" w:hAnsi="Times New Roman" w:cs="Times New Roman"/>
          <w:i/>
          <w:sz w:val="24"/>
          <w:szCs w:val="24"/>
        </w:rPr>
        <w:t>Ako</w:t>
      </w:r>
      <w:proofErr w:type="spellEnd"/>
      <w:r w:rsidRPr="00145EE3">
        <w:rPr>
          <w:rFonts w:ascii="Times New Roman" w:hAnsi="Times New Roman" w:cs="Times New Roman"/>
          <w:i/>
          <w:sz w:val="24"/>
          <w:szCs w:val="24"/>
        </w:rPr>
        <w:t xml:space="preserve"> i970, </w:t>
      </w:r>
      <w:proofErr w:type="spellStart"/>
      <w:r w:rsidRPr="00145EE3">
        <w:rPr>
          <w:rFonts w:ascii="Times New Roman" w:hAnsi="Times New Roman" w:cs="Times New Roman"/>
          <w:i/>
          <w:sz w:val="24"/>
          <w:szCs w:val="24"/>
        </w:rPr>
        <w:t>Ajadi</w:t>
      </w:r>
      <w:proofErr w:type="spellEnd"/>
      <w:r w:rsidRPr="00145EE3">
        <w:rPr>
          <w:rFonts w:ascii="Times New Roman" w:hAnsi="Times New Roman" w:cs="Times New Roman"/>
          <w:i/>
          <w:sz w:val="24"/>
          <w:szCs w:val="24"/>
        </w:rPr>
        <w:t xml:space="preserve"> 2018)</w:t>
      </w:r>
      <w:r w:rsidRPr="00B15E44">
        <w:rPr>
          <w:rFonts w:ascii="Times New Roman" w:hAnsi="Times New Roman" w:cs="Times New Roman"/>
          <w:sz w:val="24"/>
          <w:szCs w:val="24"/>
        </w:rPr>
        <w:t>. However, the present work only serves as means of providing additional information on the hydrological and hydro chemical investigations that have been carried out in study area.</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study areas, Ilorin lies within the basement complex of southwestern Nigeria </w:t>
      </w:r>
      <w:r w:rsidR="00145EE3" w:rsidRPr="00145EE3">
        <w:rPr>
          <w:rFonts w:ascii="Times New Roman" w:hAnsi="Times New Roman" w:cs="Times New Roman"/>
          <w:i/>
          <w:sz w:val="24"/>
          <w:szCs w:val="24"/>
        </w:rPr>
        <w:t>(</w:t>
      </w:r>
      <w:proofErr w:type="spellStart"/>
      <w:r w:rsidR="00145EE3" w:rsidRPr="00145EE3">
        <w:rPr>
          <w:rFonts w:ascii="Times New Roman" w:hAnsi="Times New Roman" w:cs="Times New Roman"/>
          <w:i/>
          <w:sz w:val="24"/>
          <w:szCs w:val="24"/>
        </w:rPr>
        <w:t>O</w:t>
      </w:r>
      <w:r w:rsidRPr="00145EE3">
        <w:rPr>
          <w:rFonts w:ascii="Times New Roman" w:hAnsi="Times New Roman" w:cs="Times New Roman"/>
          <w:i/>
          <w:sz w:val="24"/>
          <w:szCs w:val="24"/>
        </w:rPr>
        <w:t>yawage</w:t>
      </w:r>
      <w:proofErr w:type="spellEnd"/>
      <w:r w:rsidRPr="00145EE3">
        <w:rPr>
          <w:rFonts w:ascii="Times New Roman" w:hAnsi="Times New Roman" w:cs="Times New Roman"/>
          <w:i/>
          <w:sz w:val="24"/>
          <w:szCs w:val="24"/>
        </w:rPr>
        <w:t>,</w:t>
      </w:r>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1972)</w:t>
      </w:r>
      <w:r w:rsidRPr="00B15E44">
        <w:rPr>
          <w:rFonts w:ascii="Times New Roman" w:hAnsi="Times New Roman" w:cs="Times New Roman"/>
          <w:sz w:val="24"/>
          <w:szCs w:val="24"/>
        </w:rPr>
        <w:t xml:space="preserve"> the predominant rock types in the study area are granit</w:t>
      </w:r>
      <w:r w:rsidR="00145EE3">
        <w:rPr>
          <w:rFonts w:ascii="Times New Roman" w:hAnsi="Times New Roman" w:cs="Times New Roman"/>
          <w:sz w:val="24"/>
          <w:szCs w:val="24"/>
        </w:rPr>
        <w:t xml:space="preserve">e gneiss and quartzite schist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Oluyide</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et,al</w:t>
      </w:r>
      <w:proofErr w:type="spellEnd"/>
      <w:r w:rsidRPr="00145EE3">
        <w:rPr>
          <w:rFonts w:ascii="Times New Roman" w:hAnsi="Times New Roman" w:cs="Times New Roman"/>
          <w:i/>
          <w:sz w:val="24"/>
          <w:szCs w:val="24"/>
        </w:rPr>
        <w:t>, 1998)</w:t>
      </w:r>
      <w:r w:rsidRPr="00B15E44">
        <w:rPr>
          <w:rFonts w:ascii="Times New Roman" w:hAnsi="Times New Roman" w:cs="Times New Roman"/>
          <w:sz w:val="24"/>
          <w:szCs w:val="24"/>
        </w:rPr>
        <w:t xml:space="preserve"> these rocks are covered by weathered regolith, the thickness of which varies from place to place basement complex rocks are poor acquits as the complex rock are poor acquits as they are characterized by low parasite and negligible permeability resulting </w:t>
      </w:r>
      <w:r w:rsidRPr="00B15E44">
        <w:rPr>
          <w:rFonts w:ascii="Times New Roman" w:hAnsi="Times New Roman" w:cs="Times New Roman"/>
          <w:sz w:val="24"/>
          <w:szCs w:val="24"/>
        </w:rPr>
        <w:lastRenderedPageBreak/>
        <w:t xml:space="preserve">from this crystalline nature appreciable porosity and permeable may however be developed through weathering and fracturing, depending on the theology and texture of the parent rocks. The availability of groundwater would therefore depend on the presence and extent of the weathered over burden/regolith and the presence of fault and fractures in the underlying bedrock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Ademilua</w:t>
      </w:r>
      <w:proofErr w:type="spellEnd"/>
      <w:r w:rsidRPr="00145EE3">
        <w:rPr>
          <w:rFonts w:ascii="Times New Roman" w:hAnsi="Times New Roman" w:cs="Times New Roman"/>
          <w:i/>
          <w:sz w:val="24"/>
          <w:szCs w:val="24"/>
        </w:rPr>
        <w:t>, 2020)</w:t>
      </w:r>
      <w:r w:rsidR="00145EE3" w:rsidRP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Nigeria, like many other countries, relies on groundwater to meet its water demands particularly in urban and rural area where access to piped water is limited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Adelekan</w:t>
      </w:r>
      <w:proofErr w:type="spellEnd"/>
      <w:r w:rsidRPr="00145EE3">
        <w:rPr>
          <w:rFonts w:ascii="Times New Roman" w:hAnsi="Times New Roman" w:cs="Times New Roman"/>
          <w:i/>
          <w:sz w:val="24"/>
          <w:szCs w:val="24"/>
        </w:rPr>
        <w:t>,</w:t>
      </w:r>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20</w:t>
      </w:r>
      <w:r w:rsidR="00145EE3" w:rsidRPr="00145EE3">
        <w:rPr>
          <w:rFonts w:ascii="Times New Roman" w:hAnsi="Times New Roman" w:cs="Times New Roman"/>
          <w:i/>
          <w:sz w:val="24"/>
          <w:szCs w:val="24"/>
        </w:rPr>
        <w:t>10)</w:t>
      </w:r>
      <w:r w:rsidR="00145EE3">
        <w:rPr>
          <w:rFonts w:ascii="Times New Roman" w:hAnsi="Times New Roman" w:cs="Times New Roman"/>
          <w:sz w:val="24"/>
          <w:szCs w:val="24"/>
        </w:rPr>
        <w:t xml:space="preserve"> Ilorin the capital city of </w:t>
      </w:r>
      <w:proofErr w:type="spellStart"/>
      <w:r w:rsidR="00145EE3">
        <w:rPr>
          <w:rFonts w:ascii="Times New Roman" w:hAnsi="Times New Roman" w:cs="Times New Roman"/>
          <w:sz w:val="24"/>
          <w:szCs w:val="24"/>
        </w:rPr>
        <w:t>Kwara</w:t>
      </w:r>
      <w:proofErr w:type="spellEnd"/>
      <w:r w:rsidR="00145EE3">
        <w:rPr>
          <w:rFonts w:ascii="Times New Roman" w:hAnsi="Times New Roman" w:cs="Times New Roman"/>
          <w:sz w:val="24"/>
          <w:szCs w:val="24"/>
        </w:rPr>
        <w:t xml:space="preserve"> S</w:t>
      </w:r>
      <w:r w:rsidRPr="00B15E44">
        <w:rPr>
          <w:rFonts w:ascii="Times New Roman" w:hAnsi="Times New Roman" w:cs="Times New Roman"/>
          <w:sz w:val="24"/>
          <w:szCs w:val="24"/>
        </w:rPr>
        <w:t>tate in south western Nigeria is no exception with a significant proportion of its population depending on groundwater for drinking agriculture and industrial activities.</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hydro chemical characteristic of groundwater in Ilorin are influenced by various geological is characterized by basement complex rocks which can affect the chemical composition of groundwater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Rahman</w:t>
      </w:r>
      <w:proofErr w:type="spellEnd"/>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2021)</w:t>
      </w:r>
      <w:r w:rsidRPr="00B15E44">
        <w:rPr>
          <w:rFonts w:ascii="Times New Roman" w:hAnsi="Times New Roman" w:cs="Times New Roman"/>
          <w:sz w:val="24"/>
          <w:szCs w:val="24"/>
        </w:rPr>
        <w:t xml:space="preserve"> additionally rapid urbanization industrial activities and agricultural practices in the area can lead to groundwater contamination </w:t>
      </w:r>
      <w:r w:rsidRPr="00145EE3">
        <w:rPr>
          <w:rFonts w:ascii="Times New Roman" w:hAnsi="Times New Roman" w:cs="Times New Roman"/>
          <w:i/>
          <w:sz w:val="24"/>
          <w:szCs w:val="24"/>
        </w:rPr>
        <w:t>(Singh et al, 2013)</w:t>
      </w:r>
      <w:r w:rsidR="00145EE3">
        <w:rPr>
          <w:rFonts w:ascii="Times New Roman" w:hAnsi="Times New Roman" w:cs="Times New Roman"/>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Understanding the hydro chemical characteristic of groundwater in Ilorin is essential for assessing its quality identifying potential sources of contamination and developing effective management strategies to protect things vital resoluble previous studies have shown that groundwater quality in Nigeria can be compromised by various factors including geological process agricultural activi</w:t>
      </w:r>
      <w:r w:rsidR="00145EE3">
        <w:rPr>
          <w:rFonts w:ascii="Times New Roman" w:hAnsi="Times New Roman" w:cs="Times New Roman"/>
          <w:sz w:val="24"/>
          <w:szCs w:val="24"/>
        </w:rPr>
        <w:t xml:space="preserve">ties and industrial pollution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Orebiyi</w:t>
      </w:r>
      <w:proofErr w:type="spellEnd"/>
      <w:r w:rsidRPr="00145EE3">
        <w:rPr>
          <w:rFonts w:ascii="Times New Roman" w:hAnsi="Times New Roman" w:cs="Times New Roman"/>
          <w:i/>
          <w:sz w:val="24"/>
          <w:szCs w:val="24"/>
        </w:rPr>
        <w:t xml:space="preserve"> </w:t>
      </w:r>
      <w:proofErr w:type="gramStart"/>
      <w:r w:rsidRPr="00145EE3">
        <w:rPr>
          <w:rFonts w:ascii="Times New Roman" w:hAnsi="Times New Roman" w:cs="Times New Roman"/>
          <w:i/>
          <w:sz w:val="24"/>
          <w:szCs w:val="24"/>
        </w:rPr>
        <w:t>et</w:t>
      </w:r>
      <w:proofErr w:type="gramEnd"/>
      <w:r w:rsidRPr="00145EE3">
        <w:rPr>
          <w:rFonts w:ascii="Times New Roman" w:hAnsi="Times New Roman" w:cs="Times New Roman"/>
          <w:i/>
          <w:sz w:val="24"/>
          <w:szCs w:val="24"/>
        </w:rPr>
        <w:t>, al, 2010)</w:t>
      </w:r>
      <w:r w:rsidRPr="00B15E44">
        <w:rPr>
          <w:rFonts w:ascii="Times New Roman" w:hAnsi="Times New Roman" w:cs="Times New Roman"/>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This study aims to investigate the hydro chemical characteristic of groundwater in part of Ilorin south western Nigeria with a view to providing valuable insignificant into it quality and potential implications for human health and environment sustainability.</w:t>
      </w:r>
    </w:p>
    <w:p w:rsidR="001B2BB3" w:rsidRDefault="001B2BB3" w:rsidP="001B2BB3">
      <w:pPr>
        <w:spacing w:after="0" w:line="480" w:lineRule="auto"/>
        <w:jc w:val="both"/>
        <w:rPr>
          <w:rFonts w:ascii="Times New Roman" w:hAnsi="Times New Roman" w:cs="Times New Roman"/>
          <w:b/>
          <w:sz w:val="24"/>
          <w:szCs w:val="24"/>
        </w:rPr>
      </w:pPr>
    </w:p>
    <w:p w:rsidR="001B2BB3" w:rsidRDefault="001B2BB3" w:rsidP="001B2BB3">
      <w:pPr>
        <w:spacing w:after="0" w:line="480" w:lineRule="auto"/>
        <w:jc w:val="both"/>
        <w:rPr>
          <w:rFonts w:ascii="Times New Roman" w:hAnsi="Times New Roman" w:cs="Times New Roman"/>
          <w:b/>
          <w:sz w:val="24"/>
          <w:szCs w:val="24"/>
        </w:rPr>
      </w:pP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lastRenderedPageBreak/>
        <w:t>1.2</w:t>
      </w:r>
      <w:r w:rsidRPr="00B15E44">
        <w:rPr>
          <w:rFonts w:ascii="Times New Roman" w:hAnsi="Times New Roman" w:cs="Times New Roman"/>
          <w:b/>
          <w:sz w:val="24"/>
          <w:szCs w:val="24"/>
        </w:rPr>
        <w:tab/>
        <w:t xml:space="preserve">STATEMENT OF RESULT </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Groundwater in part of Ilorin south western Nigeria is increasingly being threatened by various anthropogenic and natural factors compromising its quality and posing significant risks to human health and environmental sustainability. Despite its importance as a framing source of water for drinking, agriculture and industrial activities there is death of comprehensive date on the hydro chemical characteristic of groundwater in the area this knowledge gap hinds the development of effective strategies for managing groundwater resources protecting public health and ensuring environmental sustainability therefore this study aims to investigate the hydro chemical characteristic of groundwater in parts of Ilorin south western Nigeria.</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Some of the problem associate with poor groundwater quality in the area includes:</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High level of physicochemical parameters </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Presence of heavy mental </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Bacterial contamination</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Impact of geological and anthropogenic activities </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These problem necessity a comprehensive study to assess the hydro chemical characteristic of groundwater in the area and provide valuable sight into its quality and potential implications for human health a</w:t>
      </w:r>
      <w:r w:rsidR="00145EE3">
        <w:rPr>
          <w:rFonts w:ascii="Times New Roman" w:hAnsi="Times New Roman" w:cs="Times New Roman"/>
          <w:sz w:val="24"/>
          <w:szCs w:val="24"/>
        </w:rPr>
        <w:t xml:space="preserve">nd environment sustainability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Balogun</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w:t>
      </w:r>
      <w:proofErr w:type="gramStart"/>
      <w:r w:rsidRPr="00145EE3">
        <w:rPr>
          <w:rFonts w:ascii="Times New Roman" w:hAnsi="Times New Roman" w:cs="Times New Roman"/>
          <w:i/>
          <w:sz w:val="24"/>
          <w:szCs w:val="24"/>
        </w:rPr>
        <w:t>,al</w:t>
      </w:r>
      <w:proofErr w:type="spellEnd"/>
      <w:proofErr w:type="gramEnd"/>
      <w:r w:rsidRPr="00145EE3">
        <w:rPr>
          <w:rFonts w:ascii="Times New Roman" w:hAnsi="Times New Roman" w:cs="Times New Roman"/>
          <w:i/>
          <w:sz w:val="24"/>
          <w:szCs w:val="24"/>
        </w:rPr>
        <w:t xml:space="preserve"> 2010)</w:t>
      </w:r>
      <w:r w:rsid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1.3</w:t>
      </w:r>
      <w:r w:rsidRPr="00B15E44">
        <w:rPr>
          <w:rFonts w:ascii="Times New Roman" w:hAnsi="Times New Roman" w:cs="Times New Roman"/>
          <w:b/>
          <w:sz w:val="24"/>
          <w:szCs w:val="24"/>
        </w:rPr>
        <w:tab/>
        <w:t>AIMS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To evaluate the hydro chemical characteristic of groundwater in parts of Ilorin southwestern Nigeria in order to assess its suitability for domestic agricultural and industrial uses and to understand the geochemical process influencing groundwater quality in the area </w:t>
      </w:r>
    </w:p>
    <w:p w:rsidR="001B2BB3" w:rsidRPr="00B15E44" w:rsidRDefault="001B2BB3" w:rsidP="001B2BB3">
      <w:pPr>
        <w:pStyle w:val="NormalWeb"/>
        <w:spacing w:before="0" w:beforeAutospacing="0" w:after="0" w:afterAutospacing="0" w:line="480" w:lineRule="auto"/>
        <w:jc w:val="both"/>
      </w:pPr>
      <w:r w:rsidRPr="00B15E44">
        <w:t>To assess the hydro chemical characteristics of groundwater in parts of Ilorin, Southwestern Nigeria, with a view to determining its quality, suitability for domestic and agricultural uses, and identifying the geochemical processes influencing its composition.</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lastRenderedPageBreak/>
        <w:t>1.4</w:t>
      </w:r>
      <w:r w:rsidRPr="00B15E44">
        <w:rPr>
          <w:rFonts w:ascii="Times New Roman" w:hAnsi="Times New Roman" w:cs="Times New Roman"/>
          <w:b/>
          <w:sz w:val="24"/>
          <w:szCs w:val="24"/>
        </w:rPr>
        <w:tab/>
        <w:t xml:space="preserve">OBJECTIVE OF THE STUDY </w:t>
      </w:r>
    </w:p>
    <w:p w:rsidR="001B2BB3" w:rsidRPr="00B15E44" w:rsidRDefault="001B2BB3" w:rsidP="001B2BB3">
      <w:pPr>
        <w:pStyle w:val="ListParagraph"/>
        <w:numPr>
          <w:ilvl w:val="0"/>
          <w:numId w:val="15"/>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To determine the physical and chemical properties of groundwater (e.g., </w:t>
      </w:r>
      <w:proofErr w:type="spellStart"/>
      <w:r w:rsidRPr="00B15E44">
        <w:rPr>
          <w:rFonts w:ascii="Times New Roman" w:hAnsi="Times New Roman" w:cs="Times New Roman"/>
          <w:sz w:val="24"/>
          <w:szCs w:val="24"/>
        </w:rPr>
        <w:t>plt</w:t>
      </w:r>
      <w:proofErr w:type="spellEnd"/>
      <w:r w:rsidRPr="00B15E44">
        <w:rPr>
          <w:rFonts w:ascii="Times New Roman" w:hAnsi="Times New Roman" w:cs="Times New Roman"/>
          <w:sz w:val="24"/>
          <w:szCs w:val="24"/>
        </w:rPr>
        <w:t xml:space="preserve">, electrical conductivity, total dissolved solids, labor ions) in selected location without Ilorin </w:t>
      </w:r>
    </w:p>
    <w:p w:rsidR="001B2BB3" w:rsidRPr="00B15E44" w:rsidRDefault="001B2BB3" w:rsidP="001B2BB3">
      <w:pPr>
        <w:pStyle w:val="ListParagraph"/>
        <w:numPr>
          <w:ilvl w:val="0"/>
          <w:numId w:val="15"/>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To assess the suitability of groundwater for domestic and agricultural purpose by comparing the reassured parameters with national and international water quality standards.</w:t>
      </w:r>
    </w:p>
    <w:p w:rsidR="001B2BB3" w:rsidRPr="00B15E44" w:rsidRDefault="001B2BB3" w:rsidP="001B2BB3">
      <w:pPr>
        <w:numPr>
          <w:ilvl w:val="0"/>
          <w:numId w:val="15"/>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To identify and classify the major ions and chemical constituents</w:t>
      </w:r>
      <w:r w:rsidRPr="00B15E44">
        <w:rPr>
          <w:rFonts w:ascii="Times New Roman" w:eastAsia="Times New Roman" w:hAnsi="Times New Roman" w:cs="Times New Roman"/>
          <w:sz w:val="24"/>
          <w:szCs w:val="24"/>
        </w:rPr>
        <w:t xml:space="preserve"> present in groundwater samples collected from the study area.</w:t>
      </w:r>
    </w:p>
    <w:p w:rsidR="001B2BB3" w:rsidRPr="00B15E44" w:rsidRDefault="001B2BB3" w:rsidP="001B2BB3">
      <w:pPr>
        <w:numPr>
          <w:ilvl w:val="0"/>
          <w:numId w:val="15"/>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To determine the spatial distribution and concentration</w:t>
      </w:r>
      <w:r w:rsidRPr="00B15E44">
        <w:rPr>
          <w:rFonts w:ascii="Times New Roman" w:eastAsia="Times New Roman" w:hAnsi="Times New Roman" w:cs="Times New Roman"/>
          <w:sz w:val="24"/>
          <w:szCs w:val="24"/>
        </w:rPr>
        <w:t xml:space="preserve"> of physicochemical parameters such as pH, electrical conductivity (EC), total dissolved solids (TDS), hardness, and major anions/cautions.</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1.5</w:t>
      </w:r>
      <w:r w:rsidRPr="00B15E44">
        <w:rPr>
          <w:rFonts w:ascii="Times New Roman" w:hAnsi="Times New Roman" w:cs="Times New Roman"/>
          <w:b/>
          <w:sz w:val="24"/>
          <w:szCs w:val="24"/>
        </w:rPr>
        <w:tab/>
        <w:t>SIGNIFICANT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study on the hydro chemical characteristic of ground water of part of Ilorin southwestern Nigeria is significant for several </w:t>
      </w:r>
      <w:proofErr w:type="gramStart"/>
      <w:r w:rsidRPr="00B15E44">
        <w:rPr>
          <w:rFonts w:ascii="Times New Roman" w:hAnsi="Times New Roman" w:cs="Times New Roman"/>
          <w:sz w:val="24"/>
          <w:szCs w:val="24"/>
        </w:rPr>
        <w:t>reason</w:t>
      </w:r>
      <w:proofErr w:type="gramEnd"/>
      <w:r w:rsidRPr="00B15E44">
        <w:rPr>
          <w:rFonts w:ascii="Times New Roman" w:hAnsi="Times New Roman" w:cs="Times New Roman"/>
          <w:sz w:val="24"/>
          <w:szCs w:val="24"/>
        </w:rPr>
        <w:t xml:space="preserve"> </w:t>
      </w:r>
    </w:p>
    <w:p w:rsidR="001B2BB3" w:rsidRPr="00B15E44" w:rsidRDefault="001B2BB3" w:rsidP="001B2BB3">
      <w:pPr>
        <w:pStyle w:val="ListParagraph"/>
        <w:numPr>
          <w:ilvl w:val="0"/>
          <w:numId w:val="16"/>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Understanding groundwater quality: the study will provide valuable insight into the hydro chemical characteristic of groundwater in the study area which is essential for understanding its quality and potential uses.</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Environmental Monitoring:</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By understanding the hydro chemical processes and possible contamination sources, the study contributes to environmental protection and pollution control initiatives in the region.</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Agricultural Planning:</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Evaluation of groundwater for irrigation suitability will guide local farmers and agricultural authorities in using water sources that do not adversely affect soil health and crop yield.</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lastRenderedPageBreak/>
        <w:t>Scientific Contribution</w:t>
      </w:r>
      <w:r w:rsidRPr="00B15E4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The research adds to the body of knowledge on groundwater hydrochemistry in Nigeria, particularly in Ilorin, and can serve as a reference for future hydrological and environmental studies.</w:t>
      </w: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r>
        <w:rPr>
          <w:sz w:val="24"/>
          <w:szCs w:val="24"/>
        </w:rPr>
        <w:lastRenderedPageBreak/>
        <w:t>CHAPTER TWO</w:t>
      </w:r>
    </w:p>
    <w:p w:rsidR="001B2BB3" w:rsidRPr="00486301" w:rsidRDefault="00145EE3" w:rsidP="00145EE3">
      <w:pPr>
        <w:pStyle w:val="Heading2"/>
        <w:spacing w:before="0" w:beforeAutospacing="0" w:after="0" w:afterAutospacing="0" w:line="480" w:lineRule="auto"/>
        <w:rPr>
          <w:sz w:val="24"/>
          <w:szCs w:val="24"/>
        </w:rPr>
      </w:pPr>
      <w:r>
        <w:rPr>
          <w:sz w:val="24"/>
          <w:szCs w:val="24"/>
        </w:rPr>
        <w:t>2.0</w:t>
      </w:r>
      <w:r>
        <w:rPr>
          <w:sz w:val="24"/>
          <w:szCs w:val="24"/>
        </w:rPr>
        <w:tab/>
      </w:r>
      <w:r w:rsidR="001B2BB3" w:rsidRPr="00486301">
        <w:rPr>
          <w:sz w:val="24"/>
          <w:szCs w:val="24"/>
        </w:rPr>
        <w:t>LITERATURE REVIEW</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2.1</w:t>
      </w:r>
      <w:r w:rsidRPr="00145EE3">
        <w:rPr>
          <w:caps/>
          <w:sz w:val="24"/>
          <w:szCs w:val="24"/>
        </w:rPr>
        <w:tab/>
        <w:t>Groundwater Occurrence and Hydrogeological Setting in Ilorin</w:t>
      </w:r>
    </w:p>
    <w:p w:rsidR="001B2BB3" w:rsidRPr="00486301" w:rsidRDefault="001B2BB3" w:rsidP="001B2BB3">
      <w:pPr>
        <w:pStyle w:val="my-0"/>
        <w:spacing w:before="0" w:beforeAutospacing="0" w:after="0" w:afterAutospacing="0" w:line="480" w:lineRule="auto"/>
        <w:jc w:val="both"/>
      </w:pPr>
      <w:r w:rsidRPr="00486301">
        <w:t xml:space="preserve">Ilorin, located within the Basement Complex geological formation of Southwestern Nigeria, is predominantly underlain by </w:t>
      </w:r>
      <w:proofErr w:type="spellStart"/>
      <w:r w:rsidRPr="00486301">
        <w:t>migmatite</w:t>
      </w:r>
      <w:proofErr w:type="spellEnd"/>
      <w:r w:rsidRPr="00486301">
        <w:t xml:space="preserve">-gneiss, quartzite, and granitic intrusions. These rock types form a complex geological environment that significantly influences groundwater occurrence and distribution </w:t>
      </w:r>
      <w:r w:rsidRPr="00145EE3">
        <w:rPr>
          <w:i/>
        </w:rPr>
        <w:t>(</w:t>
      </w:r>
      <w:proofErr w:type="spellStart"/>
      <w:r w:rsidRPr="00145EE3">
        <w:rPr>
          <w:i/>
        </w:rPr>
        <w:t>Sule</w:t>
      </w:r>
      <w:proofErr w:type="spellEnd"/>
      <w:r w:rsidRPr="00145EE3">
        <w:rPr>
          <w:i/>
        </w:rPr>
        <w:t xml:space="preserve"> et al., 2015; </w:t>
      </w:r>
      <w:proofErr w:type="spellStart"/>
      <w:r w:rsidRPr="00145EE3">
        <w:rPr>
          <w:i/>
        </w:rPr>
        <w:t>Ifabiyi</w:t>
      </w:r>
      <w:proofErr w:type="spellEnd"/>
      <w:r w:rsidRPr="00145EE3">
        <w:rPr>
          <w:i/>
        </w:rPr>
        <w:t xml:space="preserve"> et al., 2016)</w:t>
      </w:r>
      <w:r w:rsidRPr="00486301">
        <w:t xml:space="preserve">. The primary groundwater reservoirs in this region are regolith aquifers, which consist of weathered and fractured basement rocks. The weathered zone, also known as the </w:t>
      </w:r>
      <w:proofErr w:type="spellStart"/>
      <w:r w:rsidRPr="00486301">
        <w:t>saprolite</w:t>
      </w:r>
      <w:proofErr w:type="spellEnd"/>
      <w:r w:rsidRPr="00486301">
        <w:t xml:space="preserve">, varies in thickness from a few meters to over 15 meters across different parts of Ilorin, directly impacting the volume and availability of groundwater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 xml:space="preserve">. This variability in overburden thickness affects the storage capacity and </w:t>
      </w:r>
      <w:proofErr w:type="spellStart"/>
      <w:r w:rsidRPr="00486301">
        <w:t>transmissivity</w:t>
      </w:r>
      <w:proofErr w:type="spellEnd"/>
      <w:r w:rsidRPr="00486301">
        <w:t xml:space="preserve"> of the aquifers, which in turn influences the yield of wells and boreholes.</w:t>
      </w:r>
    </w:p>
    <w:p w:rsidR="001B2BB3" w:rsidRPr="00486301" w:rsidRDefault="001B2BB3" w:rsidP="001B2BB3">
      <w:pPr>
        <w:pStyle w:val="my-0"/>
        <w:spacing w:before="0" w:beforeAutospacing="0" w:after="0" w:afterAutospacing="0" w:line="480" w:lineRule="auto"/>
        <w:jc w:val="both"/>
      </w:pPr>
      <w:r w:rsidRPr="00486301">
        <w:t xml:space="preserve">Shallow wells, such as those utilized in residential areas like Harmony Estate around Sango Axis, typically tap into these weathered zones and fractured basement rocks. These wells are crucial for domestic water supply, especially in areas where surface water resources are inadequate or unreliable due to seasonal fluctuations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 xml:space="preserve">. Hydrogeological investigations have revealed that the </w:t>
      </w:r>
      <w:proofErr w:type="spellStart"/>
      <w:r w:rsidRPr="00486301">
        <w:t>transmissivity</w:t>
      </w:r>
      <w:proofErr w:type="spellEnd"/>
      <w:r w:rsidRPr="00486301">
        <w:t xml:space="preserve"> of these aquifers is moderate, with specific capacities reflecting the degree of fracturing and weathering. Areas with thicker weathered layers tend to have higher groundwater yields, making them more favorable for well development </w:t>
      </w:r>
      <w:r w:rsidRPr="00145EE3">
        <w:rPr>
          <w:i/>
        </w:rPr>
        <w:t>(</w:t>
      </w:r>
      <w:proofErr w:type="spellStart"/>
      <w:r w:rsidRPr="00145EE3">
        <w:rPr>
          <w:i/>
        </w:rPr>
        <w:t>Ifabiyi</w:t>
      </w:r>
      <w:proofErr w:type="spellEnd"/>
      <w:r w:rsidRPr="00145EE3">
        <w:rPr>
          <w:i/>
        </w:rPr>
        <w:t xml:space="preserve"> et al., 2016)</w:t>
      </w:r>
      <w:r w:rsidRPr="00486301">
        <w:t>. However, the spatial heterogeneity of the aquifer properties necessitates localized studies to optimize groundwater extraction and management effectively.</w:t>
      </w:r>
    </w:p>
    <w:p w:rsidR="001B2BB3" w:rsidRPr="00486301" w:rsidRDefault="001B2BB3" w:rsidP="001B2BB3">
      <w:pPr>
        <w:pStyle w:val="my-0"/>
        <w:spacing w:before="0" w:beforeAutospacing="0" w:after="0" w:afterAutospacing="0" w:line="480" w:lineRule="auto"/>
        <w:jc w:val="both"/>
      </w:pPr>
      <w:r w:rsidRPr="00486301">
        <w:lastRenderedPageBreak/>
        <w:t xml:space="preserve">The hydrogeological setting is further complicated by the presence of fractured zones that act as conduits for groundwater flow but also pathways for contaminant migration. This dual role highlights the importance of understanding local geology and fracture networks when assessing groundwater availability and vulnerability. The regolith aquifer system in Ilorin, including Harmony Estate, is thus characterized by a delicate balance between groundwater recharge, storage, and potential contamination risks, which must be carefully managed to ensure sustainable water supply </w:t>
      </w:r>
      <w:r w:rsidRPr="00145EE3">
        <w:rPr>
          <w:i/>
        </w:rPr>
        <w:t>(</w:t>
      </w:r>
      <w:proofErr w:type="spellStart"/>
      <w:r w:rsidRPr="00145EE3">
        <w:rPr>
          <w:i/>
        </w:rPr>
        <w:t>Sule</w:t>
      </w:r>
      <w:proofErr w:type="spellEnd"/>
      <w:r w:rsidRPr="00145EE3">
        <w:rPr>
          <w:i/>
        </w:rPr>
        <w:t xml:space="preserve"> et al., 2015)</w:t>
      </w:r>
      <w:r w:rsidRPr="00486301">
        <w:t>.</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2.2</w:t>
      </w:r>
      <w:r w:rsidRPr="00145EE3">
        <w:rPr>
          <w:caps/>
          <w:sz w:val="24"/>
          <w:szCs w:val="24"/>
        </w:rPr>
        <w:tab/>
        <w:t>Hydrochemical Characteristics and Contamination Sources</w:t>
      </w:r>
    </w:p>
    <w:p w:rsidR="001B2BB3" w:rsidRPr="00486301" w:rsidRDefault="001B2BB3" w:rsidP="001B2BB3">
      <w:pPr>
        <w:pStyle w:val="my-0"/>
        <w:spacing w:before="0" w:beforeAutospacing="0" w:after="0" w:afterAutospacing="0" w:line="480" w:lineRule="auto"/>
        <w:jc w:val="both"/>
      </w:pPr>
      <w:r w:rsidRPr="00486301">
        <w:t xml:space="preserve">The </w:t>
      </w:r>
      <w:proofErr w:type="spellStart"/>
      <w:r w:rsidRPr="00486301">
        <w:t>hydrochemical</w:t>
      </w:r>
      <w:proofErr w:type="spellEnd"/>
      <w:r w:rsidRPr="00486301">
        <w:t xml:space="preserve"> profile of groundwater in Ilorin is shaped by a combination of natural geochemical processes and human-induced contamination. Natural processes such as mineral dissolution, ion exchange, and weathering of the basement rocks contribute to the baseline chemistry of groundwater. Commonly detected major ions include calcium, magnesium, sodium, potassium, chloride, sulfate, nitrate, and bicarbonate, which reflect the interaction of water with the geological matrix </w:t>
      </w:r>
      <w:r w:rsidRPr="00145EE3">
        <w:rPr>
          <w:i/>
        </w:rPr>
        <w:t>(</w:t>
      </w:r>
      <w:proofErr w:type="spellStart"/>
      <w:r w:rsidRPr="00145EE3">
        <w:rPr>
          <w:i/>
        </w:rPr>
        <w:t>Olasunkanmi</w:t>
      </w:r>
      <w:proofErr w:type="spellEnd"/>
      <w:r w:rsidRPr="00145EE3">
        <w:rPr>
          <w:i/>
        </w:rPr>
        <w:t xml:space="preserve"> et al., 2024; Umar et al., 2023)</w:t>
      </w:r>
      <w:r w:rsidRPr="00486301">
        <w:t>. These ions generally indicate moderate mineralization, consistent with the weathered basement aquifer environment.</w:t>
      </w:r>
    </w:p>
    <w:p w:rsidR="001B2BB3" w:rsidRPr="00486301" w:rsidRDefault="001B2BB3" w:rsidP="001B2BB3">
      <w:pPr>
        <w:pStyle w:val="my-0"/>
        <w:spacing w:before="0" w:beforeAutospacing="0" w:after="0" w:afterAutospacing="0" w:line="480" w:lineRule="auto"/>
        <w:jc w:val="both"/>
      </w:pPr>
      <w:r w:rsidRPr="00486301">
        <w:t xml:space="preserve">However, anthropogenic activities have increasingly altered groundwater quality, particularly in urban and </w:t>
      </w:r>
      <w:proofErr w:type="spellStart"/>
      <w:r w:rsidRPr="00486301">
        <w:t>peri</w:t>
      </w:r>
      <w:proofErr w:type="spellEnd"/>
      <w:r w:rsidRPr="00486301">
        <w:t xml:space="preserve">-urban areas like Harmony Estate. Agricultural practices involving the intensive use of fertilizers have led to elevated nitrate concentrations in shallow groundwater, posing significant health risks </w:t>
      </w:r>
      <w:r w:rsidRPr="00145EE3">
        <w:rPr>
          <w:i/>
        </w:rPr>
        <w:t>(</w:t>
      </w:r>
      <w:proofErr w:type="spellStart"/>
      <w:r w:rsidRPr="00145EE3">
        <w:rPr>
          <w:i/>
        </w:rPr>
        <w:t>Adeyemi</w:t>
      </w:r>
      <w:proofErr w:type="spellEnd"/>
      <w:r w:rsidRPr="00145EE3">
        <w:rPr>
          <w:i/>
        </w:rPr>
        <w:t xml:space="preserve"> et al., 2023)</w:t>
      </w:r>
      <w:r w:rsidRPr="00486301">
        <w:t xml:space="preserve">. Similarly, improper waste disposal and leachate from refuse dumpsites contribute to increased levels of iron and other trace elements, which can degrade water quality and affect its suitability for consumption </w:t>
      </w:r>
      <w:r w:rsidRPr="00145EE3">
        <w:rPr>
          <w:i/>
        </w:rPr>
        <w:t>(</w:t>
      </w:r>
      <w:proofErr w:type="spellStart"/>
      <w:r w:rsidRPr="00145EE3">
        <w:rPr>
          <w:i/>
        </w:rPr>
        <w:t>Adeyemi</w:t>
      </w:r>
      <w:proofErr w:type="spellEnd"/>
      <w:r w:rsidRPr="00145EE3">
        <w:rPr>
          <w:i/>
        </w:rPr>
        <w:t xml:space="preserve"> et al., 2023)</w:t>
      </w:r>
      <w:r w:rsidRPr="00486301">
        <w:t xml:space="preserve">. The vulnerability of shallow wells is exacerbated by the thin protective clay layers and </w:t>
      </w:r>
      <w:r w:rsidRPr="00486301">
        <w:lastRenderedPageBreak/>
        <w:t xml:space="preserve">shallow topsoil prevalent in parts of Ilorin, allowing contaminants to percolate more easily into the aquifer system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w:t>
      </w:r>
    </w:p>
    <w:p w:rsidR="001B2BB3" w:rsidRPr="00486301" w:rsidRDefault="001B2BB3" w:rsidP="001B2BB3">
      <w:pPr>
        <w:pStyle w:val="my-0"/>
        <w:spacing w:before="0" w:beforeAutospacing="0" w:after="0" w:afterAutospacing="0" w:line="480" w:lineRule="auto"/>
        <w:jc w:val="both"/>
      </w:pPr>
      <w:r w:rsidRPr="00486301">
        <w:t xml:space="preserve">Urbanization and inadequate sanitation infrastructure further compound groundwater contamination risks. Septic tank leakage and surface runoff carrying pollutants from domestic and industrial sources have been identified as significant contributors to groundwater pollution in Ilorin </w:t>
      </w:r>
      <w:r w:rsidRPr="00145EE3">
        <w:rPr>
          <w:i/>
        </w:rPr>
        <w:t>(</w:t>
      </w:r>
      <w:proofErr w:type="spellStart"/>
      <w:r w:rsidRPr="00145EE3">
        <w:rPr>
          <w:i/>
        </w:rPr>
        <w:t>Olasunkanmi</w:t>
      </w:r>
      <w:proofErr w:type="spellEnd"/>
      <w:r w:rsidRPr="00145EE3">
        <w:rPr>
          <w:i/>
        </w:rPr>
        <w:t xml:space="preserve"> et al., 2024)</w:t>
      </w:r>
      <w:r w:rsidRPr="00486301">
        <w:t xml:space="preserve">. These factors necessitate the implementation of effective land use planning and pollution control measures to protect groundwater resources. The </w:t>
      </w:r>
      <w:proofErr w:type="spellStart"/>
      <w:r w:rsidRPr="00486301">
        <w:t>hydrochemical</w:t>
      </w:r>
      <w:proofErr w:type="spellEnd"/>
      <w:r w:rsidRPr="00486301">
        <w:t xml:space="preserve"> variability observed across Ilorin underscores the importance of site-specific investigations, such as those focused on Harmony Estate, to identify contamination hotspots and develop targeted mitigation strategies.</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2.3</w:t>
      </w:r>
      <w:r w:rsidRPr="00145EE3">
        <w:rPr>
          <w:caps/>
          <w:sz w:val="24"/>
          <w:szCs w:val="24"/>
        </w:rPr>
        <w:tab/>
        <w:t>Groundwater Quality Assessment, Health Implications, and Suitability</w:t>
      </w:r>
    </w:p>
    <w:p w:rsidR="001B2BB3" w:rsidRPr="00486301" w:rsidRDefault="001B2BB3" w:rsidP="001B2BB3">
      <w:pPr>
        <w:pStyle w:val="my-0"/>
        <w:spacing w:before="0" w:beforeAutospacing="0" w:after="0" w:afterAutospacing="0" w:line="480" w:lineRule="auto"/>
        <w:jc w:val="both"/>
      </w:pPr>
      <w:r w:rsidRPr="00486301">
        <w:t xml:space="preserve">Groundwater quality assessment in Ilorin involves systematic sampling and laboratory analysis of </w:t>
      </w:r>
      <w:proofErr w:type="spellStart"/>
      <w:r w:rsidRPr="00486301">
        <w:t>physico</w:t>
      </w:r>
      <w:proofErr w:type="spellEnd"/>
      <w:r w:rsidRPr="00486301">
        <w:t xml:space="preserve">-chemical parameters to determine the suitability of water for domestic and agricultural uses. Parameters such as pH, electrical conductivity, total dissolved solids, and concentrations of major </w:t>
      </w:r>
      <w:proofErr w:type="spellStart"/>
      <w:r w:rsidRPr="00486301">
        <w:t>cations</w:t>
      </w:r>
      <w:proofErr w:type="spellEnd"/>
      <w:r w:rsidRPr="00486301">
        <w:t xml:space="preserve"> and anions are routinely measured and compared against national and international standards, including those set by the World Health Organization (WHO) </w:t>
      </w:r>
      <w:r w:rsidRPr="00145EE3">
        <w:rPr>
          <w:i/>
        </w:rPr>
        <w:t>(</w:t>
      </w:r>
      <w:proofErr w:type="spellStart"/>
      <w:r w:rsidRPr="00145EE3">
        <w:rPr>
          <w:i/>
        </w:rPr>
        <w:t>Olasunkanmi</w:t>
      </w:r>
      <w:proofErr w:type="spellEnd"/>
      <w:r w:rsidRPr="00145EE3">
        <w:rPr>
          <w:i/>
        </w:rPr>
        <w:t xml:space="preserve"> et al., 2024; Umar et al., 2023)</w:t>
      </w:r>
      <w:r w:rsidRPr="00486301">
        <w:t>. This approach provides a comprehensive understanding of groundwater quality status and identifies areas where contamination may pose risks.</w:t>
      </w:r>
    </w:p>
    <w:p w:rsidR="001B2BB3" w:rsidRPr="00486301" w:rsidRDefault="001B2BB3" w:rsidP="001B2BB3">
      <w:pPr>
        <w:pStyle w:val="my-0"/>
        <w:spacing w:before="0" w:beforeAutospacing="0" w:after="0" w:afterAutospacing="0" w:line="480" w:lineRule="auto"/>
        <w:jc w:val="both"/>
      </w:pPr>
      <w:r w:rsidRPr="00486301">
        <w:t xml:space="preserve">Health risk assessments have highlighted elevated nitrate and iron concentrations as primary concerns in Ilorin’s groundwater. High nitrate levels are linked to </w:t>
      </w:r>
      <w:proofErr w:type="spellStart"/>
      <w:r w:rsidRPr="00486301">
        <w:t>methemoglobinemia</w:t>
      </w:r>
      <w:proofErr w:type="spellEnd"/>
      <w:r w:rsidRPr="00486301">
        <w:t xml:space="preserve">, especially in infants, while excessive iron can cause undesirable taste, staining, and gastrointestinal discomfort </w:t>
      </w:r>
      <w:r w:rsidRPr="00145EE3">
        <w:rPr>
          <w:i/>
        </w:rPr>
        <w:t>(Ibrahim et al., 2023)</w:t>
      </w:r>
      <w:r w:rsidRPr="00486301">
        <w:t xml:space="preserve">. Fortunately, concentrations of heavy metals such as lead and cadmium are generally below harmful thresholds in the region, indicating a </w:t>
      </w:r>
      <w:r w:rsidRPr="00486301">
        <w:lastRenderedPageBreak/>
        <w:t xml:space="preserve">low risk of chronic heavy metal toxicity </w:t>
      </w:r>
      <w:r w:rsidRPr="00145EE3">
        <w:rPr>
          <w:i/>
        </w:rPr>
        <w:t>(Ibrahim et al., 2023)</w:t>
      </w:r>
      <w:r w:rsidRPr="00486301">
        <w:t>. Nonetheless, continuous monitoring is essential to detect any emerging contamination trends.</w:t>
      </w:r>
    </w:p>
    <w:p w:rsidR="001B2BB3" w:rsidRPr="00486301" w:rsidRDefault="001B2BB3" w:rsidP="001B2BB3">
      <w:pPr>
        <w:pStyle w:val="my-0"/>
        <w:spacing w:before="0" w:beforeAutospacing="0" w:after="0" w:afterAutospacing="0" w:line="480" w:lineRule="auto"/>
        <w:jc w:val="both"/>
      </w:pPr>
      <w:r w:rsidRPr="00486301">
        <w:t xml:space="preserve">The overall groundwater quality in residential areas like Harmony Estate is largely suitable for domestic consumption and irrigation purposes when assessed against established water quality guidelines </w:t>
      </w:r>
      <w:r w:rsidRPr="00145EE3">
        <w:rPr>
          <w:i/>
        </w:rPr>
        <w:t>(</w:t>
      </w:r>
      <w:proofErr w:type="spellStart"/>
      <w:r w:rsidRPr="00145EE3">
        <w:rPr>
          <w:i/>
        </w:rPr>
        <w:t>Ogunleye</w:t>
      </w:r>
      <w:proofErr w:type="spellEnd"/>
      <w:r w:rsidRPr="00145EE3">
        <w:rPr>
          <w:i/>
        </w:rPr>
        <w:t xml:space="preserve"> et al., 2025)</w:t>
      </w:r>
      <w:r w:rsidRPr="00486301">
        <w:t>. However, localized contamination requires proactive management to prevent adverse health outcomes and ensure sustainable water use. The integration of water quality indices and risk assessment tools enhances the ability of water resource managers and policymakers to prioritize interventions and safeguard public health.</w:t>
      </w:r>
    </w:p>
    <w:p w:rsidR="001B2BB3" w:rsidRPr="00486301" w:rsidRDefault="001B2BB3" w:rsidP="001B2BB3">
      <w:pPr>
        <w:pStyle w:val="Heading2"/>
        <w:spacing w:before="0" w:beforeAutospacing="0" w:after="0" w:afterAutospacing="0" w:line="480" w:lineRule="auto"/>
        <w:jc w:val="both"/>
        <w:rPr>
          <w:sz w:val="24"/>
          <w:szCs w:val="24"/>
        </w:rPr>
      </w:pPr>
      <w:r>
        <w:rPr>
          <w:sz w:val="24"/>
          <w:szCs w:val="24"/>
        </w:rPr>
        <w:t>2.4</w:t>
      </w:r>
      <w:r>
        <w:rPr>
          <w:sz w:val="24"/>
          <w:szCs w:val="24"/>
        </w:rPr>
        <w:tab/>
      </w:r>
      <w:r w:rsidRPr="00486301">
        <w:rPr>
          <w:sz w:val="24"/>
          <w:szCs w:val="24"/>
        </w:rPr>
        <w:t>Previous Studies</w:t>
      </w:r>
    </w:p>
    <w:p w:rsidR="001B2BB3" w:rsidRPr="00486301" w:rsidRDefault="001B2BB3" w:rsidP="001B2BB3">
      <w:pPr>
        <w:pStyle w:val="my-0"/>
        <w:spacing w:before="0" w:beforeAutospacing="0" w:after="0" w:afterAutospacing="0" w:line="480" w:lineRule="auto"/>
        <w:jc w:val="both"/>
      </w:pPr>
      <w:r w:rsidRPr="00486301">
        <w:t xml:space="preserve">A substantial body of research has been conducted on the hydrogeology and groundwater quality of Ilorin and its environs, offering valuable insights into aquifer characteristics, groundwater potential, and contamination patterns. </w:t>
      </w:r>
      <w:proofErr w:type="spellStart"/>
      <w:r w:rsidRPr="00486301">
        <w:t>Hydrogeophysical</w:t>
      </w:r>
      <w:proofErr w:type="spellEnd"/>
      <w:r w:rsidRPr="00486301">
        <w:t xml:space="preserve"> investigations using electrical resistivity and other geophysical methods have been instrumental in delineating aquifer thickness, identifying groundwater potential zones, and guiding well siting decisions </w:t>
      </w:r>
      <w:r w:rsidRPr="00145EE3">
        <w:rPr>
          <w:i/>
        </w:rPr>
        <w:t>(</w:t>
      </w:r>
      <w:proofErr w:type="spellStart"/>
      <w:r w:rsidRPr="00145EE3">
        <w:rPr>
          <w:i/>
        </w:rPr>
        <w:t>Ige</w:t>
      </w:r>
      <w:proofErr w:type="spellEnd"/>
      <w:r w:rsidRPr="00145EE3">
        <w:rPr>
          <w:i/>
        </w:rPr>
        <w:t xml:space="preserve"> &amp; </w:t>
      </w:r>
      <w:proofErr w:type="spellStart"/>
      <w:r w:rsidRPr="00145EE3">
        <w:rPr>
          <w:i/>
        </w:rPr>
        <w:t>Ajiboye</w:t>
      </w:r>
      <w:proofErr w:type="spellEnd"/>
      <w:r w:rsidRPr="00145EE3">
        <w:rPr>
          <w:i/>
        </w:rPr>
        <w:t>, 2016; Malaysian Journal of Geosciences, 2023)</w:t>
      </w:r>
      <w:r w:rsidRPr="00486301">
        <w:t>. These studies have revealed the heterogeneous nature of the regolith aquifers and the influence of geological structures on groundwater distribution.</w:t>
      </w:r>
    </w:p>
    <w:p w:rsidR="001B2BB3" w:rsidRPr="00486301" w:rsidRDefault="001B2BB3" w:rsidP="001B2BB3">
      <w:pPr>
        <w:pStyle w:val="my-0"/>
        <w:spacing w:before="0" w:beforeAutospacing="0" w:after="0" w:afterAutospacing="0" w:line="480" w:lineRule="auto"/>
        <w:jc w:val="both"/>
      </w:pPr>
      <w:r w:rsidRPr="00486301">
        <w:t xml:space="preserve">Integrated assessments employing Geographic Information Systems (GIS) and remote sensing techniques have further enhanced the understanding of spatial variability in groundwater availability and quality across Ilorin metropolis </w:t>
      </w:r>
      <w:r w:rsidRPr="00145EE3">
        <w:rPr>
          <w:i/>
        </w:rPr>
        <w:t>(</w:t>
      </w:r>
      <w:proofErr w:type="spellStart"/>
      <w:r w:rsidRPr="00145EE3">
        <w:rPr>
          <w:i/>
        </w:rPr>
        <w:t>Ijtrd</w:t>
      </w:r>
      <w:proofErr w:type="spellEnd"/>
      <w:r w:rsidRPr="00145EE3">
        <w:rPr>
          <w:i/>
        </w:rPr>
        <w:t>, 2021)</w:t>
      </w:r>
      <w:r w:rsidRPr="00486301">
        <w:t>. Such approaches facilitate the identification of areas vulnerable to contamination and support sustainable groundwater management planning.</w:t>
      </w:r>
    </w:p>
    <w:p w:rsidR="001B2BB3" w:rsidRPr="00FA26B6" w:rsidRDefault="001B2BB3" w:rsidP="001B2BB3">
      <w:pPr>
        <w:pStyle w:val="my-0"/>
        <w:spacing w:before="0" w:beforeAutospacing="0" w:after="0" w:afterAutospacing="0" w:line="480" w:lineRule="auto"/>
        <w:jc w:val="both"/>
      </w:pPr>
      <w:r w:rsidRPr="00486301">
        <w:t xml:space="preserve">Chemical analyses from various studies consistently indicate moderate mineralization of groundwater with occasional contamination hotspots, often linked to urban waste disposal </w:t>
      </w:r>
      <w:r w:rsidRPr="00486301">
        <w:lastRenderedPageBreak/>
        <w:t xml:space="preserve">and agricultural activities </w:t>
      </w:r>
      <w:r w:rsidRPr="00145EE3">
        <w:rPr>
          <w:i/>
        </w:rPr>
        <w:t>(</w:t>
      </w:r>
      <w:proofErr w:type="spellStart"/>
      <w:r w:rsidRPr="00145EE3">
        <w:rPr>
          <w:i/>
        </w:rPr>
        <w:t>Olasunkanmi</w:t>
      </w:r>
      <w:proofErr w:type="spellEnd"/>
      <w:r w:rsidRPr="00145EE3">
        <w:rPr>
          <w:i/>
        </w:rPr>
        <w:t xml:space="preserve"> et al., 2024; Umar et al., 2023)</w:t>
      </w:r>
      <w:r w:rsidRPr="00486301">
        <w:t>. Despite these advances, there remains a paucity of localized studies focusing specifically on well water quality within residential estates such as Harmony Estate. This gap highlights the need for targeted research to inform effective groundwater protection and management strategies tailored to community-level contexts.</w:t>
      </w:r>
    </w:p>
    <w:p w:rsidR="001B2BB3" w:rsidRDefault="001B2BB3" w:rsidP="001B2BB3">
      <w:pPr>
        <w:spacing w:line="480" w:lineRule="auto"/>
        <w:jc w:val="both"/>
        <w:rPr>
          <w:rFonts w:ascii="Times New Roman" w:hAnsi="Times New Roman" w:cs="Times New Roman"/>
          <w:sz w:val="24"/>
          <w:szCs w:val="24"/>
        </w:rPr>
      </w:pPr>
      <w:r w:rsidRPr="00FA26B6">
        <w:rPr>
          <w:rFonts w:ascii="Times New Roman" w:hAnsi="Times New Roman" w:cs="Times New Roman"/>
          <w:sz w:val="24"/>
          <w:szCs w:val="24"/>
        </w:rPr>
        <w:t xml:space="preserve">In conclusion, the groundwater resources at Harmony Estate, Sango Axis, exemplify the broader hydrogeological and </w:t>
      </w:r>
      <w:proofErr w:type="spellStart"/>
      <w:r w:rsidRPr="00FA26B6">
        <w:rPr>
          <w:rFonts w:ascii="Times New Roman" w:hAnsi="Times New Roman" w:cs="Times New Roman"/>
          <w:sz w:val="24"/>
          <w:szCs w:val="24"/>
        </w:rPr>
        <w:t>hydrochemical</w:t>
      </w:r>
      <w:proofErr w:type="spellEnd"/>
      <w:r w:rsidRPr="00FA26B6">
        <w:rPr>
          <w:rFonts w:ascii="Times New Roman" w:hAnsi="Times New Roman" w:cs="Times New Roman"/>
          <w:sz w:val="24"/>
          <w:szCs w:val="24"/>
        </w:rPr>
        <w:t xml:space="preserve"> characteristics of Ilorin’s Basement Complex aquifers. While generally adequate for domestic use, the shallow wells in these areas are vulnerable to contamination from anthropogenic sources. Therefore, comprehensive water quality monitoring and management strategies are essential to safeguard public health and ensure the sustainable utilization of groundwater resources.</w:t>
      </w: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933052" w:rsidRPr="00EF229A" w:rsidRDefault="00933052" w:rsidP="00933052">
      <w:pPr>
        <w:spacing w:after="0" w:line="480" w:lineRule="auto"/>
        <w:jc w:val="center"/>
        <w:rPr>
          <w:rFonts w:ascii="Times New Roman" w:hAnsi="Times New Roman" w:cs="Times New Roman"/>
          <w:b/>
          <w:sz w:val="24"/>
          <w:szCs w:val="24"/>
        </w:rPr>
      </w:pPr>
      <w:r w:rsidRPr="00EF229A">
        <w:rPr>
          <w:rFonts w:ascii="Times New Roman" w:hAnsi="Times New Roman" w:cs="Times New Roman"/>
          <w:b/>
          <w:sz w:val="24"/>
          <w:szCs w:val="24"/>
        </w:rPr>
        <w:lastRenderedPageBreak/>
        <w:t>CHAPTER THREE</w:t>
      </w:r>
    </w:p>
    <w:p w:rsidR="00933052" w:rsidRPr="00EF229A" w:rsidRDefault="003B54B9" w:rsidP="003B54B9">
      <w:pPr>
        <w:spacing w:after="0" w:line="48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933052" w:rsidRPr="00EF229A">
        <w:rPr>
          <w:rFonts w:ascii="Times New Roman" w:hAnsi="Times New Roman" w:cs="Times New Roman"/>
          <w:b/>
          <w:sz w:val="24"/>
          <w:szCs w:val="24"/>
        </w:rPr>
        <w:t>METHODOLOGY</w:t>
      </w:r>
    </w:p>
    <w:p w:rsidR="00933052" w:rsidRPr="00EF229A" w:rsidRDefault="00933052" w:rsidP="00933052">
      <w:pPr>
        <w:spacing w:after="0" w:line="480" w:lineRule="auto"/>
        <w:rPr>
          <w:rFonts w:ascii="Times New Roman" w:hAnsi="Times New Roman" w:cs="Times New Roman"/>
          <w:b/>
          <w:sz w:val="24"/>
          <w:szCs w:val="24"/>
        </w:rPr>
      </w:pPr>
      <w:r w:rsidRPr="00EF229A">
        <w:rPr>
          <w:rFonts w:ascii="Times New Roman" w:hAnsi="Times New Roman" w:cs="Times New Roman"/>
          <w:b/>
          <w:sz w:val="24"/>
          <w:szCs w:val="24"/>
        </w:rPr>
        <w:t>3.1</w:t>
      </w:r>
      <w:r w:rsidRPr="00EF229A">
        <w:rPr>
          <w:rFonts w:ascii="Times New Roman" w:hAnsi="Times New Roman" w:cs="Times New Roman"/>
          <w:b/>
          <w:sz w:val="24"/>
          <w:szCs w:val="24"/>
        </w:rPr>
        <w:tab/>
        <w:t>DESK STUDY</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eastAsia="Times New Roman" w:hAnsi="Times New Roman" w:cs="Times New Roman"/>
          <w:sz w:val="24"/>
          <w:szCs w:val="24"/>
        </w:rPr>
        <w:t>The desk study phase involved a comprehensive review of existing literature</w:t>
      </w:r>
      <w:r w:rsidRPr="00EF229A">
        <w:rPr>
          <w:rFonts w:ascii="Times New Roman" w:hAnsi="Times New Roman" w:cs="Times New Roman"/>
          <w:sz w:val="24"/>
          <w:szCs w:val="24"/>
        </w:rPr>
        <w:t xml:space="preserve"> evaluate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characteristics and gr</w:t>
      </w:r>
      <w:r>
        <w:rPr>
          <w:rFonts w:ascii="Times New Roman" w:hAnsi="Times New Roman" w:cs="Times New Roman"/>
          <w:sz w:val="24"/>
          <w:szCs w:val="24"/>
        </w:rPr>
        <w:t>oundwater in selected parts of I</w:t>
      </w:r>
      <w:r w:rsidRPr="00EF229A">
        <w:rPr>
          <w:rFonts w:ascii="Times New Roman" w:hAnsi="Times New Roman" w:cs="Times New Roman"/>
          <w:sz w:val="24"/>
          <w:szCs w:val="24"/>
        </w:rPr>
        <w:t xml:space="preserve">lorin, southwestern/Nigeria. The methodology is central to achieving the objectives of this study, as it outlines the step-by-step procedures involved in the collection, analysis, and interpretation of groundwater data. The reliability and validity of the research findings largely depend on the appropriateness and scientific rigor of the chosen methods </w:t>
      </w:r>
    </w:p>
    <w:p w:rsidR="00933052" w:rsidRPr="00EF229A" w:rsidRDefault="00933052" w:rsidP="009330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Groundwater</w:t>
      </w:r>
      <w:r w:rsidRPr="00EF229A">
        <w:rPr>
          <w:rFonts w:ascii="Times New Roman" w:hAnsi="Times New Roman" w:cs="Times New Roman"/>
          <w:sz w:val="24"/>
          <w:szCs w:val="24"/>
        </w:rPr>
        <w:t xml:space="preserve"> being a vital source of water supply for domestic, agricultural, and industrial purposes in </w:t>
      </w:r>
      <w:proofErr w:type="gramStart"/>
      <w:r w:rsidRPr="00EF229A">
        <w:rPr>
          <w:rFonts w:ascii="Times New Roman" w:hAnsi="Times New Roman" w:cs="Times New Roman"/>
          <w:sz w:val="24"/>
          <w:szCs w:val="24"/>
        </w:rPr>
        <w:t>Ilorin,</w:t>
      </w:r>
      <w:proofErr w:type="gramEnd"/>
      <w:r w:rsidRPr="00EF229A">
        <w:rPr>
          <w:rFonts w:ascii="Times New Roman" w:hAnsi="Times New Roman" w:cs="Times New Roman"/>
          <w:sz w:val="24"/>
          <w:szCs w:val="24"/>
        </w:rPr>
        <w:t xml:space="preserve"> requires regular monitoring and assessment to ensure its quality and sustainability. </w:t>
      </w:r>
      <w:proofErr w:type="gramStart"/>
      <w:r w:rsidRPr="00EF229A">
        <w:rPr>
          <w:rFonts w:ascii="Times New Roman" w:hAnsi="Times New Roman" w:cs="Times New Roman"/>
          <w:sz w:val="24"/>
          <w:szCs w:val="24"/>
        </w:rPr>
        <w:t>Given the increasing pressure on water resources due to population growth.</w:t>
      </w:r>
      <w:proofErr w:type="gramEnd"/>
      <w:r w:rsidRPr="00EF229A">
        <w:rPr>
          <w:rFonts w:ascii="Times New Roman" w:hAnsi="Times New Roman" w:cs="Times New Roman"/>
          <w:sz w:val="24"/>
          <w:szCs w:val="24"/>
        </w:rPr>
        <w:t xml:space="preserve"> </w:t>
      </w:r>
      <w:proofErr w:type="gramStart"/>
      <w:r w:rsidRPr="00EF229A">
        <w:rPr>
          <w:rFonts w:ascii="Times New Roman" w:hAnsi="Times New Roman" w:cs="Times New Roman"/>
          <w:sz w:val="24"/>
          <w:szCs w:val="24"/>
        </w:rPr>
        <w:t>urbanization</w:t>
      </w:r>
      <w:proofErr w:type="gramEnd"/>
      <w:r w:rsidRPr="00EF229A">
        <w:rPr>
          <w:rFonts w:ascii="Times New Roman" w:hAnsi="Times New Roman" w:cs="Times New Roman"/>
          <w:sz w:val="24"/>
          <w:szCs w:val="24"/>
        </w:rPr>
        <w:t xml:space="preserve"> and anthropogenic activities, understanding/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processes and potential sources of contamination has become more important than ever. This study, therefore adopts a comprehensive and systematic approach to investigate the water quality of selected wells and boreholes in different parts of Ilorin.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chapter begins by describing the overall research design, which includes both field investigation and laboratory analysis. This is followed by the reconnaissance survey, which helped to determine suitable sampling locations based on factors such as land use population density, and proximity to potential sources of pollution. It then outlines the sampling strategy. </w:t>
      </w:r>
      <w:proofErr w:type="gramStart"/>
      <w:r w:rsidRPr="00EF229A">
        <w:rPr>
          <w:rFonts w:ascii="Times New Roman" w:hAnsi="Times New Roman" w:cs="Times New Roman"/>
          <w:sz w:val="24"/>
          <w:szCs w:val="24"/>
        </w:rPr>
        <w:t>including</w:t>
      </w:r>
      <w:proofErr w:type="gramEnd"/>
      <w:r w:rsidRPr="00EF229A">
        <w:rPr>
          <w:rFonts w:ascii="Times New Roman" w:hAnsi="Times New Roman" w:cs="Times New Roman"/>
          <w:sz w:val="24"/>
          <w:szCs w:val="24"/>
        </w:rPr>
        <w:t xml:space="preserve"> the selection of wells and boreholes, the collection and preservation of water samples and the in-situ measurements of </w:t>
      </w:r>
      <w:proofErr w:type="spellStart"/>
      <w:r w:rsidRPr="00EF229A">
        <w:rPr>
          <w:rFonts w:ascii="Times New Roman" w:hAnsi="Times New Roman" w:cs="Times New Roman"/>
          <w:sz w:val="24"/>
          <w:szCs w:val="24"/>
        </w:rPr>
        <w:t>physico</w:t>
      </w:r>
      <w:proofErr w:type="spellEnd"/>
      <w:r w:rsidRPr="00EF229A">
        <w:rPr>
          <w:rFonts w:ascii="Times New Roman" w:hAnsi="Times New Roman" w:cs="Times New Roman"/>
          <w:sz w:val="24"/>
          <w:szCs w:val="24"/>
        </w:rPr>
        <w:t xml:space="preserve">-chemical parameters.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Subsequently, the chapter explains the analytical techniques used in the laboratory to de the concentrations of major ions and other water quality indicators, Standardized methods prescribed by authoritative organizations such as the American Public Health Association </w:t>
      </w:r>
      <w:r w:rsidRPr="00EF229A">
        <w:rPr>
          <w:rFonts w:ascii="Times New Roman" w:hAnsi="Times New Roman" w:cs="Times New Roman"/>
          <w:sz w:val="24"/>
          <w:szCs w:val="24"/>
        </w:rPr>
        <w:lastRenderedPageBreak/>
        <w:t xml:space="preserve">(APHA) were followed to ensure accuracy and comparability of results. The final part of the chapter describes the data analysis techniques, including the use of statistical tools,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diagrams such as Piper plots, and comparison with national and international water quality standards.</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3.2</w:t>
      </w:r>
      <w:r w:rsidRPr="00EF229A">
        <w:rPr>
          <w:rFonts w:ascii="Times New Roman" w:hAnsi="Times New Roman" w:cs="Times New Roman"/>
          <w:b/>
          <w:caps/>
          <w:sz w:val="24"/>
          <w:szCs w:val="24"/>
        </w:rPr>
        <w:tab/>
        <w:t>Research Design</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research adopted a descriptive survey and analytical design, which is well-suited for environmental and water quality studies that involve the collection of primary data from natural settings. This design was chosen to enable a thorough assessment of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characteristics of groundwater in selected areas of Ilorin, where groundwater serves as a major source of water for domestic and agricultural purposes. The descriptive aspect of the design involved observing and recording the existing condition of groundwater sources, such as their locations, usage patterns, surrounding land use, and pot contamination sources like dumpsites, septic tanks, and farmlands. These observations provided context for understanding the human and environmental factors influencing water quality. The analytical component focused on the systematic collection of water samples, followed by laboratory analysis of </w:t>
      </w:r>
      <w:proofErr w:type="spellStart"/>
      <w:r w:rsidRPr="00EF229A">
        <w:rPr>
          <w:rFonts w:ascii="Times New Roman" w:hAnsi="Times New Roman" w:cs="Times New Roman"/>
          <w:sz w:val="24"/>
          <w:szCs w:val="24"/>
        </w:rPr>
        <w:t>physico</w:t>
      </w:r>
      <w:proofErr w:type="spellEnd"/>
      <w:r w:rsidRPr="00EF229A">
        <w:rPr>
          <w:rFonts w:ascii="Times New Roman" w:hAnsi="Times New Roman" w:cs="Times New Roman"/>
          <w:sz w:val="24"/>
          <w:szCs w:val="24"/>
        </w:rPr>
        <w:t xml:space="preserve">-chemical parameters, including pH, electrical conductivity. </w:t>
      </w:r>
      <w:proofErr w:type="gramStart"/>
      <w:r w:rsidRPr="00EF229A">
        <w:rPr>
          <w:rFonts w:ascii="Times New Roman" w:hAnsi="Times New Roman" w:cs="Times New Roman"/>
          <w:sz w:val="24"/>
          <w:szCs w:val="24"/>
        </w:rPr>
        <w:t>total</w:t>
      </w:r>
      <w:proofErr w:type="gramEnd"/>
      <w:r w:rsidRPr="00EF229A">
        <w:rPr>
          <w:rFonts w:ascii="Times New Roman" w:hAnsi="Times New Roman" w:cs="Times New Roman"/>
          <w:sz w:val="24"/>
          <w:szCs w:val="24"/>
        </w:rPr>
        <w:t xml:space="preserve"> dissolved solids, major cautions and anions, and selected heavy metals. </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3.3</w:t>
      </w:r>
      <w:r w:rsidRPr="00EF229A">
        <w:rPr>
          <w:rFonts w:ascii="Times New Roman" w:hAnsi="Times New Roman" w:cs="Times New Roman"/>
          <w:b/>
          <w:caps/>
          <w:sz w:val="24"/>
          <w:szCs w:val="24"/>
        </w:rPr>
        <w:tab/>
        <w:t xml:space="preserve">Reconnaissance Survey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 preliminary reconnaissance survey was carried out as an essential preparatory phase of the research to facilitate effective planning and implementation of the main fieldwork. This survey was conducted across various parts of florin, particularly in densely populated neighborhoods and </w:t>
      </w:r>
      <w:proofErr w:type="spellStart"/>
      <w:r w:rsidRPr="00EF229A">
        <w:rPr>
          <w:rFonts w:ascii="Times New Roman" w:hAnsi="Times New Roman" w:cs="Times New Roman"/>
          <w:sz w:val="24"/>
          <w:szCs w:val="24"/>
        </w:rPr>
        <w:t>peri</w:t>
      </w:r>
      <w:proofErr w:type="spellEnd"/>
      <w:r w:rsidRPr="00EF229A">
        <w:rPr>
          <w:rFonts w:ascii="Times New Roman" w:hAnsi="Times New Roman" w:cs="Times New Roman"/>
          <w:sz w:val="24"/>
          <w:szCs w:val="24"/>
        </w:rPr>
        <w:t>-urban areas where groundwater is heavily relied upon for domestic use. The purpose of the reconnaissance was to gain a contextual understanding of the area, identify potential sampling locations, and assess environmental factors that could influence groundwater quality. During the reconnaissance, various groundwater sources such as hand-</w:t>
      </w:r>
      <w:r w:rsidRPr="00EF229A">
        <w:rPr>
          <w:rFonts w:ascii="Times New Roman" w:hAnsi="Times New Roman" w:cs="Times New Roman"/>
          <w:sz w:val="24"/>
          <w:szCs w:val="24"/>
        </w:rPr>
        <w:lastRenderedPageBreak/>
        <w:t xml:space="preserve">dug wells and motorized boreholes were identified and mapped using a handheld GPS device. The locations of these water sources were recorded alongside notes on their physical characteristics, usage frequency, and proximity to potential contamination sources. The survey also involved visual inspections and informal discussions with residents, which helped identify human activities that may affect water quality, such as open refuse dumping, agricultural practices involving the use of fertilizers and pesticides, and the presence of septic tanks or pit latrines. In addition, the survey evaluated accessibility and safety of each location to ensure field teams could collect samples without undue difficulty or risk. Observations from the survey helped classify the sites based on land use residential, agricultural, mixed-use, or industrial and guided the selection of representative sampling points. </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3.4</w:t>
      </w:r>
      <w:r w:rsidRPr="00EF229A">
        <w:rPr>
          <w:rFonts w:ascii="Times New Roman" w:hAnsi="Times New Roman" w:cs="Times New Roman"/>
          <w:b/>
          <w:caps/>
          <w:sz w:val="24"/>
          <w:szCs w:val="24"/>
        </w:rPr>
        <w:tab/>
        <w:t xml:space="preserve">Sampling Locations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Groundwater samples were collected from hand-dug wells and boreholes located in selected </w:t>
      </w:r>
      <w:proofErr w:type="spellStart"/>
      <w:r w:rsidRPr="00EF229A">
        <w:rPr>
          <w:rFonts w:ascii="Times New Roman" w:hAnsi="Times New Roman" w:cs="Times New Roman"/>
          <w:sz w:val="24"/>
          <w:szCs w:val="24"/>
        </w:rPr>
        <w:t>eas</w:t>
      </w:r>
      <w:proofErr w:type="spellEnd"/>
      <w:r w:rsidRPr="00EF229A">
        <w:rPr>
          <w:rFonts w:ascii="Times New Roman" w:hAnsi="Times New Roman" w:cs="Times New Roman"/>
          <w:sz w:val="24"/>
          <w:szCs w:val="24"/>
        </w:rPr>
        <w:t xml:space="preserve"> such as </w:t>
      </w:r>
      <w:proofErr w:type="spellStart"/>
      <w:r w:rsidRPr="00EF229A">
        <w:rPr>
          <w:rFonts w:ascii="Times New Roman" w:hAnsi="Times New Roman" w:cs="Times New Roman"/>
          <w:sz w:val="24"/>
          <w:szCs w:val="24"/>
        </w:rPr>
        <w:t>Tanke</w:t>
      </w:r>
      <w:proofErr w:type="spellEnd"/>
      <w:r w:rsidRPr="00EF229A">
        <w:rPr>
          <w:rFonts w:ascii="Times New Roman" w:hAnsi="Times New Roman" w:cs="Times New Roman"/>
          <w:sz w:val="24"/>
          <w:szCs w:val="24"/>
        </w:rPr>
        <w:t xml:space="preserve">. </w:t>
      </w:r>
      <w:proofErr w:type="spellStart"/>
      <w:proofErr w:type="gramStart"/>
      <w:r w:rsidRPr="00EF229A">
        <w:rPr>
          <w:rFonts w:ascii="Times New Roman" w:hAnsi="Times New Roman" w:cs="Times New Roman"/>
          <w:sz w:val="24"/>
          <w:szCs w:val="24"/>
        </w:rPr>
        <w:t>Oke-Odo</w:t>
      </w:r>
      <w:proofErr w:type="spellEnd"/>
      <w:r w:rsidRPr="00EF229A">
        <w:rPr>
          <w:rFonts w:ascii="Times New Roman" w:hAnsi="Times New Roman" w:cs="Times New Roman"/>
          <w:sz w:val="24"/>
          <w:szCs w:val="24"/>
        </w:rPr>
        <w:t xml:space="preserve">, </w:t>
      </w:r>
      <w:proofErr w:type="spellStart"/>
      <w:r w:rsidRPr="00EF229A">
        <w:rPr>
          <w:rFonts w:ascii="Times New Roman" w:hAnsi="Times New Roman" w:cs="Times New Roman"/>
          <w:sz w:val="24"/>
          <w:szCs w:val="24"/>
        </w:rPr>
        <w:t>Agbo</w:t>
      </w:r>
      <w:proofErr w:type="spellEnd"/>
      <w:r w:rsidRPr="00EF229A">
        <w:rPr>
          <w:rFonts w:ascii="Times New Roman" w:hAnsi="Times New Roman" w:cs="Times New Roman"/>
          <w:sz w:val="24"/>
          <w:szCs w:val="24"/>
        </w:rPr>
        <w:t xml:space="preserve">-Oba, </w:t>
      </w:r>
      <w:proofErr w:type="spellStart"/>
      <w:r w:rsidRPr="00EF229A">
        <w:rPr>
          <w:rFonts w:ascii="Times New Roman" w:hAnsi="Times New Roman" w:cs="Times New Roman"/>
          <w:sz w:val="24"/>
          <w:szCs w:val="24"/>
        </w:rPr>
        <w:t>Oja</w:t>
      </w:r>
      <w:proofErr w:type="spellEnd"/>
      <w:r w:rsidRPr="00EF229A">
        <w:rPr>
          <w:rFonts w:ascii="Times New Roman" w:hAnsi="Times New Roman" w:cs="Times New Roman"/>
          <w:sz w:val="24"/>
          <w:szCs w:val="24"/>
        </w:rPr>
        <w:t xml:space="preserve">-Oba, </w:t>
      </w:r>
      <w:proofErr w:type="spellStart"/>
      <w:r w:rsidRPr="00EF229A">
        <w:rPr>
          <w:rFonts w:ascii="Times New Roman" w:hAnsi="Times New Roman" w:cs="Times New Roman"/>
          <w:sz w:val="24"/>
          <w:szCs w:val="24"/>
        </w:rPr>
        <w:t>Gaa-Akanbi</w:t>
      </w:r>
      <w:proofErr w:type="spellEnd"/>
      <w:r w:rsidRPr="00EF229A">
        <w:rPr>
          <w:rFonts w:ascii="Times New Roman" w:hAnsi="Times New Roman" w:cs="Times New Roman"/>
          <w:sz w:val="24"/>
          <w:szCs w:val="24"/>
        </w:rPr>
        <w:t>, and Sango.</w:t>
      </w:r>
      <w:proofErr w:type="gramEnd"/>
      <w:r w:rsidRPr="00EF229A">
        <w:rPr>
          <w:rFonts w:ascii="Times New Roman" w:hAnsi="Times New Roman" w:cs="Times New Roman"/>
          <w:sz w:val="24"/>
          <w:szCs w:val="24"/>
        </w:rPr>
        <w:t xml:space="preserve"> These areas were </w:t>
      </w:r>
      <w:r w:rsidR="00BA0A37">
        <w:rPr>
          <w:rFonts w:ascii="Times New Roman" w:hAnsi="Times New Roman" w:cs="Times New Roman"/>
          <w:sz w:val="24"/>
          <w:szCs w:val="24"/>
        </w:rPr>
        <w:t>ch</w:t>
      </w:r>
      <w:r w:rsidRPr="00EF229A">
        <w:rPr>
          <w:rFonts w:ascii="Times New Roman" w:hAnsi="Times New Roman" w:cs="Times New Roman"/>
          <w:sz w:val="24"/>
          <w:szCs w:val="24"/>
        </w:rPr>
        <w:t xml:space="preserve">osen based on the following criteria: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High reliance on groundwater for domestic use: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Diverse population densities;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Evidence of anthropogenic activities (e.g., waste disposal, farming, construction);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Accessibility and safety for fieldwork.</w:t>
      </w: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933052" w:rsidRPr="00EF229A" w:rsidRDefault="00933052" w:rsidP="00384B4A">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lastRenderedPageBreak/>
        <w:t>3.5</w:t>
      </w:r>
      <w:r w:rsidRPr="00EF229A">
        <w:rPr>
          <w:rFonts w:ascii="Times New Roman" w:hAnsi="Times New Roman" w:cs="Times New Roman"/>
          <w:b/>
          <w:caps/>
          <w:sz w:val="24"/>
          <w:szCs w:val="24"/>
        </w:rPr>
        <w:tab/>
        <w:t xml:space="preserve">Sample Collection and Preservation </w:t>
      </w:r>
    </w:p>
    <w:p w:rsidR="00933052" w:rsidRPr="00EF229A" w:rsidRDefault="00933052" w:rsidP="00384B4A">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Standard protocols for water sample collection were followed. In line with APHA (2017) guidelines:</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All containers were pre-washed with distilled water and rinsed with the sample water before final collection.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proofErr w:type="spellStart"/>
      <w:r w:rsidRPr="00EF229A">
        <w:rPr>
          <w:rFonts w:ascii="Times New Roman" w:hAnsi="Times New Roman" w:cs="Times New Roman"/>
          <w:b/>
          <w:sz w:val="24"/>
          <w:szCs w:val="24"/>
        </w:rPr>
        <w:t>Physico</w:t>
      </w:r>
      <w:proofErr w:type="spellEnd"/>
      <w:r w:rsidRPr="00EF229A">
        <w:rPr>
          <w:rFonts w:ascii="Times New Roman" w:hAnsi="Times New Roman" w:cs="Times New Roman"/>
          <w:b/>
          <w:sz w:val="24"/>
          <w:szCs w:val="24"/>
        </w:rPr>
        <w:t>-chemical parameters</w:t>
      </w:r>
      <w:r w:rsidRPr="00EF229A">
        <w:rPr>
          <w:rFonts w:ascii="Times New Roman" w:hAnsi="Times New Roman" w:cs="Times New Roman"/>
          <w:sz w:val="24"/>
          <w:szCs w:val="24"/>
        </w:rPr>
        <w:t xml:space="preserve"> such as temperature, pH, electrical conductivity (EC), and total dissolved solid (TDS) were measured </w:t>
      </w:r>
      <w:r w:rsidRPr="00EF229A">
        <w:rPr>
          <w:rFonts w:ascii="Times New Roman" w:hAnsi="Times New Roman" w:cs="Times New Roman"/>
          <w:b/>
          <w:sz w:val="24"/>
          <w:szCs w:val="24"/>
        </w:rPr>
        <w:t>in situ</w:t>
      </w:r>
      <w:r w:rsidRPr="00EF229A">
        <w:rPr>
          <w:rFonts w:ascii="Times New Roman" w:hAnsi="Times New Roman" w:cs="Times New Roman"/>
          <w:sz w:val="24"/>
          <w:szCs w:val="24"/>
        </w:rPr>
        <w:t xml:space="preserve"> using portable meters.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Samples for caution (e.g</w:t>
      </w:r>
      <w:proofErr w:type="gramStart"/>
      <w:r w:rsidRPr="00EF229A">
        <w:rPr>
          <w:rFonts w:ascii="Times New Roman" w:hAnsi="Times New Roman" w:cs="Times New Roman"/>
          <w:sz w:val="24"/>
          <w:szCs w:val="24"/>
        </w:rPr>
        <w:t xml:space="preserve">.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Na</m:t>
            </m:r>
          </m:e>
          <m:sup>
            <m:r>
              <w:rPr>
                <w:rFonts w:ascii="Cambria Math" w:hAnsi="Cambria Math" w:cs="Times New Roman"/>
                <w:sz w:val="24"/>
                <w:szCs w:val="24"/>
              </w:rPr>
              <m:t>+</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oMath>
      <w:r w:rsidRPr="00EF229A">
        <w:rPr>
          <w:rFonts w:ascii="Times New Roman" w:eastAsiaTheme="minorEastAsia" w:hAnsi="Times New Roman" w:cs="Times New Roman"/>
          <w:sz w:val="24"/>
          <w:szCs w:val="24"/>
        </w:rPr>
        <w:t>) and anion (e.g.HCO</w:t>
      </w:r>
      <w:r w:rsidRPr="00EF229A">
        <w:rPr>
          <w:rFonts w:ascii="Times New Roman" w:eastAsiaTheme="minorEastAsia" w:hAnsi="Times New Roman" w:cs="Times New Roman"/>
          <w:sz w:val="24"/>
          <w:szCs w:val="24"/>
          <w:vertAlign w:val="subscript"/>
        </w:rPr>
        <w:t>3</w:t>
      </w:r>
      <w:r w:rsidRPr="00EF229A">
        <w:rPr>
          <w:rFonts w:ascii="Times New Roman" w:eastAsiaTheme="minorEastAsia" w:hAnsi="Times New Roman" w:cs="Times New Roman"/>
          <w:sz w:val="24"/>
          <w:szCs w:val="24"/>
        </w:rPr>
        <w:t>, SO</w:t>
      </w:r>
      <w:r w:rsidRPr="00EF229A">
        <w:rPr>
          <w:rFonts w:ascii="Times New Roman" w:eastAsiaTheme="minorEastAsia" w:hAnsi="Times New Roman" w:cs="Times New Roman"/>
          <w:sz w:val="24"/>
          <w:szCs w:val="24"/>
          <w:vertAlign w:val="subscript"/>
        </w:rPr>
        <w:t>4</w:t>
      </w:r>
      <w:r w:rsidRPr="00EF229A">
        <w:rPr>
          <w:rFonts w:ascii="Times New Roman" w:eastAsiaTheme="minorEastAsia" w:hAnsi="Times New Roman" w:cs="Times New Roman"/>
          <w:sz w:val="24"/>
          <w:szCs w:val="24"/>
          <w:vertAlign w:val="superscript"/>
        </w:rPr>
        <w:t>2-</w:t>
      </w:r>
      <w:r w:rsidRPr="00EF229A">
        <w:rPr>
          <w:rFonts w:ascii="Times New Roman" w:eastAsiaTheme="minorEastAsia" w:hAnsi="Times New Roman" w:cs="Times New Roman"/>
          <w:sz w:val="24"/>
          <w:szCs w:val="24"/>
        </w:rPr>
        <w:t xml:space="preserve"> , </w:t>
      </w:r>
      <w:proofErr w:type="spellStart"/>
      <w:r w:rsidRPr="00EF229A">
        <w:rPr>
          <w:rFonts w:ascii="Times New Roman" w:eastAsiaTheme="minorEastAsia" w:hAnsi="Times New Roman" w:cs="Times New Roman"/>
          <w:sz w:val="24"/>
          <w:szCs w:val="24"/>
        </w:rPr>
        <w:t>Cl</w:t>
      </w:r>
      <w:proofErr w:type="spellEnd"/>
      <w:r w:rsidRPr="00EF229A">
        <w:rPr>
          <w:rFonts w:ascii="Times New Roman" w:eastAsiaTheme="minorEastAsia" w:hAnsi="Times New Roman" w:cs="Times New Roman"/>
          <w:sz w:val="24"/>
          <w:szCs w:val="24"/>
        </w:rPr>
        <w:t>, NO</w:t>
      </w:r>
      <w:r w:rsidRPr="00EF229A">
        <w:rPr>
          <w:rFonts w:ascii="Times New Roman" w:eastAsiaTheme="minorEastAsia" w:hAnsi="Times New Roman" w:cs="Times New Roman"/>
          <w:sz w:val="24"/>
          <w:szCs w:val="24"/>
          <w:vertAlign w:val="subscript"/>
        </w:rPr>
        <w:t>3</w:t>
      </w:r>
      <w:r w:rsidRPr="00EF229A">
        <w:rPr>
          <w:rFonts w:ascii="Times New Roman" w:eastAsiaTheme="minorEastAsia" w:hAnsi="Times New Roman" w:cs="Times New Roman"/>
          <w:sz w:val="24"/>
          <w:szCs w:val="24"/>
          <w:vertAlign w:val="superscript"/>
        </w:rPr>
        <w:t>-</w:t>
      </w:r>
      <w:r w:rsidRPr="00EF229A">
        <w:rPr>
          <w:rFonts w:ascii="Times New Roman" w:eastAsiaTheme="minorEastAsia" w:hAnsi="Times New Roman" w:cs="Times New Roman"/>
          <w:sz w:val="24"/>
          <w:szCs w:val="24"/>
        </w:rPr>
        <w:t xml:space="preserve">) analysis were stored in clean 500ml polyethylene bottle.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eastAsiaTheme="minorEastAsia" w:hAnsi="Times New Roman" w:cs="Times New Roman"/>
          <w:sz w:val="24"/>
          <w:szCs w:val="24"/>
        </w:rPr>
        <w:t xml:space="preserve">For heavy metal analysis. Sample were acidified to </w:t>
      </w:r>
      <w:proofErr w:type="spellStart"/>
      <w:r w:rsidRPr="00EF229A">
        <w:rPr>
          <w:rFonts w:ascii="Times New Roman" w:eastAsiaTheme="minorEastAsia" w:hAnsi="Times New Roman" w:cs="Times New Roman"/>
          <w:sz w:val="24"/>
          <w:szCs w:val="24"/>
        </w:rPr>
        <w:t>Ph</w:t>
      </w:r>
      <w:proofErr w:type="spellEnd"/>
      <w:r w:rsidRPr="00EF229A">
        <w:rPr>
          <w:rFonts w:ascii="Times New Roman" w:eastAsiaTheme="minorEastAsia" w:hAnsi="Times New Roman" w:cs="Times New Roman"/>
          <w:sz w:val="24"/>
          <w:szCs w:val="24"/>
        </w:rPr>
        <w:t xml:space="preserve"> &lt;2 with nitric acid to prevent precipitation and </w:t>
      </w:r>
      <w:r w:rsidRPr="00EF229A">
        <w:rPr>
          <w:rFonts w:ascii="Times New Roman" w:hAnsi="Times New Roman" w:cs="Times New Roman"/>
          <w:sz w:val="24"/>
          <w:szCs w:val="24"/>
        </w:rPr>
        <w:t>microbial</w:t>
      </w:r>
      <w:r w:rsidRPr="00EF229A">
        <w:rPr>
          <w:rFonts w:ascii="Times New Roman" w:eastAsiaTheme="minorEastAsia" w:hAnsi="Times New Roman" w:cs="Times New Roman"/>
          <w:sz w:val="24"/>
          <w:szCs w:val="24"/>
        </w:rPr>
        <w:t xml:space="preserve"> activity.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eastAsiaTheme="minorEastAsia" w:hAnsi="Times New Roman" w:cs="Times New Roman"/>
          <w:sz w:val="24"/>
          <w:szCs w:val="24"/>
        </w:rPr>
        <w:t xml:space="preserve">Samples were preserved in ice-preserved in ice-packed coolers and transported to the laboratory within 24 hours for analysis. </w:t>
      </w:r>
    </w:p>
    <w:p w:rsidR="00933052" w:rsidRPr="00933052" w:rsidRDefault="00933052" w:rsidP="00384B4A">
      <w:pPr>
        <w:spacing w:after="0" w:line="480" w:lineRule="auto"/>
        <w:jc w:val="both"/>
        <w:rPr>
          <w:rFonts w:ascii="Times New Roman" w:hAnsi="Times New Roman" w:cs="Times New Roman"/>
          <w:b/>
          <w:caps/>
          <w:color w:val="000000" w:themeColor="text1"/>
          <w:sz w:val="24"/>
          <w:szCs w:val="24"/>
        </w:rPr>
      </w:pPr>
      <w:r w:rsidRPr="00933052">
        <w:rPr>
          <w:rFonts w:ascii="Times New Roman" w:hAnsi="Times New Roman" w:cs="Times New Roman"/>
          <w:b/>
          <w:caps/>
          <w:color w:val="000000" w:themeColor="text1"/>
          <w:sz w:val="24"/>
          <w:szCs w:val="24"/>
        </w:rPr>
        <w:t>3.6</w:t>
      </w:r>
      <w:r w:rsidRPr="00933052">
        <w:rPr>
          <w:rFonts w:ascii="Times New Roman" w:hAnsi="Times New Roman" w:cs="Times New Roman"/>
          <w:b/>
          <w:caps/>
          <w:color w:val="000000" w:themeColor="text1"/>
          <w:sz w:val="24"/>
          <w:szCs w:val="24"/>
        </w:rPr>
        <w:tab/>
        <w:t xml:space="preserve">Laboratory Analytical Procedure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Water sample were analyzed in a certified water quality laboratory using standard analytical methods as outlined by the American Public Health Association </w:t>
      </w:r>
      <w:r w:rsidRPr="00933052">
        <w:rPr>
          <w:rFonts w:ascii="Times New Roman" w:hAnsi="Times New Roman" w:cs="Times New Roman"/>
          <w:b/>
          <w:color w:val="000000" w:themeColor="text1"/>
          <w:sz w:val="24"/>
          <w:szCs w:val="24"/>
        </w:rPr>
        <w:t>(APHA, 2017)</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3.6.1</w:t>
      </w:r>
      <w:r w:rsidRPr="00933052">
        <w:rPr>
          <w:rFonts w:ascii="Times New Roman" w:hAnsi="Times New Roman" w:cs="Times New Roman"/>
          <w:b/>
          <w:color w:val="000000" w:themeColor="text1"/>
          <w:sz w:val="24"/>
          <w:szCs w:val="24"/>
        </w:rPr>
        <w:tab/>
        <w:t xml:space="preserve">Physical Parameters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 xml:space="preserve">Temperature and </w:t>
      </w:r>
      <w:proofErr w:type="spellStart"/>
      <w:r w:rsidRPr="00933052">
        <w:rPr>
          <w:rFonts w:ascii="Times New Roman" w:hAnsi="Times New Roman" w:cs="Times New Roman"/>
          <w:b/>
          <w:color w:val="000000" w:themeColor="text1"/>
          <w:sz w:val="24"/>
          <w:szCs w:val="24"/>
        </w:rPr>
        <w:t>Ph</w:t>
      </w:r>
      <w:proofErr w:type="spellEnd"/>
      <w:r w:rsidRPr="00933052">
        <w:rPr>
          <w:rFonts w:ascii="Times New Roman" w:hAnsi="Times New Roman" w:cs="Times New Roman"/>
          <w:color w:val="000000" w:themeColor="text1"/>
          <w:sz w:val="24"/>
          <w:szCs w:val="24"/>
        </w:rPr>
        <w:t>: Measured on-site using digital pH/temperature meters.</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proofErr w:type="gramStart"/>
      <w:r w:rsidRPr="00933052">
        <w:rPr>
          <w:rFonts w:ascii="Times New Roman" w:hAnsi="Times New Roman" w:cs="Times New Roman"/>
          <w:b/>
          <w:color w:val="000000" w:themeColor="text1"/>
          <w:sz w:val="24"/>
          <w:szCs w:val="24"/>
        </w:rPr>
        <w:t>Electrical Conductivity (EC)</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Total Dissolved Solid (TDS);</w:t>
      </w:r>
      <w:r w:rsidRPr="00933052">
        <w:rPr>
          <w:rFonts w:ascii="Times New Roman" w:hAnsi="Times New Roman" w:cs="Times New Roman"/>
          <w:color w:val="000000" w:themeColor="text1"/>
          <w:sz w:val="24"/>
          <w:szCs w:val="24"/>
        </w:rPr>
        <w:t xml:space="preserve"> Determined using a portable EC/TDS meter.</w:t>
      </w:r>
      <w:proofErr w:type="gramEnd"/>
      <w:r w:rsidRPr="00933052">
        <w:rPr>
          <w:rFonts w:ascii="Times New Roman" w:hAnsi="Times New Roman" w:cs="Times New Roman"/>
          <w:color w:val="000000" w:themeColor="text1"/>
          <w:sz w:val="24"/>
          <w:szCs w:val="24"/>
        </w:rPr>
        <w:t xml:space="preserve"> </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3.6.2</w:t>
      </w:r>
      <w:r w:rsidRPr="00933052">
        <w:rPr>
          <w:rFonts w:ascii="Times New Roman" w:hAnsi="Times New Roman" w:cs="Times New Roman"/>
          <w:b/>
          <w:color w:val="000000" w:themeColor="text1"/>
          <w:sz w:val="24"/>
          <w:szCs w:val="24"/>
        </w:rPr>
        <w:tab/>
        <w:t xml:space="preserve">Major </w:t>
      </w:r>
      <w:proofErr w:type="spellStart"/>
      <w:r w:rsidRPr="00933052">
        <w:rPr>
          <w:rFonts w:ascii="Times New Roman" w:hAnsi="Times New Roman" w:cs="Times New Roman"/>
          <w:b/>
          <w:color w:val="000000" w:themeColor="text1"/>
          <w:sz w:val="24"/>
          <w:szCs w:val="24"/>
        </w:rPr>
        <w:t>Cations</w:t>
      </w:r>
      <w:proofErr w:type="spellEnd"/>
      <w:r w:rsidRPr="00933052">
        <w:rPr>
          <w:rFonts w:ascii="Times New Roman" w:hAnsi="Times New Roman" w:cs="Times New Roman"/>
          <w:b/>
          <w:color w:val="000000" w:themeColor="text1"/>
          <w:sz w:val="24"/>
          <w:szCs w:val="24"/>
        </w:rPr>
        <w:t xml:space="preserv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Calcium (Ca</w:t>
      </w:r>
      <w:r w:rsidRPr="00933052">
        <w:rPr>
          <w:rFonts w:ascii="Times New Roman" w:hAnsi="Times New Roman" w:cs="Times New Roman"/>
          <w:b/>
          <w:color w:val="000000" w:themeColor="text1"/>
          <w:sz w:val="24"/>
          <w:szCs w:val="24"/>
          <w:vertAlign w:val="superscript"/>
        </w:rPr>
        <w:t xml:space="preserve">2+) </w:t>
      </w:r>
      <w:r w:rsidRPr="00933052">
        <w:rPr>
          <w:rFonts w:ascii="Times New Roman" w:hAnsi="Times New Roman" w:cs="Times New Roman"/>
          <w:color w:val="000000" w:themeColor="text1"/>
          <w:sz w:val="24"/>
          <w:szCs w:val="24"/>
        </w:rPr>
        <w:t>and</w:t>
      </w:r>
      <w:r w:rsidRPr="00933052">
        <w:rPr>
          <w:rFonts w:ascii="Times New Roman" w:hAnsi="Times New Roman" w:cs="Times New Roman"/>
          <w:b/>
          <w:color w:val="000000" w:themeColor="text1"/>
          <w:sz w:val="24"/>
          <w:szCs w:val="24"/>
        </w:rPr>
        <w:t xml:space="preserve"> Magnesium (Mg</w:t>
      </w:r>
      <w:r w:rsidRPr="00933052">
        <w:rPr>
          <w:rFonts w:ascii="Times New Roman" w:hAnsi="Times New Roman" w:cs="Times New Roman"/>
          <w:b/>
          <w:color w:val="000000" w:themeColor="text1"/>
          <w:sz w:val="24"/>
          <w:szCs w:val="24"/>
          <w:vertAlign w:val="superscript"/>
        </w:rPr>
        <w:t>2+</w:t>
      </w:r>
      <w:r w:rsidRPr="00933052">
        <w:rPr>
          <w:rFonts w:ascii="Times New Roman" w:hAnsi="Times New Roman" w:cs="Times New Roman"/>
          <w:b/>
          <w:color w:val="000000" w:themeColor="text1"/>
          <w:sz w:val="24"/>
          <w:szCs w:val="24"/>
        </w:rPr>
        <w:t xml:space="preserve">): </w:t>
      </w:r>
      <w:r w:rsidRPr="00933052">
        <w:rPr>
          <w:rFonts w:ascii="Times New Roman" w:hAnsi="Times New Roman" w:cs="Times New Roman"/>
          <w:color w:val="000000" w:themeColor="text1"/>
          <w:sz w:val="24"/>
          <w:szCs w:val="24"/>
        </w:rPr>
        <w:t xml:space="preserve">Measured via EDTA titration method.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Sodium (Na</w:t>
      </w:r>
      <w:r w:rsidRPr="00933052">
        <w:rPr>
          <w:rFonts w:ascii="Times New Roman" w:hAnsi="Times New Roman" w:cs="Times New Roman"/>
          <w:b/>
          <w:color w:val="000000" w:themeColor="text1"/>
          <w:sz w:val="24"/>
          <w:szCs w:val="24"/>
          <w:vertAlign w:val="superscript"/>
        </w:rPr>
        <w:t>+</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Potassium (K</w:t>
      </w:r>
      <w:r w:rsidRPr="00933052">
        <w:rPr>
          <w:rFonts w:ascii="Times New Roman" w:hAnsi="Times New Roman" w:cs="Times New Roman"/>
          <w:b/>
          <w:color w:val="000000" w:themeColor="text1"/>
          <w:sz w:val="24"/>
          <w:szCs w:val="24"/>
          <w:vertAlign w:val="superscript"/>
        </w:rPr>
        <w:t>+</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Analyzed using flame photometry.</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3.6.3</w:t>
      </w:r>
      <w:r w:rsidRPr="00933052">
        <w:rPr>
          <w:rFonts w:ascii="Times New Roman" w:hAnsi="Times New Roman" w:cs="Times New Roman"/>
          <w:b/>
          <w:color w:val="000000" w:themeColor="text1"/>
          <w:sz w:val="24"/>
          <w:szCs w:val="24"/>
        </w:rPr>
        <w:tab/>
        <w:t xml:space="preserve">Major Anions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Bicarbonate (HCO</w:t>
      </w:r>
      <w:r w:rsidRPr="00933052">
        <w:rPr>
          <w:rFonts w:ascii="Times New Roman" w:hAnsi="Times New Roman" w:cs="Times New Roman"/>
          <w:b/>
          <w:color w:val="000000" w:themeColor="text1"/>
          <w:sz w:val="24"/>
          <w:szCs w:val="24"/>
          <w:vertAlign w:val="subscript"/>
        </w:rPr>
        <w:t>3</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Determined using acid titration.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lastRenderedPageBreak/>
        <w:t>Chloride (</w:t>
      </w:r>
      <w:proofErr w:type="spellStart"/>
      <w:r w:rsidRPr="00933052">
        <w:rPr>
          <w:rFonts w:ascii="Times New Roman" w:hAnsi="Times New Roman" w:cs="Times New Roman"/>
          <w:b/>
          <w:color w:val="000000" w:themeColor="text1"/>
          <w:sz w:val="24"/>
          <w:szCs w:val="24"/>
        </w:rPr>
        <w:t>Cl</w:t>
      </w:r>
      <w:proofErr w:type="spellEnd"/>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Measured by </w:t>
      </w:r>
      <w:proofErr w:type="spellStart"/>
      <w:r w:rsidRPr="00933052">
        <w:rPr>
          <w:rFonts w:ascii="Times New Roman" w:hAnsi="Times New Roman" w:cs="Times New Roman"/>
          <w:color w:val="000000" w:themeColor="text1"/>
          <w:sz w:val="24"/>
          <w:szCs w:val="24"/>
        </w:rPr>
        <w:t>argentometric</w:t>
      </w:r>
      <w:proofErr w:type="spellEnd"/>
      <w:r w:rsidRPr="00933052">
        <w:rPr>
          <w:rFonts w:ascii="Times New Roman" w:hAnsi="Times New Roman" w:cs="Times New Roman"/>
          <w:color w:val="000000" w:themeColor="text1"/>
          <w:sz w:val="24"/>
          <w:szCs w:val="24"/>
        </w:rPr>
        <w:t xml:space="preserve"> titration method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Nitrate (NO</w:t>
      </w:r>
      <w:r w:rsidRPr="00933052">
        <w:rPr>
          <w:rFonts w:ascii="Times New Roman" w:hAnsi="Times New Roman" w:cs="Times New Roman"/>
          <w:b/>
          <w:color w:val="000000" w:themeColor="text1"/>
          <w:sz w:val="24"/>
          <w:szCs w:val="24"/>
          <w:vertAlign w:val="subscript"/>
        </w:rPr>
        <w:t>3</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Sulfate (SO</w:t>
      </w:r>
      <w:r w:rsidRPr="00933052">
        <w:rPr>
          <w:rFonts w:ascii="Times New Roman" w:hAnsi="Times New Roman" w:cs="Times New Roman"/>
          <w:b/>
          <w:color w:val="000000" w:themeColor="text1"/>
          <w:sz w:val="24"/>
          <w:szCs w:val="24"/>
          <w:vertAlign w:val="subscript"/>
        </w:rPr>
        <w:t>4</w:t>
      </w:r>
      <w:r w:rsidRPr="00933052">
        <w:rPr>
          <w:rFonts w:ascii="Times New Roman" w:hAnsi="Times New Roman" w:cs="Times New Roman"/>
          <w:b/>
          <w:color w:val="000000" w:themeColor="text1"/>
          <w:sz w:val="24"/>
          <w:szCs w:val="24"/>
          <w:vertAlign w:val="superscript"/>
        </w:rPr>
        <w:t>2-</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Determined using UV spectrophotometry and </w:t>
      </w:r>
      <w:proofErr w:type="spellStart"/>
      <w:r w:rsidRPr="00933052">
        <w:rPr>
          <w:rFonts w:ascii="Times New Roman" w:hAnsi="Times New Roman" w:cs="Times New Roman"/>
          <w:color w:val="000000" w:themeColor="text1"/>
          <w:sz w:val="24"/>
          <w:szCs w:val="24"/>
        </w:rPr>
        <w:t>turbidimetric</w:t>
      </w:r>
      <w:proofErr w:type="spellEnd"/>
      <w:r w:rsidRPr="00933052">
        <w:rPr>
          <w:rFonts w:ascii="Times New Roman" w:hAnsi="Times New Roman" w:cs="Times New Roman"/>
          <w:color w:val="000000" w:themeColor="text1"/>
          <w:sz w:val="24"/>
          <w:szCs w:val="24"/>
        </w:rPr>
        <w:t xml:space="preserve"> method respectively </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3.6.4</w:t>
      </w:r>
      <w:r w:rsidRPr="00933052">
        <w:rPr>
          <w:rFonts w:ascii="Times New Roman" w:hAnsi="Times New Roman" w:cs="Times New Roman"/>
          <w:b/>
          <w:color w:val="000000" w:themeColor="text1"/>
          <w:sz w:val="24"/>
          <w:szCs w:val="24"/>
        </w:rPr>
        <w:tab/>
        <w:t>Heavy Metals</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Where applicable, concentration of iron (Fe), Lead (</w:t>
      </w:r>
      <w:proofErr w:type="spellStart"/>
      <w:r w:rsidRPr="00933052">
        <w:rPr>
          <w:rFonts w:ascii="Times New Roman" w:hAnsi="Times New Roman" w:cs="Times New Roman"/>
          <w:color w:val="000000" w:themeColor="text1"/>
          <w:sz w:val="24"/>
          <w:szCs w:val="24"/>
        </w:rPr>
        <w:t>Pb</w:t>
      </w:r>
      <w:proofErr w:type="spellEnd"/>
      <w:r w:rsidRPr="00933052">
        <w:rPr>
          <w:rFonts w:ascii="Times New Roman" w:hAnsi="Times New Roman" w:cs="Times New Roman"/>
          <w:color w:val="000000" w:themeColor="text1"/>
          <w:sz w:val="24"/>
          <w:szCs w:val="24"/>
        </w:rPr>
        <w:t>), and Manganese (</w:t>
      </w:r>
      <w:proofErr w:type="spellStart"/>
      <w:r w:rsidRPr="00933052">
        <w:rPr>
          <w:rFonts w:ascii="Times New Roman" w:hAnsi="Times New Roman" w:cs="Times New Roman"/>
          <w:color w:val="000000" w:themeColor="text1"/>
          <w:sz w:val="24"/>
          <w:szCs w:val="24"/>
        </w:rPr>
        <w:t>Mn</w:t>
      </w:r>
      <w:proofErr w:type="spellEnd"/>
      <w:r w:rsidRPr="00933052">
        <w:rPr>
          <w:rFonts w:ascii="Times New Roman" w:hAnsi="Times New Roman" w:cs="Times New Roman"/>
          <w:color w:val="000000" w:themeColor="text1"/>
          <w:sz w:val="24"/>
          <w:szCs w:val="24"/>
        </w:rPr>
        <w:t xml:space="preserve">) were analyzed using Atomic Absorption Spectrophotometry (AAS)  </w:t>
      </w:r>
    </w:p>
    <w:p w:rsidR="00933052" w:rsidRPr="00933052" w:rsidRDefault="00933052" w:rsidP="00384B4A">
      <w:pPr>
        <w:spacing w:after="0" w:line="480" w:lineRule="auto"/>
        <w:jc w:val="both"/>
        <w:rPr>
          <w:rFonts w:ascii="Times New Roman" w:hAnsi="Times New Roman" w:cs="Times New Roman"/>
          <w:caps/>
          <w:color w:val="000000" w:themeColor="text1"/>
          <w:sz w:val="24"/>
          <w:szCs w:val="24"/>
        </w:rPr>
      </w:pPr>
      <w:r w:rsidRPr="00933052">
        <w:rPr>
          <w:rFonts w:ascii="Times New Roman" w:hAnsi="Times New Roman" w:cs="Times New Roman"/>
          <w:b/>
          <w:caps/>
          <w:color w:val="000000" w:themeColor="text1"/>
          <w:sz w:val="24"/>
          <w:szCs w:val="24"/>
        </w:rPr>
        <w:t>3.7</w:t>
      </w:r>
      <w:r w:rsidRPr="00933052">
        <w:rPr>
          <w:rFonts w:ascii="Times New Roman" w:hAnsi="Times New Roman" w:cs="Times New Roman"/>
          <w:b/>
          <w:caps/>
          <w:color w:val="000000" w:themeColor="text1"/>
          <w:sz w:val="24"/>
          <w:szCs w:val="24"/>
        </w:rPr>
        <w:tab/>
        <w:t xml:space="preserve">Data Quality Control and Assurance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To ensure reliability and accuracy of result:</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Duplicate samples were collected at selected sites.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Blank samples were used to detect contamination during sampling or handling.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Instrument calibration was performed before each set of measurements.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Analytical results were cross-checked using ion balance error calculations to verify consistency between caution and anion concentrations. </w:t>
      </w:r>
    </w:p>
    <w:p w:rsidR="00933052" w:rsidRPr="00933052" w:rsidRDefault="00933052" w:rsidP="00933052">
      <w:pPr>
        <w:spacing w:after="0" w:line="480" w:lineRule="auto"/>
        <w:outlineLvl w:val="2"/>
        <w:rPr>
          <w:rFonts w:ascii="Times New Roman" w:eastAsia="Times New Roman" w:hAnsi="Times New Roman" w:cs="Times New Roman"/>
          <w:b/>
          <w:bCs/>
          <w:caps/>
          <w:color w:val="000000" w:themeColor="text1"/>
          <w:sz w:val="24"/>
          <w:szCs w:val="24"/>
        </w:rPr>
      </w:pPr>
      <w:r w:rsidRPr="00933052">
        <w:rPr>
          <w:rFonts w:ascii="Times New Roman" w:eastAsia="Times New Roman" w:hAnsi="Times New Roman" w:cs="Times New Roman"/>
          <w:b/>
          <w:bCs/>
          <w:caps/>
          <w:color w:val="000000" w:themeColor="text1"/>
          <w:sz w:val="24"/>
          <w:szCs w:val="24"/>
        </w:rPr>
        <w:t>3.8</w:t>
      </w:r>
      <w:r w:rsidRPr="00933052">
        <w:rPr>
          <w:rFonts w:ascii="Times New Roman" w:eastAsia="Times New Roman" w:hAnsi="Times New Roman" w:cs="Times New Roman"/>
          <w:b/>
          <w:bCs/>
          <w:caps/>
          <w:color w:val="000000" w:themeColor="text1"/>
          <w:sz w:val="24"/>
          <w:szCs w:val="24"/>
        </w:rPr>
        <w:tab/>
        <w:t>Data Analysis Techniques</w:t>
      </w:r>
    </w:p>
    <w:p w:rsidR="00933052" w:rsidRPr="00933052" w:rsidRDefault="00933052" w:rsidP="00384B4A">
      <w:pPr>
        <w:spacing w:after="0" w:line="480" w:lineRule="auto"/>
        <w:jc w:val="both"/>
        <w:rPr>
          <w:rFonts w:ascii="Times New Roman" w:eastAsia="Times New Roman" w:hAnsi="Times New Roman" w:cs="Times New Roman"/>
          <w:color w:val="000000" w:themeColor="text1"/>
          <w:sz w:val="24"/>
          <w:szCs w:val="24"/>
        </w:rPr>
      </w:pPr>
      <w:r w:rsidRPr="00933052">
        <w:rPr>
          <w:rFonts w:ascii="Times New Roman" w:eastAsia="Times New Roman" w:hAnsi="Times New Roman" w:cs="Times New Roman"/>
          <w:color w:val="000000" w:themeColor="text1"/>
          <w:sz w:val="24"/>
          <w:szCs w:val="24"/>
        </w:rPr>
        <w:t xml:space="preserve">The analysis of </w:t>
      </w:r>
      <w:proofErr w:type="spellStart"/>
      <w:r w:rsidRPr="00933052">
        <w:rPr>
          <w:rFonts w:ascii="Times New Roman" w:eastAsia="Times New Roman" w:hAnsi="Times New Roman" w:cs="Times New Roman"/>
          <w:color w:val="000000" w:themeColor="text1"/>
          <w:sz w:val="24"/>
          <w:szCs w:val="24"/>
        </w:rPr>
        <w:t>hydrochemical</w:t>
      </w:r>
      <w:proofErr w:type="spellEnd"/>
      <w:r w:rsidRPr="00933052">
        <w:rPr>
          <w:rFonts w:ascii="Times New Roman" w:eastAsia="Times New Roman" w:hAnsi="Times New Roman" w:cs="Times New Roman"/>
          <w:color w:val="000000" w:themeColor="text1"/>
          <w:sz w:val="24"/>
          <w:szCs w:val="24"/>
        </w:rPr>
        <w:t xml:space="preserve"> data is crucial for understanding the quality, origin, and potential health implications of groundwater in any given area. In this study, several statistical and graphical techniques were employed to interpret the chemical composition of groundwater samples collected from selected parts of Ilorin. These methods helped in identifying patterns, trends, and anomalies in the dataset and provided insights into the natural and anthropogenic processes influencing water chemistry.</w:t>
      </w:r>
    </w:p>
    <w:p w:rsidR="00933052" w:rsidRPr="00933052" w:rsidRDefault="00933052" w:rsidP="00933052">
      <w:pPr>
        <w:pStyle w:val="Heading3"/>
        <w:spacing w:before="0" w:line="480" w:lineRule="auto"/>
        <w:rPr>
          <w:rFonts w:ascii="Times New Roman" w:hAnsi="Times New Roman" w:cs="Times New Roman"/>
          <w:color w:val="000000" w:themeColor="text1"/>
          <w:sz w:val="24"/>
          <w:szCs w:val="24"/>
        </w:rPr>
      </w:pPr>
      <w:r w:rsidRPr="00933052">
        <w:rPr>
          <w:rStyle w:val="Strong"/>
          <w:rFonts w:ascii="Times New Roman" w:hAnsi="Times New Roman" w:cs="Times New Roman"/>
          <w:b/>
          <w:bCs/>
          <w:color w:val="000000" w:themeColor="text1"/>
          <w:sz w:val="24"/>
          <w:szCs w:val="24"/>
        </w:rPr>
        <w:t>3.8</w:t>
      </w:r>
      <w:r w:rsidRPr="00933052">
        <w:rPr>
          <w:rStyle w:val="Strong"/>
          <w:b/>
          <w:bCs/>
          <w:color w:val="000000" w:themeColor="text1"/>
          <w:sz w:val="24"/>
          <w:szCs w:val="24"/>
        </w:rPr>
        <w:t>.1</w:t>
      </w:r>
      <w:r w:rsidRPr="00933052">
        <w:rPr>
          <w:rStyle w:val="Strong"/>
          <w:b/>
          <w:bCs/>
          <w:color w:val="000000" w:themeColor="text1"/>
          <w:sz w:val="24"/>
          <w:szCs w:val="24"/>
        </w:rPr>
        <w:tab/>
      </w:r>
      <w:r w:rsidRPr="00933052">
        <w:rPr>
          <w:rStyle w:val="Strong"/>
          <w:rFonts w:ascii="Times New Roman" w:hAnsi="Times New Roman" w:cs="Times New Roman"/>
          <w:b/>
          <w:bCs/>
          <w:color w:val="000000" w:themeColor="text1"/>
          <w:sz w:val="24"/>
          <w:szCs w:val="24"/>
        </w:rPr>
        <w:t>Descriptive Statistics</w:t>
      </w:r>
    </w:p>
    <w:p w:rsidR="00933052" w:rsidRPr="00933052" w:rsidRDefault="00933052" w:rsidP="00933052">
      <w:pPr>
        <w:pStyle w:val="NormalWeb"/>
        <w:spacing w:before="0" w:beforeAutospacing="0" w:after="0" w:afterAutospacing="0" w:line="480" w:lineRule="auto"/>
        <w:rPr>
          <w:color w:val="000000" w:themeColor="text1"/>
        </w:rPr>
      </w:pPr>
      <w:r w:rsidRPr="00933052">
        <w:rPr>
          <w:color w:val="000000" w:themeColor="text1"/>
        </w:rPr>
        <w:t>Descriptive statistics were used as the first step in analyzing the water quality parameters. This technique involves summarizing the raw data into key indicators that describe the central tendency and variability of each parameter. The following statistical metrics were computed:</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lastRenderedPageBreak/>
        <w:t>Mean (Average):</w:t>
      </w:r>
      <w:r w:rsidRPr="00933052">
        <w:rPr>
          <w:color w:val="000000" w:themeColor="text1"/>
        </w:rPr>
        <w:t xml:space="preserve"> Represents the central value of a dataset.</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t>Minimum and Maximum:</w:t>
      </w:r>
      <w:r w:rsidRPr="00933052">
        <w:rPr>
          <w:color w:val="000000" w:themeColor="text1"/>
        </w:rPr>
        <w:t xml:space="preserve"> Indicate the range of observed values for each parameter.</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t>Standard Deviation:</w:t>
      </w:r>
      <w:r w:rsidRPr="00933052">
        <w:rPr>
          <w:color w:val="000000" w:themeColor="text1"/>
        </w:rPr>
        <w:t xml:space="preserve"> Measures the spread of values around the mean, indicating how consistent or variable the water quality is.</w:t>
      </w:r>
    </w:p>
    <w:p w:rsidR="00933052" w:rsidRPr="00933052" w:rsidRDefault="00933052" w:rsidP="00933052">
      <w:pPr>
        <w:pStyle w:val="NoSpacing"/>
        <w:spacing w:line="480" w:lineRule="auto"/>
        <w:rPr>
          <w:rFonts w:ascii="Times New Roman" w:hAnsi="Times New Roman" w:cs="Times New Roman"/>
          <w:color w:val="000000" w:themeColor="text1"/>
          <w:sz w:val="24"/>
          <w:szCs w:val="24"/>
        </w:rPr>
      </w:pPr>
      <w:r w:rsidRPr="00933052">
        <w:rPr>
          <w:rStyle w:val="Strong"/>
          <w:rFonts w:ascii="Times New Roman" w:hAnsi="Times New Roman" w:cs="Times New Roman"/>
          <w:bCs w:val="0"/>
          <w:color w:val="000000" w:themeColor="text1"/>
          <w:sz w:val="24"/>
          <w:szCs w:val="24"/>
        </w:rPr>
        <w:t>Sample Calculation (Illustration):</w:t>
      </w:r>
    </w:p>
    <w:p w:rsidR="00933052" w:rsidRPr="00EF229A" w:rsidRDefault="00933052" w:rsidP="00933052">
      <w:pPr>
        <w:pStyle w:val="NormalWeb"/>
        <w:spacing w:before="0" w:beforeAutospacing="0" w:after="0" w:afterAutospacing="0" w:line="480" w:lineRule="auto"/>
      </w:pPr>
      <w:r w:rsidRPr="00933052">
        <w:rPr>
          <w:color w:val="000000" w:themeColor="text1"/>
        </w:rPr>
        <w:t xml:space="preserve">Let’s assume the concentration of Nitrate (NO₃⁻) in five groundwater samples is as follows </w:t>
      </w:r>
      <w:r w:rsidRPr="00EF229A">
        <w:t>(in mg/L):</w:t>
      </w:r>
    </w:p>
    <w:p w:rsidR="00933052" w:rsidRPr="00EF229A" w:rsidRDefault="00933052" w:rsidP="00933052">
      <w:pPr>
        <w:pStyle w:val="NormalWeb"/>
        <w:numPr>
          <w:ilvl w:val="0"/>
          <w:numId w:val="18"/>
        </w:numPr>
        <w:spacing w:after="0" w:afterAutospacing="0" w:line="480" w:lineRule="auto"/>
      </w:pPr>
      <w:r w:rsidRPr="00EF229A">
        <w:rPr>
          <w:noProof/>
        </w:rPr>
        <w:drawing>
          <wp:anchor distT="0" distB="0" distL="114300" distR="114300" simplePos="0" relativeHeight="251659264" behindDoc="0" locked="0" layoutInCell="1" allowOverlap="1" wp14:anchorId="73755271" wp14:editId="76E89D27">
            <wp:simplePos x="0" y="0"/>
            <wp:positionH relativeFrom="column">
              <wp:posOffset>114300</wp:posOffset>
            </wp:positionH>
            <wp:positionV relativeFrom="paragraph">
              <wp:posOffset>193675</wp:posOffset>
            </wp:positionV>
            <wp:extent cx="4137660" cy="659130"/>
            <wp:effectExtent l="19050" t="0" r="0" b="0"/>
            <wp:wrapNone/>
            <wp:docPr id="4" name="Picture 4" descr="C:\Users\USER\AppData\Local\Microsoft\Windows\INetCache\Content.Wor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ff.png"/>
                    <pic:cNvPicPr>
                      <a:picLocks noChangeAspect="1" noChangeArrowheads="1"/>
                    </pic:cNvPicPr>
                  </pic:nvPicPr>
                  <pic:blipFill>
                    <a:blip r:embed="rId9"/>
                    <a:srcRect/>
                    <a:stretch>
                      <a:fillRect/>
                    </a:stretch>
                  </pic:blipFill>
                  <pic:spPr bwMode="auto">
                    <a:xfrm>
                      <a:off x="0" y="0"/>
                      <a:ext cx="4137660" cy="659130"/>
                    </a:xfrm>
                    <a:prstGeom prst="rect">
                      <a:avLst/>
                    </a:prstGeom>
                    <a:noFill/>
                    <a:ln w="9525">
                      <a:noFill/>
                      <a:miter lim="800000"/>
                      <a:headEnd/>
                      <a:tailEnd/>
                    </a:ln>
                  </pic:spPr>
                </pic:pic>
              </a:graphicData>
            </a:graphic>
          </wp:anchor>
        </w:drawing>
      </w:r>
      <w:r w:rsidRPr="00EF229A">
        <w:t>n</w:t>
      </w:r>
    </w:p>
    <w:p w:rsidR="00933052" w:rsidRPr="00EF229A" w:rsidRDefault="00933052" w:rsidP="00933052">
      <w:pPr>
        <w:pStyle w:val="NormalWeb"/>
        <w:spacing w:after="0" w:afterAutospacing="0" w:line="480" w:lineRule="auto"/>
        <w:ind w:left="360"/>
      </w:pPr>
    </w:p>
    <w:p w:rsidR="00933052" w:rsidRPr="00EF229A" w:rsidRDefault="00933052" w:rsidP="00933052">
      <w:pPr>
        <w:pStyle w:val="NormalWeb"/>
        <w:numPr>
          <w:ilvl w:val="0"/>
          <w:numId w:val="19"/>
        </w:numPr>
        <w:spacing w:after="0" w:afterAutospacing="0" w:line="480" w:lineRule="auto"/>
      </w:pPr>
      <w:r w:rsidRPr="00EF229A">
        <w:rPr>
          <w:rStyle w:val="Strong"/>
        </w:rPr>
        <w:t>Minimum &amp; Maximum</w:t>
      </w:r>
    </w:p>
    <w:p w:rsidR="00933052" w:rsidRPr="00EF229A" w:rsidRDefault="00933052" w:rsidP="00933052">
      <w:pPr>
        <w:pStyle w:val="NormalWeb"/>
        <w:numPr>
          <w:ilvl w:val="0"/>
          <w:numId w:val="20"/>
        </w:numPr>
        <w:spacing w:after="0" w:afterAutospacing="0" w:line="480" w:lineRule="auto"/>
      </w:pPr>
      <w:r w:rsidRPr="00EF229A">
        <w:t>Minimum = 10 mg/L</w:t>
      </w:r>
    </w:p>
    <w:p w:rsidR="00933052" w:rsidRPr="00EF229A" w:rsidRDefault="00933052" w:rsidP="00933052">
      <w:pPr>
        <w:pStyle w:val="NormalWeb"/>
        <w:numPr>
          <w:ilvl w:val="0"/>
          <w:numId w:val="20"/>
        </w:numPr>
        <w:spacing w:after="0" w:afterAutospacing="0" w:line="480" w:lineRule="auto"/>
      </w:pPr>
      <w:r w:rsidRPr="00EF229A">
        <w:t>Maximum = 20 mg/L</w:t>
      </w:r>
    </w:p>
    <w:p w:rsidR="00933052" w:rsidRPr="00EF229A" w:rsidRDefault="00933052" w:rsidP="00933052">
      <w:pPr>
        <w:pStyle w:val="NormalWeb"/>
        <w:numPr>
          <w:ilvl w:val="0"/>
          <w:numId w:val="21"/>
        </w:numPr>
        <w:spacing w:after="0" w:afterAutospacing="0" w:line="480" w:lineRule="auto"/>
      </w:pPr>
      <w:r w:rsidRPr="00EF229A">
        <w:rPr>
          <w:rStyle w:val="Strong"/>
        </w:rPr>
        <w:t>Standard Deviation (SD)</w:t>
      </w:r>
    </w:p>
    <w:p w:rsidR="00933052" w:rsidRPr="00EF229A" w:rsidRDefault="00933052" w:rsidP="00933052">
      <w:pPr>
        <w:pStyle w:val="NormalWeb"/>
        <w:spacing w:after="0" w:afterAutospacing="0" w:line="480" w:lineRule="auto"/>
        <w:ind w:left="360"/>
      </w:pPr>
      <w:r w:rsidRPr="00EF229A">
        <w:rPr>
          <w:noProof/>
        </w:rPr>
        <w:drawing>
          <wp:anchor distT="0" distB="0" distL="114300" distR="114300" simplePos="0" relativeHeight="251660288" behindDoc="0" locked="0" layoutInCell="1" allowOverlap="1" wp14:anchorId="54E1D4C8" wp14:editId="76ACE0FB">
            <wp:simplePos x="0" y="0"/>
            <wp:positionH relativeFrom="column">
              <wp:posOffset>-44745</wp:posOffset>
            </wp:positionH>
            <wp:positionV relativeFrom="paragraph">
              <wp:posOffset>154792</wp:posOffset>
            </wp:positionV>
            <wp:extent cx="5945815" cy="850605"/>
            <wp:effectExtent l="19050" t="0" r="0" b="0"/>
            <wp:wrapNone/>
            <wp:docPr id="1" name="Picture 1" descr="C:\Users\USER\AppData\Local\Microsoft\Windows\INetCache\Content.Wor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ff.png"/>
                    <pic:cNvPicPr>
                      <a:picLocks noChangeAspect="1" noChangeArrowheads="1"/>
                    </pic:cNvPicPr>
                  </pic:nvPicPr>
                  <pic:blipFill>
                    <a:blip r:embed="rId10"/>
                    <a:srcRect/>
                    <a:stretch>
                      <a:fillRect/>
                    </a:stretch>
                  </pic:blipFill>
                  <pic:spPr bwMode="auto">
                    <a:xfrm>
                      <a:off x="0" y="0"/>
                      <a:ext cx="5945815" cy="850605"/>
                    </a:xfrm>
                    <a:prstGeom prst="rect">
                      <a:avLst/>
                    </a:prstGeom>
                    <a:noFill/>
                    <a:ln w="9525">
                      <a:noFill/>
                      <a:miter lim="800000"/>
                      <a:headEnd/>
                      <a:tailEnd/>
                    </a:ln>
                  </pic:spPr>
                </pic:pic>
              </a:graphicData>
            </a:graphic>
          </wp:anchor>
        </w:drawing>
      </w:r>
    </w:p>
    <w:p w:rsidR="00933052" w:rsidRPr="00EF229A" w:rsidRDefault="00933052" w:rsidP="00933052">
      <w:pPr>
        <w:pStyle w:val="NormalWeb"/>
        <w:spacing w:after="0" w:afterAutospacing="0" w:line="480" w:lineRule="auto"/>
      </w:pPr>
    </w:p>
    <w:p w:rsidR="00933052" w:rsidRPr="00EF229A" w:rsidRDefault="00933052" w:rsidP="00933052">
      <w:pPr>
        <w:pStyle w:val="NormalWeb"/>
        <w:spacing w:after="0" w:afterAutospacing="0" w:line="480" w:lineRule="auto"/>
      </w:pPr>
      <w:r w:rsidRPr="00EF229A">
        <w:t xml:space="preserve">Thus, the </w:t>
      </w:r>
      <w:r w:rsidRPr="00EF229A">
        <w:rPr>
          <w:rStyle w:val="Strong"/>
        </w:rPr>
        <w:t>mean nitrate level</w:t>
      </w:r>
      <w:r w:rsidRPr="00EF229A">
        <w:t xml:space="preserve"> is 15 mg/L, with a </w:t>
      </w:r>
      <w:r w:rsidRPr="00EF229A">
        <w:rPr>
          <w:rStyle w:val="Strong"/>
        </w:rPr>
        <w:t>range of 10–20 mg/L</w:t>
      </w:r>
      <w:r w:rsidRPr="00EF229A">
        <w:t xml:space="preserve">, and a </w:t>
      </w:r>
      <w:r w:rsidRPr="00EF229A">
        <w:rPr>
          <w:rStyle w:val="Strong"/>
        </w:rPr>
        <w:t>standard deviation of ~4.12 mg/L</w:t>
      </w:r>
      <w:r w:rsidRPr="00EF229A">
        <w:t>, indicating moderate variability.</w:t>
      </w:r>
    </w:p>
    <w:p w:rsidR="00933052" w:rsidRPr="00EF229A" w:rsidRDefault="00933052" w:rsidP="00B2439C">
      <w:pPr>
        <w:pStyle w:val="NormalWeb"/>
        <w:spacing w:before="0" w:beforeAutospacing="0" w:after="0" w:afterAutospacing="0" w:line="480" w:lineRule="auto"/>
      </w:pPr>
      <w:r w:rsidRPr="00EF229A">
        <w:t xml:space="preserve">These descriptive statistics were calculated for each parameter such as pH, TDS, EC, Na⁺, </w:t>
      </w:r>
      <w:proofErr w:type="spellStart"/>
      <w:r w:rsidRPr="00EF229A">
        <w:t>Cl</w:t>
      </w:r>
      <w:proofErr w:type="spellEnd"/>
      <w:r w:rsidRPr="00EF229A">
        <w:t xml:space="preserve">⁻, NO₃⁻, Ca²⁺, and others using Microsoft Excel and SPSS software. The results helped in identifying parameters that exceed permissible limits as defined by WHO (2017) and </w:t>
      </w:r>
      <w:r w:rsidRPr="00EF229A">
        <w:lastRenderedPageBreak/>
        <w:t>NSDWQ (2015), thereby guiding further interpretation and classification in subsequent chapters.</w:t>
      </w:r>
    </w:p>
    <w:p w:rsidR="00933052" w:rsidRPr="00EF229A" w:rsidRDefault="00933052" w:rsidP="00933052">
      <w:pPr>
        <w:spacing w:after="0" w:line="480" w:lineRule="auto"/>
        <w:jc w:val="both"/>
        <w:rPr>
          <w:rFonts w:ascii="Times New Roman" w:hAnsi="Times New Roman" w:cs="Times New Roman"/>
          <w:b/>
          <w:sz w:val="24"/>
          <w:szCs w:val="24"/>
        </w:rPr>
      </w:pPr>
      <w:r w:rsidRPr="00EF229A">
        <w:rPr>
          <w:rFonts w:ascii="Times New Roman" w:hAnsi="Times New Roman" w:cs="Times New Roman"/>
          <w:b/>
          <w:sz w:val="24"/>
          <w:szCs w:val="24"/>
        </w:rPr>
        <w:t>3.8.2</w:t>
      </w:r>
      <w:r w:rsidRPr="00EF229A">
        <w:rPr>
          <w:rFonts w:ascii="Times New Roman" w:hAnsi="Times New Roman" w:cs="Times New Roman"/>
          <w:b/>
          <w:sz w:val="24"/>
          <w:szCs w:val="24"/>
        </w:rPr>
        <w:tab/>
        <w:t xml:space="preserve">Comparison with Standards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Each measured parameter was compared to the </w:t>
      </w:r>
      <w:r w:rsidRPr="00145EE3">
        <w:rPr>
          <w:rFonts w:ascii="Times New Roman" w:hAnsi="Times New Roman" w:cs="Times New Roman"/>
          <w:i/>
          <w:sz w:val="24"/>
          <w:szCs w:val="24"/>
        </w:rPr>
        <w:t>WHO (2017)</w:t>
      </w:r>
      <w:r w:rsidRPr="00EF229A">
        <w:rPr>
          <w:rFonts w:ascii="Times New Roman" w:hAnsi="Times New Roman" w:cs="Times New Roman"/>
          <w:sz w:val="24"/>
          <w:szCs w:val="24"/>
        </w:rPr>
        <w:t xml:space="preserve"> and </w:t>
      </w:r>
      <w:r w:rsidRPr="00145EE3">
        <w:rPr>
          <w:rFonts w:ascii="Times New Roman" w:hAnsi="Times New Roman" w:cs="Times New Roman"/>
          <w:i/>
          <w:sz w:val="24"/>
          <w:szCs w:val="24"/>
        </w:rPr>
        <w:t>NSDWQ (2015)</w:t>
      </w:r>
      <w:r w:rsidRPr="00EF229A">
        <w:rPr>
          <w:rFonts w:ascii="Times New Roman" w:hAnsi="Times New Roman" w:cs="Times New Roman"/>
          <w:sz w:val="24"/>
          <w:szCs w:val="24"/>
        </w:rPr>
        <w:t xml:space="preserve"> standards for drinking water to assess portability and identify contamination.</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3.9</w:t>
      </w:r>
      <w:r w:rsidRPr="00145EE3">
        <w:rPr>
          <w:rFonts w:ascii="Times New Roman" w:hAnsi="Times New Roman" w:cs="Times New Roman"/>
          <w:b/>
          <w:caps/>
          <w:sz w:val="24"/>
          <w:szCs w:val="24"/>
        </w:rPr>
        <w:tab/>
        <w:t>Ethical Considerations</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Although the study involved non-invasive sampling, informed consent was obtained from well and borehole owners before sample collection. No personal data were collected, and confidentiality of location identities was maintained during publication and dissemination of findings. </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3.10</w:t>
      </w:r>
      <w:r w:rsidRPr="00145EE3">
        <w:rPr>
          <w:rFonts w:ascii="Times New Roman" w:hAnsi="Times New Roman" w:cs="Times New Roman"/>
          <w:b/>
          <w:caps/>
          <w:sz w:val="24"/>
          <w:szCs w:val="24"/>
        </w:rPr>
        <w:tab/>
        <w:t xml:space="preserve">Limitation of the Methodology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w:t>
      </w:r>
      <w:r w:rsidRPr="00EF229A">
        <w:rPr>
          <w:rFonts w:ascii="Times New Roman" w:hAnsi="Times New Roman" w:cs="Times New Roman"/>
          <w:b/>
          <w:sz w:val="24"/>
          <w:szCs w:val="24"/>
        </w:rPr>
        <w:t>study period did not cover seasonal variations</w:t>
      </w:r>
      <w:r w:rsidRPr="00EF229A">
        <w:rPr>
          <w:rFonts w:ascii="Times New Roman" w:hAnsi="Times New Roman" w:cs="Times New Roman"/>
          <w:sz w:val="24"/>
          <w:szCs w:val="24"/>
        </w:rPr>
        <w:t xml:space="preserve">. </w:t>
      </w:r>
      <w:proofErr w:type="gramStart"/>
      <w:r w:rsidRPr="00EF229A">
        <w:rPr>
          <w:rFonts w:ascii="Times New Roman" w:hAnsi="Times New Roman" w:cs="Times New Roman"/>
          <w:sz w:val="24"/>
          <w:szCs w:val="24"/>
        </w:rPr>
        <w:t>Which may affect water quality.</w:t>
      </w:r>
      <w:proofErr w:type="gramEnd"/>
      <w:r w:rsidRPr="00EF229A">
        <w:rPr>
          <w:rFonts w:ascii="Times New Roman" w:hAnsi="Times New Roman" w:cs="Times New Roman"/>
          <w:sz w:val="24"/>
          <w:szCs w:val="24"/>
        </w:rPr>
        <w:t xml:space="preserve">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b/>
          <w:sz w:val="24"/>
          <w:szCs w:val="24"/>
        </w:rPr>
        <w:t>Financial Constraints</w:t>
      </w:r>
      <w:r w:rsidRPr="00EF229A">
        <w:rPr>
          <w:rFonts w:ascii="Times New Roman" w:hAnsi="Times New Roman" w:cs="Times New Roman"/>
          <w:sz w:val="24"/>
          <w:szCs w:val="24"/>
        </w:rPr>
        <w:t xml:space="preserve"> limited the numbers of sampling point and laboratory tests.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b/>
          <w:sz w:val="24"/>
          <w:szCs w:val="24"/>
        </w:rPr>
        <w:t>Microbiological testing</w:t>
      </w:r>
      <w:r w:rsidRPr="00EF229A">
        <w:rPr>
          <w:rFonts w:ascii="Times New Roman" w:hAnsi="Times New Roman" w:cs="Times New Roman"/>
          <w:sz w:val="24"/>
          <w:szCs w:val="24"/>
        </w:rPr>
        <w:t xml:space="preserve"> was not conducted, which could provide additional insight into contamination risks. </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3.11</w:t>
      </w:r>
      <w:r w:rsidRPr="00145EE3">
        <w:rPr>
          <w:rFonts w:ascii="Times New Roman" w:hAnsi="Times New Roman" w:cs="Times New Roman"/>
          <w:b/>
          <w:caps/>
          <w:sz w:val="24"/>
          <w:szCs w:val="24"/>
        </w:rPr>
        <w:tab/>
        <w:t>Summary</w:t>
      </w:r>
    </w:p>
    <w:p w:rsidR="00933052" w:rsidRPr="00EF229A" w:rsidRDefault="00B2439C" w:rsidP="00933052">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chapter</w:t>
      </w:r>
      <w:r w:rsidR="00933052" w:rsidRPr="00EF229A">
        <w:rPr>
          <w:rFonts w:ascii="Times New Roman" w:hAnsi="Times New Roman" w:cs="Times New Roman"/>
          <w:sz w:val="24"/>
          <w:szCs w:val="24"/>
        </w:rPr>
        <w:t xml:space="preserve"> presented the methodological framework adopted for the </w:t>
      </w:r>
      <w:proofErr w:type="spellStart"/>
      <w:r w:rsidR="00933052" w:rsidRPr="00EF229A">
        <w:rPr>
          <w:rFonts w:ascii="Times New Roman" w:hAnsi="Times New Roman" w:cs="Times New Roman"/>
          <w:sz w:val="24"/>
          <w:szCs w:val="24"/>
        </w:rPr>
        <w:t>hydrochemical</w:t>
      </w:r>
      <w:proofErr w:type="spellEnd"/>
      <w:r w:rsidR="00933052" w:rsidRPr="00EF229A">
        <w:rPr>
          <w:rFonts w:ascii="Times New Roman" w:hAnsi="Times New Roman" w:cs="Times New Roman"/>
          <w:sz w:val="24"/>
          <w:szCs w:val="24"/>
        </w:rPr>
        <w:t xml:space="preserve"> assessment of groundwater in Ilorin. From sampling design to laboratory analysis and data interpretation, standard procedures were followed to ensure reliability and scientific rigor. The approach is designed to produce </w:t>
      </w:r>
      <w:proofErr w:type="gramStart"/>
      <w:r w:rsidR="00933052" w:rsidRPr="00EF229A">
        <w:rPr>
          <w:rFonts w:ascii="Times New Roman" w:hAnsi="Times New Roman" w:cs="Times New Roman"/>
          <w:sz w:val="24"/>
          <w:szCs w:val="24"/>
        </w:rPr>
        <w:t>result that are</w:t>
      </w:r>
      <w:proofErr w:type="gramEnd"/>
      <w:r w:rsidR="00933052" w:rsidRPr="00EF229A">
        <w:rPr>
          <w:rFonts w:ascii="Times New Roman" w:hAnsi="Times New Roman" w:cs="Times New Roman"/>
          <w:sz w:val="24"/>
          <w:szCs w:val="24"/>
        </w:rPr>
        <w:t xml:space="preserve"> representative, replicable, and relevant for policy formulation and sustainable groundwater management. </w:t>
      </w:r>
      <w:r w:rsidR="00933052" w:rsidRPr="00EF229A">
        <w:rPr>
          <w:rFonts w:ascii="Times New Roman" w:hAnsi="Times New Roman" w:cs="Times New Roman"/>
          <w:b/>
          <w:sz w:val="24"/>
          <w:szCs w:val="24"/>
        </w:rPr>
        <w:t xml:space="preserve"> </w:t>
      </w:r>
    </w:p>
    <w:p w:rsidR="00933052" w:rsidRDefault="00933052" w:rsidP="001B2BB3">
      <w:pPr>
        <w:spacing w:line="480" w:lineRule="auto"/>
        <w:jc w:val="both"/>
        <w:rPr>
          <w:rFonts w:ascii="Times New Roman" w:hAnsi="Times New Roman" w:cs="Times New Roman"/>
          <w:sz w:val="24"/>
          <w:szCs w:val="24"/>
        </w:rPr>
      </w:pPr>
    </w:p>
    <w:p w:rsidR="006471E2" w:rsidRDefault="006471E2" w:rsidP="008C6727">
      <w:pPr>
        <w:spacing w:after="0" w:line="480" w:lineRule="auto"/>
        <w:jc w:val="center"/>
        <w:rPr>
          <w:rFonts w:ascii="Times New Roman" w:hAnsi="Times New Roman" w:cs="Times New Roman"/>
          <w:b/>
          <w:sz w:val="24"/>
          <w:szCs w:val="24"/>
        </w:rPr>
      </w:pPr>
    </w:p>
    <w:p w:rsidR="006471E2" w:rsidRDefault="006471E2" w:rsidP="008C6727">
      <w:pPr>
        <w:spacing w:after="0" w:line="480" w:lineRule="auto"/>
        <w:jc w:val="center"/>
        <w:rPr>
          <w:rFonts w:ascii="Times New Roman" w:hAnsi="Times New Roman" w:cs="Times New Roman"/>
          <w:b/>
          <w:sz w:val="24"/>
          <w:szCs w:val="24"/>
        </w:rPr>
      </w:pPr>
    </w:p>
    <w:p w:rsidR="0037735E" w:rsidRDefault="0037735E" w:rsidP="008C6727">
      <w:pPr>
        <w:spacing w:after="0" w:line="480" w:lineRule="auto"/>
        <w:jc w:val="center"/>
        <w:rPr>
          <w:rFonts w:ascii="Times New Roman" w:hAnsi="Times New Roman" w:cs="Times New Roman"/>
          <w:b/>
          <w:sz w:val="24"/>
          <w:szCs w:val="24"/>
        </w:rPr>
      </w:pPr>
    </w:p>
    <w:p w:rsidR="00BA05CC" w:rsidRDefault="00BA05CC" w:rsidP="00BA05C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BA05CC" w:rsidRPr="00BA05CC" w:rsidRDefault="00145EE3" w:rsidP="00BA05CC">
      <w:pPr>
        <w:spacing w:after="0"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BA05CC" w:rsidRPr="00BA05CC">
        <w:rPr>
          <w:rFonts w:ascii="Times New Roman" w:hAnsi="Times New Roman" w:cs="Times New Roman"/>
          <w:b/>
          <w:sz w:val="24"/>
          <w:szCs w:val="24"/>
        </w:rPr>
        <w:t>RESULT AND DISCUSSION</w:t>
      </w:r>
    </w:p>
    <w:p w:rsidR="00BA05CC" w:rsidRPr="00BA05CC" w:rsidRDefault="00145EE3" w:rsidP="00BA05CC">
      <w:pPr>
        <w:rPr>
          <w:rFonts w:ascii="Times New Roman" w:hAnsi="Times New Roman" w:cs="Times New Roman"/>
          <w:b/>
          <w:sz w:val="28"/>
          <w:szCs w:val="28"/>
        </w:rPr>
      </w:pPr>
      <w:r>
        <w:rPr>
          <w:rFonts w:ascii="Times New Roman" w:hAnsi="Times New Roman" w:cs="Times New Roman"/>
          <w:b/>
          <w:sz w:val="24"/>
          <w:szCs w:val="24"/>
        </w:rPr>
        <w:t>4.1</w:t>
      </w:r>
      <w:r>
        <w:rPr>
          <w:rFonts w:ascii="Times New Roman" w:hAnsi="Times New Roman" w:cs="Times New Roman"/>
          <w:b/>
          <w:sz w:val="24"/>
          <w:szCs w:val="24"/>
        </w:rPr>
        <w:tab/>
      </w:r>
      <w:r w:rsidR="00BA05CC" w:rsidRPr="00BA05CC">
        <w:rPr>
          <w:rFonts w:ascii="Times New Roman" w:hAnsi="Times New Roman" w:cs="Times New Roman"/>
          <w:b/>
          <w:sz w:val="24"/>
          <w:szCs w:val="24"/>
        </w:rPr>
        <w:t>PHYSICO – CHEMICAL PARAMETERS</w:t>
      </w:r>
    </w:p>
    <w:tbl>
      <w:tblPr>
        <w:tblStyle w:val="TableGrid"/>
        <w:tblW w:w="9882" w:type="dxa"/>
        <w:tblInd w:w="-342" w:type="dxa"/>
        <w:tblLayout w:type="fixed"/>
        <w:tblLook w:val="04A0" w:firstRow="1" w:lastRow="0" w:firstColumn="1" w:lastColumn="0" w:noHBand="0" w:noVBand="1"/>
      </w:tblPr>
      <w:tblGrid>
        <w:gridCol w:w="950"/>
        <w:gridCol w:w="940"/>
        <w:gridCol w:w="990"/>
        <w:gridCol w:w="810"/>
        <w:gridCol w:w="720"/>
        <w:gridCol w:w="720"/>
        <w:gridCol w:w="720"/>
        <w:gridCol w:w="540"/>
        <w:gridCol w:w="720"/>
        <w:gridCol w:w="720"/>
        <w:gridCol w:w="540"/>
        <w:gridCol w:w="751"/>
        <w:gridCol w:w="761"/>
      </w:tblGrid>
      <w:tr w:rsidR="00BA05CC" w:rsidRPr="00BA05CC" w:rsidTr="00BA05CC">
        <w:trPr>
          <w:trHeight w:val="635"/>
        </w:trPr>
        <w:tc>
          <w:tcPr>
            <w:tcW w:w="95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Sample code </w:t>
            </w:r>
          </w:p>
        </w:tc>
        <w:tc>
          <w:tcPr>
            <w:tcW w:w="9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Total Hardness (mg/lcac03</w:t>
            </w:r>
          </w:p>
        </w:tc>
        <w:tc>
          <w:tcPr>
            <w:tcW w:w="99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Calcium Hardness (mg/lCaC03 </w:t>
            </w:r>
          </w:p>
        </w:tc>
        <w:tc>
          <w:tcPr>
            <w:tcW w:w="81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Magnesium  Hardness ( mg/l CaC03</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Ca</w:t>
            </w:r>
            <w:r w:rsidRPr="00BA05CC">
              <w:rPr>
                <w:rFonts w:ascii="Times New Roman" w:hAnsi="Times New Roman" w:cs="Times New Roman"/>
                <w:b/>
                <w:sz w:val="20"/>
                <w:szCs w:val="20"/>
                <w:vertAlign w:val="superscript"/>
              </w:rPr>
              <w:t>2</w:t>
            </w:r>
            <w:r w:rsidRPr="00BA05CC">
              <w:rPr>
                <w:rFonts w:ascii="Times New Roman" w:hAnsi="Times New Roman" w:cs="Times New Roman"/>
                <w:b/>
                <w:sz w:val="20"/>
                <w:szCs w:val="20"/>
              </w:rPr>
              <w:t xml:space="preserve"> (ppm)</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w:t>
            </w:r>
            <w:r w:rsidRPr="00BA05CC">
              <w:rPr>
                <w:rFonts w:ascii="Times New Roman" w:hAnsi="Times New Roman" w:cs="Times New Roman"/>
                <w:b/>
                <w:sz w:val="20"/>
                <w:szCs w:val="20"/>
                <w:vertAlign w:val="superscript"/>
              </w:rPr>
              <w:t>2</w:t>
            </w:r>
            <w:r w:rsidRPr="00BA05CC">
              <w:rPr>
                <w:rFonts w:ascii="Times New Roman" w:hAnsi="Times New Roman" w:cs="Times New Roman"/>
                <w:b/>
                <w:sz w:val="20"/>
                <w:szCs w:val="20"/>
              </w:rPr>
              <w:t xml:space="preserve"> (ppm)</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Hco</w:t>
            </w:r>
            <w:r w:rsidRPr="00BA05CC">
              <w:rPr>
                <w:rFonts w:ascii="Times New Roman" w:hAnsi="Times New Roman" w:cs="Times New Roman"/>
                <w:b/>
                <w:sz w:val="20"/>
                <w:szCs w:val="20"/>
                <w:vertAlign w:val="subscript"/>
              </w:rPr>
              <w:t>3</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(mg/l) </w:t>
            </w:r>
          </w:p>
        </w:tc>
        <w:tc>
          <w:tcPr>
            <w:tcW w:w="5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So</w:t>
            </w:r>
            <w:r w:rsidRPr="00BA05CC">
              <w:rPr>
                <w:rFonts w:ascii="Times New Roman" w:hAnsi="Times New Roman" w:cs="Times New Roman"/>
                <w:b/>
                <w:sz w:val="20"/>
                <w:szCs w:val="20"/>
                <w:vertAlign w:val="superscript"/>
              </w:rPr>
              <w:t>2</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20" w:type="dxa"/>
          </w:tcPr>
          <w:p w:rsidR="00BA05CC" w:rsidRPr="00BA05CC" w:rsidRDefault="00BA05CC" w:rsidP="00D370AD">
            <w:pPr>
              <w:spacing w:line="16" w:lineRule="atLeast"/>
              <w:rPr>
                <w:rFonts w:ascii="Times New Roman" w:hAnsi="Times New Roman" w:cs="Times New Roman"/>
                <w:b/>
                <w:sz w:val="20"/>
                <w:szCs w:val="20"/>
              </w:rPr>
            </w:pPr>
            <w:proofErr w:type="spellStart"/>
            <w:r w:rsidRPr="00BA05CC">
              <w:rPr>
                <w:rFonts w:ascii="Times New Roman" w:hAnsi="Times New Roman" w:cs="Times New Roman"/>
                <w:b/>
                <w:sz w:val="20"/>
                <w:szCs w:val="20"/>
              </w:rPr>
              <w:t>Cl</w:t>
            </w:r>
            <w:proofErr w:type="spellEnd"/>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20" w:type="dxa"/>
          </w:tcPr>
          <w:p w:rsidR="00BA05CC" w:rsidRPr="00BA05CC" w:rsidRDefault="00BA05CC" w:rsidP="00D370AD">
            <w:pPr>
              <w:spacing w:line="16" w:lineRule="atLeast"/>
              <w:rPr>
                <w:rFonts w:ascii="Times New Roman" w:hAnsi="Times New Roman" w:cs="Times New Roman"/>
                <w:b/>
                <w:sz w:val="20"/>
                <w:szCs w:val="20"/>
                <w:vertAlign w:val="superscript"/>
              </w:rPr>
            </w:pPr>
            <w:r w:rsidRPr="00BA05CC">
              <w:rPr>
                <w:rFonts w:ascii="Times New Roman" w:hAnsi="Times New Roman" w:cs="Times New Roman"/>
                <w:b/>
                <w:sz w:val="20"/>
                <w:szCs w:val="20"/>
              </w:rPr>
              <w:t>No</w:t>
            </w:r>
            <w:r w:rsidRPr="00BA05CC">
              <w:rPr>
                <w:rFonts w:ascii="Times New Roman" w:hAnsi="Times New Roman" w:cs="Times New Roman"/>
                <w:b/>
                <w:sz w:val="20"/>
                <w:szCs w:val="20"/>
                <w:vertAlign w:val="superscript"/>
              </w:rPr>
              <w:t>3</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5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Co3</w:t>
            </w:r>
            <w:r w:rsidRPr="00BA05CC">
              <w:rPr>
                <w:rFonts w:ascii="Times New Roman" w:hAnsi="Times New Roman" w:cs="Times New Roman"/>
                <w:b/>
                <w:sz w:val="20"/>
                <w:szCs w:val="20"/>
                <w:vertAlign w:val="superscript"/>
              </w:rPr>
              <w:t>2</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51"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Na</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(ppm)</w:t>
            </w:r>
          </w:p>
        </w:tc>
        <w:tc>
          <w:tcPr>
            <w:tcW w:w="761"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K</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(ppm)</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261.31</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119.45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141.86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47.78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33.51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10.03</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233.20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106.60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126.60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42.64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9.74</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6.49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3 </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302.55</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138.30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164.25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55.32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10.48</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4 </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253.06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115.68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137.38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46.27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7.45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231.62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105.88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13.61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0.48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8.28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5.36</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318.74</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145.70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173.04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58.28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24.37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35.07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16.68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231.13</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105.65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125.48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14.12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0.67</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9.49</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6.97</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232.60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106.33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42.53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13.96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0.85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9.42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6.52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266.73</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121.93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144.80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48.77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6.36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11.83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8.35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230.69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105.45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125.24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20.65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7.27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11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328.26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150.05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178.21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60.02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27.29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47.01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6.63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17.26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13.01</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221.28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101.15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120.13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40.46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13.55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18.98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1.07</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7.16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298.78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136.58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162.20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43.79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6.68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14.62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11.29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313.44</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143.28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170.16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57.31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22.48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44.47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15.53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11.06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15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282.32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129.05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153.27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51.62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32.87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5.49</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346.25</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158.28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187.98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63.31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54.37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10.81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18.42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331.26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151.43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179.84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60.57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6.75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19.07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11.73</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350.46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160.20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199.26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64.08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28.92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53.91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9.73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19.28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11.94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274.88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125.65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149.23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27.53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8.58</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233.99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106.95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127.02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18.96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9.53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6.79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263.99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120.68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143.32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222.76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101.83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120.93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15.39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0.98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7.91</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227.02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103.78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123.25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41.51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12.21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9.32</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24</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229.92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105.10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124.82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0.94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8.91</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226.37</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103.48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122.89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41.39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0.63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11.17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8.15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265.91</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121.55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144.36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273.57</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148.52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30.97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9.97</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280.62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51.31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20.05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31.21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227.50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126.85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150.65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31.76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3.19</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9.82</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227.68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104.08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123.60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9.91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8.73</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WHO</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r>
    </w:tbl>
    <w:p w:rsidR="00BA05CC" w:rsidRPr="00CF7BEB" w:rsidRDefault="00BA05CC" w:rsidP="00BA05CC"/>
    <w:p w:rsidR="00BA05CC" w:rsidRPr="00CF7BEB" w:rsidRDefault="00BA05CC" w:rsidP="00BA05CC">
      <w:pPr>
        <w:spacing w:line="240" w:lineRule="auto"/>
        <w:rPr>
          <w:sz w:val="20"/>
          <w:szCs w:val="20"/>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Pr="00AD3D88" w:rsidRDefault="002B7741" w:rsidP="00BA05CC">
      <w:pPr>
        <w:rPr>
          <w:rFonts w:ascii="Times New Roman" w:hAnsi="Times New Roman" w:cs="Times New Roman"/>
        </w:rPr>
      </w:pPr>
      <w:r>
        <w:rPr>
          <w:rFonts w:ascii="Times New Roman" w:hAnsi="Times New Roman" w:cs="Times New Roman"/>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29pt;margin-top:91.8pt;width:174.75pt;height:16.5pt;rotation:270;z-index:251682816;mso-position-horizontal-relative:text;mso-position-vertical-relative:text"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5888" behindDoc="1" locked="0" layoutInCell="1" allowOverlap="1" wp14:anchorId="614005B4" wp14:editId="7027A247">
            <wp:simplePos x="0" y="0"/>
            <wp:positionH relativeFrom="column">
              <wp:posOffset>-224155</wp:posOffset>
            </wp:positionH>
            <wp:positionV relativeFrom="paragraph">
              <wp:posOffset>-90805</wp:posOffset>
            </wp:positionV>
            <wp:extent cx="6772910" cy="2810510"/>
            <wp:effectExtent l="0" t="0" r="27940" b="2794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LOCATION</w:t>
      </w: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Fig 4.1: CONCENTRATION OF CALCIUM CARBONATE (CaCO</w:t>
      </w:r>
      <w:r w:rsidRPr="00AD3D88">
        <w:rPr>
          <w:rFonts w:ascii="Times New Roman" w:hAnsi="Times New Roman" w:cs="Times New Roman"/>
          <w:b/>
          <w:bCs/>
          <w:sz w:val="32"/>
          <w:vertAlign w:val="subscript"/>
        </w:rPr>
        <w:t>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 Calcium Carbonate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The concentration of calcium carbonate in the study area ranged from </w:t>
      </w:r>
      <w:r w:rsidRPr="00AD3D88">
        <w:rPr>
          <w:rFonts w:ascii="Times New Roman" w:eastAsia="Times New Roman" w:hAnsi="Times New Roman" w:cs="Times New Roman"/>
          <w:b/>
          <w:bCs/>
          <w:sz w:val="24"/>
          <w:szCs w:val="24"/>
        </w:rPr>
        <w:t>180 to 350 mg/L</w:t>
      </w:r>
      <w:r w:rsidRPr="00AD3D88">
        <w:rPr>
          <w:rFonts w:ascii="Times New Roman" w:eastAsia="Times New Roman" w:hAnsi="Times New Roman" w:cs="Times New Roman"/>
          <w:sz w:val="24"/>
          <w:szCs w:val="24"/>
        </w:rPr>
        <w:t xml:space="preserve">. Most sample locations were within the acceptable limit for scaling potential (typically &lt; 200 mg/L). However, locations </w:t>
      </w:r>
      <w:r w:rsidRPr="00AD3D88">
        <w:rPr>
          <w:rFonts w:ascii="Times New Roman" w:eastAsia="Times New Roman" w:hAnsi="Times New Roman" w:cs="Times New Roman"/>
          <w:b/>
          <w:bCs/>
          <w:sz w:val="24"/>
          <w:szCs w:val="24"/>
        </w:rPr>
        <w:t>400</w:t>
      </w:r>
      <w:r w:rsidRPr="00AD3D88">
        <w:rPr>
          <w:rFonts w:ascii="Times New Roman" w:eastAsia="Times New Roman" w:hAnsi="Times New Roman" w:cs="Times New Roman"/>
          <w:sz w:val="24"/>
          <w:szCs w:val="24"/>
        </w:rPr>
        <w:t xml:space="preserve"> exceeded this threshold, indicating a risk of scaling in pipelines and boilers. Water in these areas may require treatment for industrial use.</w:t>
      </w: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2B7741" w:rsidP="00BA05CC">
      <w:pPr>
        <w:tabs>
          <w:tab w:val="left" w:pos="5610"/>
        </w:tabs>
        <w:jc w:val="center"/>
        <w:rPr>
          <w:rFonts w:ascii="Times New Roman" w:hAnsi="Times New Roman" w:cs="Times New Roman"/>
          <w:b/>
          <w:bCs/>
          <w:sz w:val="32"/>
        </w:rPr>
      </w:pPr>
      <w:r>
        <w:rPr>
          <w:rFonts w:ascii="Times New Roman" w:hAnsi="Times New Roman" w:cs="Times New Roman"/>
        </w:rPr>
        <w:lastRenderedPageBreak/>
        <w:pict>
          <v:shape id="_x0000_s1027" type="#_x0000_t136" style="position:absolute;left:0;text-align:left;margin-left:-97pt;margin-top:115.8pt;width:174.75pt;height:16.5pt;rotation:270;z-index:25166233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3840" behindDoc="1" locked="0" layoutInCell="1" allowOverlap="1" wp14:anchorId="3B898078" wp14:editId="25124D0B">
            <wp:simplePos x="0" y="0"/>
            <wp:positionH relativeFrom="column">
              <wp:posOffset>154305</wp:posOffset>
            </wp:positionH>
            <wp:positionV relativeFrom="paragraph">
              <wp:posOffset>-6350</wp:posOffset>
            </wp:positionV>
            <wp:extent cx="5791200" cy="3029585"/>
            <wp:effectExtent l="0" t="0" r="19050" b="1841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LOCATION</w:t>
      </w: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Fig 4.2: CONCENTRATION OF CALCIUM HARDNESS (mg/lCaC03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4.1.2 Calcium Hardness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Calcium hardness values varied between </w:t>
      </w:r>
      <w:r w:rsidRPr="00AD3D88">
        <w:rPr>
          <w:rFonts w:ascii="Times New Roman" w:eastAsia="Times New Roman" w:hAnsi="Times New Roman" w:cs="Times New Roman"/>
          <w:b/>
          <w:bCs/>
          <w:sz w:val="24"/>
          <w:szCs w:val="24"/>
        </w:rPr>
        <w:t xml:space="preserve">110 and 180 mg/L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200</w:t>
      </w:r>
      <w:r w:rsidRPr="00AD3D88">
        <w:rPr>
          <w:rFonts w:ascii="Times New Roman" w:eastAsia="Times New Roman" w:hAnsi="Times New Roman" w:cs="Times New Roman"/>
          <w:sz w:val="24"/>
          <w:szCs w:val="24"/>
        </w:rPr>
        <w:t xml:space="preserve"> surpassed the WHO recommended limit (75–100 mg/L), contributing to total water hardness. Elevated levels can cause scaling and reduce soap efficiency, but the water remains generally safe for drinking.</w:t>
      </w: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2B7741" w:rsidP="00BA05CC">
      <w:pPr>
        <w:tabs>
          <w:tab w:val="left" w:pos="5610"/>
        </w:tabs>
        <w:spacing w:line="480" w:lineRule="auto"/>
        <w:jc w:val="both"/>
        <w:rPr>
          <w:rFonts w:ascii="Times New Roman" w:hAnsi="Times New Roman" w:cs="Times New Roman"/>
          <w:b/>
          <w:bCs/>
          <w:sz w:val="32"/>
        </w:rPr>
      </w:pPr>
      <w:r>
        <w:rPr>
          <w:rFonts w:ascii="Times New Roman" w:hAnsi="Times New Roman" w:cs="Times New Roman"/>
        </w:rPr>
        <w:lastRenderedPageBreak/>
        <w:pict>
          <v:shape id="_x0000_s1028" type="#_x0000_t136" style="position:absolute;left:0;text-align:left;margin-left:-109.9pt;margin-top:131.95pt;width:174.75pt;height:16.5pt;rotation:270;z-index:251663360"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4864" behindDoc="1" locked="0" layoutInCell="1" allowOverlap="1" wp14:anchorId="4A22637B" wp14:editId="244F4046">
            <wp:simplePos x="0" y="0"/>
            <wp:positionH relativeFrom="column">
              <wp:posOffset>-61595</wp:posOffset>
            </wp:positionH>
            <wp:positionV relativeFrom="paragraph">
              <wp:posOffset>327660</wp:posOffset>
            </wp:positionV>
            <wp:extent cx="6412865" cy="3091180"/>
            <wp:effectExtent l="0" t="0" r="26035" b="1397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BA05CC" w:rsidRPr="00AD3D88" w:rsidRDefault="00BA05CC" w:rsidP="00BA05CC">
      <w:pPr>
        <w:ind w:firstLine="720"/>
        <w:rPr>
          <w:rFonts w:ascii="Times New Roman" w:hAnsi="Times New Roman" w:cs="Times New Roman"/>
          <w:sz w:val="32"/>
        </w:rPr>
      </w:pPr>
    </w:p>
    <w:p w:rsidR="00BA05CC" w:rsidRPr="00AD3D88" w:rsidRDefault="00BA05CC" w:rsidP="00BA05CC">
      <w:pPr>
        <w:ind w:firstLine="720"/>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F509B8" w:rsidP="00F509B8">
      <w:pPr>
        <w:spacing w:after="0"/>
        <w:ind w:left="2880" w:firstLine="720"/>
        <w:rPr>
          <w:rFonts w:ascii="Times New Roman" w:hAnsi="Times New Roman" w:cs="Times New Roman"/>
          <w:b/>
          <w:sz w:val="32"/>
        </w:rPr>
      </w:pPr>
    </w:p>
    <w:p w:rsidR="00BA05CC" w:rsidRPr="00AD3D88" w:rsidRDefault="00BA05CC" w:rsidP="00BA05CC">
      <w:pPr>
        <w:ind w:left="2880" w:firstLine="720"/>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b/>
          <w:bCs/>
          <w:sz w:val="28"/>
        </w:rPr>
      </w:pPr>
      <w:r w:rsidRPr="00AD3D88">
        <w:rPr>
          <w:rFonts w:ascii="Times New Roman" w:hAnsi="Times New Roman" w:cs="Times New Roman"/>
          <w:b/>
          <w:bCs/>
          <w:sz w:val="28"/>
        </w:rPr>
        <w:t>Fig 4.3: CONCENTRATION OF MAGNESIUM HARDNESS (mg/l CaC03</w:t>
      </w:r>
      <w:proofErr w:type="gramStart"/>
      <w:r w:rsidRPr="00AD3D88">
        <w:rPr>
          <w:rFonts w:ascii="Times New Roman" w:hAnsi="Times New Roman" w:cs="Times New Roman"/>
          <w:b/>
          <w:bCs/>
          <w:sz w:val="28"/>
        </w:rPr>
        <w:t>)  PHYSICO</w:t>
      </w:r>
      <w:proofErr w:type="gramEnd"/>
      <w:r w:rsidRPr="00AD3D88">
        <w:rPr>
          <w:rFonts w:ascii="Times New Roman" w:hAnsi="Times New Roman" w:cs="Times New Roman"/>
          <w:b/>
          <w:bCs/>
          <w:sz w:val="28"/>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4.1.3 Magnesium Hardness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line="480" w:lineRule="auto"/>
        <w:jc w:val="both"/>
        <w:rPr>
          <w:rFonts w:ascii="Times New Roman" w:hAnsi="Times New Roman" w:cs="Times New Roman"/>
          <w:b/>
          <w:bCs/>
          <w:sz w:val="28"/>
        </w:rPr>
      </w:pPr>
      <w:r w:rsidRPr="00AD3D88">
        <w:rPr>
          <w:rFonts w:ascii="Times New Roman" w:eastAsia="Times New Roman" w:hAnsi="Times New Roman" w:cs="Times New Roman"/>
          <w:sz w:val="24"/>
          <w:szCs w:val="24"/>
        </w:rPr>
        <w:t xml:space="preserve">Magnesium hardness concentrations spanned </w:t>
      </w:r>
      <w:r w:rsidRPr="00AD3D88">
        <w:rPr>
          <w:rFonts w:ascii="Times New Roman" w:eastAsia="Times New Roman" w:hAnsi="Times New Roman" w:cs="Times New Roman"/>
          <w:b/>
          <w:bCs/>
          <w:sz w:val="24"/>
          <w:szCs w:val="24"/>
        </w:rPr>
        <w:t xml:space="preserve">120 to 300 mg/L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r w:rsidRPr="00AD3D88">
        <w:rPr>
          <w:rFonts w:ascii="Times New Roman" w:eastAsia="Times New Roman" w:hAnsi="Times New Roman" w:cs="Times New Roman"/>
          <w:sz w:val="24"/>
          <w:szCs w:val="24"/>
        </w:rPr>
        <w:t xml:space="preserve">. Locations </w:t>
      </w:r>
      <w:r w:rsidRPr="00AD3D88">
        <w:rPr>
          <w:rFonts w:ascii="Times New Roman" w:eastAsia="Times New Roman" w:hAnsi="Times New Roman" w:cs="Times New Roman"/>
          <w:b/>
          <w:bCs/>
          <w:sz w:val="24"/>
          <w:szCs w:val="24"/>
        </w:rPr>
        <w:t>350</w:t>
      </w:r>
      <w:r w:rsidRPr="00AD3D88">
        <w:rPr>
          <w:rFonts w:ascii="Times New Roman" w:eastAsia="Times New Roman" w:hAnsi="Times New Roman" w:cs="Times New Roman"/>
          <w:sz w:val="24"/>
          <w:szCs w:val="24"/>
        </w:rPr>
        <w:t xml:space="preserve"> exceeded 50 mg/L, indicating significant contribution to total hardness. While not a direct health concern, high levels may impart a bitter taste and promote corrosion in plumbing systems.</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5252"/>
        </w:tabs>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3600" behindDoc="1" locked="0" layoutInCell="1" allowOverlap="1" wp14:anchorId="0F618810" wp14:editId="2BAD7DFE">
            <wp:simplePos x="0" y="0"/>
            <wp:positionH relativeFrom="column">
              <wp:posOffset>-120015</wp:posOffset>
            </wp:positionH>
            <wp:positionV relativeFrom="paragraph">
              <wp:posOffset>36195</wp:posOffset>
            </wp:positionV>
            <wp:extent cx="5718175" cy="3163570"/>
            <wp:effectExtent l="0" t="0" r="15875" b="1778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2B7741">
        <w:rPr>
          <w:rFonts w:ascii="Times New Roman" w:hAnsi="Times New Roman" w:cs="Times New Roman"/>
        </w:rPr>
        <w:pict>
          <v:shape id="_x0000_s1029" type="#_x0000_t136" style="position:absolute;margin-left:-121.15pt;margin-top:156.75pt;width:174.75pt;height:16.5pt;rotation:270;z-index:251664384;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F509B8" w:rsidP="00F509B8">
      <w:pPr>
        <w:spacing w:after="0"/>
        <w:ind w:left="2880" w:firstLine="720"/>
        <w:rPr>
          <w:rFonts w:ascii="Times New Roman" w:hAnsi="Times New Roman" w:cs="Times New Roman"/>
          <w:b/>
          <w:sz w:val="32"/>
        </w:rPr>
      </w:pPr>
    </w:p>
    <w:p w:rsidR="00BA05CC" w:rsidRPr="00AD3D88" w:rsidRDefault="00BA05CC" w:rsidP="00BA05CC">
      <w:pPr>
        <w:ind w:left="2880" w:firstLine="720"/>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tabs>
          <w:tab w:val="left" w:pos="2778"/>
        </w:tabs>
        <w:jc w:val="center"/>
        <w:rPr>
          <w:rFonts w:ascii="Times New Roman" w:hAnsi="Times New Roman" w:cs="Times New Roman"/>
          <w:b/>
          <w:bCs/>
          <w:sz w:val="32"/>
        </w:rPr>
      </w:pPr>
      <w:r w:rsidRPr="00AD3D88">
        <w:rPr>
          <w:rFonts w:ascii="Times New Roman" w:hAnsi="Times New Roman" w:cs="Times New Roman"/>
          <w:b/>
          <w:bCs/>
          <w:sz w:val="32"/>
        </w:rPr>
        <w:t>Fig 4.4: CONCENTRATION OF CALCIUM CARBONATE (CaC03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4.1.4 Calcium Carbonate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The concentration of calcium carbonate in the study area ranged from </w:t>
      </w:r>
      <w:r w:rsidRPr="00AD3D88">
        <w:rPr>
          <w:rFonts w:ascii="Times New Roman" w:eastAsia="Times New Roman" w:hAnsi="Times New Roman" w:cs="Times New Roman"/>
          <w:b/>
          <w:bCs/>
          <w:sz w:val="24"/>
          <w:szCs w:val="24"/>
        </w:rPr>
        <w:t>90 to 500 mg/L</w:t>
      </w:r>
      <w:r w:rsidRPr="00AD3D88">
        <w:rPr>
          <w:rFonts w:ascii="Times New Roman" w:eastAsia="Times New Roman" w:hAnsi="Times New Roman" w:cs="Times New Roman"/>
          <w:sz w:val="24"/>
          <w:szCs w:val="24"/>
        </w:rPr>
        <w:t xml:space="preserve">. Most sample locations were within the acceptable limit for scaling potential (typically &lt; 200 mg/L). However, locations </w:t>
      </w:r>
      <w:r w:rsidRPr="00AD3D88">
        <w:rPr>
          <w:rFonts w:ascii="Times New Roman" w:eastAsia="Times New Roman" w:hAnsi="Times New Roman" w:cs="Times New Roman"/>
          <w:b/>
          <w:bCs/>
          <w:sz w:val="24"/>
          <w:szCs w:val="24"/>
        </w:rPr>
        <w:t>600</w:t>
      </w:r>
      <w:r w:rsidRPr="00AD3D88">
        <w:rPr>
          <w:rFonts w:ascii="Times New Roman" w:eastAsia="Times New Roman" w:hAnsi="Times New Roman" w:cs="Times New Roman"/>
          <w:sz w:val="24"/>
          <w:szCs w:val="24"/>
        </w:rPr>
        <w:t xml:space="preserve"> exceeded this threshold, indicating a risk of scaling in pipelines and boilers. Water in these areas may require treatment for industrial use.</w:t>
      </w: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2B7741" w:rsidP="00BA05CC">
      <w:pPr>
        <w:tabs>
          <w:tab w:val="left" w:pos="2778"/>
        </w:tabs>
        <w:jc w:val="center"/>
        <w:rPr>
          <w:rFonts w:ascii="Times New Roman" w:hAnsi="Times New Roman" w:cs="Times New Roman"/>
          <w:b/>
          <w:bCs/>
          <w:sz w:val="32"/>
        </w:rPr>
      </w:pPr>
      <w:r>
        <w:rPr>
          <w:rFonts w:ascii="Times New Roman" w:hAnsi="Times New Roman" w:cs="Times New Roman"/>
        </w:rPr>
        <w:pict>
          <v:shape id="_x0000_s1030" type="#_x0000_t136" style="position:absolute;left:0;text-align:left;margin-left:-114.65pt;margin-top:113.65pt;width:174.75pt;height:16.5pt;rotation:270;z-index:251665408"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4624" behindDoc="1" locked="0" layoutInCell="1" allowOverlap="1" wp14:anchorId="39C74B3F" wp14:editId="2D9E7ECA">
            <wp:simplePos x="0" y="0"/>
            <wp:positionH relativeFrom="column">
              <wp:posOffset>-90805</wp:posOffset>
            </wp:positionH>
            <wp:positionV relativeFrom="paragraph">
              <wp:posOffset>-36195</wp:posOffset>
            </wp:positionV>
            <wp:extent cx="5931535" cy="3188335"/>
            <wp:effectExtent l="0" t="0" r="12065" b="1206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jc w:val="center"/>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4.5: CONCENTRATION OF MAGNESIUM IONS (Mg</w:t>
      </w:r>
      <w:r w:rsidRPr="00AD3D88">
        <w:rPr>
          <w:rFonts w:ascii="Times New Roman" w:hAnsi="Times New Roman" w:cs="Times New Roman"/>
          <w:b/>
          <w:bCs/>
          <w:sz w:val="36"/>
          <w:vertAlign w:val="superscript"/>
        </w:rPr>
        <w:t>2</w:t>
      </w:r>
      <w:proofErr w:type="gramStart"/>
      <w:r w:rsidRPr="00AD3D88">
        <w:rPr>
          <w:rFonts w:ascii="Times New Roman" w:hAnsi="Times New Roman" w:cs="Times New Roman"/>
          <w:b/>
          <w:bCs/>
          <w:sz w:val="36"/>
        </w:rPr>
        <w:t>)  PHYSICO</w:t>
      </w:r>
      <w:proofErr w:type="gramEnd"/>
      <w:r w:rsidRPr="00AD3D88">
        <w:rPr>
          <w:rFonts w:ascii="Times New Roman" w:hAnsi="Times New Roman" w:cs="Times New Roman"/>
          <w:b/>
          <w:bCs/>
          <w:sz w:val="36"/>
        </w:rPr>
        <w:t xml:space="preserve">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4.1.4 Magnesium Ions (Mg²⁺)</w:t>
      </w:r>
    </w:p>
    <w:p w:rsidR="00BA05CC" w:rsidRPr="00AD3D88" w:rsidRDefault="00BA05CC" w:rsidP="00BA05CC">
      <w:pPr>
        <w:tabs>
          <w:tab w:val="left" w:pos="4066"/>
        </w:tabs>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Mg²⁺ levels ranged from </w:t>
      </w:r>
      <w:r w:rsidRPr="00AD3D88">
        <w:rPr>
          <w:rFonts w:ascii="Times New Roman" w:eastAsia="Times New Roman" w:hAnsi="Times New Roman" w:cs="Times New Roman"/>
          <w:b/>
          <w:bCs/>
          <w:sz w:val="24"/>
          <w:szCs w:val="24"/>
        </w:rPr>
        <w:t>13 to 30 mg/L</w:t>
      </w:r>
      <w:r w:rsidRPr="00AD3D88">
        <w:rPr>
          <w:rFonts w:ascii="Times New Roman" w:eastAsia="Times New Roman" w:hAnsi="Times New Roman" w:cs="Times New Roman"/>
          <w:sz w:val="24"/>
          <w:szCs w:val="24"/>
        </w:rPr>
        <w:t>. All samples adhered to the WHO guideline (≤ 50 mg/L). No locations posed a laxative risk or taste impairment, confirming suitability for domestic use.</w:t>
      </w: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5648" behindDoc="1" locked="0" layoutInCell="1" allowOverlap="1" wp14:anchorId="3472C920" wp14:editId="329A9DE1">
            <wp:simplePos x="0" y="0"/>
            <wp:positionH relativeFrom="column">
              <wp:posOffset>-134620</wp:posOffset>
            </wp:positionH>
            <wp:positionV relativeFrom="paragraph">
              <wp:posOffset>167005</wp:posOffset>
            </wp:positionV>
            <wp:extent cx="6382385" cy="2956560"/>
            <wp:effectExtent l="0" t="0" r="18415" b="1524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2B7741">
        <w:rPr>
          <w:rFonts w:ascii="Times New Roman" w:hAnsi="Times New Roman" w:cs="Times New Roman"/>
        </w:rPr>
        <w:pict>
          <v:shape id="_x0000_s1031" type="#_x0000_t136" style="position:absolute;margin-left:-118.15pt;margin-top:130.7pt;width:174.75pt;height:16.5pt;rotation:270;z-index:251666432;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jc w:val="center"/>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4.6: CONCENTRATION OF BICARBONATES (HC0</w:t>
      </w:r>
      <w:r w:rsidRPr="00AD3D88">
        <w:rPr>
          <w:rFonts w:ascii="Times New Roman" w:hAnsi="Times New Roman" w:cs="Times New Roman"/>
          <w:b/>
          <w:bCs/>
          <w:sz w:val="36"/>
          <w:vertAlign w:val="subscript"/>
        </w:rPr>
        <w:t>3</w:t>
      </w:r>
      <w:r w:rsidRPr="00AD3D88">
        <w:rPr>
          <w:rFonts w:ascii="Times New Roman" w:hAnsi="Times New Roman" w:cs="Times New Roman"/>
          <w:b/>
          <w:bCs/>
          <w:sz w:val="36"/>
        </w:rPr>
        <w:t>)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4.1.5 Bicarbonates (HCO₃⁻)</w:t>
      </w:r>
    </w:p>
    <w:p w:rsidR="00BA05CC" w:rsidRPr="00AD3D88" w:rsidRDefault="00BA05CC" w:rsidP="00BA05CC">
      <w:pPr>
        <w:spacing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Bicarbonate concentrations were </w:t>
      </w:r>
      <w:r w:rsidRPr="00AD3D88">
        <w:rPr>
          <w:rFonts w:ascii="Times New Roman" w:eastAsia="Times New Roman" w:hAnsi="Times New Roman" w:cs="Times New Roman"/>
          <w:b/>
          <w:bCs/>
          <w:sz w:val="24"/>
          <w:szCs w:val="24"/>
        </w:rPr>
        <w:t>150–500 ppm</w:t>
      </w:r>
      <w:r w:rsidRPr="00AD3D88">
        <w:rPr>
          <w:rFonts w:ascii="Times New Roman" w:eastAsia="Times New Roman" w:hAnsi="Times New Roman" w:cs="Times New Roman"/>
          <w:sz w:val="24"/>
          <w:szCs w:val="24"/>
        </w:rPr>
        <w:t xml:space="preserve">. Values in </w:t>
      </w:r>
      <w:r w:rsidRPr="00AD3D88">
        <w:rPr>
          <w:rFonts w:ascii="Times New Roman" w:eastAsia="Times New Roman" w:hAnsi="Times New Roman" w:cs="Times New Roman"/>
          <w:b/>
          <w:bCs/>
          <w:sz w:val="24"/>
          <w:szCs w:val="24"/>
        </w:rPr>
        <w:t>600</w:t>
      </w:r>
      <w:r w:rsidRPr="00AD3D88">
        <w:rPr>
          <w:rFonts w:ascii="Times New Roman" w:eastAsia="Times New Roman" w:hAnsi="Times New Roman" w:cs="Times New Roman"/>
          <w:sz w:val="24"/>
          <w:szCs w:val="24"/>
        </w:rPr>
        <w:t xml:space="preserve"> exceeded 300 ppm, suggesting high buffering capacity and potential alkalinity issues. This may influence pH stability but is generally benign for health.</w:t>
      </w: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Default="00BA05CC" w:rsidP="00BA05CC">
      <w:pPr>
        <w:tabs>
          <w:tab w:val="left" w:pos="1406"/>
        </w:tabs>
        <w:rPr>
          <w:rFonts w:ascii="Times New Roman" w:hAnsi="Times New Roman" w:cs="Times New Roman"/>
          <w:sz w:val="32"/>
        </w:rPr>
      </w:pPr>
    </w:p>
    <w:p w:rsidR="00BA05CC" w:rsidRPr="00AD3D88" w:rsidRDefault="00BA05CC" w:rsidP="00BA05CC">
      <w:pPr>
        <w:tabs>
          <w:tab w:val="left" w:pos="1406"/>
        </w:tabs>
        <w:rPr>
          <w:rFonts w:ascii="Times New Roman" w:hAnsi="Times New Roman" w:cs="Times New Roman"/>
          <w:sz w:val="32"/>
        </w:rPr>
      </w:pPr>
    </w:p>
    <w:p w:rsidR="00BA05CC" w:rsidRPr="00AD3D88" w:rsidRDefault="002B7741" w:rsidP="00BA05CC">
      <w:pPr>
        <w:tabs>
          <w:tab w:val="left" w:pos="1406"/>
        </w:tabs>
        <w:rPr>
          <w:rFonts w:ascii="Times New Roman" w:hAnsi="Times New Roman" w:cs="Times New Roman"/>
          <w:sz w:val="32"/>
        </w:rPr>
      </w:pPr>
      <w:r>
        <w:rPr>
          <w:rFonts w:ascii="Times New Roman" w:hAnsi="Times New Roman" w:cs="Times New Roman"/>
        </w:rPr>
        <w:pict>
          <v:shape id="_x0000_s1032" type="#_x0000_t136" style="position:absolute;margin-left:-121.9pt;margin-top:155.25pt;width:174.75pt;height:16.5pt;rotation:270;z-index:25166745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6672" behindDoc="1" locked="0" layoutInCell="1" allowOverlap="1" wp14:anchorId="70A77EA0" wp14:editId="64B1C1AD">
            <wp:simplePos x="0" y="0"/>
            <wp:positionH relativeFrom="column">
              <wp:posOffset>-294640</wp:posOffset>
            </wp:positionH>
            <wp:positionV relativeFrom="paragraph">
              <wp:posOffset>1905</wp:posOffset>
            </wp:positionV>
            <wp:extent cx="6656705" cy="3627120"/>
            <wp:effectExtent l="0" t="0" r="10795" b="1143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BA05CC" w:rsidP="00F509B8">
      <w:pPr>
        <w:tabs>
          <w:tab w:val="left" w:pos="3566"/>
          <w:tab w:val="center" w:pos="4545"/>
        </w:tabs>
        <w:spacing w:after="0"/>
        <w:rPr>
          <w:rFonts w:ascii="Times New Roman" w:hAnsi="Times New Roman" w:cs="Times New Roman"/>
          <w:b/>
          <w:bCs/>
          <w:sz w:val="36"/>
        </w:rPr>
      </w:pPr>
      <w:r w:rsidRPr="00AD3D88">
        <w:rPr>
          <w:rFonts w:ascii="Times New Roman" w:hAnsi="Times New Roman" w:cs="Times New Roman"/>
          <w:b/>
          <w:bCs/>
          <w:sz w:val="36"/>
        </w:rPr>
        <w:tab/>
      </w:r>
    </w:p>
    <w:p w:rsidR="00BA05CC" w:rsidRPr="00AD3D88" w:rsidRDefault="00BA05CC" w:rsidP="00BA05CC">
      <w:pPr>
        <w:tabs>
          <w:tab w:val="left" w:pos="3566"/>
          <w:tab w:val="center" w:pos="4545"/>
        </w:tabs>
        <w:rPr>
          <w:rFonts w:ascii="Times New Roman" w:hAnsi="Times New Roman" w:cs="Times New Roman"/>
          <w:b/>
          <w:bCs/>
          <w:sz w:val="36"/>
        </w:rPr>
      </w:pPr>
      <w:r w:rsidRPr="00AD3D88">
        <w:rPr>
          <w:rFonts w:ascii="Times New Roman" w:hAnsi="Times New Roman" w:cs="Times New Roman"/>
          <w:b/>
          <w:bCs/>
          <w:sz w:val="36"/>
        </w:rPr>
        <w:tab/>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4.7: CONCENTRATION OF SULPHATE (SOH</w:t>
      </w:r>
      <w:r w:rsidRPr="00AD3D88">
        <w:rPr>
          <w:rFonts w:ascii="Times New Roman" w:hAnsi="Times New Roman" w:cs="Times New Roman"/>
          <w:b/>
          <w:bCs/>
          <w:sz w:val="36"/>
          <w:vertAlign w:val="superscript"/>
        </w:rPr>
        <w:t>2</w:t>
      </w:r>
      <w:r w:rsidRPr="00AD3D88">
        <w:rPr>
          <w:rFonts w:ascii="Times New Roman" w:hAnsi="Times New Roman" w:cs="Times New Roman"/>
          <w:b/>
          <w:bCs/>
          <w:sz w:val="36"/>
        </w:rPr>
        <w:t>)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4.1.7 </w:t>
      </w:r>
      <w:proofErr w:type="spellStart"/>
      <w:r w:rsidRPr="00AD3D88">
        <w:rPr>
          <w:rFonts w:ascii="Times New Roman" w:eastAsia="Times New Roman" w:hAnsi="Times New Roman" w:cs="Times New Roman"/>
          <w:b/>
          <w:bCs/>
          <w:sz w:val="24"/>
          <w:szCs w:val="24"/>
        </w:rPr>
        <w:t>Sulphate</w:t>
      </w:r>
      <w:proofErr w:type="spellEnd"/>
      <w:r w:rsidRPr="00AD3D88">
        <w:rPr>
          <w:rFonts w:ascii="Times New Roman" w:eastAsia="Times New Roman" w:hAnsi="Times New Roman" w:cs="Times New Roman"/>
          <w:b/>
          <w:bCs/>
          <w:sz w:val="24"/>
          <w:szCs w:val="24"/>
        </w:rPr>
        <w:t xml:space="preserve"> (SO₄²⁻)</w:t>
      </w:r>
    </w:p>
    <w:p w:rsidR="00BA05CC" w:rsidRPr="00AD3D88" w:rsidRDefault="00BA05CC" w:rsidP="00BA05CC">
      <w:pPr>
        <w:spacing w:line="480" w:lineRule="auto"/>
        <w:jc w:val="both"/>
        <w:rPr>
          <w:rFonts w:ascii="Times New Roman" w:hAnsi="Times New Roman" w:cs="Times New Roman"/>
          <w:sz w:val="32"/>
        </w:rPr>
      </w:pPr>
      <w:proofErr w:type="spellStart"/>
      <w:r w:rsidRPr="00AD3D88">
        <w:rPr>
          <w:rFonts w:ascii="Times New Roman" w:eastAsia="Times New Roman" w:hAnsi="Times New Roman" w:cs="Times New Roman"/>
          <w:sz w:val="24"/>
          <w:szCs w:val="24"/>
        </w:rPr>
        <w:t>Sulphate</w:t>
      </w:r>
      <w:proofErr w:type="spellEnd"/>
      <w:r w:rsidRPr="00AD3D88">
        <w:rPr>
          <w:rFonts w:ascii="Times New Roman" w:eastAsia="Times New Roman" w:hAnsi="Times New Roman" w:cs="Times New Roman"/>
          <w:sz w:val="24"/>
          <w:szCs w:val="24"/>
        </w:rPr>
        <w:t xml:space="preserve"> levels varied from </w:t>
      </w:r>
      <w:r w:rsidRPr="00AD3D88">
        <w:rPr>
          <w:rFonts w:ascii="Times New Roman" w:eastAsia="Times New Roman" w:hAnsi="Times New Roman" w:cs="Times New Roman"/>
          <w:b/>
          <w:bCs/>
          <w:sz w:val="24"/>
          <w:szCs w:val="24"/>
        </w:rPr>
        <w:t>20 to 300 mg/L</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350</w:t>
      </w:r>
      <w:r w:rsidRPr="00AD3D88">
        <w:rPr>
          <w:rFonts w:ascii="Times New Roman" w:eastAsia="Times New Roman" w:hAnsi="Times New Roman" w:cs="Times New Roman"/>
          <w:sz w:val="24"/>
          <w:szCs w:val="24"/>
        </w:rPr>
        <w:t xml:space="preserve"> surpassed the WHO limit (250 mg/L), posing a risk of gastrointestinal irritation and corrosion in concrete infrastructure.</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2B7741" w:rsidP="00BA05CC">
      <w:pPr>
        <w:rPr>
          <w:rFonts w:ascii="Times New Roman" w:hAnsi="Times New Roman" w:cs="Times New Roman"/>
          <w:sz w:val="32"/>
        </w:rPr>
      </w:pPr>
      <w:r>
        <w:rPr>
          <w:rFonts w:ascii="Times New Roman" w:hAnsi="Times New Roman" w:cs="Times New Roman"/>
        </w:rPr>
        <w:pict>
          <v:shape id="_x0000_s1033" type="#_x0000_t136" style="position:absolute;margin-left:-112.9pt;margin-top:129.2pt;width:174.75pt;height:16.5pt;rotation:270;z-index:251668480"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7696" behindDoc="1" locked="0" layoutInCell="1" allowOverlap="1" wp14:anchorId="125FE5F0" wp14:editId="0404E4BC">
            <wp:simplePos x="0" y="0"/>
            <wp:positionH relativeFrom="column">
              <wp:posOffset>-76835</wp:posOffset>
            </wp:positionH>
            <wp:positionV relativeFrom="paragraph">
              <wp:posOffset>182245</wp:posOffset>
            </wp:positionV>
            <wp:extent cx="6425565" cy="3091180"/>
            <wp:effectExtent l="0" t="0" r="13335" b="1397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BA05CC">
      <w:pPr>
        <w:tabs>
          <w:tab w:val="left" w:pos="3566"/>
          <w:tab w:val="center" w:pos="4545"/>
        </w:tabs>
        <w:spacing w:after="0"/>
        <w:rPr>
          <w:rFonts w:ascii="Times New Roman" w:hAnsi="Times New Roman" w:cs="Times New Roman"/>
          <w:b/>
          <w:bCs/>
          <w:sz w:val="36"/>
        </w:rPr>
      </w:pPr>
    </w:p>
    <w:p w:rsidR="00BA05CC" w:rsidRPr="00AD3D88" w:rsidRDefault="00BA05CC" w:rsidP="00BA05CC">
      <w:pPr>
        <w:tabs>
          <w:tab w:val="left" w:pos="3566"/>
          <w:tab w:val="center" w:pos="4545"/>
        </w:tabs>
        <w:spacing w:line="240" w:lineRule="auto"/>
        <w:rPr>
          <w:rFonts w:ascii="Times New Roman" w:hAnsi="Times New Roman" w:cs="Times New Roman"/>
          <w:b/>
          <w:bCs/>
          <w:sz w:val="36"/>
        </w:rPr>
      </w:pPr>
      <w:r w:rsidRPr="00AD3D88">
        <w:rPr>
          <w:rFonts w:ascii="Times New Roman" w:hAnsi="Times New Roman" w:cs="Times New Roman"/>
          <w:b/>
          <w:bCs/>
          <w:sz w:val="36"/>
        </w:rPr>
        <w:tab/>
      </w:r>
      <w:r w:rsidRPr="00AD3D88">
        <w:rPr>
          <w:rFonts w:ascii="Times New Roman" w:hAnsi="Times New Roman" w:cs="Times New Roman"/>
          <w:b/>
          <w:bCs/>
          <w:sz w:val="36"/>
        </w:rPr>
        <w:tab/>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4.8: CONCENTRATION OF CHLORIDE (CL)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4.1.8 Chloride (</w:t>
      </w:r>
      <w:proofErr w:type="spellStart"/>
      <w:r w:rsidRPr="00AD3D88">
        <w:rPr>
          <w:rFonts w:ascii="Times New Roman" w:eastAsia="Times New Roman" w:hAnsi="Times New Roman" w:cs="Times New Roman"/>
          <w:b/>
          <w:bCs/>
          <w:sz w:val="24"/>
          <w:szCs w:val="24"/>
        </w:rPr>
        <w:t>Cl</w:t>
      </w:r>
      <w:proofErr w:type="spellEnd"/>
      <w:r w:rsidRPr="00AD3D88">
        <w:rPr>
          <w:rFonts w:ascii="Times New Roman" w:eastAsia="Times New Roman" w:hAnsi="Times New Roman" w:cs="Times New Roman"/>
          <w:b/>
          <w:bCs/>
          <w:sz w:val="24"/>
          <w:szCs w:val="24"/>
        </w:rPr>
        <w:t>⁻)</w:t>
      </w:r>
    </w:p>
    <w:p w:rsidR="00BA05CC" w:rsidRPr="00AD3D88" w:rsidRDefault="00BA05CC" w:rsidP="00BA05CC">
      <w:pPr>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Chloride concentrations ranged </w:t>
      </w:r>
      <w:r w:rsidRPr="00AD3D88">
        <w:rPr>
          <w:rFonts w:ascii="Times New Roman" w:eastAsia="Times New Roman" w:hAnsi="Times New Roman" w:cs="Times New Roman"/>
          <w:b/>
          <w:bCs/>
          <w:sz w:val="24"/>
          <w:szCs w:val="24"/>
        </w:rPr>
        <w:t>10–250 mg/L</w:t>
      </w:r>
      <w:r w:rsidRPr="00AD3D88">
        <w:rPr>
          <w:rFonts w:ascii="Times New Roman" w:eastAsia="Times New Roman" w:hAnsi="Times New Roman" w:cs="Times New Roman"/>
          <w:sz w:val="24"/>
          <w:szCs w:val="24"/>
        </w:rPr>
        <w:t xml:space="preserve">. Locations </w:t>
      </w:r>
      <w:r w:rsidRPr="00AD3D88">
        <w:rPr>
          <w:rFonts w:ascii="Times New Roman" w:eastAsia="Times New Roman" w:hAnsi="Times New Roman" w:cs="Times New Roman"/>
          <w:b/>
          <w:bCs/>
          <w:sz w:val="24"/>
          <w:szCs w:val="24"/>
        </w:rPr>
        <w:t>300</w:t>
      </w:r>
      <w:r w:rsidRPr="00AD3D88">
        <w:rPr>
          <w:rFonts w:ascii="Times New Roman" w:eastAsia="Times New Roman" w:hAnsi="Times New Roman" w:cs="Times New Roman"/>
          <w:sz w:val="24"/>
          <w:szCs w:val="24"/>
        </w:rPr>
        <w:t xml:space="preserve"> exceeded 250 mg/L (WHO limit), indicating possible seawater intrusion or pollution. High levels impart a salty taste and accelerate metallic corrosion.</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8720" behindDoc="1" locked="0" layoutInCell="1" allowOverlap="1" wp14:anchorId="4AC7AAC8" wp14:editId="68EF941E">
            <wp:simplePos x="0" y="0"/>
            <wp:positionH relativeFrom="column">
              <wp:posOffset>-62230</wp:posOffset>
            </wp:positionH>
            <wp:positionV relativeFrom="paragraph">
              <wp:posOffset>370840</wp:posOffset>
            </wp:positionV>
            <wp:extent cx="6211570" cy="3700145"/>
            <wp:effectExtent l="0" t="0" r="17780" b="1460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2B7741">
        <w:rPr>
          <w:rFonts w:ascii="Times New Roman" w:hAnsi="Times New Roman" w:cs="Times New Roman"/>
        </w:rPr>
        <w:pict>
          <v:shape id="_x0000_s1034" type="#_x0000_t136" style="position:absolute;margin-left:-109.9pt;margin-top:193.5pt;width:174.75pt;height:16.5pt;rotation:270;z-index:251669504;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BA05CC">
      <w:pPr>
        <w:tabs>
          <w:tab w:val="left" w:pos="3566"/>
          <w:tab w:val="center" w:pos="4545"/>
        </w:tabs>
        <w:spacing w:after="0"/>
        <w:rPr>
          <w:rFonts w:ascii="Times New Roman" w:hAnsi="Times New Roman" w:cs="Times New Roman"/>
          <w:b/>
          <w:bCs/>
          <w:sz w:val="36"/>
        </w:rPr>
      </w:pPr>
      <w:r w:rsidRPr="00AD3D88">
        <w:rPr>
          <w:rFonts w:ascii="Times New Roman" w:hAnsi="Times New Roman" w:cs="Times New Roman"/>
          <w:b/>
          <w:bCs/>
          <w:sz w:val="36"/>
        </w:rPr>
        <w:tab/>
      </w: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4.9: CONCENTRATION OF NITRATE (NO</w:t>
      </w:r>
      <w:r w:rsidRPr="00AD3D88">
        <w:rPr>
          <w:rFonts w:ascii="Times New Roman" w:hAnsi="Times New Roman" w:cs="Times New Roman"/>
          <w:b/>
          <w:bCs/>
          <w:sz w:val="36"/>
          <w:vertAlign w:val="superscript"/>
        </w:rPr>
        <w:t>3</w:t>
      </w:r>
      <w:r w:rsidRPr="00AD3D88">
        <w:rPr>
          <w:rFonts w:ascii="Times New Roman" w:hAnsi="Times New Roman" w:cs="Times New Roman"/>
          <w:b/>
          <w:bCs/>
          <w:sz w:val="36"/>
        </w:rPr>
        <w:t>) PHYSICO –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4.1.9 Nitrate (NO₃⁻)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Nitrate values were </w:t>
      </w:r>
      <w:r w:rsidRPr="00AD3D88">
        <w:rPr>
          <w:rFonts w:ascii="Times New Roman" w:eastAsia="Times New Roman" w:hAnsi="Times New Roman" w:cs="Times New Roman"/>
          <w:b/>
          <w:bCs/>
          <w:sz w:val="24"/>
          <w:szCs w:val="24"/>
        </w:rPr>
        <w:t>1 to 50 mg/L</w:t>
      </w:r>
      <w:r w:rsidRPr="00AD3D88">
        <w:rPr>
          <w:rFonts w:ascii="Times New Roman" w:eastAsia="Times New Roman" w:hAnsi="Times New Roman" w:cs="Times New Roman"/>
          <w:sz w:val="24"/>
          <w:szCs w:val="24"/>
        </w:rPr>
        <w:t xml:space="preserve">. Critical </w:t>
      </w:r>
      <w:proofErr w:type="spellStart"/>
      <w:r w:rsidRPr="00AD3D88">
        <w:rPr>
          <w:rFonts w:ascii="Times New Roman" w:eastAsia="Times New Roman" w:hAnsi="Times New Roman" w:cs="Times New Roman"/>
          <w:sz w:val="24"/>
          <w:szCs w:val="24"/>
        </w:rPr>
        <w:t>exceedances</w:t>
      </w:r>
      <w:proofErr w:type="spellEnd"/>
      <w:r w:rsidRPr="00AD3D88">
        <w:rPr>
          <w:rFonts w:ascii="Times New Roman" w:eastAsia="Times New Roman" w:hAnsi="Times New Roman" w:cs="Times New Roman"/>
          <w:sz w:val="24"/>
          <w:szCs w:val="24"/>
        </w:rPr>
        <w:t xml:space="preserve"> (&gt; 50 mg/L, WHO) occurred at </w:t>
      </w:r>
      <w:r w:rsidRPr="00AD3D88">
        <w:rPr>
          <w:rFonts w:ascii="Times New Roman" w:eastAsia="Times New Roman" w:hAnsi="Times New Roman" w:cs="Times New Roman"/>
          <w:b/>
          <w:bCs/>
          <w:sz w:val="24"/>
          <w:szCs w:val="24"/>
        </w:rPr>
        <w:t>60</w:t>
      </w:r>
      <w:r w:rsidRPr="00AD3D88">
        <w:rPr>
          <w:rFonts w:ascii="Times New Roman" w:eastAsia="Times New Roman" w:hAnsi="Times New Roman" w:cs="Times New Roman"/>
          <w:sz w:val="24"/>
          <w:szCs w:val="24"/>
        </w:rPr>
        <w:t xml:space="preserve">, likely from agricultural runoff. This poses </w:t>
      </w:r>
      <w:proofErr w:type="spellStart"/>
      <w:r w:rsidRPr="00AD3D88">
        <w:rPr>
          <w:rFonts w:ascii="Times New Roman" w:eastAsia="Times New Roman" w:hAnsi="Times New Roman" w:cs="Times New Roman"/>
          <w:sz w:val="24"/>
          <w:szCs w:val="24"/>
        </w:rPr>
        <w:t>methemoglobinemia</w:t>
      </w:r>
      <w:proofErr w:type="spellEnd"/>
      <w:r w:rsidRPr="00AD3D88">
        <w:rPr>
          <w:rFonts w:ascii="Times New Roman" w:eastAsia="Times New Roman" w:hAnsi="Times New Roman" w:cs="Times New Roman"/>
          <w:sz w:val="24"/>
          <w:szCs w:val="24"/>
        </w:rPr>
        <w:t xml:space="preserve"> risks for infants, requiring immediate remediation.</w:t>
      </w: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Default="002B7741" w:rsidP="00BA05CC">
      <w:pPr>
        <w:tabs>
          <w:tab w:val="left" w:pos="2745"/>
        </w:tabs>
        <w:rPr>
          <w:rFonts w:ascii="Times New Roman" w:hAnsi="Times New Roman" w:cs="Times New Roman"/>
          <w:sz w:val="32"/>
        </w:rPr>
      </w:pPr>
      <w:r>
        <w:rPr>
          <w:rFonts w:ascii="Times New Roman" w:hAnsi="Times New Roman" w:cs="Times New Roman"/>
        </w:rPr>
        <w:pict>
          <v:shape id="_x0000_s1035" type="#_x0000_t136" style="position:absolute;margin-left:-118.9pt;margin-top:162.95pt;width:174.75pt;height:16.5pt;rotation:270;z-index:251670528"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9744" behindDoc="1" locked="0" layoutInCell="1" allowOverlap="1" wp14:anchorId="4A123E74" wp14:editId="38F2D623">
            <wp:simplePos x="0" y="0"/>
            <wp:positionH relativeFrom="column">
              <wp:posOffset>-120650</wp:posOffset>
            </wp:positionH>
            <wp:positionV relativeFrom="paragraph">
              <wp:posOffset>355600</wp:posOffset>
            </wp:positionV>
            <wp:extent cx="6163310" cy="3303905"/>
            <wp:effectExtent l="0" t="0" r="27940" b="1079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BA05CC" w:rsidRDefault="00BA05CC" w:rsidP="00BA05CC">
      <w:pPr>
        <w:tabs>
          <w:tab w:val="left" w:pos="2745"/>
        </w:tabs>
        <w:rPr>
          <w:rFonts w:ascii="Times New Roman" w:hAnsi="Times New Roman" w:cs="Times New Roman"/>
          <w:sz w:val="32"/>
        </w:rPr>
      </w:pPr>
    </w:p>
    <w:p w:rsidR="00BA05CC" w:rsidRPr="00AD3D88" w:rsidRDefault="00BA05CC" w:rsidP="00BA05CC">
      <w:pPr>
        <w:tabs>
          <w:tab w:val="left" w:pos="2745"/>
        </w:tabs>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spacing w:after="0"/>
        <w:rPr>
          <w:rFonts w:ascii="Times New Roman" w:hAnsi="Times New Roman" w:cs="Times New Roman"/>
          <w:sz w:val="32"/>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4.10:</w:t>
      </w:r>
      <w:r w:rsidRPr="00AD3D88">
        <w:rPr>
          <w:rFonts w:ascii="Times New Roman" w:hAnsi="Times New Roman" w:cs="Times New Roman"/>
          <w:sz w:val="32"/>
        </w:rPr>
        <w:t xml:space="preserve"> </w:t>
      </w:r>
      <w:r w:rsidRPr="00AD3D88">
        <w:rPr>
          <w:rFonts w:ascii="Times New Roman" w:hAnsi="Times New Roman" w:cs="Times New Roman"/>
          <w:b/>
          <w:bCs/>
          <w:sz w:val="36"/>
        </w:rPr>
        <w:t>CONCENTRATION OF CARBONATE (C0</w:t>
      </w:r>
      <w:r w:rsidRPr="00AD3D88">
        <w:rPr>
          <w:rFonts w:ascii="Times New Roman" w:hAnsi="Times New Roman" w:cs="Times New Roman"/>
          <w:b/>
          <w:bCs/>
          <w:sz w:val="36"/>
          <w:vertAlign w:val="subscript"/>
        </w:rPr>
        <w:t>3</w:t>
      </w:r>
      <w:r w:rsidRPr="00AD3D88">
        <w:rPr>
          <w:rFonts w:ascii="Times New Roman" w:hAnsi="Times New Roman" w:cs="Times New Roman"/>
          <w:b/>
          <w:bCs/>
          <w:sz w:val="36"/>
        </w:rPr>
        <w:t>)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4.1.10 Carbonate (CO₃²⁻)</w:t>
      </w:r>
    </w:p>
    <w:p w:rsidR="00BA05CC" w:rsidRPr="00AD3D88" w:rsidRDefault="00BA05CC" w:rsidP="00BA05CC">
      <w:pPr>
        <w:tabs>
          <w:tab w:val="left" w:pos="2235"/>
        </w:tabs>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Carbonate concentrations spanned </w:t>
      </w:r>
      <w:r w:rsidRPr="00AD3D88">
        <w:rPr>
          <w:rFonts w:ascii="Times New Roman" w:eastAsia="Times New Roman" w:hAnsi="Times New Roman" w:cs="Times New Roman"/>
          <w:b/>
          <w:bCs/>
          <w:sz w:val="24"/>
          <w:szCs w:val="24"/>
        </w:rPr>
        <w:t>0–120 mg/L</w:t>
      </w:r>
      <w:r w:rsidRPr="00AD3D88">
        <w:rPr>
          <w:rFonts w:ascii="Times New Roman" w:eastAsia="Times New Roman" w:hAnsi="Times New Roman" w:cs="Times New Roman"/>
          <w:sz w:val="24"/>
          <w:szCs w:val="24"/>
        </w:rPr>
        <w:t>. Values were consistently low (&lt; 10 mg/L), indicating minimal contribution to alkalinity. No regulatory concerns were noted.</w:t>
      </w: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80768" behindDoc="1" locked="0" layoutInCell="1" allowOverlap="1" wp14:anchorId="570DC911" wp14:editId="46E76E89">
            <wp:simplePos x="0" y="0"/>
            <wp:positionH relativeFrom="column">
              <wp:posOffset>-47625</wp:posOffset>
            </wp:positionH>
            <wp:positionV relativeFrom="paragraph">
              <wp:posOffset>141605</wp:posOffset>
            </wp:positionV>
            <wp:extent cx="6255385" cy="3292475"/>
            <wp:effectExtent l="0" t="0" r="12065" b="2222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2B7741">
        <w:rPr>
          <w:rFonts w:ascii="Times New Roman" w:hAnsi="Times New Roman" w:cs="Times New Roman"/>
        </w:rPr>
        <w:pict>
          <v:shape id="_x0000_s1036" type="#_x0000_t136" style="position:absolute;margin-left:-107.65pt;margin-top:138pt;width:174.75pt;height:16.5pt;rotation:270;z-index:251671552;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4.11:</w:t>
      </w:r>
      <w:r w:rsidRPr="00AD3D88">
        <w:rPr>
          <w:rFonts w:ascii="Times New Roman" w:hAnsi="Times New Roman" w:cs="Times New Roman"/>
          <w:sz w:val="32"/>
        </w:rPr>
        <w:tab/>
      </w:r>
      <w:r w:rsidRPr="00AD3D88">
        <w:rPr>
          <w:rFonts w:ascii="Times New Roman" w:hAnsi="Times New Roman" w:cs="Times New Roman"/>
          <w:b/>
          <w:bCs/>
          <w:sz w:val="36"/>
        </w:rPr>
        <w:t>CONCENTRATION OF SODIUM (Na)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4.1.11</w:t>
      </w:r>
      <w:r w:rsidRPr="00AD3D88">
        <w:rPr>
          <w:rFonts w:ascii="Times New Roman" w:eastAsia="Times New Roman" w:hAnsi="Times New Roman" w:cs="Times New Roman"/>
          <w:b/>
          <w:bCs/>
          <w:sz w:val="24"/>
          <w:szCs w:val="24"/>
        </w:rPr>
        <w:tab/>
        <w:t>Sodium (Na⁺)</w:t>
      </w:r>
    </w:p>
    <w:p w:rsidR="00BA05CC" w:rsidRPr="00AD3D88" w:rsidRDefault="00BA05CC" w:rsidP="00BA05CC">
      <w:pPr>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Sodium levels ranged </w:t>
      </w:r>
      <w:r w:rsidRPr="00AD3D88">
        <w:rPr>
          <w:rFonts w:ascii="Times New Roman" w:eastAsia="Times New Roman" w:hAnsi="Times New Roman" w:cs="Times New Roman"/>
          <w:b/>
          <w:bCs/>
          <w:sz w:val="24"/>
          <w:szCs w:val="24"/>
        </w:rPr>
        <w:t>10–120 ppm</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140</w:t>
      </w:r>
      <w:r w:rsidRPr="00AD3D88">
        <w:rPr>
          <w:rFonts w:ascii="Times New Roman" w:eastAsia="Times New Roman" w:hAnsi="Times New Roman" w:cs="Times New Roman"/>
          <w:sz w:val="24"/>
          <w:szCs w:val="24"/>
        </w:rPr>
        <w:t xml:space="preserve"> exceeded 200 ppm, suggesting salinity issues. While within WHO health-based limits (≤ 200 mg/L), elevated Na⁺ is problematic for hypertension-sensitive individuals and agriculture.</w:t>
      </w: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Default="00BA05CC" w:rsidP="00BA05CC">
      <w:pPr>
        <w:tabs>
          <w:tab w:val="left" w:pos="1005"/>
        </w:tabs>
        <w:rPr>
          <w:rFonts w:ascii="Times New Roman" w:hAnsi="Times New Roman" w:cs="Times New Roman"/>
          <w:sz w:val="32"/>
        </w:rPr>
      </w:pPr>
    </w:p>
    <w:p w:rsidR="00BA05CC" w:rsidRPr="00AD3D88" w:rsidRDefault="002B7741" w:rsidP="00BA05CC">
      <w:pPr>
        <w:tabs>
          <w:tab w:val="left" w:pos="1005"/>
        </w:tabs>
        <w:rPr>
          <w:rFonts w:ascii="Times New Roman" w:hAnsi="Times New Roman" w:cs="Times New Roman"/>
          <w:sz w:val="32"/>
        </w:rPr>
      </w:pPr>
      <w:r>
        <w:rPr>
          <w:rFonts w:ascii="Times New Roman" w:hAnsi="Times New Roman" w:cs="Times New Roman"/>
        </w:rPr>
        <w:pict>
          <v:shape id="_x0000_s1037" type="#_x0000_t136" style="position:absolute;margin-left:-100.9pt;margin-top:138.95pt;width:174.75pt;height:16.5pt;rotation:270;z-index:25167257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1792" behindDoc="1" locked="0" layoutInCell="1" allowOverlap="1" wp14:anchorId="3788640C" wp14:editId="0672F7E1">
            <wp:simplePos x="0" y="0"/>
            <wp:positionH relativeFrom="column">
              <wp:posOffset>24765</wp:posOffset>
            </wp:positionH>
            <wp:positionV relativeFrom="paragraph">
              <wp:posOffset>248285</wp:posOffset>
            </wp:positionV>
            <wp:extent cx="5980430" cy="3072130"/>
            <wp:effectExtent l="0" t="0" r="20320" b="1397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F509B8">
      <w:pPr>
        <w:tabs>
          <w:tab w:val="left" w:pos="3566"/>
          <w:tab w:val="center" w:pos="4545"/>
        </w:tabs>
        <w:spacing w:after="0"/>
        <w:jc w:val="center"/>
        <w:rPr>
          <w:rFonts w:ascii="Times New Roman" w:hAnsi="Times New Roman" w:cs="Times New Roman"/>
          <w:b/>
          <w:bCs/>
          <w:sz w:val="36"/>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4.12:</w:t>
      </w:r>
      <w:r w:rsidRPr="00AD3D88">
        <w:rPr>
          <w:rFonts w:ascii="Times New Roman" w:hAnsi="Times New Roman" w:cs="Times New Roman"/>
          <w:sz w:val="32"/>
        </w:rPr>
        <w:tab/>
      </w:r>
      <w:r>
        <w:rPr>
          <w:rFonts w:ascii="Times New Roman" w:hAnsi="Times New Roman" w:cs="Times New Roman"/>
          <w:sz w:val="32"/>
        </w:rPr>
        <w:t xml:space="preserve"> </w:t>
      </w:r>
      <w:r w:rsidRPr="00AD3D88">
        <w:rPr>
          <w:rFonts w:ascii="Times New Roman" w:hAnsi="Times New Roman" w:cs="Times New Roman"/>
          <w:b/>
          <w:bCs/>
          <w:sz w:val="36"/>
        </w:rPr>
        <w:t>CONCENTRATION OF POTASSIUM (K)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4.1.12 Potassium (K⁺)</w:t>
      </w:r>
    </w:p>
    <w:p w:rsidR="00BA05CC" w:rsidRPr="00B3667A" w:rsidRDefault="00BA05CC" w:rsidP="00BA05CC">
      <w:pPr>
        <w:spacing w:line="480" w:lineRule="auto"/>
        <w:jc w:val="both"/>
        <w:rPr>
          <w:rFonts w:ascii="Times New Roman" w:hAnsi="Times New Roman" w:cs="Times New Roman"/>
          <w:sz w:val="32"/>
        </w:rPr>
      </w:pPr>
      <w:r w:rsidRPr="00AD3D88">
        <w:rPr>
          <w:rFonts w:ascii="Times New Roman" w:eastAsia="Times New Roman" w:hAnsi="Times New Roman" w:cs="Times New Roman"/>
          <w:sz w:val="24"/>
          <w:szCs w:val="24"/>
        </w:rPr>
        <w:t xml:space="preserve">Potassium concentrations were </w:t>
      </w:r>
      <w:r w:rsidRPr="00AD3D88">
        <w:rPr>
          <w:rFonts w:ascii="Times New Roman" w:eastAsia="Times New Roman" w:hAnsi="Times New Roman" w:cs="Times New Roman"/>
          <w:b/>
          <w:bCs/>
          <w:sz w:val="24"/>
          <w:szCs w:val="24"/>
        </w:rPr>
        <w:t>5 to 160 ppm</w:t>
      </w:r>
      <w:r w:rsidRPr="00AD3D88">
        <w:rPr>
          <w:rFonts w:ascii="Times New Roman" w:eastAsia="Times New Roman" w:hAnsi="Times New Roman" w:cs="Times New Roman"/>
          <w:sz w:val="24"/>
          <w:szCs w:val="24"/>
        </w:rPr>
        <w:t xml:space="preserve">. All values were below WHO guidelines (≤ 12 mg/L), posing no health risks. Low K⁺ levels reflect minimal </w:t>
      </w:r>
      <w:proofErr w:type="spellStart"/>
      <w:r w:rsidRPr="00AD3D88">
        <w:rPr>
          <w:rFonts w:ascii="Times New Roman" w:eastAsia="Times New Roman" w:hAnsi="Times New Roman" w:cs="Times New Roman"/>
          <w:sz w:val="24"/>
          <w:szCs w:val="24"/>
        </w:rPr>
        <w:t>geogenic</w:t>
      </w:r>
      <w:proofErr w:type="spellEnd"/>
      <w:r w:rsidRPr="00AD3D88">
        <w:rPr>
          <w:rFonts w:ascii="Times New Roman" w:eastAsia="Times New Roman" w:hAnsi="Times New Roman" w:cs="Times New Roman"/>
          <w:sz w:val="24"/>
          <w:szCs w:val="24"/>
        </w:rPr>
        <w:t xml:space="preserve"> or anthropogenic influence.</w:t>
      </w: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3166A9" w:rsidRPr="00145EE3" w:rsidRDefault="003166A9" w:rsidP="003166A9">
      <w:pPr>
        <w:spacing w:after="0" w:line="480" w:lineRule="auto"/>
        <w:jc w:val="both"/>
        <w:outlineLvl w:val="1"/>
        <w:rPr>
          <w:rFonts w:ascii="Times New Roman" w:eastAsia="Times New Roman" w:hAnsi="Times New Roman" w:cs="Times New Roman"/>
          <w:b/>
          <w:bCs/>
          <w:caps/>
          <w:sz w:val="24"/>
          <w:szCs w:val="24"/>
        </w:rPr>
      </w:pPr>
      <w:r w:rsidRPr="00145EE3">
        <w:rPr>
          <w:rFonts w:ascii="Times New Roman" w:eastAsia="Times New Roman" w:hAnsi="Times New Roman" w:cs="Times New Roman"/>
          <w:b/>
          <w:bCs/>
          <w:caps/>
          <w:sz w:val="24"/>
          <w:szCs w:val="24"/>
        </w:rPr>
        <w:lastRenderedPageBreak/>
        <w:t>4.2</w:t>
      </w:r>
      <w:r w:rsidRPr="00145EE3">
        <w:rPr>
          <w:rFonts w:ascii="Times New Roman" w:eastAsia="Times New Roman" w:hAnsi="Times New Roman" w:cs="Times New Roman"/>
          <w:b/>
          <w:bCs/>
          <w:caps/>
          <w:sz w:val="24"/>
          <w:szCs w:val="24"/>
        </w:rPr>
        <w:tab/>
        <w:t>Heavy Metals Concentration Yields Risk</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The presence of heavy metals such as lead (</w:t>
      </w:r>
      <w:proofErr w:type="spellStart"/>
      <w:r w:rsidRPr="003166A9">
        <w:rPr>
          <w:rFonts w:ascii="Times New Roman" w:eastAsia="Times New Roman" w:hAnsi="Times New Roman" w:cs="Times New Roman"/>
          <w:sz w:val="24"/>
          <w:szCs w:val="24"/>
        </w:rPr>
        <w:t>Pb</w:t>
      </w:r>
      <w:proofErr w:type="spellEnd"/>
      <w:r w:rsidRPr="003166A9">
        <w:rPr>
          <w:rFonts w:ascii="Times New Roman" w:eastAsia="Times New Roman" w:hAnsi="Times New Roman" w:cs="Times New Roman"/>
          <w:sz w:val="24"/>
          <w:szCs w:val="24"/>
        </w:rPr>
        <w:t xml:space="preserve">), cadmium (Cd), iron (Fe), chromium (Cr), copper (Cu), nickel (Ni), and zinc (Zn) in groundwater poses serious environmental and public health risks due to their toxic, persistent, and </w:t>
      </w:r>
      <w:proofErr w:type="spellStart"/>
      <w:r w:rsidRPr="003166A9">
        <w:rPr>
          <w:rFonts w:ascii="Times New Roman" w:eastAsia="Times New Roman" w:hAnsi="Times New Roman" w:cs="Times New Roman"/>
          <w:sz w:val="24"/>
          <w:szCs w:val="24"/>
        </w:rPr>
        <w:t>bioaccumulative</w:t>
      </w:r>
      <w:proofErr w:type="spellEnd"/>
      <w:r w:rsidRPr="003166A9">
        <w:rPr>
          <w:rFonts w:ascii="Times New Roman" w:eastAsia="Times New Roman" w:hAnsi="Times New Roman" w:cs="Times New Roman"/>
          <w:sz w:val="24"/>
          <w:szCs w:val="24"/>
        </w:rPr>
        <w:t xml:space="preserve"> nature. Assessment of heavy metal concentrations in groundwater is critical for evaluating potential health hazards, especially in areas like Ilorin Metropolis where anthropogenic activities (waste disposal, industrial effluents, </w:t>
      </w:r>
      <w:proofErr w:type="gramStart"/>
      <w:r w:rsidRPr="003166A9">
        <w:rPr>
          <w:rFonts w:ascii="Times New Roman" w:eastAsia="Times New Roman" w:hAnsi="Times New Roman" w:cs="Times New Roman"/>
          <w:sz w:val="24"/>
          <w:szCs w:val="24"/>
        </w:rPr>
        <w:t>agricultural</w:t>
      </w:r>
      <w:proofErr w:type="gramEnd"/>
      <w:r w:rsidRPr="003166A9">
        <w:rPr>
          <w:rFonts w:ascii="Times New Roman" w:eastAsia="Times New Roman" w:hAnsi="Times New Roman" w:cs="Times New Roman"/>
          <w:sz w:val="24"/>
          <w:szCs w:val="24"/>
        </w:rPr>
        <w:t xml:space="preserve"> runoff) contribute to contamination.</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Heavy metal concentrations are compared against permissible limits established by organizations like the World Health Organization (WHO) to determine the extent of pollution. The Heavy Metal Pollution Index (HPI) is a widely recognized tool for integrating the levels of multiple metals into a single pollution value that reflects water quality status. The HPI assigns weights to each metal based on its toxicity and permissible standard, enabling classification of water quality as excellent (HPI &lt; 25), good (26–50), poor (51–75), very poor (76–100), or unsuitable for drinking (&gt;100). An HPI above 100 indicates high pollution risk requiring urgent remedial measures.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Health risk assessments employing models from the United States Environmental Protection Agency (USEPA) consider exposure routes such as ingestion and dermal contact to estimate carcinogenic and non-carcinogenic risks using metrics like Hazard Quotient (HQ) and Hazard Index (HI). Values exceeding 1 signal potential adverse health effects. Children are especially vulnerable due to higher exposure relative to body weight and developing physiological systems.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Studies in Nigerian contexts demonstrate that groundwater near urban dumpsites and landfill areas often exhibits elevated </w:t>
      </w:r>
      <w:proofErr w:type="spellStart"/>
      <w:r w:rsidRPr="003166A9">
        <w:rPr>
          <w:rFonts w:ascii="Times New Roman" w:eastAsia="Times New Roman" w:hAnsi="Times New Roman" w:cs="Times New Roman"/>
          <w:sz w:val="24"/>
          <w:szCs w:val="24"/>
        </w:rPr>
        <w:t>Pb</w:t>
      </w:r>
      <w:proofErr w:type="spellEnd"/>
      <w:r w:rsidRPr="003166A9">
        <w:rPr>
          <w:rFonts w:ascii="Times New Roman" w:eastAsia="Times New Roman" w:hAnsi="Times New Roman" w:cs="Times New Roman"/>
          <w:sz w:val="24"/>
          <w:szCs w:val="24"/>
        </w:rPr>
        <w:t xml:space="preserve"> and Cd concentrations exceeding WHO limits, correlating strongly with proximity to pollution sources and insufficient waste management. Other metals like Ni, Cu, and Fe may vary but generally remain below critical levels. The spatial </w:t>
      </w:r>
      <w:r w:rsidRPr="003166A9">
        <w:rPr>
          <w:rFonts w:ascii="Times New Roman" w:eastAsia="Times New Roman" w:hAnsi="Times New Roman" w:cs="Times New Roman"/>
          <w:sz w:val="24"/>
          <w:szCs w:val="24"/>
        </w:rPr>
        <w:lastRenderedPageBreak/>
        <w:t xml:space="preserve">variability of metal concentrations depends on factors such as aquifer properties, geochemical interactions, and groundwater flow dynamics.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To comprehensively evaluate risks, statistical methods including Principal Component Analysis (PCA) distinguish natural background </w:t>
      </w:r>
      <w:proofErr w:type="spellStart"/>
      <w:r w:rsidRPr="003166A9">
        <w:rPr>
          <w:rFonts w:ascii="Times New Roman" w:eastAsia="Times New Roman" w:hAnsi="Times New Roman" w:cs="Times New Roman"/>
          <w:sz w:val="24"/>
          <w:szCs w:val="24"/>
        </w:rPr>
        <w:t>geogenic</w:t>
      </w:r>
      <w:proofErr w:type="spellEnd"/>
      <w:r w:rsidRPr="003166A9">
        <w:rPr>
          <w:rFonts w:ascii="Times New Roman" w:eastAsia="Times New Roman" w:hAnsi="Times New Roman" w:cs="Times New Roman"/>
          <w:sz w:val="24"/>
          <w:szCs w:val="24"/>
        </w:rPr>
        <w:t xml:space="preserve"> inputs from anthropogenic pollution. Probabilistic approaches such as Monte Carlo simulations enhance risk estimation by accounting for exposure variability and uncertainties. </w:t>
      </w:r>
    </w:p>
    <w:p w:rsidR="00BA05CC" w:rsidRDefault="00BA05CC"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8C6727" w:rsidRPr="008C6727" w:rsidRDefault="008C6727" w:rsidP="008C6727">
      <w:pPr>
        <w:spacing w:after="0" w:line="480" w:lineRule="auto"/>
        <w:jc w:val="center"/>
        <w:rPr>
          <w:rFonts w:ascii="Times New Roman" w:hAnsi="Times New Roman" w:cs="Times New Roman"/>
          <w:b/>
          <w:sz w:val="24"/>
          <w:szCs w:val="24"/>
        </w:rPr>
      </w:pPr>
      <w:r w:rsidRPr="008C6727">
        <w:rPr>
          <w:rFonts w:ascii="Times New Roman" w:hAnsi="Times New Roman" w:cs="Times New Roman"/>
          <w:b/>
          <w:sz w:val="24"/>
          <w:szCs w:val="24"/>
        </w:rPr>
        <w:lastRenderedPageBreak/>
        <w:t>CHAPTER FIVE</w:t>
      </w:r>
    </w:p>
    <w:p w:rsidR="008C6727" w:rsidRPr="008C6727" w:rsidRDefault="00D363AD" w:rsidP="00D363AD">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8C6727" w:rsidRPr="008C6727">
        <w:rPr>
          <w:rFonts w:ascii="Times New Roman" w:hAnsi="Times New Roman" w:cs="Times New Roman"/>
          <w:b/>
          <w:sz w:val="24"/>
          <w:szCs w:val="24"/>
        </w:rPr>
        <w:t>CONCLUSION AND RECOMMENDATIONS</w:t>
      </w:r>
    </w:p>
    <w:p w:rsidR="00D370AD"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b/>
          <w:sz w:val="24"/>
          <w:szCs w:val="24"/>
        </w:rPr>
        <w:t>5.1</w:t>
      </w:r>
      <w:r w:rsidRPr="008C6727">
        <w:rPr>
          <w:rFonts w:ascii="Times New Roman" w:hAnsi="Times New Roman" w:cs="Times New Roman"/>
          <w:b/>
          <w:sz w:val="24"/>
          <w:szCs w:val="24"/>
        </w:rPr>
        <w:tab/>
        <w:t>SUMMARY OF FINDINGS</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Based on the comprehensive analysis of groundwater quality in Ilorin, Southwestern </w:t>
      </w:r>
      <w:proofErr w:type="gramStart"/>
      <w:r w:rsidRPr="008C6727">
        <w:rPr>
          <w:rFonts w:ascii="Times New Roman" w:hAnsi="Times New Roman" w:cs="Times New Roman"/>
          <w:sz w:val="24"/>
          <w:szCs w:val="24"/>
        </w:rPr>
        <w:t>Nigeria,</w:t>
      </w:r>
      <w:proofErr w:type="gramEnd"/>
      <w:r w:rsidRPr="008C6727">
        <w:rPr>
          <w:rFonts w:ascii="Times New Roman" w:hAnsi="Times New Roman" w:cs="Times New Roman"/>
          <w:sz w:val="24"/>
          <w:szCs w:val="24"/>
        </w:rPr>
        <w:t xml:space="preserve"> derived from both textual descriptions and supporting charts, several critical findings emerge. The physical parameters reveal significant variability, with Electrical Conductivity (EC) ranging widely from 44.3 to 1079 m/cm, indicating substantial fluctuations in dissolved ion content. Total Dissolved Solids (TDS) levels span from 10.6 to 501.0 mg/l, directly impacting the water's suitability for consumption. The pH values, ranging from 3.7 to 7.9, indicate conditions from moderately acidic to neutral, which may influence corrosion potential and chemical solubility.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Chemical analysis of </w:t>
      </w:r>
      <w:proofErr w:type="spellStart"/>
      <w:r w:rsidRPr="008C6727">
        <w:rPr>
          <w:rFonts w:ascii="Times New Roman" w:hAnsi="Times New Roman" w:cs="Times New Roman"/>
          <w:sz w:val="24"/>
          <w:szCs w:val="24"/>
        </w:rPr>
        <w:t>cations</w:t>
      </w:r>
      <w:proofErr w:type="spellEnd"/>
      <w:r w:rsidRPr="008C6727">
        <w:rPr>
          <w:rFonts w:ascii="Times New Roman" w:hAnsi="Times New Roman" w:cs="Times New Roman"/>
          <w:sz w:val="24"/>
          <w:szCs w:val="24"/>
        </w:rPr>
        <w:t xml:space="preserve"> shows Calcium (</w:t>
      </w:r>
      <w:proofErr w:type="spellStart"/>
      <w:r w:rsidRPr="008C6727">
        <w:rPr>
          <w:rFonts w:ascii="Times New Roman" w:hAnsi="Times New Roman" w:cs="Times New Roman"/>
          <w:sz w:val="24"/>
          <w:szCs w:val="24"/>
        </w:rPr>
        <w:t>Ca</w:t>
      </w:r>
      <w:proofErr w:type="spellEnd"/>
      <w:r w:rsidRPr="008C6727">
        <w:rPr>
          <w:rFonts w:ascii="Times New Roman" w:hAnsi="Times New Roman" w:cs="Times New Roman"/>
          <w:sz w:val="24"/>
          <w:szCs w:val="24"/>
        </w:rPr>
        <w:t>) concentrations between 1.20 and 6.60 mg/l, Magnesium (Mg) from 2.40 to 5.53 mg/l, Potassium (K) from 1.45 to 5.86 mg/l, and Sodium (Na) from 1.2 to 3.5 mg/l. Among anions, Chloride (</w:t>
      </w:r>
      <w:proofErr w:type="spellStart"/>
      <w:r w:rsidRPr="008C6727">
        <w:rPr>
          <w:rFonts w:ascii="Times New Roman" w:hAnsi="Times New Roman" w:cs="Times New Roman"/>
          <w:sz w:val="24"/>
          <w:szCs w:val="24"/>
        </w:rPr>
        <w:t>Cl</w:t>
      </w:r>
      <w:proofErr w:type="spellEnd"/>
      <w:r w:rsidRPr="008C6727">
        <w:rPr>
          <w:rFonts w:ascii="Times New Roman" w:hAnsi="Times New Roman" w:cs="Times New Roman"/>
          <w:sz w:val="24"/>
          <w:szCs w:val="24"/>
        </w:rPr>
        <w:t xml:space="preserve">) exhibits the most variability (6.00–229.95 mg/l), with notably higher concentrations in densely populated areas, suggesting anthropogenic influence. Bicarbonate (HCO₃) levels are exceptionally low (0.20–2.18 mg/l), while </w:t>
      </w:r>
      <w:proofErr w:type="spellStart"/>
      <w:r w:rsidRPr="008C6727">
        <w:rPr>
          <w:rFonts w:ascii="Times New Roman" w:hAnsi="Times New Roman" w:cs="Times New Roman"/>
          <w:sz w:val="24"/>
          <w:szCs w:val="24"/>
        </w:rPr>
        <w:t>Sulphate</w:t>
      </w:r>
      <w:proofErr w:type="spellEnd"/>
      <w:r w:rsidRPr="008C6727">
        <w:rPr>
          <w:rFonts w:ascii="Times New Roman" w:hAnsi="Times New Roman" w:cs="Times New Roman"/>
          <w:sz w:val="24"/>
          <w:szCs w:val="24"/>
        </w:rPr>
        <w:t xml:space="preserve"> (SO₄) and Nitrate (NO₃) remain minimal (0.01–1.47 mg/l and 0.09–0.35 mg/l, respectively). Heavy metals pose serious concerns, particularly Cadmium (Cd) at 0.57–0.58 mg/l, which exceeds WHO standards, and Lead (</w:t>
      </w:r>
      <w:proofErr w:type="spellStart"/>
      <w:r w:rsidRPr="008C6727">
        <w:rPr>
          <w:rFonts w:ascii="Times New Roman" w:hAnsi="Times New Roman" w:cs="Times New Roman"/>
          <w:sz w:val="24"/>
          <w:szCs w:val="24"/>
        </w:rPr>
        <w:t>Pb</w:t>
      </w:r>
      <w:proofErr w:type="spellEnd"/>
      <w:r w:rsidRPr="008C6727">
        <w:rPr>
          <w:rFonts w:ascii="Times New Roman" w:hAnsi="Times New Roman" w:cs="Times New Roman"/>
          <w:sz w:val="24"/>
          <w:szCs w:val="24"/>
        </w:rPr>
        <w:t xml:space="preserve">) detected up to 0.0055 mg/l in some samples.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Hardness parameters further highlight water quality challenges. Total Hardness (as </w:t>
      </w:r>
      <w:proofErr w:type="spellStart"/>
      <w:r w:rsidRPr="008C6727">
        <w:rPr>
          <w:rFonts w:ascii="Times New Roman" w:hAnsi="Times New Roman" w:cs="Times New Roman"/>
          <w:sz w:val="24"/>
          <w:szCs w:val="24"/>
        </w:rPr>
        <w:t>CaCO</w:t>
      </w:r>
      <w:proofErr w:type="spellEnd"/>
      <w:r w:rsidRPr="008C6727">
        <w:rPr>
          <w:rFonts w:ascii="Times New Roman" w:hAnsi="Times New Roman" w:cs="Times New Roman"/>
          <w:sz w:val="24"/>
          <w:szCs w:val="24"/>
        </w:rPr>
        <w:t xml:space="preserve">₃) reaches up to 400 mg/l in certain locations, exceeding WHO guidelines. Calcium Hardness peaks at 200 mg/l, while Magnesium Hardness shows extreme variability across sampling sites. Carbonate (CO₃) concentrations decline sharply from 140 mg/l at Location 1 to 40 mg/l </w:t>
      </w:r>
      <w:r w:rsidRPr="008C6727">
        <w:rPr>
          <w:rFonts w:ascii="Times New Roman" w:hAnsi="Times New Roman" w:cs="Times New Roman"/>
          <w:sz w:val="24"/>
          <w:szCs w:val="24"/>
        </w:rPr>
        <w:lastRenderedPageBreak/>
        <w:t xml:space="preserve">at later locations. Spatial variability is evident, with urban zones showing elevated chloride and heavy metals, indicating human activity as a key contaminant source.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A critical water quality assessment reveals that while 75% of samples meet safe standards for human consumption, 25% pose health risks due to deteriorated quality, primarily linked to heavy metal contamination and excessive hardness. This underscores an urgent need for targeted water resource management, especially in areas with Cadmium </w:t>
      </w:r>
      <w:proofErr w:type="spellStart"/>
      <w:r w:rsidRPr="008C6727">
        <w:rPr>
          <w:rFonts w:ascii="Times New Roman" w:hAnsi="Times New Roman" w:cs="Times New Roman"/>
          <w:sz w:val="24"/>
          <w:szCs w:val="24"/>
        </w:rPr>
        <w:t>exceedances</w:t>
      </w:r>
      <w:proofErr w:type="spellEnd"/>
      <w:r w:rsidRPr="008C6727">
        <w:rPr>
          <w:rFonts w:ascii="Times New Roman" w:hAnsi="Times New Roman" w:cs="Times New Roman"/>
          <w:sz w:val="24"/>
          <w:szCs w:val="24"/>
        </w:rPr>
        <w:t xml:space="preserve"> and acidic pH (as low as 3.7), which may accelerate toxic metal leaching. The interplay of natural </w:t>
      </w:r>
      <w:proofErr w:type="spellStart"/>
      <w:r w:rsidRPr="008C6727">
        <w:rPr>
          <w:rFonts w:ascii="Times New Roman" w:hAnsi="Times New Roman" w:cs="Times New Roman"/>
          <w:sz w:val="24"/>
          <w:szCs w:val="24"/>
        </w:rPr>
        <w:t>hydrogeochemistry</w:t>
      </w:r>
      <w:proofErr w:type="spellEnd"/>
      <w:r w:rsidRPr="008C6727">
        <w:rPr>
          <w:rFonts w:ascii="Times New Roman" w:hAnsi="Times New Roman" w:cs="Times New Roman"/>
          <w:sz w:val="24"/>
          <w:szCs w:val="24"/>
        </w:rPr>
        <w:t xml:space="preserve"> and anthropogenic pollution necessitates immediate intervention in high-risk zones to safeguard public health.</w:t>
      </w:r>
    </w:p>
    <w:p w:rsidR="008C6727" w:rsidRPr="008C6727" w:rsidRDefault="008C6727">
      <w:pPr>
        <w:spacing w:after="0" w:line="480" w:lineRule="auto"/>
        <w:jc w:val="both"/>
        <w:rPr>
          <w:rFonts w:ascii="Times New Roman" w:hAnsi="Times New Roman" w:cs="Times New Roman"/>
          <w:b/>
          <w:sz w:val="24"/>
          <w:szCs w:val="24"/>
        </w:rPr>
      </w:pPr>
      <w:r w:rsidRPr="008C6727">
        <w:rPr>
          <w:rFonts w:ascii="Times New Roman" w:hAnsi="Times New Roman" w:cs="Times New Roman"/>
          <w:b/>
          <w:sz w:val="24"/>
          <w:szCs w:val="24"/>
        </w:rPr>
        <w:t>5.2</w:t>
      </w:r>
      <w:r w:rsidRPr="008C6727">
        <w:rPr>
          <w:rFonts w:ascii="Times New Roman" w:hAnsi="Times New Roman" w:cs="Times New Roman"/>
          <w:b/>
          <w:sz w:val="24"/>
          <w:szCs w:val="24"/>
        </w:rPr>
        <w:tab/>
        <w:t>CONCLUSION</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The groundwater exhibits significant spatial variability in </w:t>
      </w:r>
      <w:proofErr w:type="spellStart"/>
      <w:r w:rsidRPr="008C6727">
        <w:rPr>
          <w:rFonts w:ascii="Times New Roman" w:hAnsi="Times New Roman" w:cs="Times New Roman"/>
          <w:sz w:val="24"/>
          <w:szCs w:val="24"/>
        </w:rPr>
        <w:t>physico</w:t>
      </w:r>
      <w:proofErr w:type="spellEnd"/>
      <w:r w:rsidRPr="008C6727">
        <w:rPr>
          <w:rFonts w:ascii="Times New Roman" w:hAnsi="Times New Roman" w:cs="Times New Roman"/>
          <w:sz w:val="24"/>
          <w:szCs w:val="24"/>
        </w:rPr>
        <w:t xml:space="preserve">-chemical characteristics, influenced by both natural hydrogeological processes and anthropogenic activities. Key physical parameters—including Electrical Conductivity (44.3–1079 m/cm), Total Dissolved Solids (10.6–501.0 mg/l), and acidic to neutral pH (3.7–7.9)—reflect heterogeneous aquifer conditions and potential corrosion risks. Chemically, major ions like Calcium (1.20–6.60 mg/l), Magnesium (2.40–5.53 mg/l), and Chloride (6.00–229.95 mg/l) show moderate concentrations, though Chloride spikes in urban zones indicate contamination from human sources. Critically, Cadmium levels (0.57–0.58 mg/l) consistently exceed WHO guidelines, posing severe health hazards, while detectable Lead (up to 0.0055 mg/l) further compounds toxicity concerns.  </w:t>
      </w:r>
    </w:p>
    <w:p w:rsid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Hardness profiles reveal substantial deviations from safety benchmarks, with Total Hardness (up to 400 mg/l </w:t>
      </w:r>
      <w:proofErr w:type="spellStart"/>
      <w:r w:rsidRPr="008C6727">
        <w:rPr>
          <w:rFonts w:ascii="Times New Roman" w:hAnsi="Times New Roman" w:cs="Times New Roman"/>
          <w:sz w:val="24"/>
          <w:szCs w:val="24"/>
        </w:rPr>
        <w:t>CaCO</w:t>
      </w:r>
      <w:proofErr w:type="spellEnd"/>
      <w:r w:rsidRPr="008C6727">
        <w:rPr>
          <w:rFonts w:ascii="Times New Roman" w:hAnsi="Times New Roman" w:cs="Times New Roman"/>
          <w:sz w:val="24"/>
          <w:szCs w:val="24"/>
        </w:rPr>
        <w:t xml:space="preserve">₃) and Magnesium Hardness (reaching 350 mg/l) in select locations, reducing water usability. The study confirms that 25% of samples are unsafe for consumption due to heavy metal contamination, excessive hardness, and acidic pH, which may accelerate pollutant mobilization. Urgent interventions—including source protection, pollution </w:t>
      </w:r>
      <w:r w:rsidRPr="008C6727">
        <w:rPr>
          <w:rFonts w:ascii="Times New Roman" w:hAnsi="Times New Roman" w:cs="Times New Roman"/>
          <w:sz w:val="24"/>
          <w:szCs w:val="24"/>
        </w:rPr>
        <w:lastRenderedPageBreak/>
        <w:t>remediation, and infrastructure upgrades—are needed to address contamination hotspots, particularly in densely populated areas. Sustainable groundwater management must prioritize monitoring of Cadmium, Lead, and hardness parameters to safeguard public health and ensure long-term water security in the region.</w:t>
      </w:r>
    </w:p>
    <w:p w:rsidR="008C6727" w:rsidRDefault="008C6727" w:rsidP="008C6727">
      <w:pPr>
        <w:spacing w:after="0" w:line="480" w:lineRule="auto"/>
        <w:jc w:val="both"/>
        <w:rPr>
          <w:rFonts w:ascii="Times New Roman" w:hAnsi="Times New Roman" w:cs="Times New Roman"/>
          <w:b/>
          <w:sz w:val="24"/>
          <w:szCs w:val="24"/>
        </w:rPr>
      </w:pPr>
      <w:r w:rsidRPr="008C6727">
        <w:rPr>
          <w:rFonts w:ascii="Times New Roman" w:hAnsi="Times New Roman" w:cs="Times New Roman"/>
          <w:b/>
          <w:sz w:val="24"/>
          <w:szCs w:val="24"/>
        </w:rPr>
        <w:t>5.3</w:t>
      </w:r>
      <w:r w:rsidRPr="008C6727">
        <w:rPr>
          <w:rFonts w:ascii="Times New Roman" w:hAnsi="Times New Roman" w:cs="Times New Roman"/>
          <w:b/>
          <w:sz w:val="24"/>
          <w:szCs w:val="24"/>
        </w:rPr>
        <w:tab/>
        <w:t>RECOMMENDATIONS</w:t>
      </w:r>
    </w:p>
    <w:p w:rsidR="00291A63" w:rsidRDefault="00291A63" w:rsidP="00291A63">
      <w:pPr>
        <w:pStyle w:val="my-2"/>
        <w:spacing w:before="0" w:beforeAutospacing="0" w:after="0" w:afterAutospacing="0" w:line="480" w:lineRule="auto"/>
        <w:jc w:val="both"/>
      </w:pPr>
      <w:r>
        <w:t>Based on the groundwater quality assessment in Ilorin, Southwestern Nigeria, the following recommendations are prioritized for implementation:</w:t>
      </w:r>
    </w:p>
    <w:p w:rsidR="00291A63" w:rsidRDefault="00291A63" w:rsidP="00291A63">
      <w:pPr>
        <w:pStyle w:val="my-2"/>
        <w:numPr>
          <w:ilvl w:val="0"/>
          <w:numId w:val="1"/>
        </w:numPr>
        <w:spacing w:before="0" w:beforeAutospacing="0" w:after="0" w:afterAutospacing="0" w:line="480" w:lineRule="auto"/>
        <w:jc w:val="both"/>
      </w:pPr>
      <w:r>
        <w:t>Immediate Remediation of Heavy Metal Contamination</w:t>
      </w:r>
    </w:p>
    <w:p w:rsidR="00291A63" w:rsidRDefault="00291A63" w:rsidP="00291A63">
      <w:pPr>
        <w:pStyle w:val="my-2"/>
        <w:numPr>
          <w:ilvl w:val="0"/>
          <w:numId w:val="2"/>
        </w:numPr>
        <w:tabs>
          <w:tab w:val="clear" w:pos="720"/>
        </w:tabs>
        <w:spacing w:before="0" w:beforeAutospacing="0" w:after="0" w:afterAutospacing="0" w:line="480" w:lineRule="auto"/>
        <w:ind w:left="1080"/>
        <w:jc w:val="both"/>
      </w:pPr>
      <w:r>
        <w:t>Identify and eliminate industrial/agricultural sources of cadmium (e.g., battery recycling, fertilizers) in areas with Cd levels (0.57–0.58 mg/l) exceeding WHO standards.</w:t>
      </w:r>
    </w:p>
    <w:p w:rsidR="00291A63" w:rsidRDefault="00291A63" w:rsidP="00291A63">
      <w:pPr>
        <w:pStyle w:val="my-2"/>
        <w:numPr>
          <w:ilvl w:val="0"/>
          <w:numId w:val="2"/>
        </w:numPr>
        <w:tabs>
          <w:tab w:val="clear" w:pos="720"/>
        </w:tabs>
        <w:spacing w:before="0" w:beforeAutospacing="0" w:after="0" w:afterAutospacing="0" w:line="480" w:lineRule="auto"/>
        <w:ind w:left="1080"/>
        <w:jc w:val="both"/>
      </w:pPr>
      <w:r>
        <w:t>Replace corroded plumbing infrastructure in zones with acidic groundwater (pH &lt; 6.5) to prevent lead (</w:t>
      </w:r>
      <w:proofErr w:type="spellStart"/>
      <w:r>
        <w:t>Pb</w:t>
      </w:r>
      <w:proofErr w:type="spellEnd"/>
      <w:r>
        <w:t>) leaching.</w:t>
      </w:r>
    </w:p>
    <w:p w:rsidR="00291A63" w:rsidRDefault="00291A63" w:rsidP="00291A63">
      <w:pPr>
        <w:pStyle w:val="my-2"/>
        <w:numPr>
          <w:ilvl w:val="0"/>
          <w:numId w:val="3"/>
        </w:numPr>
        <w:spacing w:before="0" w:beforeAutospacing="0" w:after="0" w:afterAutospacing="0" w:line="480" w:lineRule="auto"/>
        <w:jc w:val="both"/>
      </w:pPr>
      <w:r>
        <w:t>Deploy Water Treatment Solutions</w:t>
      </w:r>
    </w:p>
    <w:p w:rsidR="00291A63" w:rsidRDefault="00291A63" w:rsidP="00291A63">
      <w:pPr>
        <w:pStyle w:val="my-2"/>
        <w:numPr>
          <w:ilvl w:val="0"/>
          <w:numId w:val="4"/>
        </w:numPr>
        <w:tabs>
          <w:tab w:val="clear" w:pos="720"/>
        </w:tabs>
        <w:spacing w:before="0" w:beforeAutospacing="0" w:after="0" w:afterAutospacing="0" w:line="480" w:lineRule="auto"/>
        <w:ind w:left="1080"/>
        <w:jc w:val="both"/>
      </w:pPr>
      <w:r>
        <w:t>Install centralized pH-adjustment systems (e.g., lime dosing) to neutralize acidic water (pH 3.7–5.0) and reduce metal solubility.</w:t>
      </w:r>
    </w:p>
    <w:p w:rsidR="00291A63" w:rsidRDefault="00291A63" w:rsidP="00291A63">
      <w:pPr>
        <w:pStyle w:val="my-2"/>
        <w:numPr>
          <w:ilvl w:val="0"/>
          <w:numId w:val="4"/>
        </w:numPr>
        <w:tabs>
          <w:tab w:val="clear" w:pos="720"/>
        </w:tabs>
        <w:spacing w:before="0" w:beforeAutospacing="0" w:after="0" w:afterAutospacing="0" w:line="480" w:lineRule="auto"/>
        <w:ind w:left="1080"/>
        <w:jc w:val="both"/>
      </w:pPr>
      <w:r>
        <w:t>Provide point-of-use filtration (activated carbon/ion exchange) for households in heavy metal-affected areas.</w:t>
      </w:r>
    </w:p>
    <w:p w:rsidR="00291A63" w:rsidRDefault="00291A63" w:rsidP="00291A63">
      <w:pPr>
        <w:pStyle w:val="my-2"/>
        <w:numPr>
          <w:ilvl w:val="0"/>
          <w:numId w:val="5"/>
        </w:numPr>
        <w:spacing w:before="0" w:beforeAutospacing="0" w:after="0" w:afterAutospacing="0" w:line="480" w:lineRule="auto"/>
        <w:jc w:val="both"/>
      </w:pPr>
      <w:r>
        <w:t>Enforce Source Protection Measures</w:t>
      </w:r>
    </w:p>
    <w:p w:rsidR="00291A63" w:rsidRDefault="00291A63" w:rsidP="00291A63">
      <w:pPr>
        <w:pStyle w:val="my-2"/>
        <w:numPr>
          <w:ilvl w:val="0"/>
          <w:numId w:val="6"/>
        </w:numPr>
        <w:tabs>
          <w:tab w:val="clear" w:pos="720"/>
        </w:tabs>
        <w:spacing w:before="0" w:beforeAutospacing="0" w:after="0" w:afterAutospacing="0" w:line="480" w:lineRule="auto"/>
        <w:ind w:left="1080"/>
        <w:jc w:val="both"/>
      </w:pPr>
      <w:r>
        <w:t>Regulate industrial effluent discharge in chloride (</w:t>
      </w:r>
      <w:proofErr w:type="spellStart"/>
      <w:r>
        <w:t>Cl</w:t>
      </w:r>
      <w:proofErr w:type="spellEnd"/>
      <w:r>
        <w:t>) hotspots (up to 229.95 mg/l) and establish 100-meter buffer zones around boreholes to restrict waste dumping.</w:t>
      </w:r>
    </w:p>
    <w:p w:rsidR="00291A63" w:rsidRDefault="00291A63" w:rsidP="00291A63">
      <w:pPr>
        <w:pStyle w:val="my-2"/>
        <w:numPr>
          <w:ilvl w:val="0"/>
          <w:numId w:val="7"/>
        </w:numPr>
        <w:spacing w:before="0" w:beforeAutospacing="0" w:after="0" w:afterAutospacing="0" w:line="480" w:lineRule="auto"/>
        <w:jc w:val="both"/>
      </w:pPr>
      <w:r>
        <w:t>Expand Monitoring and Governance</w:t>
      </w:r>
    </w:p>
    <w:p w:rsidR="00291A63" w:rsidRDefault="00291A63" w:rsidP="00291A63">
      <w:pPr>
        <w:pStyle w:val="my-2"/>
        <w:numPr>
          <w:ilvl w:val="0"/>
          <w:numId w:val="8"/>
        </w:numPr>
        <w:tabs>
          <w:tab w:val="clear" w:pos="720"/>
        </w:tabs>
        <w:spacing w:before="0" w:beforeAutospacing="0" w:after="0" w:afterAutospacing="0" w:line="480" w:lineRule="auto"/>
        <w:ind w:left="1080"/>
        <w:jc w:val="both"/>
      </w:pPr>
      <w:r>
        <w:t>Implement quarterly testing for cadmium, lead, pH, and hardness across all 30 locations, with public data sharing.</w:t>
      </w:r>
    </w:p>
    <w:p w:rsidR="00291A63" w:rsidRDefault="00291A63" w:rsidP="00291A63">
      <w:pPr>
        <w:pStyle w:val="my-2"/>
        <w:numPr>
          <w:ilvl w:val="0"/>
          <w:numId w:val="8"/>
        </w:numPr>
        <w:tabs>
          <w:tab w:val="clear" w:pos="720"/>
        </w:tabs>
        <w:spacing w:before="0" w:beforeAutospacing="0" w:after="0" w:afterAutospacing="0" w:line="480" w:lineRule="auto"/>
        <w:ind w:left="1080"/>
        <w:jc w:val="both"/>
      </w:pPr>
      <w:r>
        <w:lastRenderedPageBreak/>
        <w:t>Update water safety policies to include WHO-exceeded parameters (Cd, hardness) and penalize non-compliant industries.</w:t>
      </w:r>
    </w:p>
    <w:p w:rsidR="00291A63" w:rsidRDefault="00291A63" w:rsidP="00291A63">
      <w:pPr>
        <w:pStyle w:val="my-2"/>
        <w:numPr>
          <w:ilvl w:val="0"/>
          <w:numId w:val="9"/>
        </w:numPr>
        <w:spacing w:before="0" w:beforeAutospacing="0" w:after="0" w:afterAutospacing="0" w:line="480" w:lineRule="auto"/>
        <w:jc w:val="both"/>
      </w:pPr>
      <w:r>
        <w:t>Launch Public Awareness Campaigns</w:t>
      </w:r>
    </w:p>
    <w:p w:rsidR="00291A63" w:rsidRDefault="00291A63" w:rsidP="00291A63">
      <w:pPr>
        <w:pStyle w:val="my-2"/>
        <w:numPr>
          <w:ilvl w:val="0"/>
          <w:numId w:val="10"/>
        </w:numPr>
        <w:tabs>
          <w:tab w:val="clear" w:pos="720"/>
          <w:tab w:val="num" w:pos="-360"/>
        </w:tabs>
        <w:spacing w:before="0" w:beforeAutospacing="0" w:after="0" w:afterAutospacing="0" w:line="480" w:lineRule="auto"/>
        <w:ind w:left="1080"/>
        <w:jc w:val="both"/>
      </w:pPr>
      <w:r>
        <w:t>Educate communities on cadmium exposure risks (kidney damage, cancer) and distribute water test kits for self-monitoring.</w:t>
      </w:r>
    </w:p>
    <w:p w:rsidR="00291A63" w:rsidRDefault="00291A63" w:rsidP="00291A63">
      <w:pPr>
        <w:pStyle w:val="my-2"/>
        <w:numPr>
          <w:ilvl w:val="0"/>
          <w:numId w:val="11"/>
        </w:numPr>
        <w:spacing w:before="0" w:beforeAutospacing="0" w:after="0" w:afterAutospacing="0" w:line="480" w:lineRule="auto"/>
        <w:jc w:val="both"/>
      </w:pPr>
      <w:r>
        <w:t>Invest in Long-Term Research</w:t>
      </w:r>
    </w:p>
    <w:p w:rsidR="008C6727" w:rsidRDefault="00291A63" w:rsidP="00291A63">
      <w:pPr>
        <w:pStyle w:val="my-2"/>
        <w:numPr>
          <w:ilvl w:val="0"/>
          <w:numId w:val="12"/>
        </w:numPr>
        <w:tabs>
          <w:tab w:val="clear" w:pos="720"/>
        </w:tabs>
        <w:spacing w:before="0" w:beforeAutospacing="0" w:after="0" w:afterAutospacing="0" w:line="480" w:lineRule="auto"/>
        <w:ind w:left="1080"/>
        <w:jc w:val="both"/>
      </w:pPr>
      <w:proofErr w:type="gramStart"/>
      <w:r>
        <w:t>Study carbonate</w:t>
      </w:r>
      <w:proofErr w:type="gramEnd"/>
      <w:r>
        <w:t xml:space="preserve"> rock dissolution to address extremely low bicarbonate levels (0.20–2.18 mg/l) and aquifer vulnerability.</w:t>
      </w: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1C6E4B" w:rsidRPr="001C6E4B" w:rsidRDefault="001C6E4B" w:rsidP="001C6E4B">
      <w:pPr>
        <w:spacing w:before="100" w:beforeAutospacing="1" w:after="100" w:afterAutospacing="1" w:line="240" w:lineRule="auto"/>
        <w:jc w:val="center"/>
        <w:rPr>
          <w:rFonts w:ascii="Times New Roman" w:eastAsia="Times New Roman" w:hAnsi="Times New Roman" w:cs="Times New Roman"/>
          <w:b/>
          <w:caps/>
          <w:sz w:val="24"/>
          <w:szCs w:val="24"/>
        </w:rPr>
      </w:pPr>
      <w:r w:rsidRPr="001C6E4B">
        <w:rPr>
          <w:rFonts w:ascii="Times New Roman" w:eastAsia="Times New Roman" w:hAnsi="Times New Roman" w:cs="Times New Roman"/>
          <w:b/>
          <w:caps/>
          <w:sz w:val="24"/>
          <w:szCs w:val="24"/>
        </w:rPr>
        <w:lastRenderedPageBreak/>
        <w:t>references</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Adelekan</w:t>
      </w:r>
      <w:proofErr w:type="spellEnd"/>
      <w:r w:rsidRPr="001C6E4B">
        <w:rPr>
          <w:rFonts w:ascii="Times New Roman" w:eastAsia="Times New Roman" w:hAnsi="Times New Roman" w:cs="Times New Roman"/>
          <w:b/>
          <w:bCs/>
          <w:sz w:val="24"/>
          <w:szCs w:val="24"/>
        </w:rPr>
        <w:t>, B. A.</w:t>
      </w:r>
      <w:r w:rsidRPr="001C6E4B">
        <w:rPr>
          <w:rFonts w:ascii="Times New Roman" w:eastAsia="Times New Roman" w:hAnsi="Times New Roman" w:cs="Times New Roman"/>
          <w:sz w:val="24"/>
          <w:szCs w:val="24"/>
        </w:rPr>
        <w:t xml:space="preserve"> (2010). </w:t>
      </w:r>
      <w:proofErr w:type="gramStart"/>
      <w:r w:rsidRPr="001C6E4B">
        <w:rPr>
          <w:rFonts w:ascii="Times New Roman" w:eastAsia="Times New Roman" w:hAnsi="Times New Roman" w:cs="Times New Roman"/>
          <w:sz w:val="24"/>
          <w:szCs w:val="24"/>
        </w:rPr>
        <w:t>Water supply and sanitation in Nigeria challenges and prospect.</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Water Resources and Protection</w:t>
      </w:r>
      <w:r w:rsidRPr="001C6E4B">
        <w:rPr>
          <w:rFonts w:ascii="Times New Roman" w:eastAsia="Times New Roman" w:hAnsi="Times New Roman" w:cs="Times New Roman"/>
          <w:sz w:val="24"/>
          <w:szCs w:val="24"/>
        </w:rPr>
        <w:t>, 2(5), 461-469.</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Afolabi</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Olutomilola</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Olabode</w:t>
      </w:r>
      <w:proofErr w:type="spellEnd"/>
      <w:r w:rsidRPr="001C6E4B">
        <w:rPr>
          <w:rFonts w:ascii="Times New Roman" w:eastAsia="Times New Roman" w:hAnsi="Times New Roman" w:cs="Times New Roman"/>
          <w:b/>
          <w:bCs/>
          <w:sz w:val="24"/>
          <w:szCs w:val="24"/>
        </w:rPr>
        <w:t xml:space="preserve">, O., &amp; </w:t>
      </w:r>
      <w:proofErr w:type="spellStart"/>
      <w:r w:rsidRPr="001C6E4B">
        <w:rPr>
          <w:rFonts w:ascii="Times New Roman" w:eastAsia="Times New Roman" w:hAnsi="Times New Roman" w:cs="Times New Roman"/>
          <w:b/>
          <w:bCs/>
          <w:sz w:val="24"/>
          <w:szCs w:val="24"/>
        </w:rPr>
        <w:t>Ishaku</w:t>
      </w:r>
      <w:proofErr w:type="spellEnd"/>
      <w:r w:rsidRPr="001C6E4B">
        <w:rPr>
          <w:rFonts w:ascii="Times New Roman" w:eastAsia="Times New Roman" w:hAnsi="Times New Roman" w:cs="Times New Roman"/>
          <w:b/>
          <w:bCs/>
          <w:sz w:val="24"/>
          <w:szCs w:val="24"/>
        </w:rPr>
        <w:t>, J. D.</w:t>
      </w:r>
      <w:r w:rsidRPr="001C6E4B">
        <w:rPr>
          <w:rFonts w:ascii="Times New Roman" w:eastAsia="Times New Roman" w:hAnsi="Times New Roman" w:cs="Times New Roman"/>
          <w:sz w:val="24"/>
          <w:szCs w:val="24"/>
        </w:rPr>
        <w:t xml:space="preserve"> (2018).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Assessment of groundwater system characteristic in Ilorin metropolis Southwestern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America Journal of Water Science and Engineering</w:t>
      </w:r>
      <w:r w:rsidRPr="001C6E4B">
        <w:rPr>
          <w:rFonts w:ascii="Times New Roman" w:eastAsia="Times New Roman" w:hAnsi="Times New Roman" w:cs="Times New Roman"/>
          <w:sz w:val="24"/>
          <w:szCs w:val="24"/>
        </w:rPr>
        <w:t>, 4001, pp. 1-8.</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1C6E4B">
        <w:rPr>
          <w:rFonts w:ascii="Times New Roman" w:eastAsia="Times New Roman" w:hAnsi="Times New Roman" w:cs="Times New Roman"/>
          <w:b/>
          <w:bCs/>
          <w:sz w:val="24"/>
          <w:szCs w:val="24"/>
        </w:rPr>
        <w:t xml:space="preserve">Abdullah, N., </w:t>
      </w:r>
      <w:proofErr w:type="spellStart"/>
      <w:r w:rsidRPr="001C6E4B">
        <w:rPr>
          <w:rFonts w:ascii="Times New Roman" w:eastAsia="Times New Roman" w:hAnsi="Times New Roman" w:cs="Times New Roman"/>
          <w:b/>
          <w:bCs/>
          <w:sz w:val="24"/>
          <w:szCs w:val="24"/>
        </w:rPr>
        <w:t>Rahman</w:t>
      </w:r>
      <w:proofErr w:type="spellEnd"/>
      <w:r w:rsidRPr="001C6E4B">
        <w:rPr>
          <w:rFonts w:ascii="Times New Roman" w:eastAsia="Times New Roman" w:hAnsi="Times New Roman" w:cs="Times New Roman"/>
          <w:b/>
          <w:bCs/>
          <w:sz w:val="24"/>
          <w:szCs w:val="24"/>
        </w:rPr>
        <w:t xml:space="preserve">, R. A., &amp; </w:t>
      </w:r>
      <w:proofErr w:type="spellStart"/>
      <w:r w:rsidRPr="001C6E4B">
        <w:rPr>
          <w:rFonts w:ascii="Times New Roman" w:eastAsia="Times New Roman" w:hAnsi="Times New Roman" w:cs="Times New Roman"/>
          <w:b/>
          <w:bCs/>
          <w:sz w:val="24"/>
          <w:szCs w:val="24"/>
        </w:rPr>
        <w:t>Karim</w:t>
      </w:r>
      <w:proofErr w:type="spellEnd"/>
      <w:r w:rsidRPr="001C6E4B">
        <w:rPr>
          <w:rFonts w:ascii="Times New Roman" w:eastAsia="Times New Roman" w:hAnsi="Times New Roman" w:cs="Times New Roman"/>
          <w:b/>
          <w:bCs/>
          <w:sz w:val="24"/>
          <w:szCs w:val="24"/>
        </w:rPr>
        <w:t>, M. R.</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Geophysical analysis of aquifer systems in Ilorin Basement Complex.</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Malaysian Journal of Geosciences</w:t>
      </w:r>
      <w:r w:rsidRPr="001C6E4B">
        <w:rPr>
          <w:rFonts w:ascii="Times New Roman" w:eastAsia="Times New Roman" w:hAnsi="Times New Roman" w:cs="Times New Roman"/>
          <w:sz w:val="24"/>
          <w:szCs w:val="24"/>
        </w:rPr>
        <w:t>, 7(2), 102–115.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Abubakar</w:t>
      </w:r>
      <w:proofErr w:type="spellEnd"/>
      <w:r w:rsidRPr="001C6E4B">
        <w:rPr>
          <w:rFonts w:ascii="Times New Roman" w:eastAsia="Times New Roman" w:hAnsi="Times New Roman" w:cs="Times New Roman"/>
          <w:b/>
          <w:bCs/>
          <w:sz w:val="24"/>
          <w:szCs w:val="24"/>
        </w:rPr>
        <w:t>, A., Bello, R. A., &amp; Salami, H. T.</w:t>
      </w:r>
      <w:r w:rsidRPr="001C6E4B">
        <w:rPr>
          <w:rFonts w:ascii="Times New Roman" w:eastAsia="Times New Roman" w:hAnsi="Times New Roman" w:cs="Times New Roman"/>
          <w:sz w:val="24"/>
          <w:szCs w:val="24"/>
        </w:rPr>
        <w:t xml:space="preserve"> (2025).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Hydrogeological and geochemical characterization of groundwater in Ilorin, Southwestern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Environmental Science and Water Resources</w:t>
      </w:r>
      <w:r w:rsidRPr="001C6E4B">
        <w:rPr>
          <w:rFonts w:ascii="Times New Roman" w:eastAsia="Times New Roman" w:hAnsi="Times New Roman" w:cs="Times New Roman"/>
          <w:sz w:val="24"/>
          <w:szCs w:val="24"/>
        </w:rPr>
        <w:t>, 12(1), 45–60.</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Adeyemi</w:t>
      </w:r>
      <w:proofErr w:type="spellEnd"/>
      <w:r w:rsidRPr="001C6E4B">
        <w:rPr>
          <w:rFonts w:ascii="Times New Roman" w:eastAsia="Times New Roman" w:hAnsi="Times New Roman" w:cs="Times New Roman"/>
          <w:b/>
          <w:bCs/>
          <w:sz w:val="24"/>
          <w:szCs w:val="24"/>
        </w:rPr>
        <w:t xml:space="preserve">, K. S., </w:t>
      </w:r>
      <w:proofErr w:type="spellStart"/>
      <w:r w:rsidRPr="001C6E4B">
        <w:rPr>
          <w:rFonts w:ascii="Times New Roman" w:eastAsia="Times New Roman" w:hAnsi="Times New Roman" w:cs="Times New Roman"/>
          <w:b/>
          <w:bCs/>
          <w:sz w:val="24"/>
          <w:szCs w:val="24"/>
        </w:rPr>
        <w:t>Aladejana</w:t>
      </w:r>
      <w:proofErr w:type="spellEnd"/>
      <w:r w:rsidRPr="001C6E4B">
        <w:rPr>
          <w:rFonts w:ascii="Times New Roman" w:eastAsia="Times New Roman" w:hAnsi="Times New Roman" w:cs="Times New Roman"/>
          <w:b/>
          <w:bCs/>
          <w:sz w:val="24"/>
          <w:szCs w:val="24"/>
        </w:rPr>
        <w:t xml:space="preserve">, J. A., &amp; </w:t>
      </w:r>
      <w:proofErr w:type="spellStart"/>
      <w:r w:rsidRPr="001C6E4B">
        <w:rPr>
          <w:rFonts w:ascii="Times New Roman" w:eastAsia="Times New Roman" w:hAnsi="Times New Roman" w:cs="Times New Roman"/>
          <w:b/>
          <w:bCs/>
          <w:sz w:val="24"/>
          <w:szCs w:val="24"/>
        </w:rPr>
        <w:t>Ogunbayo</w:t>
      </w:r>
      <w:proofErr w:type="spellEnd"/>
      <w:r w:rsidRPr="001C6E4B">
        <w:rPr>
          <w:rFonts w:ascii="Times New Roman" w:eastAsia="Times New Roman" w:hAnsi="Times New Roman" w:cs="Times New Roman"/>
          <w:b/>
          <w:bCs/>
          <w:sz w:val="24"/>
          <w:szCs w:val="24"/>
        </w:rPr>
        <w:t>, B. O.</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Impact of anthropogenic activities on groundwater quality in Southwestern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Water Resources Management</w:t>
      </w:r>
      <w:r w:rsidRPr="001C6E4B">
        <w:rPr>
          <w:rFonts w:ascii="Times New Roman" w:eastAsia="Times New Roman" w:hAnsi="Times New Roman" w:cs="Times New Roman"/>
          <w:sz w:val="24"/>
          <w:szCs w:val="24"/>
        </w:rPr>
        <w:t>, 37(4), 2105–2120.</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Ajayi</w:t>
      </w:r>
      <w:proofErr w:type="spellEnd"/>
      <w:r w:rsidRPr="001C6E4B">
        <w:rPr>
          <w:rFonts w:ascii="Times New Roman" w:eastAsia="Times New Roman" w:hAnsi="Times New Roman" w:cs="Times New Roman"/>
          <w:b/>
          <w:bCs/>
          <w:sz w:val="24"/>
          <w:szCs w:val="24"/>
        </w:rPr>
        <w:t>, T. O., &amp; Bello, M. A.</w:t>
      </w:r>
      <w:r w:rsidRPr="001C6E4B">
        <w:rPr>
          <w:rFonts w:ascii="Times New Roman" w:eastAsia="Times New Roman" w:hAnsi="Times New Roman" w:cs="Times New Roman"/>
          <w:sz w:val="24"/>
          <w:szCs w:val="24"/>
        </w:rPr>
        <w:t xml:space="preserve"> (2024).</w:t>
      </w:r>
      <w:proofErr w:type="gramEnd"/>
      <w:r w:rsidRPr="001C6E4B">
        <w:rPr>
          <w:rFonts w:ascii="Times New Roman" w:eastAsia="Times New Roman" w:hAnsi="Times New Roman" w:cs="Times New Roman"/>
          <w:sz w:val="24"/>
          <w:szCs w:val="24"/>
        </w:rPr>
        <w:t xml:space="preserve"> Assessment of groundwater contamination sources in urban Nigeria. </w:t>
      </w:r>
      <w:r w:rsidRPr="001C6E4B">
        <w:rPr>
          <w:rFonts w:ascii="Times New Roman" w:eastAsia="Times New Roman" w:hAnsi="Times New Roman" w:cs="Times New Roman"/>
          <w:i/>
          <w:iCs/>
          <w:sz w:val="24"/>
          <w:szCs w:val="24"/>
        </w:rPr>
        <w:t>Journal of Environmental Science and Health</w:t>
      </w:r>
      <w:r w:rsidRPr="001C6E4B">
        <w:rPr>
          <w:rFonts w:ascii="Times New Roman" w:eastAsia="Times New Roman" w:hAnsi="Times New Roman" w:cs="Times New Roman"/>
          <w:sz w:val="24"/>
          <w:szCs w:val="24"/>
        </w:rPr>
        <w:t>, 59(2), 123–135.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Ashaolu</w:t>
      </w:r>
      <w:proofErr w:type="spellEnd"/>
      <w:r w:rsidRPr="001C6E4B">
        <w:rPr>
          <w:rFonts w:ascii="Times New Roman" w:eastAsia="Times New Roman" w:hAnsi="Times New Roman" w:cs="Times New Roman"/>
          <w:b/>
          <w:bCs/>
          <w:sz w:val="24"/>
          <w:szCs w:val="24"/>
        </w:rPr>
        <w:t xml:space="preserve">, T. O., &amp; </w:t>
      </w:r>
      <w:proofErr w:type="spellStart"/>
      <w:r w:rsidRPr="001C6E4B">
        <w:rPr>
          <w:rFonts w:ascii="Times New Roman" w:eastAsia="Times New Roman" w:hAnsi="Times New Roman" w:cs="Times New Roman"/>
          <w:b/>
          <w:bCs/>
          <w:sz w:val="24"/>
          <w:szCs w:val="24"/>
        </w:rPr>
        <w:t>Omotosho</w:t>
      </w:r>
      <w:proofErr w:type="spellEnd"/>
      <w:r w:rsidRPr="001C6E4B">
        <w:rPr>
          <w:rFonts w:ascii="Times New Roman" w:eastAsia="Times New Roman" w:hAnsi="Times New Roman" w:cs="Times New Roman"/>
          <w:b/>
          <w:bCs/>
          <w:sz w:val="24"/>
          <w:szCs w:val="24"/>
        </w:rPr>
        <w:t>, O. A.</w:t>
      </w:r>
      <w:r w:rsidRPr="001C6E4B">
        <w:rPr>
          <w:rFonts w:ascii="Times New Roman" w:eastAsia="Times New Roman" w:hAnsi="Times New Roman" w:cs="Times New Roman"/>
          <w:sz w:val="24"/>
          <w:szCs w:val="24"/>
        </w:rPr>
        <w:t xml:space="preserve"> (2015).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Assessment of groundwater potential in basement complex area of Ilorin,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Nigerian Journal of Environmental Sciences</w:t>
      </w:r>
      <w:r w:rsidRPr="001C6E4B">
        <w:rPr>
          <w:rFonts w:ascii="Times New Roman" w:eastAsia="Times New Roman" w:hAnsi="Times New Roman" w:cs="Times New Roman"/>
          <w:sz w:val="24"/>
          <w:szCs w:val="24"/>
        </w:rPr>
        <w:t>, 9(2), 77–86.</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Bamidele</w:t>
      </w:r>
      <w:proofErr w:type="spellEnd"/>
      <w:r w:rsidRPr="001C6E4B">
        <w:rPr>
          <w:rFonts w:ascii="Times New Roman" w:eastAsia="Times New Roman" w:hAnsi="Times New Roman" w:cs="Times New Roman"/>
          <w:b/>
          <w:bCs/>
          <w:sz w:val="24"/>
          <w:szCs w:val="24"/>
        </w:rPr>
        <w:t xml:space="preserve">, T. O., &amp; </w:t>
      </w:r>
      <w:proofErr w:type="spellStart"/>
      <w:r w:rsidRPr="001C6E4B">
        <w:rPr>
          <w:rFonts w:ascii="Times New Roman" w:eastAsia="Times New Roman" w:hAnsi="Times New Roman" w:cs="Times New Roman"/>
          <w:b/>
          <w:bCs/>
          <w:sz w:val="24"/>
          <w:szCs w:val="24"/>
        </w:rPr>
        <w:t>Olowookere</w:t>
      </w:r>
      <w:proofErr w:type="spellEnd"/>
      <w:r w:rsidRPr="001C6E4B">
        <w:rPr>
          <w:rFonts w:ascii="Times New Roman" w:eastAsia="Times New Roman" w:hAnsi="Times New Roman" w:cs="Times New Roman"/>
          <w:b/>
          <w:bCs/>
          <w:sz w:val="24"/>
          <w:szCs w:val="24"/>
        </w:rPr>
        <w:t>, O. J.</w:t>
      </w:r>
      <w:r w:rsidRPr="001C6E4B">
        <w:rPr>
          <w:rFonts w:ascii="Times New Roman" w:eastAsia="Times New Roman" w:hAnsi="Times New Roman" w:cs="Times New Roman"/>
          <w:sz w:val="24"/>
          <w:szCs w:val="24"/>
        </w:rPr>
        <w:t xml:space="preserve"> (2021).</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Application of GIS in groundwater management in Ilorin.</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International Journal of Technical Research and Development</w:t>
      </w:r>
      <w:r w:rsidRPr="001C6E4B">
        <w:rPr>
          <w:rFonts w:ascii="Times New Roman" w:eastAsia="Times New Roman" w:hAnsi="Times New Roman" w:cs="Times New Roman"/>
          <w:sz w:val="24"/>
          <w:szCs w:val="24"/>
        </w:rPr>
        <w:t>, 8(1), 56–64.</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1C6E4B">
        <w:rPr>
          <w:rFonts w:ascii="Times New Roman" w:eastAsia="Times New Roman" w:hAnsi="Times New Roman" w:cs="Times New Roman"/>
          <w:b/>
          <w:bCs/>
          <w:sz w:val="24"/>
          <w:szCs w:val="24"/>
        </w:rPr>
        <w:t xml:space="preserve">Ibrahim, S. A., Musa, Y. A., &amp; </w:t>
      </w:r>
      <w:proofErr w:type="spellStart"/>
      <w:r w:rsidRPr="001C6E4B">
        <w:rPr>
          <w:rFonts w:ascii="Times New Roman" w:eastAsia="Times New Roman" w:hAnsi="Times New Roman" w:cs="Times New Roman"/>
          <w:b/>
          <w:bCs/>
          <w:sz w:val="24"/>
          <w:szCs w:val="24"/>
        </w:rPr>
        <w:t>Raji</w:t>
      </w:r>
      <w:proofErr w:type="spellEnd"/>
      <w:r w:rsidRPr="001C6E4B">
        <w:rPr>
          <w:rFonts w:ascii="Times New Roman" w:eastAsia="Times New Roman" w:hAnsi="Times New Roman" w:cs="Times New Roman"/>
          <w:b/>
          <w:bCs/>
          <w:sz w:val="24"/>
          <w:szCs w:val="24"/>
        </w:rPr>
        <w:t>, M. A.</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Health risk assessment of heavy metals in groundwater: A case study of Ilorin, Nigeria. </w:t>
      </w:r>
      <w:proofErr w:type="gramStart"/>
      <w:r w:rsidRPr="001C6E4B">
        <w:rPr>
          <w:rFonts w:ascii="Times New Roman" w:eastAsia="Times New Roman" w:hAnsi="Times New Roman" w:cs="Times New Roman"/>
          <w:i/>
          <w:iCs/>
          <w:sz w:val="24"/>
          <w:szCs w:val="24"/>
        </w:rPr>
        <w:t>Environmental Toxicology and Pharmacology</w:t>
      </w:r>
      <w:r w:rsidRPr="001C6E4B">
        <w:rPr>
          <w:rFonts w:ascii="Times New Roman" w:eastAsia="Times New Roman" w:hAnsi="Times New Roman" w:cs="Times New Roman"/>
          <w:sz w:val="24"/>
          <w:szCs w:val="24"/>
        </w:rPr>
        <w:t>, 96, 103856.</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Idowu</w:t>
      </w:r>
      <w:proofErr w:type="spellEnd"/>
      <w:r w:rsidRPr="001C6E4B">
        <w:rPr>
          <w:rFonts w:ascii="Times New Roman" w:eastAsia="Times New Roman" w:hAnsi="Times New Roman" w:cs="Times New Roman"/>
          <w:b/>
          <w:bCs/>
          <w:sz w:val="24"/>
          <w:szCs w:val="24"/>
        </w:rPr>
        <w:t xml:space="preserve">, O. A., </w:t>
      </w:r>
      <w:proofErr w:type="spellStart"/>
      <w:r w:rsidRPr="001C6E4B">
        <w:rPr>
          <w:rFonts w:ascii="Times New Roman" w:eastAsia="Times New Roman" w:hAnsi="Times New Roman" w:cs="Times New Roman"/>
          <w:b/>
          <w:bCs/>
          <w:sz w:val="24"/>
          <w:szCs w:val="24"/>
        </w:rPr>
        <w:t>Marting</w:t>
      </w:r>
      <w:proofErr w:type="spellEnd"/>
      <w:r w:rsidRPr="001C6E4B">
        <w:rPr>
          <w:rFonts w:ascii="Times New Roman" w:eastAsia="Times New Roman" w:hAnsi="Times New Roman" w:cs="Times New Roman"/>
          <w:b/>
          <w:bCs/>
          <w:sz w:val="24"/>
          <w:szCs w:val="24"/>
        </w:rPr>
        <w:t xml:space="preserve">, O., &amp; </w:t>
      </w:r>
      <w:proofErr w:type="spellStart"/>
      <w:r w:rsidRPr="001C6E4B">
        <w:rPr>
          <w:rFonts w:ascii="Times New Roman" w:eastAsia="Times New Roman" w:hAnsi="Times New Roman" w:cs="Times New Roman"/>
          <w:b/>
          <w:bCs/>
          <w:sz w:val="24"/>
          <w:szCs w:val="24"/>
        </w:rPr>
        <w:t>Gbadebo</w:t>
      </w:r>
      <w:proofErr w:type="spellEnd"/>
      <w:r w:rsidRPr="001C6E4B">
        <w:rPr>
          <w:rFonts w:ascii="Times New Roman" w:eastAsia="Times New Roman" w:hAnsi="Times New Roman" w:cs="Times New Roman"/>
          <w:b/>
          <w:bCs/>
          <w:sz w:val="24"/>
          <w:szCs w:val="24"/>
        </w:rPr>
        <w:t>, A. M.</w:t>
      </w:r>
      <w:r w:rsidRPr="001C6E4B">
        <w:rPr>
          <w:rFonts w:ascii="Times New Roman" w:eastAsia="Times New Roman" w:hAnsi="Times New Roman" w:cs="Times New Roman"/>
          <w:sz w:val="24"/>
          <w:szCs w:val="24"/>
        </w:rPr>
        <w:t xml:space="preserve"> (2007).</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 xml:space="preserve">Hydraulic and </w:t>
      </w:r>
      <w:proofErr w:type="spell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characteristic of the phreatic basement aquifers in the southwest of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Mining and Geology</w:t>
      </w:r>
      <w:r w:rsidRPr="001C6E4B">
        <w:rPr>
          <w:rFonts w:ascii="Times New Roman" w:eastAsia="Times New Roman" w:hAnsi="Times New Roman" w:cs="Times New Roman"/>
          <w:sz w:val="24"/>
          <w:szCs w:val="24"/>
        </w:rPr>
        <w:t>, 43(1), 71–78.</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Ifabiyi</w:t>
      </w:r>
      <w:proofErr w:type="spellEnd"/>
      <w:r w:rsidRPr="001C6E4B">
        <w:rPr>
          <w:rFonts w:ascii="Times New Roman" w:eastAsia="Times New Roman" w:hAnsi="Times New Roman" w:cs="Times New Roman"/>
          <w:b/>
          <w:bCs/>
          <w:sz w:val="24"/>
          <w:szCs w:val="24"/>
        </w:rPr>
        <w:t xml:space="preserve">, I. P., </w:t>
      </w:r>
      <w:proofErr w:type="spellStart"/>
      <w:r w:rsidRPr="001C6E4B">
        <w:rPr>
          <w:rFonts w:ascii="Times New Roman" w:eastAsia="Times New Roman" w:hAnsi="Times New Roman" w:cs="Times New Roman"/>
          <w:b/>
          <w:bCs/>
          <w:sz w:val="24"/>
          <w:szCs w:val="24"/>
        </w:rPr>
        <w:t>Sule</w:t>
      </w:r>
      <w:proofErr w:type="spellEnd"/>
      <w:r w:rsidRPr="001C6E4B">
        <w:rPr>
          <w:rFonts w:ascii="Times New Roman" w:eastAsia="Times New Roman" w:hAnsi="Times New Roman" w:cs="Times New Roman"/>
          <w:b/>
          <w:bCs/>
          <w:sz w:val="24"/>
          <w:szCs w:val="24"/>
        </w:rPr>
        <w:t xml:space="preserve">, O. B., &amp; </w:t>
      </w:r>
      <w:proofErr w:type="spellStart"/>
      <w:r w:rsidRPr="001C6E4B">
        <w:rPr>
          <w:rFonts w:ascii="Times New Roman" w:eastAsia="Times New Roman" w:hAnsi="Times New Roman" w:cs="Times New Roman"/>
          <w:b/>
          <w:bCs/>
          <w:sz w:val="24"/>
          <w:szCs w:val="24"/>
        </w:rPr>
        <w:t>Adewuyi</w:t>
      </w:r>
      <w:proofErr w:type="spellEnd"/>
      <w:r w:rsidRPr="001C6E4B">
        <w:rPr>
          <w:rFonts w:ascii="Times New Roman" w:eastAsia="Times New Roman" w:hAnsi="Times New Roman" w:cs="Times New Roman"/>
          <w:b/>
          <w:bCs/>
          <w:sz w:val="24"/>
          <w:szCs w:val="24"/>
        </w:rPr>
        <w:t>, T. O.</w:t>
      </w:r>
      <w:r w:rsidRPr="001C6E4B">
        <w:rPr>
          <w:rFonts w:ascii="Times New Roman" w:eastAsia="Times New Roman" w:hAnsi="Times New Roman" w:cs="Times New Roman"/>
          <w:sz w:val="24"/>
          <w:szCs w:val="24"/>
        </w:rPr>
        <w:t xml:space="preserve"> (2016).</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Hydrogeological characteristics of regolith aquifers in Ilorin metropolis.</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Water Resources Journal of Nigeria</w:t>
      </w:r>
      <w:r w:rsidRPr="001C6E4B">
        <w:rPr>
          <w:rFonts w:ascii="Times New Roman" w:eastAsia="Times New Roman" w:hAnsi="Times New Roman" w:cs="Times New Roman"/>
          <w:sz w:val="24"/>
          <w:szCs w:val="24"/>
        </w:rPr>
        <w:t>, 26(1), 41–52.</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Ige</w:t>
      </w:r>
      <w:proofErr w:type="spellEnd"/>
      <w:r w:rsidRPr="001C6E4B">
        <w:rPr>
          <w:rFonts w:ascii="Times New Roman" w:eastAsia="Times New Roman" w:hAnsi="Times New Roman" w:cs="Times New Roman"/>
          <w:b/>
          <w:bCs/>
          <w:sz w:val="24"/>
          <w:szCs w:val="24"/>
        </w:rPr>
        <w:t xml:space="preserve">, T. A., &amp; </w:t>
      </w:r>
      <w:proofErr w:type="spellStart"/>
      <w:r w:rsidRPr="001C6E4B">
        <w:rPr>
          <w:rFonts w:ascii="Times New Roman" w:eastAsia="Times New Roman" w:hAnsi="Times New Roman" w:cs="Times New Roman"/>
          <w:b/>
          <w:bCs/>
          <w:sz w:val="24"/>
          <w:szCs w:val="24"/>
        </w:rPr>
        <w:t>Ajiboye</w:t>
      </w:r>
      <w:proofErr w:type="spellEnd"/>
      <w:r w:rsidRPr="001C6E4B">
        <w:rPr>
          <w:rFonts w:ascii="Times New Roman" w:eastAsia="Times New Roman" w:hAnsi="Times New Roman" w:cs="Times New Roman"/>
          <w:b/>
          <w:bCs/>
          <w:sz w:val="24"/>
          <w:szCs w:val="24"/>
        </w:rPr>
        <w:t>, A. M.</w:t>
      </w:r>
      <w:r w:rsidRPr="001C6E4B">
        <w:rPr>
          <w:rFonts w:ascii="Times New Roman" w:eastAsia="Times New Roman" w:hAnsi="Times New Roman" w:cs="Times New Roman"/>
          <w:sz w:val="24"/>
          <w:szCs w:val="24"/>
        </w:rPr>
        <w:t xml:space="preserve"> (2016).</w:t>
      </w:r>
      <w:proofErr w:type="gramEnd"/>
      <w:r w:rsidRPr="001C6E4B">
        <w:rPr>
          <w:rFonts w:ascii="Times New Roman" w:eastAsia="Times New Roman" w:hAnsi="Times New Roman" w:cs="Times New Roman"/>
          <w:sz w:val="24"/>
          <w:szCs w:val="24"/>
        </w:rPr>
        <w:t xml:space="preserve"> </w:t>
      </w:r>
      <w:proofErr w:type="spellStart"/>
      <w:proofErr w:type="gramStart"/>
      <w:r w:rsidRPr="001C6E4B">
        <w:rPr>
          <w:rFonts w:ascii="Times New Roman" w:eastAsia="Times New Roman" w:hAnsi="Times New Roman" w:cs="Times New Roman"/>
          <w:sz w:val="24"/>
          <w:szCs w:val="24"/>
        </w:rPr>
        <w:t>Geoelectrical</w:t>
      </w:r>
      <w:proofErr w:type="spellEnd"/>
      <w:r w:rsidRPr="001C6E4B">
        <w:rPr>
          <w:rFonts w:ascii="Times New Roman" w:eastAsia="Times New Roman" w:hAnsi="Times New Roman" w:cs="Times New Roman"/>
          <w:sz w:val="24"/>
          <w:szCs w:val="24"/>
        </w:rPr>
        <w:t xml:space="preserve"> investigation of groundwater potential in Ilorin.</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Nigerian Journal of Geosciences</w:t>
      </w:r>
      <w:r w:rsidRPr="001C6E4B">
        <w:rPr>
          <w:rFonts w:ascii="Times New Roman" w:eastAsia="Times New Roman" w:hAnsi="Times New Roman" w:cs="Times New Roman"/>
          <w:sz w:val="24"/>
          <w:szCs w:val="24"/>
        </w:rPr>
        <w:t>, 10(1), 55–67.</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Ogunleye</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Afolabi</w:t>
      </w:r>
      <w:proofErr w:type="spellEnd"/>
      <w:r w:rsidRPr="001C6E4B">
        <w:rPr>
          <w:rFonts w:ascii="Times New Roman" w:eastAsia="Times New Roman" w:hAnsi="Times New Roman" w:cs="Times New Roman"/>
          <w:b/>
          <w:bCs/>
          <w:sz w:val="24"/>
          <w:szCs w:val="24"/>
        </w:rPr>
        <w:t xml:space="preserve">, K. M., &amp; </w:t>
      </w:r>
      <w:proofErr w:type="spellStart"/>
      <w:r w:rsidRPr="001C6E4B">
        <w:rPr>
          <w:rFonts w:ascii="Times New Roman" w:eastAsia="Times New Roman" w:hAnsi="Times New Roman" w:cs="Times New Roman"/>
          <w:b/>
          <w:bCs/>
          <w:sz w:val="24"/>
          <w:szCs w:val="24"/>
        </w:rPr>
        <w:t>Onifade</w:t>
      </w:r>
      <w:proofErr w:type="spellEnd"/>
      <w:r w:rsidRPr="001C6E4B">
        <w:rPr>
          <w:rFonts w:ascii="Times New Roman" w:eastAsia="Times New Roman" w:hAnsi="Times New Roman" w:cs="Times New Roman"/>
          <w:b/>
          <w:bCs/>
          <w:sz w:val="24"/>
          <w:szCs w:val="24"/>
        </w:rPr>
        <w:t>, S. T.</w:t>
      </w:r>
      <w:r w:rsidRPr="001C6E4B">
        <w:rPr>
          <w:rFonts w:ascii="Times New Roman" w:eastAsia="Times New Roman" w:hAnsi="Times New Roman" w:cs="Times New Roman"/>
          <w:sz w:val="24"/>
          <w:szCs w:val="24"/>
        </w:rPr>
        <w:t xml:space="preserve"> (2025).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Evaluating groundwater suitability for agricultural use in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Agricultural Water Management</w:t>
      </w:r>
      <w:r w:rsidRPr="001C6E4B">
        <w:rPr>
          <w:rFonts w:ascii="Times New Roman" w:eastAsia="Times New Roman" w:hAnsi="Times New Roman" w:cs="Times New Roman"/>
          <w:sz w:val="24"/>
          <w:szCs w:val="24"/>
        </w:rPr>
        <w:t>, 278, 108334.</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lastRenderedPageBreak/>
        <w:t>Olasunkanmi</w:t>
      </w:r>
      <w:proofErr w:type="spellEnd"/>
      <w:r w:rsidRPr="001C6E4B">
        <w:rPr>
          <w:rFonts w:ascii="Times New Roman" w:eastAsia="Times New Roman" w:hAnsi="Times New Roman" w:cs="Times New Roman"/>
          <w:b/>
          <w:bCs/>
          <w:sz w:val="24"/>
          <w:szCs w:val="24"/>
        </w:rPr>
        <w:t xml:space="preserve">, L. O., </w:t>
      </w:r>
      <w:proofErr w:type="spellStart"/>
      <w:r w:rsidRPr="001C6E4B">
        <w:rPr>
          <w:rFonts w:ascii="Times New Roman" w:eastAsia="Times New Roman" w:hAnsi="Times New Roman" w:cs="Times New Roman"/>
          <w:b/>
          <w:bCs/>
          <w:sz w:val="24"/>
          <w:szCs w:val="24"/>
        </w:rPr>
        <w:t>Balogun</w:t>
      </w:r>
      <w:proofErr w:type="spellEnd"/>
      <w:r w:rsidRPr="001C6E4B">
        <w:rPr>
          <w:rFonts w:ascii="Times New Roman" w:eastAsia="Times New Roman" w:hAnsi="Times New Roman" w:cs="Times New Roman"/>
          <w:b/>
          <w:bCs/>
          <w:sz w:val="24"/>
          <w:szCs w:val="24"/>
        </w:rPr>
        <w:t xml:space="preserve">, A. F., &amp; </w:t>
      </w:r>
      <w:proofErr w:type="spellStart"/>
      <w:r w:rsidRPr="001C6E4B">
        <w:rPr>
          <w:rFonts w:ascii="Times New Roman" w:eastAsia="Times New Roman" w:hAnsi="Times New Roman" w:cs="Times New Roman"/>
          <w:b/>
          <w:bCs/>
          <w:sz w:val="24"/>
          <w:szCs w:val="24"/>
        </w:rPr>
        <w:t>Adetunji</w:t>
      </w:r>
      <w:proofErr w:type="spellEnd"/>
      <w:r w:rsidRPr="001C6E4B">
        <w:rPr>
          <w:rFonts w:ascii="Times New Roman" w:eastAsia="Times New Roman" w:hAnsi="Times New Roman" w:cs="Times New Roman"/>
          <w:b/>
          <w:bCs/>
          <w:sz w:val="24"/>
          <w:szCs w:val="24"/>
        </w:rPr>
        <w:t>, O. S.</w:t>
      </w:r>
      <w:r w:rsidRPr="001C6E4B">
        <w:rPr>
          <w:rFonts w:ascii="Times New Roman" w:eastAsia="Times New Roman" w:hAnsi="Times New Roman" w:cs="Times New Roman"/>
          <w:sz w:val="24"/>
          <w:szCs w:val="24"/>
        </w:rPr>
        <w:t xml:space="preserve"> (2024).</w:t>
      </w:r>
      <w:proofErr w:type="gramEnd"/>
      <w:r w:rsidRPr="001C6E4B">
        <w:rPr>
          <w:rFonts w:ascii="Times New Roman" w:eastAsia="Times New Roman" w:hAnsi="Times New Roman" w:cs="Times New Roman"/>
          <w:sz w:val="24"/>
          <w:szCs w:val="24"/>
        </w:rPr>
        <w:t xml:space="preserve"> </w:t>
      </w:r>
      <w:proofErr w:type="spellStart"/>
      <w:proofErr w:type="gram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assessment of groundwater quality in Ilorin metropolis.</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Journal of African Earth Sciences</w:t>
      </w:r>
      <w:r w:rsidRPr="001C6E4B">
        <w:rPr>
          <w:rFonts w:ascii="Times New Roman" w:eastAsia="Times New Roman" w:hAnsi="Times New Roman" w:cs="Times New Roman"/>
          <w:sz w:val="24"/>
          <w:szCs w:val="24"/>
        </w:rPr>
        <w:t>, 190, 104682.</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Oluyide</w:t>
      </w:r>
      <w:proofErr w:type="spellEnd"/>
      <w:r w:rsidRPr="001C6E4B">
        <w:rPr>
          <w:rFonts w:ascii="Times New Roman" w:eastAsia="Times New Roman" w:hAnsi="Times New Roman" w:cs="Times New Roman"/>
          <w:b/>
          <w:bCs/>
          <w:sz w:val="24"/>
          <w:szCs w:val="24"/>
        </w:rPr>
        <w:t xml:space="preserve">, P. O., </w:t>
      </w:r>
      <w:proofErr w:type="spellStart"/>
      <w:r w:rsidRPr="001C6E4B">
        <w:rPr>
          <w:rFonts w:ascii="Times New Roman" w:eastAsia="Times New Roman" w:hAnsi="Times New Roman" w:cs="Times New Roman"/>
          <w:b/>
          <w:bCs/>
          <w:sz w:val="24"/>
          <w:szCs w:val="24"/>
        </w:rPr>
        <w:t>Nwajide</w:t>
      </w:r>
      <w:proofErr w:type="spellEnd"/>
      <w:r w:rsidRPr="001C6E4B">
        <w:rPr>
          <w:rFonts w:ascii="Times New Roman" w:eastAsia="Times New Roman" w:hAnsi="Times New Roman" w:cs="Times New Roman"/>
          <w:b/>
          <w:bCs/>
          <w:sz w:val="24"/>
          <w:szCs w:val="24"/>
        </w:rPr>
        <w:t>, C. S., &amp; On, A. O.</w:t>
      </w:r>
      <w:r w:rsidRPr="001C6E4B">
        <w:rPr>
          <w:rFonts w:ascii="Times New Roman" w:eastAsia="Times New Roman" w:hAnsi="Times New Roman" w:cs="Times New Roman"/>
          <w:sz w:val="24"/>
          <w:szCs w:val="24"/>
        </w:rPr>
        <w:t xml:space="preserve"> (1998).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The geology of the Ilorin Area.</w:t>
      </w:r>
      <w:proofErr w:type="gramEnd"/>
      <w:r w:rsidRPr="001C6E4B">
        <w:rPr>
          <w:rFonts w:ascii="Times New Roman" w:eastAsia="Times New Roman" w:hAnsi="Times New Roman" w:cs="Times New Roman"/>
          <w:sz w:val="24"/>
          <w:szCs w:val="24"/>
        </w:rPr>
        <w:t xml:space="preserve"> Bulletin No. 42, Geological Survey of Nigeria, Federal Government of Nigeria.</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Oribiyi</w:t>
      </w:r>
      <w:proofErr w:type="spellEnd"/>
      <w:r w:rsidRPr="001C6E4B">
        <w:rPr>
          <w:rFonts w:ascii="Times New Roman" w:eastAsia="Times New Roman" w:hAnsi="Times New Roman" w:cs="Times New Roman"/>
          <w:b/>
          <w:bCs/>
          <w:sz w:val="24"/>
          <w:szCs w:val="24"/>
        </w:rPr>
        <w:t xml:space="preserve">, E. O., </w:t>
      </w:r>
      <w:proofErr w:type="spellStart"/>
      <w:r w:rsidRPr="001C6E4B">
        <w:rPr>
          <w:rFonts w:ascii="Times New Roman" w:eastAsia="Times New Roman" w:hAnsi="Times New Roman" w:cs="Times New Roman"/>
          <w:b/>
          <w:bCs/>
          <w:sz w:val="24"/>
          <w:szCs w:val="24"/>
        </w:rPr>
        <w:t>Awomeso</w:t>
      </w:r>
      <w:proofErr w:type="spellEnd"/>
      <w:r w:rsidRPr="001C6E4B">
        <w:rPr>
          <w:rFonts w:ascii="Times New Roman" w:eastAsia="Times New Roman" w:hAnsi="Times New Roman" w:cs="Times New Roman"/>
          <w:b/>
          <w:bCs/>
          <w:sz w:val="24"/>
          <w:szCs w:val="24"/>
        </w:rPr>
        <w:t xml:space="preserve">, S. A., &amp; </w:t>
      </w:r>
      <w:proofErr w:type="spellStart"/>
      <w:r w:rsidRPr="001C6E4B">
        <w:rPr>
          <w:rFonts w:ascii="Times New Roman" w:eastAsia="Times New Roman" w:hAnsi="Times New Roman" w:cs="Times New Roman"/>
          <w:b/>
          <w:bCs/>
          <w:sz w:val="24"/>
          <w:szCs w:val="24"/>
        </w:rPr>
        <w:t>Idowu</w:t>
      </w:r>
      <w:proofErr w:type="spellEnd"/>
      <w:r w:rsidRPr="001C6E4B">
        <w:rPr>
          <w:rFonts w:ascii="Times New Roman" w:eastAsia="Times New Roman" w:hAnsi="Times New Roman" w:cs="Times New Roman"/>
          <w:b/>
          <w:bCs/>
          <w:sz w:val="24"/>
          <w:szCs w:val="24"/>
        </w:rPr>
        <w:t>, O. A.</w:t>
      </w:r>
      <w:r w:rsidRPr="001C6E4B">
        <w:rPr>
          <w:rFonts w:ascii="Times New Roman" w:eastAsia="Times New Roman" w:hAnsi="Times New Roman" w:cs="Times New Roman"/>
          <w:sz w:val="24"/>
          <w:szCs w:val="24"/>
        </w:rPr>
        <w:t xml:space="preserve"> (2010).</w:t>
      </w:r>
      <w:proofErr w:type="gramEnd"/>
      <w:r w:rsidRPr="001C6E4B">
        <w:rPr>
          <w:rFonts w:ascii="Times New Roman" w:eastAsia="Times New Roman" w:hAnsi="Times New Roman" w:cs="Times New Roman"/>
          <w:sz w:val="24"/>
          <w:szCs w:val="24"/>
        </w:rPr>
        <w:t xml:space="preserve"> Assessment of groundwater quality in Ogbomosho </w:t>
      </w:r>
      <w:proofErr w:type="gramStart"/>
      <w:r w:rsidRPr="001C6E4B">
        <w:rPr>
          <w:rFonts w:ascii="Times New Roman" w:eastAsia="Times New Roman" w:hAnsi="Times New Roman" w:cs="Times New Roman"/>
          <w:sz w:val="24"/>
          <w:szCs w:val="24"/>
        </w:rPr>
        <w:t>township</w:t>
      </w:r>
      <w:proofErr w:type="gramEnd"/>
      <w:r w:rsidRPr="001C6E4B">
        <w:rPr>
          <w:rFonts w:ascii="Times New Roman" w:eastAsia="Times New Roman" w:hAnsi="Times New Roman" w:cs="Times New Roman"/>
          <w:sz w:val="24"/>
          <w:szCs w:val="24"/>
        </w:rPr>
        <w:t xml:space="preserve"> Nigeria. </w:t>
      </w:r>
      <w:r w:rsidRPr="001C6E4B">
        <w:rPr>
          <w:rFonts w:ascii="Times New Roman" w:eastAsia="Times New Roman" w:hAnsi="Times New Roman" w:cs="Times New Roman"/>
          <w:i/>
          <w:iCs/>
          <w:sz w:val="24"/>
          <w:szCs w:val="24"/>
        </w:rPr>
        <w:t>Journal of Environmental Science and Health Part B</w:t>
      </w:r>
      <w:r w:rsidRPr="001C6E4B">
        <w:rPr>
          <w:rFonts w:ascii="Times New Roman" w:eastAsia="Times New Roman" w:hAnsi="Times New Roman" w:cs="Times New Roman"/>
          <w:sz w:val="24"/>
          <w:szCs w:val="24"/>
        </w:rPr>
        <w:t>, 45(5), 435-443.</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Rahaman</w:t>
      </w:r>
      <w:proofErr w:type="spellEnd"/>
      <w:r w:rsidRPr="001C6E4B">
        <w:rPr>
          <w:rFonts w:ascii="Times New Roman" w:eastAsia="Times New Roman" w:hAnsi="Times New Roman" w:cs="Times New Roman"/>
          <w:b/>
          <w:bCs/>
          <w:sz w:val="24"/>
          <w:szCs w:val="24"/>
        </w:rPr>
        <w:t>, M. A.</w:t>
      </w:r>
      <w:r w:rsidRPr="001C6E4B">
        <w:rPr>
          <w:rFonts w:ascii="Times New Roman" w:eastAsia="Times New Roman" w:hAnsi="Times New Roman" w:cs="Times New Roman"/>
          <w:sz w:val="24"/>
          <w:szCs w:val="24"/>
        </w:rPr>
        <w:t xml:space="preserve"> (1988). </w:t>
      </w:r>
      <w:proofErr w:type="gramStart"/>
      <w:r w:rsidRPr="001C6E4B">
        <w:rPr>
          <w:rFonts w:ascii="Times New Roman" w:eastAsia="Times New Roman" w:hAnsi="Times New Roman" w:cs="Times New Roman"/>
          <w:sz w:val="24"/>
          <w:szCs w:val="24"/>
        </w:rPr>
        <w:t>Some aspects of the geology of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 xml:space="preserve">In C. A. </w:t>
      </w:r>
      <w:proofErr w:type="spellStart"/>
      <w:r w:rsidRPr="001C6E4B">
        <w:rPr>
          <w:rFonts w:ascii="Times New Roman" w:eastAsia="Times New Roman" w:hAnsi="Times New Roman" w:cs="Times New Roman"/>
          <w:sz w:val="24"/>
          <w:szCs w:val="24"/>
        </w:rPr>
        <w:t>Kogbe</w:t>
      </w:r>
      <w:proofErr w:type="spellEnd"/>
      <w:r w:rsidRPr="001C6E4B">
        <w:rPr>
          <w:rFonts w:ascii="Times New Roman" w:eastAsia="Times New Roman" w:hAnsi="Times New Roman" w:cs="Times New Roman"/>
          <w:sz w:val="24"/>
          <w:szCs w:val="24"/>
        </w:rPr>
        <w:t xml:space="preserve"> (Ed.), </w:t>
      </w:r>
      <w:r w:rsidRPr="001C6E4B">
        <w:rPr>
          <w:rFonts w:ascii="Times New Roman" w:eastAsia="Times New Roman" w:hAnsi="Times New Roman" w:cs="Times New Roman"/>
          <w:i/>
          <w:iCs/>
          <w:sz w:val="24"/>
          <w:szCs w:val="24"/>
        </w:rPr>
        <w:t>Geology of Nigeria</w:t>
      </w:r>
      <w:r w:rsidRPr="001C6E4B">
        <w:rPr>
          <w:rFonts w:ascii="Times New Roman" w:eastAsia="Times New Roman" w:hAnsi="Times New Roman" w:cs="Times New Roman"/>
          <w:sz w:val="24"/>
          <w:szCs w:val="24"/>
        </w:rPr>
        <w:t xml:space="preserve"> (pp. 1-8).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Rock View (Nigeria) Limited.</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C6E4B">
        <w:rPr>
          <w:rFonts w:ascii="Times New Roman" w:eastAsia="Times New Roman" w:hAnsi="Times New Roman" w:cs="Times New Roman"/>
          <w:b/>
          <w:bCs/>
          <w:sz w:val="24"/>
          <w:szCs w:val="24"/>
        </w:rPr>
        <w:t xml:space="preserve">Singh, A. K., </w:t>
      </w:r>
      <w:proofErr w:type="spellStart"/>
      <w:r w:rsidRPr="001C6E4B">
        <w:rPr>
          <w:rFonts w:ascii="Times New Roman" w:eastAsia="Times New Roman" w:hAnsi="Times New Roman" w:cs="Times New Roman"/>
          <w:b/>
          <w:bCs/>
          <w:sz w:val="24"/>
          <w:szCs w:val="24"/>
        </w:rPr>
        <w:t>Mondal</w:t>
      </w:r>
      <w:proofErr w:type="spellEnd"/>
      <w:r w:rsidRPr="001C6E4B">
        <w:rPr>
          <w:rFonts w:ascii="Times New Roman" w:eastAsia="Times New Roman" w:hAnsi="Times New Roman" w:cs="Times New Roman"/>
          <w:b/>
          <w:bCs/>
          <w:sz w:val="24"/>
          <w:szCs w:val="24"/>
        </w:rPr>
        <w:t>, G. C., Singh, P. K., Singh, S., &amp; E.</w:t>
      </w:r>
      <w:r w:rsidRPr="001C6E4B">
        <w:rPr>
          <w:rFonts w:ascii="Times New Roman" w:eastAsia="Times New Roman" w:hAnsi="Times New Roman" w:cs="Times New Roman"/>
          <w:sz w:val="24"/>
          <w:szCs w:val="24"/>
        </w:rPr>
        <w:t xml:space="preserve"> (2013). </w:t>
      </w:r>
      <w:proofErr w:type="spellStart"/>
      <w:proofErr w:type="gram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processes and groundwater quality assessment in an industrial area of India.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Environmental Monitoring and Assessment</w:t>
      </w:r>
      <w:r w:rsidRPr="001C6E4B">
        <w:rPr>
          <w:rFonts w:ascii="Times New Roman" w:eastAsia="Times New Roman" w:hAnsi="Times New Roman" w:cs="Times New Roman"/>
          <w:sz w:val="24"/>
          <w:szCs w:val="24"/>
        </w:rPr>
        <w:t>, 185(10), 8439-8455.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Sule</w:t>
      </w:r>
      <w:proofErr w:type="spellEnd"/>
      <w:r w:rsidRPr="001C6E4B">
        <w:rPr>
          <w:rFonts w:ascii="Times New Roman" w:eastAsia="Times New Roman" w:hAnsi="Times New Roman" w:cs="Times New Roman"/>
          <w:b/>
          <w:bCs/>
          <w:sz w:val="24"/>
          <w:szCs w:val="24"/>
        </w:rPr>
        <w:t xml:space="preserve">, O. B., </w:t>
      </w:r>
      <w:proofErr w:type="spellStart"/>
      <w:r w:rsidRPr="001C6E4B">
        <w:rPr>
          <w:rFonts w:ascii="Times New Roman" w:eastAsia="Times New Roman" w:hAnsi="Times New Roman" w:cs="Times New Roman"/>
          <w:b/>
          <w:bCs/>
          <w:sz w:val="24"/>
          <w:szCs w:val="24"/>
        </w:rPr>
        <w:t>Ifabiyi</w:t>
      </w:r>
      <w:proofErr w:type="spellEnd"/>
      <w:r w:rsidRPr="001C6E4B">
        <w:rPr>
          <w:rFonts w:ascii="Times New Roman" w:eastAsia="Times New Roman" w:hAnsi="Times New Roman" w:cs="Times New Roman"/>
          <w:b/>
          <w:bCs/>
          <w:sz w:val="24"/>
          <w:szCs w:val="24"/>
        </w:rPr>
        <w:t xml:space="preserve">, I. P., &amp; </w:t>
      </w:r>
      <w:proofErr w:type="spellStart"/>
      <w:r w:rsidRPr="001C6E4B">
        <w:rPr>
          <w:rFonts w:ascii="Times New Roman" w:eastAsia="Times New Roman" w:hAnsi="Times New Roman" w:cs="Times New Roman"/>
          <w:b/>
          <w:bCs/>
          <w:sz w:val="24"/>
          <w:szCs w:val="24"/>
        </w:rPr>
        <w:t>Ashaolu</w:t>
      </w:r>
      <w:proofErr w:type="spellEnd"/>
      <w:r w:rsidRPr="001C6E4B">
        <w:rPr>
          <w:rFonts w:ascii="Times New Roman" w:eastAsia="Times New Roman" w:hAnsi="Times New Roman" w:cs="Times New Roman"/>
          <w:b/>
          <w:bCs/>
          <w:sz w:val="24"/>
          <w:szCs w:val="24"/>
        </w:rPr>
        <w:t>, T. O.</w:t>
      </w:r>
      <w:r w:rsidRPr="001C6E4B">
        <w:rPr>
          <w:rFonts w:ascii="Times New Roman" w:eastAsia="Times New Roman" w:hAnsi="Times New Roman" w:cs="Times New Roman"/>
          <w:sz w:val="24"/>
          <w:szCs w:val="24"/>
        </w:rPr>
        <w:t xml:space="preserve"> (2015).</w:t>
      </w:r>
      <w:proofErr w:type="gramEnd"/>
      <w:r w:rsidRPr="001C6E4B">
        <w:rPr>
          <w:rFonts w:ascii="Times New Roman" w:eastAsia="Times New Roman" w:hAnsi="Times New Roman" w:cs="Times New Roman"/>
          <w:sz w:val="24"/>
          <w:szCs w:val="24"/>
        </w:rPr>
        <w:t xml:space="preserve"> Groundwater development in fractured basement terrain: A case study of Ilorin, Nigeria. </w:t>
      </w:r>
      <w:r w:rsidRPr="001C6E4B">
        <w:rPr>
          <w:rFonts w:ascii="Times New Roman" w:eastAsia="Times New Roman" w:hAnsi="Times New Roman" w:cs="Times New Roman"/>
          <w:i/>
          <w:iCs/>
          <w:sz w:val="24"/>
          <w:szCs w:val="24"/>
        </w:rPr>
        <w:t>Hydrogeology Journal</w:t>
      </w:r>
      <w:r w:rsidRPr="001C6E4B">
        <w:rPr>
          <w:rFonts w:ascii="Times New Roman" w:eastAsia="Times New Roman" w:hAnsi="Times New Roman" w:cs="Times New Roman"/>
          <w:sz w:val="24"/>
          <w:szCs w:val="24"/>
        </w:rPr>
        <w:t>, 23(6), 1283-1296.</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Tijani</w:t>
      </w:r>
      <w:proofErr w:type="spellEnd"/>
      <w:r w:rsidRPr="001C6E4B">
        <w:rPr>
          <w:rFonts w:ascii="Times New Roman" w:eastAsia="Times New Roman" w:hAnsi="Times New Roman" w:cs="Times New Roman"/>
          <w:b/>
          <w:bCs/>
          <w:sz w:val="24"/>
          <w:szCs w:val="24"/>
        </w:rPr>
        <w:t>, M. N.</w:t>
      </w:r>
      <w:r w:rsidRPr="001C6E4B">
        <w:rPr>
          <w:rFonts w:ascii="Times New Roman" w:eastAsia="Times New Roman" w:hAnsi="Times New Roman" w:cs="Times New Roman"/>
          <w:sz w:val="24"/>
          <w:szCs w:val="24"/>
        </w:rPr>
        <w:t xml:space="preserve"> (2016). Groundwater: The buried vulnerable treasure. </w:t>
      </w:r>
      <w:proofErr w:type="gramStart"/>
      <w:r w:rsidRPr="001C6E4B">
        <w:rPr>
          <w:rFonts w:ascii="Times New Roman" w:eastAsia="Times New Roman" w:hAnsi="Times New Roman" w:cs="Times New Roman"/>
          <w:i/>
          <w:iCs/>
          <w:sz w:val="24"/>
          <w:szCs w:val="24"/>
        </w:rPr>
        <w:t>Inaugural Lecture</w:t>
      </w:r>
      <w:r w:rsidRPr="001C6E4B">
        <w:rPr>
          <w:rFonts w:ascii="Times New Roman" w:eastAsia="Times New Roman" w:hAnsi="Times New Roman" w:cs="Times New Roman"/>
          <w:sz w:val="24"/>
          <w:szCs w:val="24"/>
        </w:rPr>
        <w:t>, University of Ibadan, 80 pp.</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C6E4B">
        <w:rPr>
          <w:rFonts w:ascii="Times New Roman" w:eastAsia="Times New Roman" w:hAnsi="Times New Roman" w:cs="Times New Roman"/>
          <w:b/>
          <w:bCs/>
          <w:sz w:val="24"/>
          <w:szCs w:val="24"/>
        </w:rPr>
        <w:t xml:space="preserve">Umar, M. B., </w:t>
      </w:r>
      <w:proofErr w:type="spellStart"/>
      <w:r w:rsidRPr="001C6E4B">
        <w:rPr>
          <w:rFonts w:ascii="Times New Roman" w:eastAsia="Times New Roman" w:hAnsi="Times New Roman" w:cs="Times New Roman"/>
          <w:b/>
          <w:bCs/>
          <w:sz w:val="24"/>
          <w:szCs w:val="24"/>
        </w:rPr>
        <w:t>Okon</w:t>
      </w:r>
      <w:proofErr w:type="spellEnd"/>
      <w:r w:rsidRPr="001C6E4B">
        <w:rPr>
          <w:rFonts w:ascii="Times New Roman" w:eastAsia="Times New Roman" w:hAnsi="Times New Roman" w:cs="Times New Roman"/>
          <w:b/>
          <w:bCs/>
          <w:sz w:val="24"/>
          <w:szCs w:val="24"/>
        </w:rPr>
        <w:t xml:space="preserve">, I. E., &amp; </w:t>
      </w:r>
      <w:proofErr w:type="spellStart"/>
      <w:r w:rsidRPr="001C6E4B">
        <w:rPr>
          <w:rFonts w:ascii="Times New Roman" w:eastAsia="Times New Roman" w:hAnsi="Times New Roman" w:cs="Times New Roman"/>
          <w:b/>
          <w:bCs/>
          <w:sz w:val="24"/>
          <w:szCs w:val="24"/>
        </w:rPr>
        <w:t>Tijani</w:t>
      </w:r>
      <w:proofErr w:type="spellEnd"/>
      <w:r w:rsidRPr="001C6E4B">
        <w:rPr>
          <w:rFonts w:ascii="Times New Roman" w:eastAsia="Times New Roman" w:hAnsi="Times New Roman" w:cs="Times New Roman"/>
          <w:b/>
          <w:bCs/>
          <w:sz w:val="24"/>
          <w:szCs w:val="24"/>
        </w:rPr>
        <w:t>, M. N.</w:t>
      </w:r>
      <w:r w:rsidRPr="001C6E4B">
        <w:rPr>
          <w:rFonts w:ascii="Times New Roman" w:eastAsia="Times New Roman" w:hAnsi="Times New Roman" w:cs="Times New Roman"/>
          <w:sz w:val="24"/>
          <w:szCs w:val="24"/>
        </w:rPr>
        <w:t xml:space="preserve"> (2023). </w:t>
      </w:r>
      <w:proofErr w:type="spellStart"/>
      <w:r w:rsidRPr="001C6E4B">
        <w:rPr>
          <w:rFonts w:ascii="Times New Roman" w:eastAsia="Times New Roman" w:hAnsi="Times New Roman" w:cs="Times New Roman"/>
          <w:sz w:val="24"/>
          <w:szCs w:val="24"/>
        </w:rPr>
        <w:t>Physico</w:t>
      </w:r>
      <w:proofErr w:type="spellEnd"/>
      <w:r w:rsidRPr="001C6E4B">
        <w:rPr>
          <w:rFonts w:ascii="Times New Roman" w:eastAsia="Times New Roman" w:hAnsi="Times New Roman" w:cs="Times New Roman"/>
          <w:sz w:val="24"/>
          <w:szCs w:val="24"/>
        </w:rPr>
        <w:t xml:space="preserve">-chemical characterization of groundwater in Ilorin: Implications for water quality management. </w:t>
      </w:r>
      <w:proofErr w:type="gramStart"/>
      <w:r w:rsidRPr="001C6E4B">
        <w:rPr>
          <w:rFonts w:ascii="Times New Roman" w:eastAsia="Times New Roman" w:hAnsi="Times New Roman" w:cs="Times New Roman"/>
          <w:i/>
          <w:iCs/>
          <w:sz w:val="24"/>
          <w:szCs w:val="24"/>
        </w:rPr>
        <w:t>Environmental Monitoring and Assessment</w:t>
      </w:r>
      <w:r w:rsidRPr="001C6E4B">
        <w:rPr>
          <w:rFonts w:ascii="Times New Roman" w:eastAsia="Times New Roman" w:hAnsi="Times New Roman" w:cs="Times New Roman"/>
          <w:sz w:val="24"/>
          <w:szCs w:val="24"/>
        </w:rPr>
        <w:t>, 195(9), 1234.</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Oyawoye</w:t>
      </w:r>
      <w:proofErr w:type="spellEnd"/>
      <w:r w:rsidRPr="001C6E4B">
        <w:rPr>
          <w:rFonts w:ascii="Times New Roman" w:eastAsia="Times New Roman" w:hAnsi="Times New Roman" w:cs="Times New Roman"/>
          <w:b/>
          <w:bCs/>
          <w:sz w:val="24"/>
          <w:szCs w:val="24"/>
        </w:rPr>
        <w:t>, M. O.</w:t>
      </w:r>
      <w:r w:rsidRPr="001C6E4B">
        <w:rPr>
          <w:rFonts w:ascii="Times New Roman" w:eastAsia="Times New Roman" w:hAnsi="Times New Roman" w:cs="Times New Roman"/>
          <w:sz w:val="24"/>
          <w:szCs w:val="24"/>
        </w:rPr>
        <w:t xml:space="preserve"> (1972). </w:t>
      </w:r>
      <w:proofErr w:type="gramStart"/>
      <w:r w:rsidRPr="001C6E4B">
        <w:rPr>
          <w:rFonts w:ascii="Times New Roman" w:eastAsia="Times New Roman" w:hAnsi="Times New Roman" w:cs="Times New Roman"/>
          <w:sz w:val="24"/>
          <w:szCs w:val="24"/>
        </w:rPr>
        <w:t>The Basement Complex of Nigeria.</w:t>
      </w:r>
      <w:proofErr w:type="gramEnd"/>
      <w:r w:rsidRPr="001C6E4B">
        <w:rPr>
          <w:rFonts w:ascii="Times New Roman" w:eastAsia="Times New Roman" w:hAnsi="Times New Roman" w:cs="Times New Roman"/>
          <w:sz w:val="24"/>
          <w:szCs w:val="24"/>
        </w:rPr>
        <w:t xml:space="preserve"> In T. F. J. Dens Savage &amp; A. J. Whiteman (Eds.), </w:t>
      </w:r>
      <w:r w:rsidRPr="001C6E4B">
        <w:rPr>
          <w:rFonts w:ascii="Times New Roman" w:eastAsia="Times New Roman" w:hAnsi="Times New Roman" w:cs="Times New Roman"/>
          <w:i/>
          <w:iCs/>
          <w:sz w:val="24"/>
          <w:szCs w:val="24"/>
        </w:rPr>
        <w:t>Africa Geology</w:t>
      </w:r>
      <w:r w:rsidRPr="001C6E4B">
        <w:rPr>
          <w:rFonts w:ascii="Times New Roman" w:eastAsia="Times New Roman" w:hAnsi="Times New Roman" w:cs="Times New Roman"/>
          <w:sz w:val="24"/>
          <w:szCs w:val="24"/>
        </w:rPr>
        <w:t xml:space="preserve"> (pp. 67-99). Ibadan University Press, Ibadan.</w:t>
      </w:r>
    </w:p>
    <w:sectPr w:rsidR="001C6E4B" w:rsidRPr="001C6E4B" w:rsidSect="001B16B0">
      <w:footerReference w:type="default" r:id="rId2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741" w:rsidRDefault="002B7741" w:rsidP="00145EE3">
      <w:pPr>
        <w:spacing w:after="0" w:line="240" w:lineRule="auto"/>
      </w:pPr>
      <w:r>
        <w:separator/>
      </w:r>
    </w:p>
  </w:endnote>
  <w:endnote w:type="continuationSeparator" w:id="0">
    <w:p w:rsidR="002B7741" w:rsidRDefault="002B7741" w:rsidP="0014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30936723"/>
      <w:docPartObj>
        <w:docPartGallery w:val="Page Numbers (Bottom of Page)"/>
        <w:docPartUnique/>
      </w:docPartObj>
    </w:sdtPr>
    <w:sdtEndPr>
      <w:rPr>
        <w:noProof/>
      </w:rPr>
    </w:sdtEndPr>
    <w:sdtContent>
      <w:p w:rsidR="00D370AD" w:rsidRPr="00145EE3" w:rsidRDefault="00D370AD">
        <w:pPr>
          <w:pStyle w:val="Footer"/>
          <w:jc w:val="center"/>
          <w:rPr>
            <w:rFonts w:ascii="Times New Roman" w:hAnsi="Times New Roman" w:cs="Times New Roman"/>
            <w:sz w:val="24"/>
            <w:szCs w:val="24"/>
          </w:rPr>
        </w:pPr>
        <w:r w:rsidRPr="00145EE3">
          <w:rPr>
            <w:rFonts w:ascii="Times New Roman" w:hAnsi="Times New Roman" w:cs="Times New Roman"/>
            <w:sz w:val="24"/>
            <w:szCs w:val="24"/>
          </w:rPr>
          <w:fldChar w:fldCharType="begin"/>
        </w:r>
        <w:r w:rsidRPr="00145EE3">
          <w:rPr>
            <w:rFonts w:ascii="Times New Roman" w:hAnsi="Times New Roman" w:cs="Times New Roman"/>
            <w:sz w:val="24"/>
            <w:szCs w:val="24"/>
          </w:rPr>
          <w:instrText xml:space="preserve"> PAGE   \* MERGEFORMAT </w:instrText>
        </w:r>
        <w:r w:rsidRPr="00145EE3">
          <w:rPr>
            <w:rFonts w:ascii="Times New Roman" w:hAnsi="Times New Roman" w:cs="Times New Roman"/>
            <w:sz w:val="24"/>
            <w:szCs w:val="24"/>
          </w:rPr>
          <w:fldChar w:fldCharType="separate"/>
        </w:r>
        <w:r w:rsidR="008A02EA">
          <w:rPr>
            <w:rFonts w:ascii="Times New Roman" w:hAnsi="Times New Roman" w:cs="Times New Roman"/>
            <w:noProof/>
            <w:sz w:val="24"/>
            <w:szCs w:val="24"/>
          </w:rPr>
          <w:t>1</w:t>
        </w:r>
        <w:r w:rsidRPr="00145EE3">
          <w:rPr>
            <w:rFonts w:ascii="Times New Roman" w:hAnsi="Times New Roman" w:cs="Times New Roman"/>
            <w:noProof/>
            <w:sz w:val="24"/>
            <w:szCs w:val="24"/>
          </w:rPr>
          <w:fldChar w:fldCharType="end"/>
        </w:r>
      </w:p>
    </w:sdtContent>
  </w:sdt>
  <w:p w:rsidR="00D370AD" w:rsidRDefault="00D37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741" w:rsidRDefault="002B7741" w:rsidP="00145EE3">
      <w:pPr>
        <w:spacing w:after="0" w:line="240" w:lineRule="auto"/>
      </w:pPr>
      <w:r>
        <w:separator/>
      </w:r>
    </w:p>
  </w:footnote>
  <w:footnote w:type="continuationSeparator" w:id="0">
    <w:p w:rsidR="002B7741" w:rsidRDefault="002B7741" w:rsidP="00145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6B6"/>
    <w:multiLevelType w:val="hybridMultilevel"/>
    <w:tmpl w:val="3C18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B0ECC"/>
    <w:multiLevelType w:val="multilevel"/>
    <w:tmpl w:val="DADE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37320"/>
    <w:multiLevelType w:val="multilevel"/>
    <w:tmpl w:val="CEF8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66FD7"/>
    <w:multiLevelType w:val="multilevel"/>
    <w:tmpl w:val="AE3E3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720811"/>
    <w:multiLevelType w:val="multilevel"/>
    <w:tmpl w:val="48F0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043057"/>
    <w:multiLevelType w:val="hybridMultilevel"/>
    <w:tmpl w:val="7D7A1B46"/>
    <w:lvl w:ilvl="0" w:tplc="0409000D">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3A9D5ED3"/>
    <w:multiLevelType w:val="hybridMultilevel"/>
    <w:tmpl w:val="29FC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F696B"/>
    <w:multiLevelType w:val="multilevel"/>
    <w:tmpl w:val="F068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81688"/>
    <w:multiLevelType w:val="multilevel"/>
    <w:tmpl w:val="0E24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01068C"/>
    <w:multiLevelType w:val="multilevel"/>
    <w:tmpl w:val="982A2F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985D6E"/>
    <w:multiLevelType w:val="multilevel"/>
    <w:tmpl w:val="1D082D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CC41FE"/>
    <w:multiLevelType w:val="multilevel"/>
    <w:tmpl w:val="D072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6E7FB7"/>
    <w:multiLevelType w:val="hybridMultilevel"/>
    <w:tmpl w:val="C53048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614AA4"/>
    <w:multiLevelType w:val="multilevel"/>
    <w:tmpl w:val="521C5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010154"/>
    <w:multiLevelType w:val="multilevel"/>
    <w:tmpl w:val="2D9A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215E1C"/>
    <w:multiLevelType w:val="multilevel"/>
    <w:tmpl w:val="614C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CD1DA1"/>
    <w:multiLevelType w:val="hybridMultilevel"/>
    <w:tmpl w:val="BCE29E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7F0E28"/>
    <w:multiLevelType w:val="multilevel"/>
    <w:tmpl w:val="6EC02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E00356"/>
    <w:multiLevelType w:val="multilevel"/>
    <w:tmpl w:val="3BA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FD1DE2"/>
    <w:multiLevelType w:val="multilevel"/>
    <w:tmpl w:val="611AA5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497B0B"/>
    <w:multiLevelType w:val="multilevel"/>
    <w:tmpl w:val="35042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E55447"/>
    <w:multiLevelType w:val="multilevel"/>
    <w:tmpl w:val="E61C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410919"/>
    <w:multiLevelType w:val="hybridMultilevel"/>
    <w:tmpl w:val="34AE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061296"/>
    <w:multiLevelType w:val="multilevel"/>
    <w:tmpl w:val="780A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3"/>
  </w:num>
  <w:num w:numId="4">
    <w:abstractNumId w:val="14"/>
  </w:num>
  <w:num w:numId="5">
    <w:abstractNumId w:val="20"/>
  </w:num>
  <w:num w:numId="6">
    <w:abstractNumId w:val="8"/>
  </w:num>
  <w:num w:numId="7">
    <w:abstractNumId w:val="10"/>
  </w:num>
  <w:num w:numId="8">
    <w:abstractNumId w:val="7"/>
  </w:num>
  <w:num w:numId="9">
    <w:abstractNumId w:val="9"/>
  </w:num>
  <w:num w:numId="10">
    <w:abstractNumId w:val="21"/>
  </w:num>
  <w:num w:numId="11">
    <w:abstractNumId w:val="19"/>
  </w:num>
  <w:num w:numId="12">
    <w:abstractNumId w:val="15"/>
  </w:num>
  <w:num w:numId="13">
    <w:abstractNumId w:val="11"/>
  </w:num>
  <w:num w:numId="14">
    <w:abstractNumId w:val="12"/>
  </w:num>
  <w:num w:numId="15">
    <w:abstractNumId w:val="5"/>
  </w:num>
  <w:num w:numId="16">
    <w:abstractNumId w:val="16"/>
  </w:num>
  <w:num w:numId="17">
    <w:abstractNumId w:val="18"/>
  </w:num>
  <w:num w:numId="18">
    <w:abstractNumId w:val="22"/>
  </w:num>
  <w:num w:numId="19">
    <w:abstractNumId w:val="17"/>
  </w:num>
  <w:num w:numId="20">
    <w:abstractNumId w:val="2"/>
  </w:num>
  <w:num w:numId="21">
    <w:abstractNumId w:val="13"/>
  </w:num>
  <w:num w:numId="22">
    <w:abstractNumId w:val="0"/>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27"/>
    <w:rsid w:val="000343CE"/>
    <w:rsid w:val="00144EC5"/>
    <w:rsid w:val="00145EE3"/>
    <w:rsid w:val="001B16B0"/>
    <w:rsid w:val="001B2BB3"/>
    <w:rsid w:val="001C6E4B"/>
    <w:rsid w:val="00207CE4"/>
    <w:rsid w:val="00291A63"/>
    <w:rsid w:val="002B7741"/>
    <w:rsid w:val="003137CA"/>
    <w:rsid w:val="003166A9"/>
    <w:rsid w:val="00332F7E"/>
    <w:rsid w:val="0037735E"/>
    <w:rsid w:val="00384B4A"/>
    <w:rsid w:val="003B54B9"/>
    <w:rsid w:val="003C2BC0"/>
    <w:rsid w:val="00527140"/>
    <w:rsid w:val="00541BD5"/>
    <w:rsid w:val="00612003"/>
    <w:rsid w:val="006471E2"/>
    <w:rsid w:val="00733064"/>
    <w:rsid w:val="00775655"/>
    <w:rsid w:val="0079100E"/>
    <w:rsid w:val="00803BC6"/>
    <w:rsid w:val="008A02EA"/>
    <w:rsid w:val="008C6727"/>
    <w:rsid w:val="008F5D4B"/>
    <w:rsid w:val="00933052"/>
    <w:rsid w:val="00A23397"/>
    <w:rsid w:val="00A86BBA"/>
    <w:rsid w:val="00B2439C"/>
    <w:rsid w:val="00B96E14"/>
    <w:rsid w:val="00BA05CC"/>
    <w:rsid w:val="00BA0A37"/>
    <w:rsid w:val="00C10792"/>
    <w:rsid w:val="00C1670C"/>
    <w:rsid w:val="00C70260"/>
    <w:rsid w:val="00CF514E"/>
    <w:rsid w:val="00D363AD"/>
    <w:rsid w:val="00D370AD"/>
    <w:rsid w:val="00EF0CC0"/>
    <w:rsid w:val="00F038DC"/>
    <w:rsid w:val="00F509B8"/>
    <w:rsid w:val="00FD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30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291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E4B"/>
    <w:rPr>
      <w:b/>
      <w:bCs/>
    </w:rPr>
  </w:style>
  <w:style w:type="character" w:styleId="Emphasis">
    <w:name w:val="Emphasis"/>
    <w:basedOn w:val="DefaultParagraphFont"/>
    <w:uiPriority w:val="20"/>
    <w:qFormat/>
    <w:rsid w:val="001C6E4B"/>
    <w:rPr>
      <w:i/>
      <w:iCs/>
    </w:rPr>
  </w:style>
  <w:style w:type="character" w:customStyle="1" w:styleId="Heading2Char">
    <w:name w:val="Heading 2 Char"/>
    <w:basedOn w:val="DefaultParagraphFont"/>
    <w:link w:val="Heading2"/>
    <w:uiPriority w:val="9"/>
    <w:rsid w:val="001B2BB3"/>
    <w:rPr>
      <w:rFonts w:ascii="Times New Roman" w:eastAsia="Times New Roman" w:hAnsi="Times New Roman" w:cs="Times New Roman"/>
      <w:b/>
      <w:bCs/>
      <w:sz w:val="36"/>
      <w:szCs w:val="36"/>
    </w:rPr>
  </w:style>
  <w:style w:type="paragraph" w:customStyle="1" w:styleId="my-0">
    <w:name w:val="my-0"/>
    <w:basedOn w:val="Normal"/>
    <w:rsid w:val="001B2B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2BB3"/>
    <w:pPr>
      <w:ind w:left="720"/>
      <w:contextualSpacing/>
    </w:pPr>
  </w:style>
  <w:style w:type="paragraph" w:styleId="NormalWeb">
    <w:name w:val="Normal (Web)"/>
    <w:basedOn w:val="Normal"/>
    <w:uiPriority w:val="99"/>
    <w:unhideWhenUsed/>
    <w:rsid w:val="001B2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33052"/>
    <w:rPr>
      <w:rFonts w:asciiTheme="majorHAnsi" w:eastAsiaTheme="majorEastAsia" w:hAnsiTheme="majorHAnsi" w:cstheme="majorBidi"/>
      <w:b/>
      <w:bCs/>
      <w:color w:val="4F81BD" w:themeColor="accent1"/>
    </w:rPr>
  </w:style>
  <w:style w:type="paragraph" w:styleId="NoSpacing">
    <w:name w:val="No Spacing"/>
    <w:uiPriority w:val="1"/>
    <w:qFormat/>
    <w:rsid w:val="00933052"/>
    <w:pPr>
      <w:spacing w:after="0" w:line="240" w:lineRule="auto"/>
    </w:pPr>
  </w:style>
  <w:style w:type="paragraph" w:styleId="BalloonText">
    <w:name w:val="Balloon Text"/>
    <w:basedOn w:val="Normal"/>
    <w:link w:val="BalloonTextChar"/>
    <w:uiPriority w:val="99"/>
    <w:semiHidden/>
    <w:unhideWhenUsed/>
    <w:rsid w:val="0093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52"/>
    <w:rPr>
      <w:rFonts w:ascii="Tahoma" w:hAnsi="Tahoma" w:cs="Tahoma"/>
      <w:sz w:val="16"/>
      <w:szCs w:val="16"/>
    </w:rPr>
  </w:style>
  <w:style w:type="table" w:styleId="TableGrid">
    <w:name w:val="Table Grid"/>
    <w:basedOn w:val="TableNormal"/>
    <w:uiPriority w:val="59"/>
    <w:rsid w:val="00BA05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166A9"/>
    <w:rPr>
      <w:color w:val="0000FF"/>
      <w:u w:val="single"/>
    </w:rPr>
  </w:style>
  <w:style w:type="character" w:customStyle="1" w:styleId="relative">
    <w:name w:val="relative"/>
    <w:basedOn w:val="DefaultParagraphFont"/>
    <w:rsid w:val="003166A9"/>
  </w:style>
  <w:style w:type="character" w:customStyle="1" w:styleId="opacity-50">
    <w:name w:val="opacity-50"/>
    <w:basedOn w:val="DefaultParagraphFont"/>
    <w:rsid w:val="003166A9"/>
  </w:style>
  <w:style w:type="paragraph" w:styleId="Header">
    <w:name w:val="header"/>
    <w:basedOn w:val="Normal"/>
    <w:link w:val="HeaderChar"/>
    <w:uiPriority w:val="99"/>
    <w:unhideWhenUsed/>
    <w:rsid w:val="0014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E3"/>
  </w:style>
  <w:style w:type="paragraph" w:styleId="Footer">
    <w:name w:val="footer"/>
    <w:basedOn w:val="Normal"/>
    <w:link w:val="FooterChar"/>
    <w:uiPriority w:val="99"/>
    <w:unhideWhenUsed/>
    <w:rsid w:val="0014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30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291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E4B"/>
    <w:rPr>
      <w:b/>
      <w:bCs/>
    </w:rPr>
  </w:style>
  <w:style w:type="character" w:styleId="Emphasis">
    <w:name w:val="Emphasis"/>
    <w:basedOn w:val="DefaultParagraphFont"/>
    <w:uiPriority w:val="20"/>
    <w:qFormat/>
    <w:rsid w:val="001C6E4B"/>
    <w:rPr>
      <w:i/>
      <w:iCs/>
    </w:rPr>
  </w:style>
  <w:style w:type="character" w:customStyle="1" w:styleId="Heading2Char">
    <w:name w:val="Heading 2 Char"/>
    <w:basedOn w:val="DefaultParagraphFont"/>
    <w:link w:val="Heading2"/>
    <w:uiPriority w:val="9"/>
    <w:rsid w:val="001B2BB3"/>
    <w:rPr>
      <w:rFonts w:ascii="Times New Roman" w:eastAsia="Times New Roman" w:hAnsi="Times New Roman" w:cs="Times New Roman"/>
      <w:b/>
      <w:bCs/>
      <w:sz w:val="36"/>
      <w:szCs w:val="36"/>
    </w:rPr>
  </w:style>
  <w:style w:type="paragraph" w:customStyle="1" w:styleId="my-0">
    <w:name w:val="my-0"/>
    <w:basedOn w:val="Normal"/>
    <w:rsid w:val="001B2B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2BB3"/>
    <w:pPr>
      <w:ind w:left="720"/>
      <w:contextualSpacing/>
    </w:pPr>
  </w:style>
  <w:style w:type="paragraph" w:styleId="NormalWeb">
    <w:name w:val="Normal (Web)"/>
    <w:basedOn w:val="Normal"/>
    <w:uiPriority w:val="99"/>
    <w:unhideWhenUsed/>
    <w:rsid w:val="001B2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33052"/>
    <w:rPr>
      <w:rFonts w:asciiTheme="majorHAnsi" w:eastAsiaTheme="majorEastAsia" w:hAnsiTheme="majorHAnsi" w:cstheme="majorBidi"/>
      <w:b/>
      <w:bCs/>
      <w:color w:val="4F81BD" w:themeColor="accent1"/>
    </w:rPr>
  </w:style>
  <w:style w:type="paragraph" w:styleId="NoSpacing">
    <w:name w:val="No Spacing"/>
    <w:uiPriority w:val="1"/>
    <w:qFormat/>
    <w:rsid w:val="00933052"/>
    <w:pPr>
      <w:spacing w:after="0" w:line="240" w:lineRule="auto"/>
    </w:pPr>
  </w:style>
  <w:style w:type="paragraph" w:styleId="BalloonText">
    <w:name w:val="Balloon Text"/>
    <w:basedOn w:val="Normal"/>
    <w:link w:val="BalloonTextChar"/>
    <w:uiPriority w:val="99"/>
    <w:semiHidden/>
    <w:unhideWhenUsed/>
    <w:rsid w:val="0093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52"/>
    <w:rPr>
      <w:rFonts w:ascii="Tahoma" w:hAnsi="Tahoma" w:cs="Tahoma"/>
      <w:sz w:val="16"/>
      <w:szCs w:val="16"/>
    </w:rPr>
  </w:style>
  <w:style w:type="table" w:styleId="TableGrid">
    <w:name w:val="Table Grid"/>
    <w:basedOn w:val="TableNormal"/>
    <w:uiPriority w:val="59"/>
    <w:rsid w:val="00BA05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166A9"/>
    <w:rPr>
      <w:color w:val="0000FF"/>
      <w:u w:val="single"/>
    </w:rPr>
  </w:style>
  <w:style w:type="character" w:customStyle="1" w:styleId="relative">
    <w:name w:val="relative"/>
    <w:basedOn w:val="DefaultParagraphFont"/>
    <w:rsid w:val="003166A9"/>
  </w:style>
  <w:style w:type="character" w:customStyle="1" w:styleId="opacity-50">
    <w:name w:val="opacity-50"/>
    <w:basedOn w:val="DefaultParagraphFont"/>
    <w:rsid w:val="003166A9"/>
  </w:style>
  <w:style w:type="paragraph" w:styleId="Header">
    <w:name w:val="header"/>
    <w:basedOn w:val="Normal"/>
    <w:link w:val="HeaderChar"/>
    <w:uiPriority w:val="99"/>
    <w:unhideWhenUsed/>
    <w:rsid w:val="0014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E3"/>
  </w:style>
  <w:style w:type="paragraph" w:styleId="Footer">
    <w:name w:val="footer"/>
    <w:basedOn w:val="Normal"/>
    <w:link w:val="FooterChar"/>
    <w:uiPriority w:val="99"/>
    <w:unhideWhenUsed/>
    <w:rsid w:val="0014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6885">
      <w:bodyDiv w:val="1"/>
      <w:marLeft w:val="0"/>
      <w:marRight w:val="0"/>
      <w:marTop w:val="0"/>
      <w:marBottom w:val="0"/>
      <w:divBdr>
        <w:top w:val="none" w:sz="0" w:space="0" w:color="auto"/>
        <w:left w:val="none" w:sz="0" w:space="0" w:color="auto"/>
        <w:bottom w:val="none" w:sz="0" w:space="0" w:color="auto"/>
        <w:right w:val="none" w:sz="0" w:space="0" w:color="auto"/>
      </w:divBdr>
      <w:divsChild>
        <w:div w:id="1409424102">
          <w:marLeft w:val="0"/>
          <w:marRight w:val="0"/>
          <w:marTop w:val="0"/>
          <w:marBottom w:val="0"/>
          <w:divBdr>
            <w:top w:val="none" w:sz="0" w:space="0" w:color="auto"/>
            <w:left w:val="none" w:sz="0" w:space="0" w:color="auto"/>
            <w:bottom w:val="none" w:sz="0" w:space="0" w:color="auto"/>
            <w:right w:val="none" w:sz="0" w:space="0" w:color="auto"/>
          </w:divBdr>
          <w:divsChild>
            <w:div w:id="5984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17367">
      <w:bodyDiv w:val="1"/>
      <w:marLeft w:val="0"/>
      <w:marRight w:val="0"/>
      <w:marTop w:val="0"/>
      <w:marBottom w:val="0"/>
      <w:divBdr>
        <w:top w:val="none" w:sz="0" w:space="0" w:color="auto"/>
        <w:left w:val="none" w:sz="0" w:space="0" w:color="auto"/>
        <w:bottom w:val="none" w:sz="0" w:space="0" w:color="auto"/>
        <w:right w:val="none" w:sz="0" w:space="0" w:color="auto"/>
      </w:divBdr>
      <w:divsChild>
        <w:div w:id="2012828626">
          <w:marLeft w:val="0"/>
          <w:marRight w:val="0"/>
          <w:marTop w:val="0"/>
          <w:marBottom w:val="0"/>
          <w:divBdr>
            <w:top w:val="none" w:sz="0" w:space="0" w:color="auto"/>
            <w:left w:val="none" w:sz="0" w:space="0" w:color="auto"/>
            <w:bottom w:val="none" w:sz="0" w:space="0" w:color="auto"/>
            <w:right w:val="none" w:sz="0" w:space="0" w:color="auto"/>
          </w:divBdr>
          <w:divsChild>
            <w:div w:id="14432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2209">
      <w:bodyDiv w:val="1"/>
      <w:marLeft w:val="0"/>
      <w:marRight w:val="0"/>
      <w:marTop w:val="0"/>
      <w:marBottom w:val="0"/>
      <w:divBdr>
        <w:top w:val="none" w:sz="0" w:space="0" w:color="auto"/>
        <w:left w:val="none" w:sz="0" w:space="0" w:color="auto"/>
        <w:bottom w:val="none" w:sz="0" w:space="0" w:color="auto"/>
        <w:right w:val="none" w:sz="0" w:space="0" w:color="auto"/>
      </w:divBdr>
      <w:divsChild>
        <w:div w:id="896546460">
          <w:marLeft w:val="0"/>
          <w:marRight w:val="0"/>
          <w:marTop w:val="0"/>
          <w:marBottom w:val="0"/>
          <w:divBdr>
            <w:top w:val="none" w:sz="0" w:space="0" w:color="auto"/>
            <w:left w:val="none" w:sz="0" w:space="0" w:color="auto"/>
            <w:bottom w:val="none" w:sz="0" w:space="0" w:color="auto"/>
            <w:right w:val="none" w:sz="0" w:space="0" w:color="auto"/>
          </w:divBdr>
          <w:divsChild>
            <w:div w:id="8034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3" Type="http://schemas.microsoft.com/office/2007/relationships/stylesWithEffects" Target="stylesWithEffect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TOTAL HARDNESS (mg/l</a:t>
            </a:r>
            <a:r>
              <a:rPr lang="en-US" sz="1800" b="1" i="0" u="none" strike="noStrike" baseline="0">
                <a:effectLst/>
              </a:rPr>
              <a:t>CaCO</a:t>
            </a:r>
            <a:r>
              <a:rPr lang="en-US" sz="1800" b="1" i="0" u="none" strike="noStrike" baseline="-25000">
                <a:effectLst/>
              </a:rPr>
              <a:t>3</a:t>
            </a:r>
            <a:r>
              <a:rPr lang="en-US"/>
              <a:t>)</a:t>
            </a:r>
          </a:p>
        </c:rich>
      </c:tx>
      <c:overlay val="0"/>
    </c:title>
    <c:autoTitleDeleted val="0"/>
    <c:plotArea>
      <c:layout/>
      <c:barChart>
        <c:barDir val="col"/>
        <c:grouping val="clustered"/>
        <c:varyColors val="0"/>
        <c:ser>
          <c:idx val="0"/>
          <c:order val="0"/>
          <c:tx>
            <c:strRef>
              <c:f>Sheet1!$B$1</c:f>
              <c:strCache>
                <c:ptCount val="1"/>
                <c:pt idx="0">
                  <c:v>TOTAL HARDNESS (mg/lcac03)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261.31</c:v>
                </c:pt>
                <c:pt idx="1">
                  <c:v>233.2</c:v>
                </c:pt>
                <c:pt idx="2">
                  <c:v>302.55</c:v>
                </c:pt>
                <c:pt idx="3">
                  <c:v>253.06</c:v>
                </c:pt>
                <c:pt idx="4">
                  <c:v>231.62</c:v>
                </c:pt>
                <c:pt idx="5">
                  <c:v>318.74</c:v>
                </c:pt>
                <c:pt idx="6">
                  <c:v>231.13</c:v>
                </c:pt>
                <c:pt idx="7">
                  <c:v>232.6</c:v>
                </c:pt>
                <c:pt idx="8">
                  <c:v>266.72999999999996</c:v>
                </c:pt>
                <c:pt idx="9">
                  <c:v>230.69</c:v>
                </c:pt>
                <c:pt idx="10">
                  <c:v>328.26</c:v>
                </c:pt>
                <c:pt idx="11">
                  <c:v>221.28</c:v>
                </c:pt>
                <c:pt idx="12">
                  <c:v>298.77999999999992</c:v>
                </c:pt>
                <c:pt idx="13">
                  <c:v>313.44</c:v>
                </c:pt>
                <c:pt idx="14">
                  <c:v>282.32</c:v>
                </c:pt>
                <c:pt idx="15">
                  <c:v>346.25</c:v>
                </c:pt>
                <c:pt idx="16">
                  <c:v>331.26</c:v>
                </c:pt>
                <c:pt idx="17">
                  <c:v>350.46</c:v>
                </c:pt>
                <c:pt idx="18">
                  <c:v>274.88</c:v>
                </c:pt>
                <c:pt idx="19">
                  <c:v>233.99</c:v>
                </c:pt>
                <c:pt idx="20">
                  <c:v>263.98999999999995</c:v>
                </c:pt>
                <c:pt idx="21">
                  <c:v>222.76</c:v>
                </c:pt>
                <c:pt idx="22">
                  <c:v>227.02</c:v>
                </c:pt>
                <c:pt idx="23">
                  <c:v>229.92000000000002</c:v>
                </c:pt>
                <c:pt idx="24">
                  <c:v>226.37</c:v>
                </c:pt>
                <c:pt idx="25">
                  <c:v>265.91000000000003</c:v>
                </c:pt>
                <c:pt idx="26">
                  <c:v>273.57</c:v>
                </c:pt>
                <c:pt idx="27">
                  <c:v>280.62</c:v>
                </c:pt>
                <c:pt idx="28">
                  <c:v>227.5</c:v>
                </c:pt>
                <c:pt idx="29">
                  <c:v>227.68</c:v>
                </c:pt>
                <c:pt idx="30">
                  <c:v>180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dLbls>
          <c:showLegendKey val="0"/>
          <c:showVal val="0"/>
          <c:showCatName val="0"/>
          <c:showSerName val="0"/>
          <c:showPercent val="0"/>
          <c:showBubbleSize val="0"/>
        </c:dLbls>
        <c:gapWidth val="150"/>
        <c:axId val="304270720"/>
        <c:axId val="319664512"/>
      </c:barChart>
      <c:catAx>
        <c:axId val="304270720"/>
        <c:scaling>
          <c:orientation val="minMax"/>
        </c:scaling>
        <c:delete val="0"/>
        <c:axPos val="b"/>
        <c:majorTickMark val="out"/>
        <c:minorTickMark val="none"/>
        <c:tickLblPos val="nextTo"/>
        <c:crossAx val="319664512"/>
        <c:crosses val="autoZero"/>
        <c:auto val="1"/>
        <c:lblAlgn val="ctr"/>
        <c:lblOffset val="100"/>
        <c:noMultiLvlLbl val="0"/>
      </c:catAx>
      <c:valAx>
        <c:axId val="319664512"/>
        <c:scaling>
          <c:orientation val="minMax"/>
        </c:scaling>
        <c:delete val="0"/>
        <c:axPos val="l"/>
        <c:majorGridlines/>
        <c:numFmt formatCode="General" sourceLinked="1"/>
        <c:majorTickMark val="out"/>
        <c:minorTickMark val="none"/>
        <c:tickLblPos val="nextTo"/>
        <c:crossAx val="304270720"/>
        <c:crosses val="autoZero"/>
        <c:crossBetween val="between"/>
      </c:valAx>
      <c:spPr>
        <a:ln>
          <a:solidFill>
            <a:schemeClr val="tx1"/>
          </a:solidFill>
        </a:ln>
      </c:spPr>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Co3</a:t>
            </a:r>
            <a:r>
              <a:rPr lang="en-US" baseline="30000"/>
              <a:t>2</a:t>
            </a:r>
            <a:r>
              <a:rPr lang="en-US"/>
              <a:t> (mg/l)</a:t>
            </a:r>
          </a:p>
        </c:rich>
      </c:tx>
      <c:overlay val="0"/>
    </c:title>
    <c:autoTitleDeleted val="0"/>
    <c:plotArea>
      <c:layout/>
      <c:barChart>
        <c:barDir val="col"/>
        <c:grouping val="clustered"/>
        <c:varyColors val="0"/>
        <c:ser>
          <c:idx val="0"/>
          <c:order val="0"/>
          <c:tx>
            <c:strRef>
              <c:f>Sheet1!$B$1</c:f>
              <c:strCache>
                <c:ptCount val="1"/>
                <c:pt idx="0">
                  <c:v>Co32 (mg/l)</c:v>
                </c:pt>
              </c:strCache>
            </c:strRef>
          </c:tx>
          <c:invertIfNegative val="0"/>
          <c:dPt>
            <c:idx val="30"/>
            <c:invertIfNegative val="0"/>
            <c:bubble3D val="0"/>
            <c:spPr>
              <a:solidFill>
                <a:schemeClr val="tx1"/>
              </a:solidFill>
              <a:ln>
                <a:solidFill>
                  <a:schemeClr val="tx1"/>
                </a:solidFill>
              </a:ln>
            </c:spPr>
          </c:dPt>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120</c:v>
                </c:pt>
              </c:numCache>
            </c:numRef>
          </c:val>
        </c:ser>
        <c:dLbls>
          <c:showLegendKey val="0"/>
          <c:showVal val="0"/>
          <c:showCatName val="0"/>
          <c:showSerName val="0"/>
          <c:showPercent val="0"/>
          <c:showBubbleSize val="0"/>
        </c:dLbls>
        <c:gapWidth val="150"/>
        <c:axId val="325032192"/>
        <c:axId val="325054464"/>
      </c:barChart>
      <c:catAx>
        <c:axId val="325032192"/>
        <c:scaling>
          <c:orientation val="minMax"/>
        </c:scaling>
        <c:delete val="0"/>
        <c:axPos val="b"/>
        <c:majorTickMark val="out"/>
        <c:minorTickMark val="none"/>
        <c:tickLblPos val="nextTo"/>
        <c:crossAx val="325054464"/>
        <c:crosses val="autoZero"/>
        <c:auto val="1"/>
        <c:lblAlgn val="ctr"/>
        <c:lblOffset val="100"/>
        <c:noMultiLvlLbl val="0"/>
      </c:catAx>
      <c:valAx>
        <c:axId val="325054464"/>
        <c:scaling>
          <c:orientation val="minMax"/>
        </c:scaling>
        <c:delete val="0"/>
        <c:axPos val="l"/>
        <c:majorGridlines/>
        <c:numFmt formatCode="General" sourceLinked="1"/>
        <c:majorTickMark val="out"/>
        <c:minorTickMark val="none"/>
        <c:tickLblPos val="nextTo"/>
        <c:crossAx val="32503219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Na (ppm)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12.52</c:v>
                </c:pt>
                <c:pt idx="1">
                  <c:v>9.7399999999999984</c:v>
                </c:pt>
                <c:pt idx="2">
                  <c:v>13.07</c:v>
                </c:pt>
                <c:pt idx="3">
                  <c:v>10.06</c:v>
                </c:pt>
                <c:pt idx="4">
                  <c:v>8.2800000000000011</c:v>
                </c:pt>
                <c:pt idx="5">
                  <c:v>16.68</c:v>
                </c:pt>
                <c:pt idx="6">
                  <c:v>9.49</c:v>
                </c:pt>
                <c:pt idx="7">
                  <c:v>9.42</c:v>
                </c:pt>
                <c:pt idx="8">
                  <c:v>11.83</c:v>
                </c:pt>
                <c:pt idx="9">
                  <c:v>7.2700000000000005</c:v>
                </c:pt>
                <c:pt idx="10">
                  <c:v>17.260000000000002</c:v>
                </c:pt>
                <c:pt idx="11">
                  <c:v>10.02</c:v>
                </c:pt>
                <c:pt idx="12">
                  <c:v>14.62</c:v>
                </c:pt>
                <c:pt idx="13">
                  <c:v>15.53</c:v>
                </c:pt>
                <c:pt idx="14">
                  <c:v>13.870000000000001</c:v>
                </c:pt>
                <c:pt idx="15">
                  <c:v>18.420000000000002</c:v>
                </c:pt>
                <c:pt idx="16">
                  <c:v>19.07</c:v>
                </c:pt>
                <c:pt idx="17">
                  <c:v>19.279999999999998</c:v>
                </c:pt>
                <c:pt idx="18">
                  <c:v>10.46</c:v>
                </c:pt>
                <c:pt idx="19">
                  <c:v>9.5300000000000011</c:v>
                </c:pt>
                <c:pt idx="20">
                  <c:v>12.81</c:v>
                </c:pt>
                <c:pt idx="21">
                  <c:v>10.43</c:v>
                </c:pt>
                <c:pt idx="22">
                  <c:v>12.209999999999999</c:v>
                </c:pt>
                <c:pt idx="23">
                  <c:v>10.66</c:v>
                </c:pt>
                <c:pt idx="24">
                  <c:v>11.17</c:v>
                </c:pt>
                <c:pt idx="25">
                  <c:v>13.06</c:v>
                </c:pt>
                <c:pt idx="26">
                  <c:v>12.38</c:v>
                </c:pt>
                <c:pt idx="27">
                  <c:v>12.31</c:v>
                </c:pt>
                <c:pt idx="28">
                  <c:v>10.62</c:v>
                </c:pt>
                <c:pt idx="29">
                  <c:v>9.91</c:v>
                </c:pt>
                <c:pt idx="30">
                  <c:v>120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ser>
          <c:idx val="2"/>
          <c:order val="2"/>
          <c:tx>
            <c:strRef>
              <c:f>Sheet1!$D$1</c:f>
              <c:strCache>
                <c:ptCount val="1"/>
                <c:pt idx="0">
                  <c:v>Column2</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Sheet1!$D$2:$D$32</c:f>
            </c:numRef>
          </c:val>
        </c:ser>
        <c:dLbls>
          <c:showLegendKey val="0"/>
          <c:showVal val="0"/>
          <c:showCatName val="0"/>
          <c:showSerName val="0"/>
          <c:showPercent val="0"/>
          <c:showBubbleSize val="0"/>
        </c:dLbls>
        <c:gapWidth val="150"/>
        <c:axId val="315266944"/>
        <c:axId val="315268480"/>
      </c:barChart>
      <c:catAx>
        <c:axId val="315266944"/>
        <c:scaling>
          <c:orientation val="minMax"/>
        </c:scaling>
        <c:delete val="0"/>
        <c:axPos val="b"/>
        <c:majorTickMark val="out"/>
        <c:minorTickMark val="none"/>
        <c:tickLblPos val="nextTo"/>
        <c:crossAx val="315268480"/>
        <c:crosses val="autoZero"/>
        <c:auto val="1"/>
        <c:lblAlgn val="ctr"/>
        <c:lblOffset val="100"/>
        <c:noMultiLvlLbl val="0"/>
      </c:catAx>
      <c:valAx>
        <c:axId val="315268480"/>
        <c:scaling>
          <c:orientation val="minMax"/>
        </c:scaling>
        <c:delete val="0"/>
        <c:axPos val="l"/>
        <c:majorGridlines/>
        <c:numFmt formatCode="General" sourceLinked="1"/>
        <c:majorTickMark val="out"/>
        <c:minorTickMark val="none"/>
        <c:tickLblPos val="nextTo"/>
        <c:crossAx val="315266944"/>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K (ppm)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10.030000000000001</c:v>
                </c:pt>
                <c:pt idx="1">
                  <c:v>6.49</c:v>
                </c:pt>
                <c:pt idx="2">
                  <c:v>10.48</c:v>
                </c:pt>
                <c:pt idx="3">
                  <c:v>7.45</c:v>
                </c:pt>
                <c:pt idx="4">
                  <c:v>5.3599999999999994</c:v>
                </c:pt>
                <c:pt idx="5">
                  <c:v>12.54</c:v>
                </c:pt>
                <c:pt idx="6">
                  <c:v>6.9700000000000006</c:v>
                </c:pt>
                <c:pt idx="7">
                  <c:v>6.52</c:v>
                </c:pt>
                <c:pt idx="8">
                  <c:v>8.3500000000000014</c:v>
                </c:pt>
                <c:pt idx="9">
                  <c:v>4.1599999999999993</c:v>
                </c:pt>
                <c:pt idx="10">
                  <c:v>13.01</c:v>
                </c:pt>
                <c:pt idx="11">
                  <c:v>7.1599999999999993</c:v>
                </c:pt>
                <c:pt idx="12">
                  <c:v>11.29</c:v>
                </c:pt>
                <c:pt idx="13">
                  <c:v>11.06</c:v>
                </c:pt>
                <c:pt idx="14">
                  <c:v>10.06</c:v>
                </c:pt>
                <c:pt idx="15">
                  <c:v>12.02</c:v>
                </c:pt>
                <c:pt idx="16">
                  <c:v>11.729999999999999</c:v>
                </c:pt>
                <c:pt idx="17">
                  <c:v>11.94</c:v>
                </c:pt>
                <c:pt idx="18">
                  <c:v>8.58</c:v>
                </c:pt>
                <c:pt idx="19">
                  <c:v>6.79</c:v>
                </c:pt>
                <c:pt idx="20">
                  <c:v>10.09</c:v>
                </c:pt>
                <c:pt idx="21">
                  <c:v>7.91</c:v>
                </c:pt>
                <c:pt idx="22">
                  <c:v>9.32</c:v>
                </c:pt>
                <c:pt idx="23">
                  <c:v>8.91</c:v>
                </c:pt>
                <c:pt idx="24">
                  <c:v>8.15</c:v>
                </c:pt>
                <c:pt idx="25">
                  <c:v>10.040000000000001</c:v>
                </c:pt>
                <c:pt idx="26">
                  <c:v>9.9700000000000006</c:v>
                </c:pt>
                <c:pt idx="27">
                  <c:v>10.02</c:v>
                </c:pt>
                <c:pt idx="28">
                  <c:v>9.82</c:v>
                </c:pt>
                <c:pt idx="29">
                  <c:v>8.7299999999999986</c:v>
                </c:pt>
                <c:pt idx="30">
                  <c:v>160</c:v>
                </c:pt>
              </c:numCache>
            </c:numRef>
          </c:val>
        </c:ser>
        <c:dLbls>
          <c:showLegendKey val="0"/>
          <c:showVal val="0"/>
          <c:showCatName val="0"/>
          <c:showSerName val="0"/>
          <c:showPercent val="0"/>
          <c:showBubbleSize val="0"/>
        </c:dLbls>
        <c:gapWidth val="150"/>
        <c:axId val="319359232"/>
        <c:axId val="412065792"/>
      </c:barChart>
      <c:catAx>
        <c:axId val="319359232"/>
        <c:scaling>
          <c:orientation val="minMax"/>
        </c:scaling>
        <c:delete val="0"/>
        <c:axPos val="b"/>
        <c:majorTickMark val="out"/>
        <c:minorTickMark val="none"/>
        <c:tickLblPos val="nextTo"/>
        <c:crossAx val="412065792"/>
        <c:crosses val="autoZero"/>
        <c:auto val="1"/>
        <c:lblAlgn val="ctr"/>
        <c:lblOffset val="100"/>
        <c:noMultiLvlLbl val="0"/>
      </c:catAx>
      <c:valAx>
        <c:axId val="412065792"/>
        <c:scaling>
          <c:orientation val="minMax"/>
        </c:scaling>
        <c:delete val="0"/>
        <c:axPos val="l"/>
        <c:majorGridlines/>
        <c:numFmt formatCode="General" sourceLinked="1"/>
        <c:majorTickMark val="out"/>
        <c:minorTickMark val="none"/>
        <c:tickLblPos val="nextTo"/>
        <c:crossAx val="3193592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CALCIUM HARDNESS (mg/lCaC03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119.45</c:v>
                </c:pt>
                <c:pt idx="1">
                  <c:v>106.6</c:v>
                </c:pt>
                <c:pt idx="2">
                  <c:v>138.30000000000001</c:v>
                </c:pt>
                <c:pt idx="3">
                  <c:v>115.67999999999999</c:v>
                </c:pt>
                <c:pt idx="4">
                  <c:v>105.88</c:v>
                </c:pt>
                <c:pt idx="5">
                  <c:v>145.69999999999999</c:v>
                </c:pt>
                <c:pt idx="6">
                  <c:v>105.64999999999999</c:v>
                </c:pt>
                <c:pt idx="7">
                  <c:v>106.33</c:v>
                </c:pt>
                <c:pt idx="8">
                  <c:v>121.93</c:v>
                </c:pt>
                <c:pt idx="9">
                  <c:v>105.45</c:v>
                </c:pt>
                <c:pt idx="10">
                  <c:v>150.05000000000001</c:v>
                </c:pt>
                <c:pt idx="11">
                  <c:v>101.14999999999999</c:v>
                </c:pt>
                <c:pt idx="12">
                  <c:v>136.58000000000001</c:v>
                </c:pt>
                <c:pt idx="13">
                  <c:v>143.28</c:v>
                </c:pt>
                <c:pt idx="14">
                  <c:v>129.05000000000001</c:v>
                </c:pt>
                <c:pt idx="15">
                  <c:v>158.28</c:v>
                </c:pt>
                <c:pt idx="16">
                  <c:v>151.43</c:v>
                </c:pt>
                <c:pt idx="17">
                  <c:v>160.19999999999999</c:v>
                </c:pt>
                <c:pt idx="18">
                  <c:v>125.64999999999999</c:v>
                </c:pt>
                <c:pt idx="19">
                  <c:v>106.95</c:v>
                </c:pt>
                <c:pt idx="20">
                  <c:v>120.67999999999999</c:v>
                </c:pt>
                <c:pt idx="21">
                  <c:v>101.83</c:v>
                </c:pt>
                <c:pt idx="22">
                  <c:v>103.78</c:v>
                </c:pt>
                <c:pt idx="23">
                  <c:v>105.1</c:v>
                </c:pt>
                <c:pt idx="24">
                  <c:v>103.48</c:v>
                </c:pt>
                <c:pt idx="25">
                  <c:v>121.55</c:v>
                </c:pt>
                <c:pt idx="26">
                  <c:v>125.05</c:v>
                </c:pt>
                <c:pt idx="27">
                  <c:v>128.28</c:v>
                </c:pt>
                <c:pt idx="28">
                  <c:v>126.85</c:v>
                </c:pt>
                <c:pt idx="29">
                  <c:v>104.08</c:v>
                </c:pt>
                <c:pt idx="30">
                  <c:v>180</c:v>
                </c:pt>
              </c:numCache>
            </c:numRef>
          </c:val>
        </c:ser>
        <c:dLbls>
          <c:showLegendKey val="0"/>
          <c:showVal val="0"/>
          <c:showCatName val="0"/>
          <c:showSerName val="0"/>
          <c:showPercent val="0"/>
          <c:showBubbleSize val="0"/>
        </c:dLbls>
        <c:gapWidth val="150"/>
        <c:axId val="371049216"/>
        <c:axId val="371051520"/>
      </c:barChart>
      <c:catAx>
        <c:axId val="371049216"/>
        <c:scaling>
          <c:orientation val="minMax"/>
        </c:scaling>
        <c:delete val="0"/>
        <c:axPos val="b"/>
        <c:majorTickMark val="out"/>
        <c:minorTickMark val="none"/>
        <c:tickLblPos val="nextTo"/>
        <c:crossAx val="371051520"/>
        <c:crosses val="autoZero"/>
        <c:auto val="1"/>
        <c:lblAlgn val="ctr"/>
        <c:lblOffset val="100"/>
        <c:noMultiLvlLbl val="0"/>
      </c:catAx>
      <c:valAx>
        <c:axId val="371051520"/>
        <c:scaling>
          <c:orientation val="minMax"/>
        </c:scaling>
        <c:delete val="0"/>
        <c:axPos val="l"/>
        <c:majorGridlines/>
        <c:numFmt formatCode="General" sourceLinked="1"/>
        <c:majorTickMark val="out"/>
        <c:minorTickMark val="none"/>
        <c:tickLblPos val="nextTo"/>
        <c:crossAx val="371049216"/>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MAGNESIUM HARDNESS (mg/l 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141.86000000000001</c:v>
                </c:pt>
                <c:pt idx="1">
                  <c:v>126.6</c:v>
                </c:pt>
                <c:pt idx="2">
                  <c:v>164.25</c:v>
                </c:pt>
                <c:pt idx="3">
                  <c:v>137.38000000000002</c:v>
                </c:pt>
                <c:pt idx="4">
                  <c:v>125.74000000000001</c:v>
                </c:pt>
                <c:pt idx="5">
                  <c:v>173.04</c:v>
                </c:pt>
                <c:pt idx="6">
                  <c:v>125.48</c:v>
                </c:pt>
                <c:pt idx="7">
                  <c:v>126.28</c:v>
                </c:pt>
                <c:pt idx="8">
                  <c:v>144.80000000000001</c:v>
                </c:pt>
                <c:pt idx="9">
                  <c:v>125.24000000000001</c:v>
                </c:pt>
                <c:pt idx="10">
                  <c:v>178.20999999999998</c:v>
                </c:pt>
                <c:pt idx="11">
                  <c:v>120.13</c:v>
                </c:pt>
                <c:pt idx="12">
                  <c:v>162.19999999999999</c:v>
                </c:pt>
                <c:pt idx="13">
                  <c:v>170.16</c:v>
                </c:pt>
                <c:pt idx="14">
                  <c:v>153.26999999999998</c:v>
                </c:pt>
                <c:pt idx="15">
                  <c:v>187.98000000000002</c:v>
                </c:pt>
                <c:pt idx="16">
                  <c:v>179.84</c:v>
                </c:pt>
                <c:pt idx="17">
                  <c:v>199.26</c:v>
                </c:pt>
                <c:pt idx="18">
                  <c:v>149.22999999999999</c:v>
                </c:pt>
                <c:pt idx="19">
                  <c:v>127.02</c:v>
                </c:pt>
                <c:pt idx="20">
                  <c:v>143.32000000000002</c:v>
                </c:pt>
                <c:pt idx="21">
                  <c:v>120.93</c:v>
                </c:pt>
                <c:pt idx="22">
                  <c:v>123.25</c:v>
                </c:pt>
                <c:pt idx="23">
                  <c:v>124.82</c:v>
                </c:pt>
                <c:pt idx="24">
                  <c:v>122.89</c:v>
                </c:pt>
                <c:pt idx="25">
                  <c:v>144.36000000000001</c:v>
                </c:pt>
                <c:pt idx="26">
                  <c:v>148.52000000000001</c:v>
                </c:pt>
                <c:pt idx="27">
                  <c:v>152.35000000000002</c:v>
                </c:pt>
                <c:pt idx="28">
                  <c:v>150.65</c:v>
                </c:pt>
                <c:pt idx="29">
                  <c:v>123.6</c:v>
                </c:pt>
                <c:pt idx="30">
                  <c:v>300</c:v>
                </c:pt>
              </c:numCache>
            </c:numRef>
          </c:val>
        </c:ser>
        <c:dLbls>
          <c:showLegendKey val="0"/>
          <c:showVal val="0"/>
          <c:showCatName val="0"/>
          <c:showSerName val="0"/>
          <c:showPercent val="0"/>
          <c:showBubbleSize val="0"/>
        </c:dLbls>
        <c:gapWidth val="150"/>
        <c:axId val="599149568"/>
        <c:axId val="304313088"/>
      </c:barChart>
      <c:catAx>
        <c:axId val="599149568"/>
        <c:scaling>
          <c:orientation val="minMax"/>
        </c:scaling>
        <c:delete val="0"/>
        <c:axPos val="b"/>
        <c:majorTickMark val="out"/>
        <c:minorTickMark val="none"/>
        <c:tickLblPos val="nextTo"/>
        <c:crossAx val="304313088"/>
        <c:crosses val="autoZero"/>
        <c:auto val="1"/>
        <c:lblAlgn val="ctr"/>
        <c:lblOffset val="100"/>
        <c:noMultiLvlLbl val="0"/>
      </c:catAx>
      <c:valAx>
        <c:axId val="304313088"/>
        <c:scaling>
          <c:orientation val="minMax"/>
        </c:scaling>
        <c:delete val="0"/>
        <c:axPos val="l"/>
        <c:majorGridlines/>
        <c:numFmt formatCode="General" sourceLinked="1"/>
        <c:majorTickMark val="out"/>
        <c:minorTickMark val="none"/>
        <c:tickLblPos val="nextTo"/>
        <c:crossAx val="5991495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a:t>
            </a:r>
            <a:r>
              <a:rPr lang="en-US" baseline="30000"/>
              <a:t>2</a:t>
            </a:r>
            <a:r>
              <a:rPr lang="en-US"/>
              <a:t>(ppm)</a:t>
            </a:r>
          </a:p>
        </c:rich>
      </c:tx>
      <c:overlay val="0"/>
    </c:title>
    <c:autoTitleDeleted val="0"/>
    <c:plotArea>
      <c:layout/>
      <c:barChart>
        <c:barDir val="col"/>
        <c:grouping val="clustered"/>
        <c:varyColors val="0"/>
        <c:ser>
          <c:idx val="0"/>
          <c:order val="0"/>
          <c:tx>
            <c:strRef>
              <c:f>Sheet1!$B$1</c:f>
              <c:strCache>
                <c:ptCount val="1"/>
                <c:pt idx="0">
                  <c:v>Ca2(ppm)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47.78</c:v>
                </c:pt>
                <c:pt idx="1">
                  <c:v>42.64</c:v>
                </c:pt>
                <c:pt idx="2">
                  <c:v>55.32</c:v>
                </c:pt>
                <c:pt idx="3">
                  <c:v>46.27</c:v>
                </c:pt>
                <c:pt idx="4">
                  <c:v>42.349999999999994</c:v>
                </c:pt>
                <c:pt idx="5">
                  <c:v>58.28</c:v>
                </c:pt>
                <c:pt idx="6">
                  <c:v>42.260000000000005</c:v>
                </c:pt>
                <c:pt idx="7">
                  <c:v>42.53</c:v>
                </c:pt>
                <c:pt idx="8">
                  <c:v>48.77</c:v>
                </c:pt>
                <c:pt idx="9">
                  <c:v>42.18</c:v>
                </c:pt>
                <c:pt idx="10">
                  <c:v>60.02</c:v>
                </c:pt>
                <c:pt idx="11">
                  <c:v>40.46</c:v>
                </c:pt>
                <c:pt idx="12">
                  <c:v>54.63</c:v>
                </c:pt>
                <c:pt idx="13">
                  <c:v>57.309999999999995</c:v>
                </c:pt>
                <c:pt idx="14">
                  <c:v>51.620000000000005</c:v>
                </c:pt>
                <c:pt idx="15">
                  <c:v>63.309999999999995</c:v>
                </c:pt>
                <c:pt idx="16">
                  <c:v>60.57</c:v>
                </c:pt>
                <c:pt idx="17">
                  <c:v>64.08</c:v>
                </c:pt>
                <c:pt idx="18">
                  <c:v>50.260000000000005</c:v>
                </c:pt>
                <c:pt idx="19">
                  <c:v>42.78</c:v>
                </c:pt>
                <c:pt idx="20">
                  <c:v>48.27</c:v>
                </c:pt>
                <c:pt idx="21">
                  <c:v>40.730000000000011</c:v>
                </c:pt>
                <c:pt idx="22">
                  <c:v>41.51</c:v>
                </c:pt>
                <c:pt idx="23">
                  <c:v>42.04</c:v>
                </c:pt>
                <c:pt idx="24">
                  <c:v>41.39</c:v>
                </c:pt>
                <c:pt idx="25">
                  <c:v>48.620000000000005</c:v>
                </c:pt>
                <c:pt idx="26">
                  <c:v>50.02</c:v>
                </c:pt>
                <c:pt idx="27">
                  <c:v>51.309999999999995</c:v>
                </c:pt>
                <c:pt idx="28">
                  <c:v>50.74</c:v>
                </c:pt>
                <c:pt idx="29">
                  <c:v>41.63</c:v>
                </c:pt>
                <c:pt idx="30">
                  <c:v>500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ser>
          <c:idx val="2"/>
          <c:order val="2"/>
          <c:tx>
            <c:strRef>
              <c:f>Sheet1!$D$1</c:f>
              <c:strCache>
                <c:ptCount val="1"/>
                <c:pt idx="0">
                  <c:v>Column2</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Sheet1!$D$2:$D$32</c:f>
            </c:numRef>
          </c:val>
        </c:ser>
        <c:dLbls>
          <c:showLegendKey val="0"/>
          <c:showVal val="0"/>
          <c:showCatName val="0"/>
          <c:showSerName val="0"/>
          <c:showPercent val="0"/>
          <c:showBubbleSize val="0"/>
        </c:dLbls>
        <c:gapWidth val="150"/>
        <c:axId val="304536192"/>
        <c:axId val="304542080"/>
      </c:barChart>
      <c:catAx>
        <c:axId val="304536192"/>
        <c:scaling>
          <c:orientation val="minMax"/>
        </c:scaling>
        <c:delete val="0"/>
        <c:axPos val="b"/>
        <c:majorTickMark val="out"/>
        <c:minorTickMark val="none"/>
        <c:tickLblPos val="nextTo"/>
        <c:crossAx val="304542080"/>
        <c:crosses val="autoZero"/>
        <c:auto val="1"/>
        <c:lblAlgn val="ctr"/>
        <c:lblOffset val="100"/>
        <c:noMultiLvlLbl val="0"/>
      </c:catAx>
      <c:valAx>
        <c:axId val="304542080"/>
        <c:scaling>
          <c:orientation val="minMax"/>
        </c:scaling>
        <c:delete val="0"/>
        <c:axPos val="l"/>
        <c:majorGridlines/>
        <c:numFmt formatCode="General" sourceLinked="1"/>
        <c:majorTickMark val="out"/>
        <c:minorTickMark val="none"/>
        <c:tickLblPos val="nextTo"/>
        <c:crossAx val="3045361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Mg</a:t>
            </a:r>
            <a:r>
              <a:rPr lang="en-US" baseline="30000"/>
              <a:t>2</a:t>
            </a:r>
            <a:r>
              <a:rPr lang="en-US"/>
              <a:t>(ppm)</a:t>
            </a:r>
          </a:p>
        </c:rich>
      </c:tx>
      <c:overlay val="0"/>
    </c:title>
    <c:autoTitleDeleted val="0"/>
    <c:plotArea>
      <c:layout/>
      <c:barChart>
        <c:barDir val="col"/>
        <c:grouping val="clustered"/>
        <c:varyColors val="0"/>
        <c:ser>
          <c:idx val="0"/>
          <c:order val="0"/>
          <c:tx>
            <c:strRef>
              <c:f>Sheet1!$B$1</c:f>
              <c:strCache>
                <c:ptCount val="1"/>
                <c:pt idx="0">
                  <c:v>Mg2(ppm)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20.16</c:v>
                </c:pt>
                <c:pt idx="1">
                  <c:v>16.18</c:v>
                </c:pt>
                <c:pt idx="2">
                  <c:v>21.35</c:v>
                </c:pt>
                <c:pt idx="3">
                  <c:v>15.629999999999999</c:v>
                </c:pt>
                <c:pt idx="4">
                  <c:v>13.61</c:v>
                </c:pt>
                <c:pt idx="5">
                  <c:v>24.37</c:v>
                </c:pt>
                <c:pt idx="6">
                  <c:v>14.12</c:v>
                </c:pt>
                <c:pt idx="7">
                  <c:v>13.96</c:v>
                </c:pt>
                <c:pt idx="8">
                  <c:v>18.82</c:v>
                </c:pt>
                <c:pt idx="9">
                  <c:v>12.129999999999999</c:v>
                </c:pt>
                <c:pt idx="10">
                  <c:v>27.29</c:v>
                </c:pt>
                <c:pt idx="11">
                  <c:v>13.55</c:v>
                </c:pt>
                <c:pt idx="12">
                  <c:v>21.73</c:v>
                </c:pt>
                <c:pt idx="13">
                  <c:v>22.479999999999997</c:v>
                </c:pt>
                <c:pt idx="14">
                  <c:v>19.420000000000002</c:v>
                </c:pt>
                <c:pt idx="15">
                  <c:v>28.259999999999998</c:v>
                </c:pt>
                <c:pt idx="16">
                  <c:v>27.34</c:v>
                </c:pt>
                <c:pt idx="17">
                  <c:v>28.919999999999998</c:v>
                </c:pt>
                <c:pt idx="18">
                  <c:v>16.439999999999998</c:v>
                </c:pt>
                <c:pt idx="19">
                  <c:v>12.56</c:v>
                </c:pt>
                <c:pt idx="20">
                  <c:v>15.729999999999999</c:v>
                </c:pt>
                <c:pt idx="21">
                  <c:v>15.39</c:v>
                </c:pt>
                <c:pt idx="22">
                  <c:v>14.870000000000001</c:v>
                </c:pt>
                <c:pt idx="23">
                  <c:v>16.73</c:v>
                </c:pt>
                <c:pt idx="24">
                  <c:v>17.04</c:v>
                </c:pt>
                <c:pt idx="25">
                  <c:v>19.73</c:v>
                </c:pt>
                <c:pt idx="26">
                  <c:v>19.82</c:v>
                </c:pt>
                <c:pt idx="27">
                  <c:v>20.05</c:v>
                </c:pt>
                <c:pt idx="28">
                  <c:v>19.79</c:v>
                </c:pt>
                <c:pt idx="29">
                  <c:v>13.739999999999998</c:v>
                </c:pt>
                <c:pt idx="30">
                  <c:v>30</c:v>
                </c:pt>
              </c:numCache>
            </c:numRef>
          </c:val>
        </c:ser>
        <c:dLbls>
          <c:showLegendKey val="0"/>
          <c:showVal val="0"/>
          <c:showCatName val="0"/>
          <c:showSerName val="0"/>
          <c:showPercent val="0"/>
          <c:showBubbleSize val="0"/>
        </c:dLbls>
        <c:gapWidth val="150"/>
        <c:axId val="305990656"/>
        <c:axId val="305996544"/>
      </c:barChart>
      <c:catAx>
        <c:axId val="305990656"/>
        <c:scaling>
          <c:orientation val="minMax"/>
        </c:scaling>
        <c:delete val="0"/>
        <c:axPos val="b"/>
        <c:majorTickMark val="out"/>
        <c:minorTickMark val="none"/>
        <c:tickLblPos val="nextTo"/>
        <c:crossAx val="305996544"/>
        <c:crosses val="autoZero"/>
        <c:auto val="1"/>
        <c:lblAlgn val="ctr"/>
        <c:lblOffset val="100"/>
        <c:noMultiLvlLbl val="0"/>
      </c:catAx>
      <c:valAx>
        <c:axId val="305996544"/>
        <c:scaling>
          <c:orientation val="minMax"/>
        </c:scaling>
        <c:delete val="0"/>
        <c:axPos val="l"/>
        <c:majorGridlines/>
        <c:numFmt formatCode="General" sourceLinked="1"/>
        <c:majorTickMark val="out"/>
        <c:minorTickMark val="none"/>
        <c:tickLblPos val="nextTo"/>
        <c:crossAx val="30599065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Hco</a:t>
            </a:r>
            <a:r>
              <a:rPr lang="en-US" baseline="-25000"/>
              <a:t>3</a:t>
            </a:r>
            <a:r>
              <a:rPr lang="en-US"/>
              <a:t> (mg/l)</a:t>
            </a:r>
          </a:p>
        </c:rich>
      </c:tx>
      <c:overlay val="0"/>
    </c:title>
    <c:autoTitleDeleted val="0"/>
    <c:plotArea>
      <c:layout/>
      <c:barChart>
        <c:barDir val="col"/>
        <c:grouping val="clustered"/>
        <c:varyColors val="0"/>
        <c:ser>
          <c:idx val="0"/>
          <c:order val="0"/>
          <c:tx>
            <c:strRef>
              <c:f>Sheet1!$B$1</c:f>
              <c:strCache>
                <c:ptCount val="1"/>
                <c:pt idx="0">
                  <c:v>Hco3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174</c:v>
                </c:pt>
                <c:pt idx="1">
                  <c:v>160</c:v>
                </c:pt>
                <c:pt idx="2">
                  <c:v>138</c:v>
                </c:pt>
                <c:pt idx="3">
                  <c:v>176</c:v>
                </c:pt>
                <c:pt idx="4">
                  <c:v>162</c:v>
                </c:pt>
                <c:pt idx="5">
                  <c:v>246</c:v>
                </c:pt>
                <c:pt idx="6">
                  <c:v>156</c:v>
                </c:pt>
                <c:pt idx="7">
                  <c:v>154</c:v>
                </c:pt>
                <c:pt idx="8">
                  <c:v>164</c:v>
                </c:pt>
                <c:pt idx="9">
                  <c:v>142</c:v>
                </c:pt>
                <c:pt idx="10">
                  <c:v>250</c:v>
                </c:pt>
                <c:pt idx="11">
                  <c:v>158</c:v>
                </c:pt>
                <c:pt idx="12">
                  <c:v>186</c:v>
                </c:pt>
                <c:pt idx="13">
                  <c:v>192</c:v>
                </c:pt>
                <c:pt idx="14">
                  <c:v>188</c:v>
                </c:pt>
                <c:pt idx="15">
                  <c:v>226</c:v>
                </c:pt>
                <c:pt idx="16">
                  <c:v>226</c:v>
                </c:pt>
                <c:pt idx="17">
                  <c:v>232</c:v>
                </c:pt>
                <c:pt idx="18">
                  <c:v>186</c:v>
                </c:pt>
                <c:pt idx="19">
                  <c:v>160</c:v>
                </c:pt>
                <c:pt idx="20">
                  <c:v>180</c:v>
                </c:pt>
                <c:pt idx="21">
                  <c:v>172</c:v>
                </c:pt>
                <c:pt idx="22">
                  <c:v>174</c:v>
                </c:pt>
                <c:pt idx="23">
                  <c:v>176</c:v>
                </c:pt>
                <c:pt idx="24">
                  <c:v>174</c:v>
                </c:pt>
                <c:pt idx="25">
                  <c:v>186</c:v>
                </c:pt>
                <c:pt idx="26">
                  <c:v>190</c:v>
                </c:pt>
                <c:pt idx="27">
                  <c:v>194</c:v>
                </c:pt>
                <c:pt idx="28">
                  <c:v>180</c:v>
                </c:pt>
                <c:pt idx="29">
                  <c:v>174</c:v>
                </c:pt>
                <c:pt idx="30">
                  <c:v>500</c:v>
                </c:pt>
              </c:numCache>
            </c:numRef>
          </c:val>
        </c:ser>
        <c:dLbls>
          <c:showLegendKey val="0"/>
          <c:showVal val="0"/>
          <c:showCatName val="0"/>
          <c:showSerName val="0"/>
          <c:showPercent val="0"/>
          <c:showBubbleSize val="0"/>
        </c:dLbls>
        <c:gapWidth val="150"/>
        <c:axId val="319095168"/>
        <c:axId val="319096704"/>
      </c:barChart>
      <c:catAx>
        <c:axId val="319095168"/>
        <c:scaling>
          <c:orientation val="minMax"/>
        </c:scaling>
        <c:delete val="0"/>
        <c:axPos val="b"/>
        <c:majorTickMark val="out"/>
        <c:minorTickMark val="none"/>
        <c:tickLblPos val="nextTo"/>
        <c:crossAx val="319096704"/>
        <c:crosses val="autoZero"/>
        <c:auto val="1"/>
        <c:lblAlgn val="ctr"/>
        <c:lblOffset val="100"/>
        <c:noMultiLvlLbl val="0"/>
      </c:catAx>
      <c:valAx>
        <c:axId val="319096704"/>
        <c:scaling>
          <c:orientation val="minMax"/>
        </c:scaling>
        <c:delete val="0"/>
        <c:axPos val="l"/>
        <c:majorGridlines/>
        <c:numFmt formatCode="General" sourceLinked="1"/>
        <c:majorTickMark val="out"/>
        <c:minorTickMark val="none"/>
        <c:tickLblPos val="nextTo"/>
        <c:crossAx val="31909516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SO</a:t>
            </a:r>
            <a:r>
              <a:rPr lang="en-US" baseline="30000"/>
              <a:t>2</a:t>
            </a:r>
            <a:r>
              <a:rPr lang="en-US"/>
              <a:t> (mg/l)</a:t>
            </a:r>
          </a:p>
        </c:rich>
      </c:tx>
      <c:overlay val="0"/>
    </c:title>
    <c:autoTitleDeleted val="0"/>
    <c:plotArea>
      <c:layout/>
      <c:barChart>
        <c:barDir val="col"/>
        <c:grouping val="clustered"/>
        <c:varyColors val="0"/>
        <c:ser>
          <c:idx val="0"/>
          <c:order val="0"/>
          <c:tx>
            <c:strRef>
              <c:f>Sheet1!$B$1</c:f>
              <c:strCache>
                <c:ptCount val="1"/>
                <c:pt idx="0">
                  <c:v>SO2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36</c:v>
                </c:pt>
                <c:pt idx="1">
                  <c:v>26</c:v>
                </c:pt>
                <c:pt idx="2">
                  <c:v>30</c:v>
                </c:pt>
                <c:pt idx="3">
                  <c:v>24</c:v>
                </c:pt>
                <c:pt idx="4">
                  <c:v>20</c:v>
                </c:pt>
                <c:pt idx="5">
                  <c:v>30</c:v>
                </c:pt>
                <c:pt idx="6">
                  <c:v>18</c:v>
                </c:pt>
                <c:pt idx="7">
                  <c:v>18</c:v>
                </c:pt>
                <c:pt idx="8">
                  <c:v>30</c:v>
                </c:pt>
                <c:pt idx="9">
                  <c:v>14</c:v>
                </c:pt>
                <c:pt idx="10">
                  <c:v>40</c:v>
                </c:pt>
                <c:pt idx="11">
                  <c:v>16</c:v>
                </c:pt>
                <c:pt idx="12">
                  <c:v>36</c:v>
                </c:pt>
                <c:pt idx="13">
                  <c:v>38</c:v>
                </c:pt>
                <c:pt idx="14">
                  <c:v>30</c:v>
                </c:pt>
                <c:pt idx="15">
                  <c:v>42</c:v>
                </c:pt>
                <c:pt idx="16">
                  <c:v>40</c:v>
                </c:pt>
                <c:pt idx="17">
                  <c:v>44</c:v>
                </c:pt>
                <c:pt idx="18">
                  <c:v>18</c:v>
                </c:pt>
                <c:pt idx="19">
                  <c:v>14</c:v>
                </c:pt>
                <c:pt idx="20">
                  <c:v>20</c:v>
                </c:pt>
                <c:pt idx="21">
                  <c:v>14</c:v>
                </c:pt>
                <c:pt idx="22">
                  <c:v>16</c:v>
                </c:pt>
                <c:pt idx="23">
                  <c:v>16</c:v>
                </c:pt>
                <c:pt idx="24">
                  <c:v>18</c:v>
                </c:pt>
                <c:pt idx="25">
                  <c:v>28</c:v>
                </c:pt>
                <c:pt idx="26">
                  <c:v>28</c:v>
                </c:pt>
                <c:pt idx="27">
                  <c:v>30</c:v>
                </c:pt>
                <c:pt idx="28">
                  <c:v>28</c:v>
                </c:pt>
                <c:pt idx="29">
                  <c:v>14</c:v>
                </c:pt>
                <c:pt idx="30">
                  <c:v>300</c:v>
                </c:pt>
              </c:numCache>
            </c:numRef>
          </c:val>
        </c:ser>
        <c:dLbls>
          <c:showLegendKey val="0"/>
          <c:showVal val="0"/>
          <c:showCatName val="0"/>
          <c:showSerName val="0"/>
          <c:showPercent val="0"/>
          <c:showBubbleSize val="0"/>
        </c:dLbls>
        <c:gapWidth val="150"/>
        <c:axId val="282768896"/>
        <c:axId val="282770432"/>
      </c:barChart>
      <c:catAx>
        <c:axId val="282768896"/>
        <c:scaling>
          <c:orientation val="minMax"/>
        </c:scaling>
        <c:delete val="0"/>
        <c:axPos val="b"/>
        <c:majorTickMark val="out"/>
        <c:minorTickMark val="none"/>
        <c:tickLblPos val="nextTo"/>
        <c:crossAx val="282770432"/>
        <c:crosses val="autoZero"/>
        <c:auto val="1"/>
        <c:lblAlgn val="ctr"/>
        <c:lblOffset val="100"/>
        <c:noMultiLvlLbl val="0"/>
      </c:catAx>
      <c:valAx>
        <c:axId val="282770432"/>
        <c:scaling>
          <c:orientation val="minMax"/>
        </c:scaling>
        <c:delete val="0"/>
        <c:axPos val="l"/>
        <c:majorGridlines/>
        <c:numFmt formatCode="General" sourceLinked="1"/>
        <c:majorTickMark val="out"/>
        <c:minorTickMark val="none"/>
        <c:tickLblPos val="nextTo"/>
        <c:crossAx val="282768896"/>
        <c:crosses val="autoZero"/>
        <c:crossBetween val="between"/>
      </c:valAx>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Cl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33.51</c:v>
                </c:pt>
                <c:pt idx="1">
                  <c:v>20.779999999999998</c:v>
                </c:pt>
                <c:pt idx="2">
                  <c:v>44.27</c:v>
                </c:pt>
                <c:pt idx="3">
                  <c:v>19.45</c:v>
                </c:pt>
                <c:pt idx="4">
                  <c:v>12.89</c:v>
                </c:pt>
                <c:pt idx="5">
                  <c:v>35.07</c:v>
                </c:pt>
                <c:pt idx="6">
                  <c:v>23</c:v>
                </c:pt>
                <c:pt idx="7">
                  <c:v>22.35</c:v>
                </c:pt>
                <c:pt idx="8">
                  <c:v>35.57</c:v>
                </c:pt>
                <c:pt idx="9">
                  <c:v>20.650000000000002</c:v>
                </c:pt>
                <c:pt idx="10">
                  <c:v>47.01</c:v>
                </c:pt>
                <c:pt idx="11">
                  <c:v>18.979999999999997</c:v>
                </c:pt>
                <c:pt idx="12">
                  <c:v>43.790000000000006</c:v>
                </c:pt>
                <c:pt idx="13">
                  <c:v>44.47</c:v>
                </c:pt>
                <c:pt idx="14">
                  <c:v>32.870000000000005</c:v>
                </c:pt>
                <c:pt idx="15">
                  <c:v>54.37</c:v>
                </c:pt>
                <c:pt idx="16">
                  <c:v>50.620000000000005</c:v>
                </c:pt>
                <c:pt idx="17">
                  <c:v>53.91</c:v>
                </c:pt>
                <c:pt idx="18">
                  <c:v>27.53</c:v>
                </c:pt>
                <c:pt idx="19">
                  <c:v>18.959999999999997</c:v>
                </c:pt>
                <c:pt idx="20">
                  <c:v>28.57</c:v>
                </c:pt>
                <c:pt idx="21">
                  <c:v>19.45</c:v>
                </c:pt>
                <c:pt idx="22">
                  <c:v>20.38</c:v>
                </c:pt>
                <c:pt idx="23">
                  <c:v>22.32</c:v>
                </c:pt>
                <c:pt idx="24">
                  <c:v>22.69</c:v>
                </c:pt>
                <c:pt idx="25">
                  <c:v>31.79</c:v>
                </c:pt>
                <c:pt idx="26">
                  <c:v>30.97</c:v>
                </c:pt>
                <c:pt idx="27">
                  <c:v>31.21</c:v>
                </c:pt>
                <c:pt idx="28">
                  <c:v>31.759999999999998</c:v>
                </c:pt>
                <c:pt idx="29">
                  <c:v>16.87</c:v>
                </c:pt>
                <c:pt idx="30">
                  <c:v>250</c:v>
                </c:pt>
              </c:numCache>
            </c:numRef>
          </c:val>
        </c:ser>
        <c:dLbls>
          <c:showLegendKey val="0"/>
          <c:showVal val="0"/>
          <c:showCatName val="0"/>
          <c:showSerName val="0"/>
          <c:showPercent val="0"/>
          <c:showBubbleSize val="0"/>
        </c:dLbls>
        <c:gapWidth val="150"/>
        <c:axId val="319372672"/>
        <c:axId val="319374464"/>
      </c:barChart>
      <c:catAx>
        <c:axId val="319372672"/>
        <c:scaling>
          <c:orientation val="minMax"/>
        </c:scaling>
        <c:delete val="0"/>
        <c:axPos val="b"/>
        <c:majorTickMark val="out"/>
        <c:minorTickMark val="none"/>
        <c:tickLblPos val="nextTo"/>
        <c:crossAx val="319374464"/>
        <c:crosses val="autoZero"/>
        <c:auto val="1"/>
        <c:lblAlgn val="ctr"/>
        <c:lblOffset val="100"/>
        <c:noMultiLvlLbl val="0"/>
      </c:catAx>
      <c:valAx>
        <c:axId val="319374464"/>
        <c:scaling>
          <c:orientation val="minMax"/>
        </c:scaling>
        <c:delete val="0"/>
        <c:axPos val="l"/>
        <c:majorGridlines/>
        <c:numFmt formatCode="General" sourceLinked="1"/>
        <c:majorTickMark val="out"/>
        <c:minorTickMark val="none"/>
        <c:tickLblPos val="nextTo"/>
        <c:crossAx val="31937267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NO</a:t>
            </a:r>
            <a:r>
              <a:rPr lang="en-US" baseline="30000"/>
              <a:t>3</a:t>
            </a:r>
            <a:r>
              <a:rPr lang="en-US"/>
              <a:t> (mg/l)</a:t>
            </a:r>
          </a:p>
        </c:rich>
      </c:tx>
      <c:overlay val="0"/>
    </c:title>
    <c:autoTitleDeleted val="0"/>
    <c:plotArea>
      <c:layout/>
      <c:barChart>
        <c:barDir val="col"/>
        <c:grouping val="clustered"/>
        <c:varyColors val="0"/>
        <c:ser>
          <c:idx val="0"/>
          <c:order val="0"/>
          <c:tx>
            <c:strRef>
              <c:f>Sheet1!$B$1</c:f>
              <c:strCache>
                <c:ptCount val="1"/>
                <c:pt idx="0">
                  <c:v>NO3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0.7400000000000001</c:v>
                </c:pt>
                <c:pt idx="1">
                  <c:v>1.05</c:v>
                </c:pt>
                <c:pt idx="2">
                  <c:v>4.83</c:v>
                </c:pt>
                <c:pt idx="3">
                  <c:v>1.03</c:v>
                </c:pt>
                <c:pt idx="4">
                  <c:v>0.48000000000000004</c:v>
                </c:pt>
                <c:pt idx="5">
                  <c:v>2.5099999999999998</c:v>
                </c:pt>
                <c:pt idx="6">
                  <c:v>0.67000000000000015</c:v>
                </c:pt>
                <c:pt idx="7">
                  <c:v>0.85000000000000009</c:v>
                </c:pt>
                <c:pt idx="8">
                  <c:v>6.3599999999999994</c:v>
                </c:pt>
                <c:pt idx="9">
                  <c:v>0.72000000000000008</c:v>
                </c:pt>
                <c:pt idx="10">
                  <c:v>6.63</c:v>
                </c:pt>
                <c:pt idx="11">
                  <c:v>1.07</c:v>
                </c:pt>
                <c:pt idx="12">
                  <c:v>6.68</c:v>
                </c:pt>
                <c:pt idx="13">
                  <c:v>8.7399999999999984</c:v>
                </c:pt>
                <c:pt idx="14">
                  <c:v>5.49</c:v>
                </c:pt>
                <c:pt idx="15">
                  <c:v>10.81</c:v>
                </c:pt>
                <c:pt idx="16">
                  <c:v>6.75</c:v>
                </c:pt>
                <c:pt idx="17">
                  <c:v>9.7299999999999986</c:v>
                </c:pt>
                <c:pt idx="18">
                  <c:v>3.52</c:v>
                </c:pt>
                <c:pt idx="19">
                  <c:v>0.7400000000000001</c:v>
                </c:pt>
                <c:pt idx="20">
                  <c:v>2.73</c:v>
                </c:pt>
                <c:pt idx="21">
                  <c:v>0.98</c:v>
                </c:pt>
                <c:pt idx="22">
                  <c:v>1.03</c:v>
                </c:pt>
                <c:pt idx="23">
                  <c:v>0.94000000000000006</c:v>
                </c:pt>
                <c:pt idx="24">
                  <c:v>0.63000000000000012</c:v>
                </c:pt>
                <c:pt idx="25">
                  <c:v>3.4099999999999997</c:v>
                </c:pt>
                <c:pt idx="26">
                  <c:v>4.1599999999999993</c:v>
                </c:pt>
                <c:pt idx="27">
                  <c:v>3.46</c:v>
                </c:pt>
                <c:pt idx="28">
                  <c:v>3.19</c:v>
                </c:pt>
                <c:pt idx="29">
                  <c:v>0.75000000000000011</c:v>
                </c:pt>
                <c:pt idx="30">
                  <c:v>50</c:v>
                </c:pt>
              </c:numCache>
            </c:numRef>
          </c:val>
        </c:ser>
        <c:dLbls>
          <c:showLegendKey val="0"/>
          <c:showVal val="0"/>
          <c:showCatName val="0"/>
          <c:showSerName val="0"/>
          <c:showPercent val="0"/>
          <c:showBubbleSize val="0"/>
        </c:dLbls>
        <c:gapWidth val="150"/>
        <c:axId val="319386368"/>
        <c:axId val="319387904"/>
      </c:barChart>
      <c:catAx>
        <c:axId val="319386368"/>
        <c:scaling>
          <c:orientation val="minMax"/>
        </c:scaling>
        <c:delete val="0"/>
        <c:axPos val="b"/>
        <c:majorTickMark val="out"/>
        <c:minorTickMark val="none"/>
        <c:tickLblPos val="nextTo"/>
        <c:crossAx val="319387904"/>
        <c:crosses val="autoZero"/>
        <c:auto val="1"/>
        <c:lblAlgn val="ctr"/>
        <c:lblOffset val="100"/>
        <c:noMultiLvlLbl val="0"/>
      </c:catAx>
      <c:valAx>
        <c:axId val="319387904"/>
        <c:scaling>
          <c:orientation val="minMax"/>
        </c:scaling>
        <c:delete val="0"/>
        <c:axPos val="l"/>
        <c:majorGridlines/>
        <c:numFmt formatCode="General" sourceLinked="1"/>
        <c:majorTickMark val="out"/>
        <c:minorTickMark val="none"/>
        <c:tickLblPos val="nextTo"/>
        <c:crossAx val="319386368"/>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0.05669</cdr:x>
      <cdr:y>0.5002</cdr:y>
    </cdr:from>
    <cdr:to>
      <cdr:x>0.97682</cdr:x>
      <cdr:y>0.51139</cdr:y>
    </cdr:to>
    <cdr:sp macro="" textlink="">
      <cdr:nvSpPr>
        <cdr:cNvPr id="5" name="Straight Connector 4"/>
        <cdr:cNvSpPr/>
      </cdr:nvSpPr>
      <cdr:spPr>
        <a:xfrm xmlns:a="http://schemas.openxmlformats.org/drawingml/2006/main" rot="10800000" flipV="1">
          <a:off x="532980" y="2265380"/>
          <a:ext cx="8650556" cy="50672"/>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0.0466</cdr:x>
      <cdr:y>0.17426</cdr:y>
    </cdr:from>
    <cdr:to>
      <cdr:x>0.97649</cdr:x>
      <cdr:y>0.17455</cdr:y>
    </cdr:to>
    <cdr:sp macro="" textlink="">
      <cdr:nvSpPr>
        <cdr:cNvPr id="7" name="Straight Connector 6"/>
        <cdr:cNvSpPr/>
      </cdr:nvSpPr>
      <cdr:spPr>
        <a:xfrm xmlns:a="http://schemas.openxmlformats.org/drawingml/2006/main" rot="10800000">
          <a:off x="440793" y="946112"/>
          <a:ext cx="8795154" cy="1590"/>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0.0515</cdr:x>
      <cdr:y>0.21495</cdr:y>
    </cdr:from>
    <cdr:to>
      <cdr:x>0.97366</cdr:x>
      <cdr:y>0.2153</cdr:y>
    </cdr:to>
    <cdr:sp macro="" textlink="">
      <cdr:nvSpPr>
        <cdr:cNvPr id="3" name="Straight Connector 2"/>
        <cdr:cNvSpPr/>
      </cdr:nvSpPr>
      <cdr:spPr>
        <a:xfrm xmlns:a="http://schemas.openxmlformats.org/drawingml/2006/main">
          <a:off x="465044" y="989704"/>
          <a:ext cx="8326419" cy="1588"/>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47</Pages>
  <Words>7699</Words>
  <Characters>43888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21</cp:revision>
  <cp:lastPrinted>2025-08-12T04:19:00Z</cp:lastPrinted>
  <dcterms:created xsi:type="dcterms:W3CDTF">2025-08-11T15:43:00Z</dcterms:created>
  <dcterms:modified xsi:type="dcterms:W3CDTF">2025-08-13T14:03:00Z</dcterms:modified>
</cp:coreProperties>
</file>