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EA0F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ITC Bookman" w:hAnsi="ITC Bookman" w:cs="ITC Bookman"/>
          <w:b/>
          <w:bCs/>
          <w:sz w:val="24"/>
          <w:szCs w:val="24"/>
          <w:lang w:val="en-US"/>
        </w:rPr>
      </w:pPr>
      <w:r>
        <w:rPr>
          <w:rFonts w:hint="default" w:ascii="ITC Bookman" w:hAnsi="ITC Bookman" w:cs="ITC Bookman"/>
          <w:b/>
          <w:bCs/>
          <w:sz w:val="24"/>
          <w:szCs w:val="24"/>
          <w:lang w:val="en-US"/>
        </w:rPr>
        <w:t>ESTABLISHING THE RELATIONSHIP BETWEEN SOME INDEX PROPERTIES AND THE ENGINEERING PROPERTIES OF LATERITIC SOIL FROM KWARA STATE POLYTECHNIC CAMPUS.</w:t>
      </w:r>
    </w:p>
    <w:p w14:paraId="5D6A48AE">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33A15514">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AMBALI SODIQ ALABI</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MPE</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0085</w:t>
      </w:r>
    </w:p>
    <w:p w14:paraId="40BB0EA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p>
    <w:p w14:paraId="34DBF6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MINERAL AND PETROLEUM RESOURCES ENGINEERING</w:t>
      </w:r>
      <w:r>
        <w:rPr>
          <w:rFonts w:hint="default" w:ascii="Franklin Gothic Medium" w:hAnsi="Franklin Gothic Medium" w:cs="Franklin Gothic Medium" w:eastAsiaTheme="majorEastAsia"/>
          <w:b w:val="0"/>
          <w:bCs/>
          <w:color w:val="auto"/>
          <w:sz w:val="28"/>
          <w:szCs w:val="28"/>
          <w:shd w:val="clear" w:color="auto" w:fill="auto"/>
        </w:rPr>
        <w:t xml:space="preserve">, INSTITUTE OF </w:t>
      </w:r>
      <w:r>
        <w:rPr>
          <w:rFonts w:hint="default" w:ascii="Franklin Gothic Medium" w:hAnsi="Franklin Gothic Medium" w:cs="Franklin Gothic Medium" w:eastAsiaTheme="majorEastAsia"/>
          <w:b w:val="0"/>
          <w:bCs/>
          <w:color w:val="auto"/>
          <w:sz w:val="28"/>
          <w:szCs w:val="28"/>
          <w:shd w:val="clear" w:color="auto" w:fill="auto"/>
          <w:lang w:val="en-US"/>
        </w:rPr>
        <w:t>TECHNOLOGY</w:t>
      </w:r>
      <w:r>
        <w:rPr>
          <w:rFonts w:hint="default" w:ascii="Franklin Gothic Medium" w:hAnsi="Franklin Gothic Medium" w:cs="Franklin Gothic Medium" w:eastAsiaTheme="majorEastAsia"/>
          <w:b w:val="0"/>
          <w:bCs/>
          <w:color w:val="auto"/>
          <w:sz w:val="28"/>
          <w:szCs w:val="28"/>
          <w:shd w:val="clear" w:color="auto" w:fill="auto"/>
        </w:rPr>
        <w:t>,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MINERAL AND PETROLEUM RESOURCES ENGINEERING.</w:t>
      </w: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AUGUST</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417D03D3">
      <w:pPr>
        <w:pStyle w:val="253"/>
        <w:spacing w:line="480" w:lineRule="auto"/>
        <w:jc w:val="center"/>
        <w:rPr>
          <w:rFonts w:ascii="Times New Roman" w:hAnsi="Times New Roman" w:cs="Times New Roman"/>
          <w:b w:val="0"/>
          <w:bCs/>
          <w:sz w:val="24"/>
          <w:szCs w:val="24"/>
        </w:rPr>
      </w:pPr>
      <w:r>
        <w:rPr>
          <w:rFonts w:hint="default" w:ascii="Times New Roman" w:hAnsi="Times New Roman" w:cs="Times New Roman"/>
          <w:b/>
          <w:color w:val="auto"/>
          <w:sz w:val="24"/>
          <w:szCs w:val="24"/>
          <w:shd w:val="clear" w:color="auto" w:fill="auto"/>
        </w:rPr>
        <w:br w:type="page"/>
      </w:r>
    </w:p>
    <w:p w14:paraId="353463D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23A542D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anchor distT="0" distB="0" distL="114300" distR="114300" simplePos="0" relativeHeight="251659264" behindDoc="0" locked="0" layoutInCell="1" allowOverlap="1">
            <wp:simplePos x="0" y="0"/>
            <wp:positionH relativeFrom="column">
              <wp:posOffset>-944245</wp:posOffset>
            </wp:positionH>
            <wp:positionV relativeFrom="paragraph">
              <wp:posOffset>-1491615</wp:posOffset>
            </wp:positionV>
            <wp:extent cx="7087235" cy="9198610"/>
            <wp:effectExtent l="0" t="0" r="18415" b="2540"/>
            <wp:wrapNone/>
            <wp:docPr id="5" name="Picture 5" descr="SODIQ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ODIQ O"/>
                    <pic:cNvPicPr>
                      <a:picLocks noChangeAspect="1"/>
                    </pic:cNvPicPr>
                  </pic:nvPicPr>
                  <pic:blipFill>
                    <a:blip r:embed="rId7"/>
                    <a:stretch>
                      <a:fillRect/>
                    </a:stretch>
                  </pic:blipFill>
                  <pic:spPr>
                    <a:xfrm>
                      <a:off x="0" y="0"/>
                      <a:ext cx="7087235" cy="9198610"/>
                    </a:xfrm>
                    <a:prstGeom prst="rect">
                      <a:avLst/>
                    </a:prstGeom>
                  </pic:spPr>
                </pic:pic>
              </a:graphicData>
            </a:graphic>
          </wp:anchor>
        </w:drawing>
      </w:r>
    </w:p>
    <w:p w14:paraId="3E5734F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8FE80D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5C22D8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299034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6FDC10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113D89D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1C1651D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D8552B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0367328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60C9FF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01F8782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105C817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Allah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bookmarkStart w:id="0" w:name="_GoBack"/>
      <w:bookmarkEnd w:id="0"/>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sz w:val="24"/>
          <w:szCs w:val="24"/>
          <w:lang w:val="en-US"/>
        </w:rPr>
        <w:t xml:space="preserve">Engr. Odediran Olatunbosun A. </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ascii="Times New Roman" w:hAnsi="Times New Roman" w:cs="Times New Roman"/>
          <w:sz w:val="24"/>
          <w:szCs w:val="24"/>
        </w:rPr>
        <w:t>Dr. J. A. Olatunji</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I also wish to acknowledge the great support of my parents, Mr. &amp; Mrs. </w:t>
      </w:r>
      <w:r>
        <w:rPr>
          <w:rFonts w:hint="default" w:ascii="Times New Roman" w:hAnsi="Times New Roman" w:cs="Times New Roman"/>
          <w:b/>
          <w:bCs w:val="0"/>
          <w:sz w:val="24"/>
          <w:szCs w:val="24"/>
          <w:lang w:val="en-US"/>
        </w:rPr>
        <w:t xml:space="preserve">Ambali </w:t>
      </w:r>
      <w:r>
        <w:rPr>
          <w:rFonts w:hint="default" w:ascii="Times New Roman" w:hAnsi="Times New Roman" w:cs="Times New Roman"/>
          <w:b w:val="0"/>
          <w:bCs/>
          <w:sz w:val="24"/>
          <w:szCs w:val="24"/>
          <w:lang w:val="en-US"/>
        </w:rPr>
        <w:t>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DE50BB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DCAE92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683D4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1EA6EC5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907722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24DF541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w:t>
      </w:r>
    </w:p>
    <w:p w14:paraId="633B1F8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61AB3AA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introduction </w:t>
      </w:r>
    </w:p>
    <w:p w14:paraId="4E4DC7D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location and accessibility </w:t>
      </w:r>
    </w:p>
    <w:p w14:paraId="5176318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1.2 Climate and vegetation</w:t>
      </w:r>
    </w:p>
    <w:p w14:paraId="549CE5D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1.3 relief and droinerge </w:t>
      </w:r>
    </w:p>
    <w:p w14:paraId="5140288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1.4 aims and objective </w:t>
      </w:r>
    </w:p>
    <w:p w14:paraId="3CC6689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1.5 statement of the problem </w:t>
      </w:r>
    </w:p>
    <w:p w14:paraId="69A33EF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1.6 justification  </w:t>
      </w:r>
    </w:p>
    <w:p w14:paraId="7287A03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1.7 scop</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 and limitation </w:t>
      </w:r>
    </w:p>
    <w:p w14:paraId="569DD0A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LITERAT</w:t>
      </w:r>
      <w:r>
        <w:rPr>
          <w:rFonts w:hint="default" w:ascii="Times New Roman" w:hAnsi="Times New Roman" w:cs="Times New Roman"/>
          <w:b/>
          <w:bCs/>
          <w:sz w:val="24"/>
          <w:szCs w:val="24"/>
          <w:lang w:val="en-US"/>
        </w:rPr>
        <w:t>URE</w:t>
      </w:r>
      <w:r>
        <w:rPr>
          <w:rFonts w:hint="default" w:ascii="Times New Roman" w:hAnsi="Times New Roman" w:cs="Times New Roman"/>
          <w:b/>
          <w:bCs/>
          <w:sz w:val="24"/>
          <w:szCs w:val="24"/>
        </w:rPr>
        <w:t xml:space="preserve"> REVIEWS </w:t>
      </w:r>
    </w:p>
    <w:p w14:paraId="25A7EE4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literature review </w:t>
      </w:r>
    </w:p>
    <w:p w14:paraId="617E49D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overview of laterite</w:t>
      </w:r>
    </w:p>
    <w:p w14:paraId="73F607E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formation and occurrence of laterite </w:t>
      </w:r>
    </w:p>
    <w:p w14:paraId="6BC4F5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regional d</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struction of laterite </w:t>
      </w:r>
    </w:p>
    <w:p w14:paraId="0957766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characteristics of laterite </w:t>
      </w:r>
    </w:p>
    <w:p w14:paraId="26DE629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w:t>
      </w:r>
    </w:p>
    <w:p w14:paraId="0B4FCAE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copration </w:t>
      </w:r>
    </w:p>
    <w:p w14:paraId="5268AB2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 xml:space="preserve"> sieve analysis </w:t>
      </w:r>
    </w:p>
    <w:p w14:paraId="073A510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METHODOLOGY </w:t>
      </w:r>
    </w:p>
    <w:p w14:paraId="1E0D3F7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research memodology </w:t>
      </w:r>
    </w:p>
    <w:p w14:paraId="10EC3B2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collection of sample </w:t>
      </w:r>
    </w:p>
    <w:p w14:paraId="5ACC407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pr</w:t>
      </w:r>
      <w:r>
        <w:rPr>
          <w:rFonts w:hint="default" w:ascii="Times New Roman" w:hAnsi="Times New Roman" w:cs="Times New Roman"/>
          <w:b w:val="0"/>
          <w:bCs w:val="0"/>
          <w:sz w:val="24"/>
          <w:szCs w:val="24"/>
          <w:lang w:val="en-US"/>
        </w:rPr>
        <w:t>epara</w:t>
      </w:r>
      <w:r>
        <w:rPr>
          <w:rFonts w:hint="default" w:ascii="Times New Roman" w:hAnsi="Times New Roman" w:cs="Times New Roman"/>
          <w:b w:val="0"/>
          <w:bCs w:val="0"/>
          <w:sz w:val="24"/>
          <w:szCs w:val="24"/>
        </w:rPr>
        <w:t xml:space="preserve">tion of </w:t>
      </w:r>
      <w:r>
        <w:rPr>
          <w:rFonts w:hint="default" w:ascii="Times New Roman" w:hAnsi="Times New Roman" w:cs="Times New Roman"/>
          <w:b w:val="0"/>
          <w:bCs w:val="0"/>
          <w:sz w:val="24"/>
          <w:szCs w:val="24"/>
          <w:lang w:val="en-US"/>
        </w:rPr>
        <w:t>disturbed</w:t>
      </w:r>
      <w:r>
        <w:rPr>
          <w:rFonts w:hint="default" w:ascii="Times New Roman" w:hAnsi="Times New Roman" w:cs="Times New Roman"/>
          <w:b w:val="0"/>
          <w:bCs w:val="0"/>
          <w:sz w:val="24"/>
          <w:szCs w:val="24"/>
        </w:rPr>
        <w:t xml:space="preserve"> samples  </w:t>
      </w:r>
    </w:p>
    <w:p w14:paraId="07895AE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laboratory</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procedures</w:t>
      </w:r>
      <w:r>
        <w:rPr>
          <w:rFonts w:hint="default" w:ascii="Times New Roman" w:hAnsi="Times New Roman" w:cs="Times New Roman"/>
          <w:b w:val="0"/>
          <w:bCs w:val="0"/>
          <w:sz w:val="24"/>
          <w:szCs w:val="24"/>
        </w:rPr>
        <w:t xml:space="preserve"> </w:t>
      </w:r>
    </w:p>
    <w:p w14:paraId="51CF06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grain size distributor tests </w:t>
      </w:r>
    </w:p>
    <w:p w14:paraId="367540B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test </w:t>
      </w:r>
    </w:p>
    <w:p w14:paraId="5007EC9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compaction test </w:t>
      </w:r>
    </w:p>
    <w:p w14:paraId="002565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 xml:space="preserve">7 </w:t>
      </w:r>
      <w:r>
        <w:rPr>
          <w:rFonts w:hint="default" w:ascii="Times New Roman" w:hAnsi="Times New Roman" w:cs="Times New Roman"/>
          <w:b w:val="0"/>
          <w:bCs w:val="0"/>
          <w:sz w:val="24"/>
          <w:szCs w:val="24"/>
        </w:rPr>
        <w:t xml:space="preserve">moisture contest test </w:t>
      </w:r>
    </w:p>
    <w:p w14:paraId="7B3F30F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8</w:t>
      </w:r>
      <w:r>
        <w:rPr>
          <w:rFonts w:hint="default" w:ascii="Times New Roman" w:hAnsi="Times New Roman" w:cs="Times New Roman"/>
          <w:b w:val="0"/>
          <w:bCs w:val="0"/>
          <w:sz w:val="24"/>
          <w:szCs w:val="24"/>
        </w:rPr>
        <w:t xml:space="preserve"> specific </w:t>
      </w:r>
      <w:r>
        <w:rPr>
          <w:rFonts w:hint="default" w:ascii="Times New Roman" w:hAnsi="Times New Roman" w:cs="Times New Roman"/>
          <w:b w:val="0"/>
          <w:bCs w:val="0"/>
          <w:sz w:val="24"/>
          <w:szCs w:val="24"/>
          <w:lang w:val="en-US"/>
        </w:rPr>
        <w:t>ca</w:t>
      </w:r>
      <w:r>
        <w:rPr>
          <w:rFonts w:hint="default" w:ascii="Times New Roman" w:hAnsi="Times New Roman" w:cs="Times New Roman"/>
          <w:b w:val="0"/>
          <w:bCs w:val="0"/>
          <w:sz w:val="24"/>
          <w:szCs w:val="24"/>
        </w:rPr>
        <w:t xml:space="preserve">rainly test </w:t>
      </w:r>
    </w:p>
    <w:p w14:paraId="42F9A5E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9</w:t>
      </w:r>
      <w:r>
        <w:rPr>
          <w:rFonts w:hint="default" w:ascii="Times New Roman" w:hAnsi="Times New Roman" w:cs="Times New Roman"/>
          <w:b w:val="0"/>
          <w:bCs w:val="0"/>
          <w:sz w:val="24"/>
          <w:szCs w:val="24"/>
        </w:rPr>
        <w:t xml:space="preserve"> bulk density test </w:t>
      </w:r>
    </w:p>
    <w:p w14:paraId="36524D9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RESULT AND DISCUSSION </w:t>
      </w:r>
    </w:p>
    <w:p w14:paraId="356869A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results and discussion </w:t>
      </w:r>
    </w:p>
    <w:p w14:paraId="1BB2ED6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results of moisture content test </w:t>
      </w:r>
    </w:p>
    <w:p w14:paraId="2A3EA1B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results of attending limit test </w:t>
      </w:r>
    </w:p>
    <w:p w14:paraId="23E885B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results of compaction test </w:t>
      </w:r>
    </w:p>
    <w:p w14:paraId="6AB97B8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results of arain size analysis </w:t>
      </w:r>
    </w:p>
    <w:p w14:paraId="2D66117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 Relationship between some index properties of Laterite and selected engineering properties</w:t>
      </w:r>
    </w:p>
    <w:p w14:paraId="262C7EB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CONCLUSION AND RECOMMENDATION </w:t>
      </w:r>
    </w:p>
    <w:p w14:paraId="7C9AB92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Conclusion </w:t>
      </w:r>
    </w:p>
    <w:p w14:paraId="10C6B46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Recommendation </w:t>
      </w:r>
    </w:p>
    <w:p w14:paraId="62B18F2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References </w:t>
      </w:r>
    </w:p>
    <w:p w14:paraId="45AD48D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14:paraId="152F0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Style w:val="92"/>
          <w:rFonts w:hint="default" w:ascii="Times New Roman" w:hAnsi="Times New Roman" w:cs="Times New Roman"/>
          <w:b/>
          <w:bCs/>
          <w:color w:val="0D0D0D"/>
          <w:sz w:val="24"/>
          <w:szCs w:val="24"/>
        </w:rPr>
      </w:pPr>
    </w:p>
    <w:p w14:paraId="37906C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both"/>
        <w:rPr>
          <w:rStyle w:val="92"/>
          <w:rFonts w:hint="default" w:ascii="Times New Roman" w:hAnsi="Times New Roman" w:cs="Times New Roman"/>
          <w:b/>
          <w:bCs/>
          <w:color w:val="0D0D0D"/>
          <w:sz w:val="24"/>
          <w:szCs w:val="24"/>
        </w:rPr>
      </w:pPr>
    </w:p>
    <w:p w14:paraId="0335F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Abstract</w:t>
      </w:r>
    </w:p>
    <w:p w14:paraId="6B0F27B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investigates the relationship between 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of lateritic soils obtained from Kwara State Polytechnic Campus in Ilorin, Nigeria. Lateritic soils, commonly found across tropical regions, are widely used in civil engineering works such as road construction, foundations, and embankments. However, their suitability for structural applications often depends on a range of geotechnical properties. This study aims to bridge the gap between simple index tests and more advanced engineering evaluations by exploring the correlation between parameters such as </w:t>
      </w:r>
      <w:r>
        <w:rPr>
          <w:rStyle w:val="92"/>
          <w:rFonts w:hint="default" w:ascii="Times New Roman" w:hAnsi="Times New Roman" w:cs="Times New Roman"/>
          <w:b w:val="0"/>
          <w:bCs w:val="0"/>
          <w:color w:val="0D0D0D"/>
          <w:sz w:val="24"/>
          <w:szCs w:val="24"/>
        </w:rPr>
        <w:t>moisture content, Atterberg limits, grain size distribution, specific gravity</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bulk density</w:t>
      </w:r>
      <w:r>
        <w:rPr>
          <w:rFonts w:hint="default" w:ascii="Times New Roman" w:hAnsi="Times New Roman" w:cs="Times New Roman"/>
          <w:b w:val="0"/>
          <w:bCs w:val="0"/>
          <w:color w:val="0D0D0D"/>
          <w:sz w:val="24"/>
          <w:szCs w:val="24"/>
        </w:rPr>
        <w:t> with </w:t>
      </w:r>
      <w:r>
        <w:rPr>
          <w:rStyle w:val="92"/>
          <w:rFonts w:hint="default" w:ascii="Times New Roman" w:hAnsi="Times New Roman" w:cs="Times New Roman"/>
          <w:b w:val="0"/>
          <w:bCs w:val="0"/>
          <w:color w:val="0D0D0D"/>
          <w:sz w:val="24"/>
          <w:szCs w:val="24"/>
        </w:rPr>
        <w:t>compaction characteristics</w:t>
      </w:r>
      <w:r>
        <w:rPr>
          <w:rStyle w:val="92"/>
          <w:rFonts w:hint="default"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notably,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w:t>
      </w:r>
    </w:p>
    <w:p w14:paraId="2ED2F81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Soil samples were collected from different locations within the campus, air-dried, prepared, and subjected to a series of standardized laboratory tests. The procedures followed the British Standard (BS 1377) and ASTM methods. Results showed that the soils generally exhibited moderate plasticity, with plasticity indices ranging from 8% to 18%, and were mostly classified as clayey or silty sands (SC or SM) based on grain size analysis. MDD ranged from 1.69 g/cm³ to 1.94 g/cm³, while OMC varied between 12.5% and 18.3%. Significant correlations were found between Atterberg limits and compaction results, indicating that higher plasticity was associated with lower dry density and higher moisture requirements.</w:t>
      </w:r>
    </w:p>
    <w:p w14:paraId="433B863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demonstrate that </w:t>
      </w:r>
      <w:r>
        <w:rPr>
          <w:rStyle w:val="92"/>
          <w:rFonts w:hint="default" w:ascii="Times New Roman" w:hAnsi="Times New Roman" w:cs="Times New Roman"/>
          <w:b w:val="0"/>
          <w:bCs w:val="0"/>
          <w:color w:val="0D0D0D"/>
          <w:sz w:val="24"/>
          <w:szCs w:val="24"/>
        </w:rPr>
        <w:t>index properties can be effectively used to estimate engineering behavior</w:t>
      </w:r>
      <w:r>
        <w:rPr>
          <w:rFonts w:hint="default" w:ascii="Times New Roman" w:hAnsi="Times New Roman" w:cs="Times New Roman"/>
          <w:b w:val="0"/>
          <w:bCs w:val="0"/>
          <w:color w:val="0D0D0D"/>
          <w:sz w:val="24"/>
          <w:szCs w:val="24"/>
        </w:rPr>
        <w:t>, offering a practical and cost-effective approach to preliminary soil assessment in construction projects. The study concludes that lateritic soils within the study area are suitable for use in civil engineering applications, provided that moisture content and compaction conditions are properly controlled. Recommendations were made for soil stabilization in high-PI zones and for the establishment of a geotechnical database to support future infrastructure development.</w:t>
      </w:r>
    </w:p>
    <w:p w14:paraId="35642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147B0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7A466A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ONE</w:t>
      </w:r>
    </w:p>
    <w:p w14:paraId="19B81E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INTRODUCTION</w:t>
      </w:r>
    </w:p>
    <w:p w14:paraId="5FE1B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Introduction</w:t>
      </w:r>
    </w:p>
    <w:p w14:paraId="20DFC6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 xml:space="preserve">Lateritic soils </w:t>
      </w:r>
    </w:p>
    <w:p w14:paraId="266A6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Location and Accessibility</w:t>
      </w:r>
    </w:p>
    <w:p w14:paraId="19A3FB7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study area is the </w:t>
      </w:r>
      <w:r>
        <w:rPr>
          <w:rStyle w:val="92"/>
          <w:rFonts w:hint="default" w:ascii="Times New Roman" w:hAnsi="Times New Roman" w:cs="Times New Roman"/>
          <w:b w:val="0"/>
          <w:bCs w:val="0"/>
          <w:color w:val="0D0D0D"/>
          <w:sz w:val="24"/>
          <w:szCs w:val="24"/>
        </w:rPr>
        <w:t>Kwara State Polytechnic Campus</w:t>
      </w:r>
      <w:r>
        <w:rPr>
          <w:rFonts w:hint="default" w:ascii="Times New Roman" w:hAnsi="Times New Roman" w:cs="Times New Roman"/>
          <w:b w:val="0"/>
          <w:bCs w:val="0"/>
          <w:color w:val="0D0D0D"/>
          <w:sz w:val="24"/>
          <w:szCs w:val="24"/>
        </w:rPr>
        <w:t>, located in Ilorin, the capital city of Kwara State, Nigeria. The campus is situated within coordinates approximately between latitude </w:t>
      </w:r>
      <w:r>
        <w:rPr>
          <w:rStyle w:val="92"/>
          <w:rFonts w:hint="default" w:ascii="Times New Roman" w:hAnsi="Times New Roman" w:cs="Times New Roman"/>
          <w:b w:val="0"/>
          <w:bCs w:val="0"/>
          <w:color w:val="0D0D0D"/>
          <w:sz w:val="24"/>
          <w:szCs w:val="24"/>
        </w:rPr>
        <w:t>8°29'N and 8°32'N</w:t>
      </w:r>
      <w:r>
        <w:rPr>
          <w:rFonts w:hint="default" w:ascii="Times New Roman" w:hAnsi="Times New Roman" w:cs="Times New Roman"/>
          <w:b w:val="0"/>
          <w:bCs w:val="0"/>
          <w:color w:val="0D0D0D"/>
          <w:sz w:val="24"/>
          <w:szCs w:val="24"/>
        </w:rPr>
        <w:t> and longitude </w:t>
      </w:r>
      <w:r>
        <w:rPr>
          <w:rStyle w:val="92"/>
          <w:rFonts w:hint="default" w:ascii="Times New Roman" w:hAnsi="Times New Roman" w:cs="Times New Roman"/>
          <w:b w:val="0"/>
          <w:bCs w:val="0"/>
          <w:color w:val="0D0D0D"/>
          <w:sz w:val="24"/>
          <w:szCs w:val="24"/>
        </w:rPr>
        <w:t>4°32'E and 4°35'E</w:t>
      </w:r>
      <w:r>
        <w:rPr>
          <w:rFonts w:hint="default" w:ascii="Times New Roman" w:hAnsi="Times New Roman" w:cs="Times New Roman"/>
          <w:b w:val="0"/>
          <w:bCs w:val="0"/>
          <w:color w:val="0D0D0D"/>
          <w:sz w:val="24"/>
          <w:szCs w:val="24"/>
        </w:rPr>
        <w:t>. It is accessible by a network of paved and unpaved roads, with its terrain varying from flat to gently undulating. The areas selected for sample collection include exposed cuttings, borrow pits, and naturally exposed surfaces within the polytechnic environment.</w:t>
      </w:r>
    </w:p>
    <w:p w14:paraId="40120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lang w:val="en-US"/>
        </w:rPr>
      </w:pPr>
      <w:r>
        <w:rPr>
          <w:rStyle w:val="92"/>
          <w:rFonts w:hint="default" w:ascii="Times New Roman" w:hAnsi="Times New Roman" w:cs="Times New Roman"/>
          <w:b/>
          <w:bCs/>
          <w:color w:val="0D0D0D"/>
          <w:sz w:val="24"/>
          <w:szCs w:val="24"/>
          <w:lang w:val="en-US"/>
        </w:rPr>
        <w:t>1.2 Climate and vegetation</w:t>
      </w:r>
    </w:p>
    <w:p w14:paraId="049E548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b/>
          <w:bCs/>
          <w:color w:val="0D0D0D"/>
          <w:sz w:val="24"/>
          <w:szCs w:val="24"/>
        </w:rPr>
      </w:pPr>
      <w:r>
        <w:rPr>
          <w:rFonts w:hint="default" w:ascii="Times New Roman" w:hAnsi="Times New Roman" w:cs="Times New Roman"/>
          <w:sz w:val="24"/>
          <w:szCs w:val="24"/>
        </w:rPr>
        <w:t>The study area, Kwara State Polytechnic Campus, is situated within the Guinea Savannah ecological zone of Nigeria. The climate is tropical, characterized by distinct wet and dry seasons. The rainy season typically lasts from April to October, with peak rainfall in the months of June and September. Annual rainfall ranges between 1000 mm and 1500 mm, which influences the leaching process critical to the formation of lateritic soils. The dry season spans from November to March and is accompanied by Harmattan winds that reduce humidity and lead to a drop in vegetation cover.</w:t>
      </w:r>
      <w:r>
        <w:rPr>
          <w:rFonts w:hint="default" w:ascii="Times New Roman" w:hAnsi="Times New Roman" w:cs="Times New Roman"/>
          <w:sz w:val="24"/>
          <w:szCs w:val="24"/>
        </w:rPr>
        <w:br w:type="textWrapping"/>
      </w:r>
      <w:r>
        <w:rPr>
          <w:rFonts w:hint="default" w:ascii="Times New Roman" w:hAnsi="Times New Roman" w:cs="Times New Roman"/>
          <w:sz w:val="24"/>
          <w:szCs w:val="24"/>
        </w:rPr>
        <w:t>Temperature in the region is relatively high throughout the year, with mean daily temperatures ranging from 22°C to 34°C. Relative humidity varies seasonally, reaching up to 85% during the peak of the rainy season and dropping to around 35% during the dry months. This climatic pattern promotes intense weathering of parent rock materials and the formation of iron and aluminum oxides, typical of lateritic soils.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Vegetation in the area consists primarily of grassland interspersed with scattered shrubs and trees, reflecting a transitional vegetation zone. This mixed vegetation also plays a role in the pedogenic processes that give rise to lateritic soils. The presence of organic matter from vegetation contributes to soil fertility and affects the soil structure, color, and porosity. Overall, the climate and vegetation conditions in the study area have a significant impact on the characteristics and engineering behavior of the lateritic soils found there.</w:t>
      </w:r>
      <w:r>
        <w:rPr>
          <w:rFonts w:hint="default" w:ascii="Times New Roman" w:hAnsi="Times New Roman" w:cs="Times New Roman"/>
          <w:sz w:val="24"/>
          <w:szCs w:val="24"/>
        </w:rPr>
        <w:br w:type="textWrapping"/>
      </w: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Relief and Drainage</w:t>
      </w:r>
    </w:p>
    <w:p w14:paraId="3CBFD8D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topography of the Kwara State Polytechnic Campus is characterized by </w:t>
      </w:r>
      <w:r>
        <w:rPr>
          <w:rStyle w:val="92"/>
          <w:rFonts w:hint="default" w:ascii="Times New Roman" w:hAnsi="Times New Roman" w:cs="Times New Roman"/>
          <w:b w:val="0"/>
          <w:bCs w:val="0"/>
          <w:color w:val="0D0D0D"/>
          <w:sz w:val="24"/>
          <w:szCs w:val="24"/>
        </w:rPr>
        <w:t>moderately undulating terrain</w:t>
      </w:r>
      <w:r>
        <w:rPr>
          <w:rFonts w:hint="default" w:ascii="Times New Roman" w:hAnsi="Times New Roman" w:cs="Times New Roman"/>
          <w:b w:val="0"/>
          <w:bCs w:val="0"/>
          <w:color w:val="0D0D0D"/>
          <w:sz w:val="24"/>
          <w:szCs w:val="24"/>
        </w:rPr>
        <w:t>, typical of the derived savannah zone of Nigeria. The elevation ranges between </w:t>
      </w:r>
      <w:r>
        <w:rPr>
          <w:rStyle w:val="92"/>
          <w:rFonts w:hint="default" w:ascii="Times New Roman" w:hAnsi="Times New Roman" w:cs="Times New Roman"/>
          <w:b w:val="0"/>
          <w:bCs w:val="0"/>
          <w:color w:val="0D0D0D"/>
          <w:sz w:val="24"/>
          <w:szCs w:val="24"/>
        </w:rPr>
        <w:t>250 m and 350 m above sea level</w:t>
      </w:r>
      <w:r>
        <w:rPr>
          <w:rFonts w:hint="default" w:ascii="Times New Roman" w:hAnsi="Times New Roman" w:cs="Times New Roman"/>
          <w:b w:val="0"/>
          <w:bCs w:val="0"/>
          <w:color w:val="0D0D0D"/>
          <w:sz w:val="24"/>
          <w:szCs w:val="24"/>
        </w:rPr>
        <w:t>. The area is drained by seasonal streams and minor channels that become active during the rainy season. The drainage pattern is dendritic, and surface water runoff influences the formation and leaching processes of the lateritic soil found within the area. These geomorphological and hydrological conditions contribute significantly to the variability in soil properties within relatively short distances.</w:t>
      </w:r>
    </w:p>
    <w:p w14:paraId="5C209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Aims and Objective</w:t>
      </w:r>
    </w:p>
    <w:p w14:paraId="63D1E21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main aim of this study is to </w:t>
      </w:r>
      <w:r>
        <w:rPr>
          <w:rStyle w:val="92"/>
          <w:rFonts w:hint="default" w:ascii="Times New Roman" w:hAnsi="Times New Roman" w:cs="Times New Roman"/>
          <w:b w:val="0"/>
          <w:bCs w:val="0"/>
          <w:color w:val="0D0D0D"/>
          <w:sz w:val="24"/>
          <w:szCs w:val="24"/>
        </w:rPr>
        <w:t>establish the relationship between selected index properties and the engineering properties of lateritic soil from the Kwara State Polytechnic Campus</w:t>
      </w:r>
      <w:r>
        <w:rPr>
          <w:rFonts w:hint="default" w:ascii="Times New Roman" w:hAnsi="Times New Roman" w:cs="Times New Roman"/>
          <w:b w:val="0"/>
          <w:bCs w:val="0"/>
          <w:color w:val="0D0D0D"/>
          <w:sz w:val="24"/>
          <w:szCs w:val="24"/>
        </w:rPr>
        <w:t>.</w:t>
      </w:r>
    </w:p>
    <w:p w14:paraId="200285A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The specific objectives are to:</w:t>
      </w:r>
    </w:p>
    <w:p w14:paraId="3D67B2F0">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i</w:t>
      </w:r>
      <w:r>
        <w:rPr>
          <w:rFonts w:hint="default" w:ascii="Times New Roman" w:hAnsi="Times New Roman" w:cs="Times New Roman"/>
          <w:b w:val="0"/>
          <w:bCs w:val="0"/>
          <w:color w:val="0D0D0D"/>
          <w:sz w:val="24"/>
          <w:szCs w:val="24"/>
        </w:rPr>
        <w:t>dentify and collect representative lateritic soil samples within the study area.</w:t>
      </w:r>
    </w:p>
    <w:p w14:paraId="62E6877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d</w:t>
      </w:r>
      <w:r>
        <w:rPr>
          <w:rFonts w:hint="default" w:ascii="Times New Roman" w:hAnsi="Times New Roman" w:cs="Times New Roman"/>
          <w:b w:val="0"/>
          <w:bCs w:val="0"/>
          <w:color w:val="0D0D0D"/>
          <w:sz w:val="24"/>
          <w:szCs w:val="24"/>
        </w:rPr>
        <w:t>etermine key index properties of the collected soil samples, such as Atterberg limits, grain size distribution, specific gravity, moisture content, and bulk density.</w:t>
      </w:r>
    </w:p>
    <w:p w14:paraId="599C05C6">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a</w:t>
      </w:r>
      <w:r>
        <w:rPr>
          <w:rFonts w:hint="default" w:ascii="Times New Roman" w:hAnsi="Times New Roman" w:cs="Times New Roman"/>
          <w:b w:val="0"/>
          <w:bCs w:val="0"/>
          <w:color w:val="0D0D0D"/>
          <w:sz w:val="24"/>
          <w:szCs w:val="24"/>
        </w:rPr>
        <w:t>ssess engineering properties of the samples, such as compaction characteristics</w:t>
      </w:r>
      <w:r>
        <w:rPr>
          <w:rFonts w:hint="default" w:ascii="Times New Roman" w:hAnsi="Times New Roman" w:cs="Times New Roman"/>
          <w:b w:val="0"/>
          <w:bCs w:val="0"/>
          <w:color w:val="0D0D0D"/>
          <w:sz w:val="24"/>
          <w:szCs w:val="24"/>
          <w:lang w:val="en-US"/>
        </w:rPr>
        <w:t xml:space="preserve"> and show strength </w:t>
      </w:r>
    </w:p>
    <w:p w14:paraId="7F7E4FF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s</w:t>
      </w:r>
      <w:r>
        <w:rPr>
          <w:rFonts w:hint="default" w:ascii="Times New Roman" w:hAnsi="Times New Roman" w:cs="Times New Roman"/>
          <w:b w:val="0"/>
          <w:bCs w:val="0"/>
          <w:color w:val="0D0D0D"/>
          <w:sz w:val="24"/>
          <w:szCs w:val="24"/>
        </w:rPr>
        <w:t>tatistically analyze the relationships between the index and engineering properties.</w:t>
      </w:r>
    </w:p>
    <w:p w14:paraId="60814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5</w:t>
      </w:r>
      <w:r>
        <w:rPr>
          <w:rStyle w:val="92"/>
          <w:rFonts w:hint="default" w:ascii="Times New Roman" w:hAnsi="Times New Roman" w:cs="Times New Roman"/>
          <w:b/>
          <w:bCs/>
          <w:color w:val="0D0D0D"/>
          <w:sz w:val="24"/>
          <w:szCs w:val="24"/>
        </w:rPr>
        <w:t xml:space="preserve"> Statement of the Problem</w:t>
      </w:r>
    </w:p>
    <w:p w14:paraId="79D3B83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Geotechnical failures in civil engineering projects, particularly in road and foundation works, are often due to inadequate or inaccurate understanding of the underlying soil behavior. Full-scale engineering tests can be expensive, time-consuming, and often impractical for small-scale projects. Hence, there is a need for a more reliable approach to predicting engineering behavior from easily determined index properties. This is especially relevant for lateritic soils, which exhibit complex and variable characteristics due to their formation processes. Within the Kwara State Polytechnic Campus, ongoing construction and infrastructural developments demand a better understanding of the soil’s behavior to avoid structural failures and reduce construction costs.</w:t>
      </w:r>
    </w:p>
    <w:p w14:paraId="6D57B2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6</w:t>
      </w:r>
      <w:r>
        <w:rPr>
          <w:rStyle w:val="92"/>
          <w:rFonts w:hint="default" w:ascii="Times New Roman" w:hAnsi="Times New Roman" w:cs="Times New Roman"/>
          <w:b/>
          <w:bCs/>
          <w:color w:val="0D0D0D"/>
          <w:sz w:val="24"/>
          <w:szCs w:val="24"/>
        </w:rPr>
        <w:t xml:space="preserve"> Justification</w:t>
      </w:r>
    </w:p>
    <w:p w14:paraId="1B31E0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This study is justified on several grounds:</w:t>
      </w:r>
    </w:p>
    <w:p w14:paraId="6B9B119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It provides </w:t>
      </w:r>
      <w:r>
        <w:rPr>
          <w:rStyle w:val="92"/>
          <w:rFonts w:hint="default" w:ascii="Times New Roman" w:hAnsi="Times New Roman" w:cs="Times New Roman"/>
          <w:b w:val="0"/>
          <w:bCs w:val="0"/>
          <w:color w:val="0D0D0D"/>
          <w:sz w:val="24"/>
          <w:szCs w:val="24"/>
        </w:rPr>
        <w:t>site-specific geotechnical data</w:t>
      </w:r>
      <w:r>
        <w:rPr>
          <w:rFonts w:hint="default" w:ascii="Times New Roman" w:hAnsi="Times New Roman" w:cs="Times New Roman"/>
          <w:b w:val="0"/>
          <w:bCs w:val="0"/>
          <w:color w:val="0D0D0D"/>
          <w:sz w:val="24"/>
          <w:szCs w:val="24"/>
        </w:rPr>
        <w:t> that can be used for future academic and construction projects within the Kwara State Polytechnic Campus.</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 enhances the </w:t>
      </w:r>
      <w:r>
        <w:rPr>
          <w:rStyle w:val="92"/>
          <w:rFonts w:hint="default" w:ascii="Times New Roman" w:hAnsi="Times New Roman" w:cs="Times New Roman"/>
          <w:b w:val="0"/>
          <w:bCs w:val="0"/>
          <w:color w:val="0D0D0D"/>
          <w:sz w:val="24"/>
          <w:szCs w:val="24"/>
        </w:rPr>
        <w:t>understanding of lateritic soil behavior</w:t>
      </w:r>
      <w:r>
        <w:rPr>
          <w:rFonts w:hint="default" w:ascii="Times New Roman" w:hAnsi="Times New Roman" w:cs="Times New Roman"/>
          <w:b w:val="0"/>
          <w:bCs w:val="0"/>
          <w:color w:val="0D0D0D"/>
          <w:sz w:val="24"/>
          <w:szCs w:val="24"/>
        </w:rPr>
        <w:t>, allowing for improved engineering judgment in preliminary design.</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w:t>
      </w:r>
      <w:r>
        <w:rPr>
          <w:rFonts w:hint="default" w:ascii="Times New Roman" w:hAnsi="Times New Roman" w:cs="Times New Roman"/>
          <w:b w:val="0"/>
          <w:bCs w:val="0"/>
          <w:color w:val="0D0D0D"/>
          <w:sz w:val="24"/>
          <w:szCs w:val="24"/>
          <w:lang w:val="en-US"/>
        </w:rPr>
        <w:t xml:space="preserve"> also</w:t>
      </w:r>
      <w:r>
        <w:rPr>
          <w:rFonts w:hint="default" w:ascii="Times New Roman" w:hAnsi="Times New Roman" w:cs="Times New Roman"/>
          <w:b w:val="0"/>
          <w:bCs w:val="0"/>
          <w:color w:val="0D0D0D"/>
          <w:sz w:val="24"/>
          <w:szCs w:val="24"/>
        </w:rPr>
        <w:t xml:space="preserve"> reduces the need for exhaustive and costly engineering tests by providing a predictive model based on index properties.</w:t>
      </w:r>
    </w:p>
    <w:p w14:paraId="74128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7</w:t>
      </w:r>
      <w:r>
        <w:rPr>
          <w:rStyle w:val="92"/>
          <w:rFonts w:hint="default" w:ascii="Times New Roman" w:hAnsi="Times New Roman" w:cs="Times New Roman"/>
          <w:b/>
          <w:bCs/>
          <w:color w:val="0D0D0D"/>
          <w:sz w:val="24"/>
          <w:szCs w:val="24"/>
        </w:rPr>
        <w:t xml:space="preserve"> Scope and Limitation</w:t>
      </w:r>
    </w:p>
    <w:p w14:paraId="669EE8E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focuses on the lateritic soil present </w:t>
      </w:r>
      <w:r>
        <w:rPr>
          <w:rStyle w:val="92"/>
          <w:rFonts w:hint="default" w:ascii="Times New Roman" w:hAnsi="Times New Roman" w:cs="Times New Roman"/>
          <w:b w:val="0"/>
          <w:bCs w:val="0"/>
          <w:color w:val="0D0D0D"/>
          <w:sz w:val="24"/>
          <w:szCs w:val="24"/>
        </w:rPr>
        <w:t>within the Kwara State Polytechnic Campus</w:t>
      </w:r>
      <w:r>
        <w:rPr>
          <w:rFonts w:hint="default" w:ascii="Times New Roman" w:hAnsi="Times New Roman" w:cs="Times New Roman"/>
          <w:b w:val="0"/>
          <w:bCs w:val="0"/>
          <w:color w:val="0D0D0D"/>
          <w:sz w:val="24"/>
          <w:szCs w:val="24"/>
        </w:rPr>
        <w:t>. The study is restricted to:</w:t>
      </w:r>
    </w:p>
    <w:p w14:paraId="5C844D66">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color w:val="0D0D0D"/>
          <w:sz w:val="24"/>
          <w:szCs w:val="24"/>
        </w:rPr>
        <w:t>Disturbed soil samples</w:t>
      </w:r>
      <w:r>
        <w:rPr>
          <w:rFonts w:hint="default" w:ascii="Times New Roman" w:hAnsi="Times New Roman" w:cs="Times New Roman"/>
          <w:b w:val="0"/>
          <w:bCs w:val="0"/>
          <w:color w:val="0D0D0D"/>
          <w:sz w:val="24"/>
          <w:szCs w:val="24"/>
        </w:rPr>
        <w:t>, which are sufficient for the laboratory tests intended.</w:t>
      </w:r>
    </w:p>
    <w:p w14:paraId="25EF72E8">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Atterberg limits, grain size distribution, moisture content, specific gravity, and bulk density.</w:t>
      </w:r>
    </w:p>
    <w:p w14:paraId="2B89145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mainly compaction characteristics (maximum dry density and optimum moisture content).</w:t>
      </w:r>
    </w:p>
    <w:p w14:paraId="54A1C61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Exclusion of advanced strength tests like triaxial or unconfined compressive strength due to time and resource constraints.</w:t>
      </w:r>
    </w:p>
    <w:p w14:paraId="4ED6770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variability of lateritic soils even within short distances, which may limit the generalization of results.</w:t>
      </w:r>
    </w:p>
    <w:p w14:paraId="24200A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3CF48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D49C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587B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63F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CF2C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9EA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F283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BD5F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0F3C8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E519E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23E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D5B9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A2D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97C2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07A1D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C739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8DB8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TWO</w:t>
      </w:r>
    </w:p>
    <w:p w14:paraId="6C064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LITERATURE REVIEW</w:t>
      </w:r>
    </w:p>
    <w:p w14:paraId="016BD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Literature Review</w:t>
      </w:r>
    </w:p>
    <w:p w14:paraId="3E822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Overview of Laterite</w:t>
      </w:r>
    </w:p>
    <w:p w14:paraId="073E406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a residual soil rich in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formed in tropical climates where high temperatures and rainfall intensify rock weathering (Gidigasu, 2021). The soil typically exhibits a reddish-brown coloration due to ferric oxides and may vary from loose gravelly deposits to hard, indurated layers depending on the degree of weathering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FBC22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widespread in Africa, Asia, and South America, particularly in areas with </w:t>
      </w:r>
      <w:r>
        <w:rPr>
          <w:rStyle w:val="92"/>
          <w:rFonts w:hint="default" w:ascii="Times New Roman" w:hAnsi="Times New Roman" w:cs="Times New Roman"/>
          <w:b w:val="0"/>
          <w:bCs w:val="0"/>
          <w:sz w:val="24"/>
          <w:szCs w:val="24"/>
        </w:rPr>
        <w:t>alternating wet and dry seasons</w:t>
      </w:r>
      <w:r>
        <w:rPr>
          <w:rFonts w:hint="default" w:ascii="Times New Roman" w:hAnsi="Times New Roman" w:cs="Times New Roman"/>
          <w:b w:val="0"/>
          <w:bCs w:val="0"/>
          <w:sz w:val="24"/>
          <w:szCs w:val="24"/>
        </w:rPr>
        <w:t xml:space="preserve"> that enhance leaching processes. As silica is leached away, the remaining soil mass becomes enriched with sesquioxides, giving laterite its characteristic composition (Ahmed et al., 2019). These processes lead to the formation of soils with </w:t>
      </w:r>
      <w:r>
        <w:rPr>
          <w:rStyle w:val="92"/>
          <w:rFonts w:hint="default" w:ascii="Times New Roman" w:hAnsi="Times New Roman" w:cs="Times New Roman"/>
          <w:b w:val="0"/>
          <w:bCs w:val="0"/>
          <w:sz w:val="24"/>
          <w:szCs w:val="24"/>
        </w:rPr>
        <w:t>low cation exchange capacity</w:t>
      </w:r>
      <w:r>
        <w:rPr>
          <w:rFonts w:hint="default" w:ascii="Times New Roman" w:hAnsi="Times New Roman" w:cs="Times New Roman"/>
          <w:b w:val="0"/>
          <w:bCs w:val="0"/>
          <w:sz w:val="24"/>
          <w:szCs w:val="24"/>
        </w:rPr>
        <w:t xml:space="preserve"> and varying degrees of permeability and plasticity, which directly influence their engineering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4115880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geotechnical viewpoint, laterites can be used as </w:t>
      </w:r>
      <w:r>
        <w:rPr>
          <w:rStyle w:val="92"/>
          <w:rFonts w:hint="default" w:ascii="Times New Roman" w:hAnsi="Times New Roman" w:cs="Times New Roman"/>
          <w:b w:val="0"/>
          <w:bCs w:val="0"/>
          <w:sz w:val="24"/>
          <w:szCs w:val="24"/>
        </w:rPr>
        <w:t>road construction materials</w:t>
      </w:r>
      <w:r>
        <w:rPr>
          <w:rFonts w:hint="default" w:ascii="Times New Roman" w:hAnsi="Times New Roman" w:cs="Times New Roman"/>
          <w:b w:val="0"/>
          <w:bCs w:val="0"/>
          <w:sz w:val="24"/>
          <w:szCs w:val="24"/>
        </w:rPr>
        <w:t xml:space="preserve">, embankments, and backfills if they meet required specifications for compaction, bearing capacity, and moisture stability (Okeke et al., 2021). However, variations in particle size distribution and mineralogy can significantly affect performance. Highly plastic lateritic soils may require stabilization using lime, cement, or other additives before use in load-bearing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210421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Thus, a clear understanding of the </w:t>
      </w:r>
      <w:r>
        <w:rPr>
          <w:rStyle w:val="92"/>
          <w:rFonts w:hint="default" w:ascii="Times New Roman" w:hAnsi="Times New Roman" w:cs="Times New Roman"/>
          <w:b w:val="0"/>
          <w:bCs w:val="0"/>
          <w:sz w:val="24"/>
          <w:szCs w:val="24"/>
        </w:rPr>
        <w:t>origin and composition of lateritic soils</w:t>
      </w:r>
      <w:r>
        <w:rPr>
          <w:rFonts w:hint="default" w:ascii="Times New Roman" w:hAnsi="Times New Roman" w:cs="Times New Roman"/>
          <w:b w:val="0"/>
          <w:bCs w:val="0"/>
          <w:sz w:val="24"/>
          <w:szCs w:val="24"/>
        </w:rPr>
        <w:t xml:space="preserve"> is critical to predicting their behavior under engineering applications. This overview sets the foundation for examining their formation, regional distribution, and index properties.</w:t>
      </w:r>
    </w:p>
    <w:p w14:paraId="4596F3B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p>
    <w:p w14:paraId="1856D5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Formation and Occurrence of Laterite</w:t>
      </w:r>
    </w:p>
    <w:p w14:paraId="72AFBC8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formation is a result of prolonged </w:t>
      </w:r>
      <w:r>
        <w:rPr>
          <w:rStyle w:val="92"/>
          <w:rFonts w:hint="default" w:ascii="Times New Roman" w:hAnsi="Times New Roman" w:cs="Times New Roman"/>
          <w:b w:val="0"/>
          <w:bCs w:val="0"/>
          <w:sz w:val="24"/>
          <w:szCs w:val="24"/>
        </w:rPr>
        <w:t>chemical weathering</w:t>
      </w:r>
      <w:r>
        <w:rPr>
          <w:rFonts w:hint="default" w:ascii="Times New Roman" w:hAnsi="Times New Roman" w:cs="Times New Roman"/>
          <w:b w:val="0"/>
          <w:bCs w:val="0"/>
          <w:sz w:val="24"/>
          <w:szCs w:val="24"/>
        </w:rPr>
        <w:t xml:space="preserve"> of parent rocks under tropical climatic conditions characterized by high temperatures and heavy rainfall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During this process, leaching removes soluble silica, while insoluble iron and aluminum oxides accumulate, leading to the typical reddish coloration of lateritic soils (Gidigasu, 2021). The degree of weathering and leaching depends on </w:t>
      </w:r>
      <w:r>
        <w:rPr>
          <w:rStyle w:val="92"/>
          <w:rFonts w:hint="default" w:ascii="Times New Roman" w:hAnsi="Times New Roman" w:cs="Times New Roman"/>
          <w:b w:val="0"/>
          <w:bCs w:val="0"/>
          <w:sz w:val="24"/>
          <w:szCs w:val="24"/>
        </w:rPr>
        <w:t>parent material composition, topography, vegetation cover, and drainage conditions</w:t>
      </w:r>
      <w:r>
        <w:rPr>
          <w:rFonts w:hint="default" w:ascii="Times New Roman" w:hAnsi="Times New Roman" w:cs="Times New Roman"/>
          <w:b w:val="0"/>
          <w:bCs w:val="0"/>
          <w:sz w:val="24"/>
          <w:szCs w:val="24"/>
        </w:rPr>
        <w:t xml:space="preserve"> (Ahmed et al., 2019).</w:t>
      </w:r>
    </w:p>
    <w:p w14:paraId="6D003A4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commonly found on </w:t>
      </w:r>
      <w:r>
        <w:rPr>
          <w:rStyle w:val="92"/>
          <w:rFonts w:hint="default" w:ascii="Times New Roman" w:hAnsi="Times New Roman" w:cs="Times New Roman"/>
          <w:b w:val="0"/>
          <w:bCs w:val="0"/>
          <w:sz w:val="24"/>
          <w:szCs w:val="24"/>
        </w:rPr>
        <w:t>gently undulating to flat terrains</w:t>
      </w:r>
      <w:r>
        <w:rPr>
          <w:rFonts w:hint="default" w:ascii="Times New Roman" w:hAnsi="Times New Roman" w:cs="Times New Roman"/>
          <w:b w:val="0"/>
          <w:bCs w:val="0"/>
          <w:sz w:val="24"/>
          <w:szCs w:val="24"/>
        </w:rPr>
        <w:t xml:space="preserve"> where water drainage is moderate, allowing leaching to occur over long periods (Okeke et al., 2021). In well-drained conditions, laterite profiles develop with distinct layers, including topsoil, lateritic clay, mottled zones, and underlying weathered rock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Poorly drained areas may form different soil structures with higher clay content and lower permeability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A289E4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Nigeria, lateritic soils occur extensively in the </w:t>
      </w:r>
      <w:r>
        <w:rPr>
          <w:rStyle w:val="92"/>
          <w:rFonts w:hint="default" w:ascii="Times New Roman" w:hAnsi="Times New Roman" w:cs="Times New Roman"/>
          <w:b w:val="0"/>
          <w:bCs w:val="0"/>
          <w:sz w:val="24"/>
          <w:szCs w:val="24"/>
        </w:rPr>
        <w:t>southwestern and central regions</w:t>
      </w:r>
      <w:r>
        <w:rPr>
          <w:rFonts w:hint="default" w:ascii="Times New Roman" w:hAnsi="Times New Roman" w:cs="Times New Roman"/>
          <w:b w:val="0"/>
          <w:bCs w:val="0"/>
          <w:sz w:val="24"/>
          <w:szCs w:val="24"/>
        </w:rPr>
        <w:t>, including Kwara State, where granitic and metamorphic rocks undergo intense weathering under tropical climatic conditions (Umar et al., 2023). These soils are widely used for road construction and foundation works but exhibit variability in strength and compaction properties depending on their location and depth of sampling (Osinubi et al., 2020).</w:t>
      </w:r>
    </w:p>
    <w:p w14:paraId="5DFCF0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Regional Distribution of Laterite</w:t>
      </w:r>
    </w:p>
    <w:p w14:paraId="07B5F93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distributed across tropical regions of the world, particularly in </w:t>
      </w:r>
      <w:r>
        <w:rPr>
          <w:rStyle w:val="92"/>
          <w:rFonts w:hint="default" w:ascii="Times New Roman" w:hAnsi="Times New Roman" w:cs="Times New Roman"/>
          <w:b w:val="0"/>
          <w:bCs w:val="0"/>
          <w:sz w:val="24"/>
          <w:szCs w:val="24"/>
        </w:rPr>
        <w:t>Africa, Southeast Asia, India, and South America</w:t>
      </w:r>
      <w:r>
        <w:rPr>
          <w:rFonts w:hint="default" w:ascii="Times New Roman" w:hAnsi="Times New Roman" w:cs="Times New Roman"/>
          <w:b w:val="0"/>
          <w:bCs w:val="0"/>
          <w:sz w:val="24"/>
          <w:szCs w:val="24"/>
        </w:rPr>
        <w:t xml:space="preserve">, where climatic conditions favor its formation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West Africa, lateritic soils cover large areas due to widespread occurrence of weathered igneous and metamorphic rocks (Ahmed et al., 2019). Nigeria has abundant lateritic soils across the </w:t>
      </w:r>
      <w:r>
        <w:rPr>
          <w:rStyle w:val="92"/>
          <w:rFonts w:hint="default" w:ascii="Times New Roman" w:hAnsi="Times New Roman" w:cs="Times New Roman"/>
          <w:b w:val="0"/>
          <w:bCs w:val="0"/>
          <w:sz w:val="24"/>
          <w:szCs w:val="24"/>
        </w:rPr>
        <w:t>savannah and rainforest zones</w:t>
      </w:r>
      <w:r>
        <w:rPr>
          <w:rFonts w:hint="default" w:ascii="Times New Roman" w:hAnsi="Times New Roman" w:cs="Times New Roman"/>
          <w:b w:val="0"/>
          <w:bCs w:val="0"/>
          <w:sz w:val="24"/>
          <w:szCs w:val="24"/>
        </w:rPr>
        <w:t>, making them readily available for engineering purposes (Gidigasu, 2021).</w:t>
      </w:r>
    </w:p>
    <w:p w14:paraId="067AFAD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Regional variations in lateritic soils arise due to </w:t>
      </w:r>
      <w:r>
        <w:rPr>
          <w:rStyle w:val="92"/>
          <w:rFonts w:hint="default" w:ascii="Times New Roman" w:hAnsi="Times New Roman" w:cs="Times New Roman"/>
          <w:b w:val="0"/>
          <w:bCs w:val="0"/>
          <w:sz w:val="24"/>
          <w:szCs w:val="24"/>
        </w:rPr>
        <w:t>differences in parent rock type, topography, vegetation cover, and drainage patterns</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For instance, soils derived from </w:t>
      </w:r>
      <w:r>
        <w:rPr>
          <w:rStyle w:val="92"/>
          <w:rFonts w:hint="default" w:ascii="Times New Roman" w:hAnsi="Times New Roman" w:cs="Times New Roman"/>
          <w:b w:val="0"/>
          <w:bCs w:val="0"/>
          <w:sz w:val="24"/>
          <w:szCs w:val="24"/>
        </w:rPr>
        <w:t>basaltic rocks</w:t>
      </w:r>
      <w:r>
        <w:rPr>
          <w:rFonts w:hint="default" w:ascii="Times New Roman" w:hAnsi="Times New Roman" w:cs="Times New Roman"/>
          <w:b w:val="0"/>
          <w:bCs w:val="0"/>
          <w:sz w:val="24"/>
          <w:szCs w:val="24"/>
        </w:rPr>
        <w:t xml:space="preserve"> often have finer textures and higher plasticity than those formed from </w:t>
      </w:r>
      <w:r>
        <w:rPr>
          <w:rStyle w:val="92"/>
          <w:rFonts w:hint="default" w:ascii="Times New Roman" w:hAnsi="Times New Roman" w:cs="Times New Roman"/>
          <w:b w:val="0"/>
          <w:bCs w:val="0"/>
          <w:sz w:val="24"/>
          <w:szCs w:val="24"/>
        </w:rPr>
        <w:t>granitic rocks</w:t>
      </w:r>
      <w:r>
        <w:rPr>
          <w:rFonts w:hint="default" w:ascii="Times New Roman" w:hAnsi="Times New Roman" w:cs="Times New Roman"/>
          <w:b w:val="0"/>
          <w:bCs w:val="0"/>
          <w:sz w:val="24"/>
          <w:szCs w:val="24"/>
        </w:rPr>
        <w:t xml:space="preserve">, which are generally coarser and more permeable (Okeke et al., 2021). Such differences influence their </w:t>
      </w:r>
      <w:r>
        <w:rPr>
          <w:rStyle w:val="92"/>
          <w:rFonts w:hint="default" w:ascii="Times New Roman" w:hAnsi="Times New Roman" w:cs="Times New Roman"/>
          <w:b w:val="0"/>
          <w:bCs w:val="0"/>
          <w:sz w:val="24"/>
          <w:szCs w:val="24"/>
        </w:rPr>
        <w:t>compaction characteristics, shear strength, and bearing capacity</w:t>
      </w:r>
      <w:r>
        <w:rPr>
          <w:rFonts w:hint="default" w:ascii="Times New Roman" w:hAnsi="Times New Roman" w:cs="Times New Roman"/>
          <w:b w:val="0"/>
          <w:bCs w:val="0"/>
          <w:sz w:val="24"/>
          <w:szCs w:val="24"/>
        </w:rPr>
        <w:t xml:space="preserv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6E1615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Kwara State, Nigeria, lateritic soils are extensively found on hill slopes, valley areas, and flatlands, varying from loose sandy deposits to stiff clayey materials (Umar et al., 2023). Their availability makes them a </w:t>
      </w:r>
      <w:r>
        <w:rPr>
          <w:rStyle w:val="92"/>
          <w:rFonts w:hint="default" w:ascii="Times New Roman" w:hAnsi="Times New Roman" w:cs="Times New Roman"/>
          <w:b w:val="0"/>
          <w:bCs w:val="0"/>
          <w:sz w:val="24"/>
          <w:szCs w:val="24"/>
        </w:rPr>
        <w:t>primary material for road subgrades and building foundations</w:t>
      </w:r>
      <w:r>
        <w:rPr>
          <w:rFonts w:hint="default" w:ascii="Times New Roman" w:hAnsi="Times New Roman" w:cs="Times New Roman"/>
          <w:b w:val="0"/>
          <w:bCs w:val="0"/>
          <w:sz w:val="24"/>
          <w:szCs w:val="24"/>
        </w:rPr>
        <w:t>, reducing reliance on imported construction materials (Osinubi et al., 2020).</w:t>
      </w:r>
    </w:p>
    <w:p w14:paraId="76F4DB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Characteristics of Laterite</w:t>
      </w:r>
    </w:p>
    <w:p w14:paraId="021A140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typically characterized by </w:t>
      </w:r>
      <w:r>
        <w:rPr>
          <w:rStyle w:val="92"/>
          <w:rFonts w:hint="default" w:ascii="Times New Roman" w:hAnsi="Times New Roman" w:cs="Times New Roman"/>
          <w:b w:val="0"/>
          <w:bCs w:val="0"/>
          <w:sz w:val="24"/>
          <w:szCs w:val="24"/>
        </w:rPr>
        <w:t>red, brown, or yellowish coloration</w:t>
      </w:r>
      <w:r>
        <w:rPr>
          <w:rFonts w:hint="default" w:ascii="Times New Roman" w:hAnsi="Times New Roman" w:cs="Times New Roman"/>
          <w:b w:val="0"/>
          <w:bCs w:val="0"/>
          <w:sz w:val="24"/>
          <w:szCs w:val="24"/>
        </w:rPr>
        <w:t xml:space="preserve">, high content of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low silica content, and variable clay minerals (Gidigasu, 2021). These soils are usually </w:t>
      </w:r>
      <w:r>
        <w:rPr>
          <w:rStyle w:val="92"/>
          <w:rFonts w:hint="default" w:ascii="Times New Roman" w:hAnsi="Times New Roman" w:cs="Times New Roman"/>
          <w:b w:val="0"/>
          <w:bCs w:val="0"/>
          <w:sz w:val="24"/>
          <w:szCs w:val="24"/>
        </w:rPr>
        <w:t>hard and compact</w:t>
      </w:r>
      <w:r>
        <w:rPr>
          <w:rFonts w:hint="default" w:ascii="Times New Roman" w:hAnsi="Times New Roman" w:cs="Times New Roman"/>
          <w:b w:val="0"/>
          <w:bCs w:val="0"/>
          <w:sz w:val="24"/>
          <w:szCs w:val="24"/>
        </w:rPr>
        <w:t xml:space="preserve"> when dry but can become soft and moldable when wet, making their engineering behavior highly dependent on moisture content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63F2B29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Their </w:t>
      </w:r>
      <w:r>
        <w:rPr>
          <w:rStyle w:val="92"/>
          <w:rFonts w:hint="default" w:ascii="Times New Roman" w:hAnsi="Times New Roman" w:cs="Times New Roman"/>
          <w:b w:val="0"/>
          <w:bCs w:val="0"/>
          <w:sz w:val="24"/>
          <w:szCs w:val="24"/>
        </w:rPr>
        <w:t>particle size distribution</w:t>
      </w:r>
      <w:r>
        <w:rPr>
          <w:rFonts w:hint="default" w:ascii="Times New Roman" w:hAnsi="Times New Roman" w:cs="Times New Roman"/>
          <w:b w:val="0"/>
          <w:bCs w:val="0"/>
          <w:sz w:val="24"/>
          <w:szCs w:val="24"/>
        </w:rPr>
        <w:t xml:space="preserve"> varies widely, from gravelly and sandy to silty and clayey textures. This variability affects their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compaction behavior, and permeability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exhibit </w:t>
      </w:r>
      <w:r>
        <w:rPr>
          <w:rStyle w:val="92"/>
          <w:rFonts w:hint="default" w:ascii="Times New Roman" w:hAnsi="Times New Roman" w:cs="Times New Roman"/>
          <w:b w:val="0"/>
          <w:bCs w:val="0"/>
          <w:sz w:val="24"/>
          <w:szCs w:val="24"/>
        </w:rPr>
        <w:t>low cation exchange capacity and poor organic content</w:t>
      </w:r>
      <w:r>
        <w:rPr>
          <w:rFonts w:hint="default" w:ascii="Times New Roman" w:hAnsi="Times New Roman" w:cs="Times New Roman"/>
          <w:b w:val="0"/>
          <w:bCs w:val="0"/>
          <w:sz w:val="24"/>
          <w:szCs w:val="24"/>
        </w:rPr>
        <w:t>, resulting in low fertility compared to other soil types (Ahmed et al., 2019).</w:t>
      </w:r>
    </w:p>
    <w:p w14:paraId="201E244E">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engineering use, 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are desirable for road base materials and embankments (Okeke et al., 2021). However, high-plasticity lateritic clays may require stabilization using lime or cement to improve their strength and reduce shrink-swell behavior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Understanding these characteristics is therefore essential for determining their suitability in various construction applications (Umar et al., 2023).</w:t>
      </w:r>
    </w:p>
    <w:p w14:paraId="4C5813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w:t>
      </w:r>
    </w:p>
    <w:p w14:paraId="7785EE8D">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are fundamental index tests used in geotechnical engineering to determine the </w:t>
      </w:r>
      <w:r>
        <w:rPr>
          <w:rStyle w:val="92"/>
          <w:rFonts w:hint="default" w:ascii="Times New Roman" w:hAnsi="Times New Roman" w:cs="Times New Roman"/>
          <w:b w:val="0"/>
          <w:bCs w:val="0"/>
          <w:sz w:val="24"/>
          <w:szCs w:val="24"/>
        </w:rPr>
        <w:t>consistency and plasticity of fine-grained soils</w:t>
      </w:r>
      <w:r>
        <w:rPr>
          <w:rFonts w:hint="default" w:ascii="Times New Roman" w:hAnsi="Times New Roman" w:cs="Times New Roman"/>
          <w:b w:val="0"/>
          <w:bCs w:val="0"/>
          <w:sz w:val="24"/>
          <w:szCs w:val="24"/>
        </w:rPr>
        <w:t xml:space="preserve">, including lateritic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These limits consist of three critical parameters: the </w:t>
      </w:r>
      <w:r>
        <w:rPr>
          <w:rStyle w:val="92"/>
          <w:rFonts w:hint="default" w:ascii="Times New Roman" w:hAnsi="Times New Roman" w:cs="Times New Roman"/>
          <w:b w:val="0"/>
          <w:bCs w:val="0"/>
          <w:sz w:val="24"/>
          <w:szCs w:val="24"/>
        </w:rPr>
        <w:t>liquid limit (LL)</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plastic limit (PL)</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which collectively describe the soil's ability to withstand deformation under varying moisture contents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E11C40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lateritic soils, the </w:t>
      </w:r>
      <w:r>
        <w:rPr>
          <w:rStyle w:val="92"/>
          <w:rFonts w:hint="default" w:ascii="Times New Roman" w:hAnsi="Times New Roman" w:cs="Times New Roman"/>
          <w:b w:val="0"/>
          <w:bCs w:val="0"/>
          <w:sz w:val="24"/>
          <w:szCs w:val="24"/>
        </w:rPr>
        <w:t>liquid limit</w:t>
      </w:r>
      <w:r>
        <w:rPr>
          <w:rFonts w:hint="default" w:ascii="Times New Roman" w:hAnsi="Times New Roman" w:cs="Times New Roman"/>
          <w:b w:val="0"/>
          <w:bCs w:val="0"/>
          <w:sz w:val="24"/>
          <w:szCs w:val="24"/>
        </w:rPr>
        <w:t xml:space="preserve"> indicates the water content at which soil changes from a plastic to a liquid state, while the </w:t>
      </w:r>
      <w:r>
        <w:rPr>
          <w:rStyle w:val="92"/>
          <w:rFonts w:hint="default" w:ascii="Times New Roman" w:hAnsi="Times New Roman" w:cs="Times New Roman"/>
          <w:b w:val="0"/>
          <w:bCs w:val="0"/>
          <w:sz w:val="24"/>
          <w:szCs w:val="24"/>
        </w:rPr>
        <w:t>plastic limit</w:t>
      </w:r>
      <w:r>
        <w:rPr>
          <w:rFonts w:hint="default" w:ascii="Times New Roman" w:hAnsi="Times New Roman" w:cs="Times New Roman"/>
          <w:b w:val="0"/>
          <w:bCs w:val="0"/>
          <w:sz w:val="24"/>
          <w:szCs w:val="24"/>
        </w:rPr>
        <w:t xml:space="preserve"> represents the lowest moisture level at which soil remains moldable. The </w:t>
      </w:r>
      <w:r>
        <w:rPr>
          <w:rStyle w:val="92"/>
          <w:rFonts w:hint="default" w:ascii="Times New Roman" w:hAnsi="Times New Roman" w:cs="Times New Roman"/>
          <w:b w:val="0"/>
          <w:bCs w:val="0"/>
          <w:sz w:val="24"/>
          <w:szCs w:val="24"/>
        </w:rPr>
        <w:t>plasticity index</w:t>
      </w:r>
      <w:r>
        <w:rPr>
          <w:rFonts w:hint="default" w:ascii="Times New Roman" w:hAnsi="Times New Roman" w:cs="Times New Roman"/>
          <w:b w:val="0"/>
          <w:bCs w:val="0"/>
          <w:sz w:val="24"/>
          <w:szCs w:val="24"/>
        </w:rPr>
        <w:t xml:space="preserve"> is the difference between these two values and is a vital indicator of soil's swelling potential and compressibility (Ahmed et al., 2019).</w:t>
      </w:r>
    </w:p>
    <w:p w14:paraId="2F038BB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Several studies have shown that </w:t>
      </w:r>
      <w:r>
        <w:rPr>
          <w:rStyle w:val="92"/>
          <w:rFonts w:hint="default" w:ascii="Times New Roman" w:hAnsi="Times New Roman" w:cs="Times New Roman"/>
          <w:b w:val="0"/>
          <w:bCs w:val="0"/>
          <w:sz w:val="24"/>
          <w:szCs w:val="24"/>
        </w:rPr>
        <w:t>high plasticity soils</w:t>
      </w:r>
      <w:r>
        <w:rPr>
          <w:rFonts w:hint="default" w:ascii="Times New Roman" w:hAnsi="Times New Roman" w:cs="Times New Roman"/>
          <w:b w:val="0"/>
          <w:bCs w:val="0"/>
          <w:sz w:val="24"/>
          <w:szCs w:val="24"/>
        </w:rPr>
        <w:t xml:space="preserve"> often exhibit lower dry densities and higher optimum moisture contents during compaction, making them less desirable for subgrade construction unless stabilized (Okeke et al., 2021). Conversely, soils with </w:t>
      </w:r>
      <w:r>
        <w:rPr>
          <w:rStyle w:val="92"/>
          <w:rFonts w:hint="default" w:ascii="Times New Roman" w:hAnsi="Times New Roman" w:cs="Times New Roman"/>
          <w:b w:val="0"/>
          <w:bCs w:val="0"/>
          <w:sz w:val="24"/>
          <w:szCs w:val="24"/>
        </w:rPr>
        <w:t>low to medium PI values (≤17%)</w:t>
      </w:r>
      <w:r>
        <w:rPr>
          <w:rFonts w:hint="default" w:ascii="Times New Roman" w:hAnsi="Times New Roman" w:cs="Times New Roman"/>
          <w:b w:val="0"/>
          <w:bCs w:val="0"/>
          <w:sz w:val="24"/>
          <w:szCs w:val="24"/>
        </w:rPr>
        <w:t xml:space="preserve"> are generally more stable and perform better under structural loads (Umar et al., 2023).</w:t>
      </w:r>
    </w:p>
    <w:p w14:paraId="13D8EC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test is inexpensive and widely used to </w:t>
      </w:r>
      <w:r>
        <w:rPr>
          <w:rStyle w:val="92"/>
          <w:rFonts w:hint="default" w:ascii="Times New Roman" w:hAnsi="Times New Roman" w:cs="Times New Roman"/>
          <w:b w:val="0"/>
          <w:bCs w:val="0"/>
          <w:sz w:val="24"/>
          <w:szCs w:val="24"/>
        </w:rPr>
        <w:t>predict soil behavior</w:t>
      </w:r>
      <w:r>
        <w:rPr>
          <w:rFonts w:hint="default" w:ascii="Times New Roman" w:hAnsi="Times New Roman" w:cs="Times New Roman"/>
          <w:b w:val="0"/>
          <w:bCs w:val="0"/>
          <w:sz w:val="24"/>
          <w:szCs w:val="24"/>
        </w:rPr>
        <w:t xml:space="preserve">, including </w:t>
      </w:r>
      <w:r>
        <w:rPr>
          <w:rStyle w:val="92"/>
          <w:rFonts w:hint="default" w:ascii="Times New Roman" w:hAnsi="Times New Roman" w:cs="Times New Roman"/>
          <w:b w:val="0"/>
          <w:bCs w:val="0"/>
          <w:sz w:val="24"/>
          <w:szCs w:val="24"/>
        </w:rPr>
        <w:t>shrink-swell potential, permeability, and strength characteristics</w:t>
      </w:r>
      <w:r>
        <w:rPr>
          <w:rFonts w:hint="default" w:ascii="Times New Roman" w:hAnsi="Times New Roman" w:cs="Times New Roman"/>
          <w:b w:val="0"/>
          <w:bCs w:val="0"/>
          <w:sz w:val="24"/>
          <w:szCs w:val="24"/>
        </w:rPr>
        <w:t>, making it a crucial part of soil classification and suitability assessment for engineering projects (Osinubi et al., 2020).</w:t>
      </w:r>
    </w:p>
    <w:p w14:paraId="058503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w:t>
      </w:r>
    </w:p>
    <w:p w14:paraId="2D191EC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refers to the mechanical process of </w:t>
      </w:r>
      <w:r>
        <w:rPr>
          <w:rStyle w:val="92"/>
          <w:rFonts w:hint="default" w:ascii="Times New Roman" w:hAnsi="Times New Roman" w:cs="Times New Roman"/>
          <w:b w:val="0"/>
          <w:bCs w:val="0"/>
          <w:sz w:val="24"/>
          <w:szCs w:val="24"/>
        </w:rPr>
        <w:t>densifying soil by reducing air voids</w:t>
      </w:r>
      <w:r>
        <w:rPr>
          <w:rFonts w:hint="default" w:ascii="Times New Roman" w:hAnsi="Times New Roman" w:cs="Times New Roman"/>
          <w:b w:val="0"/>
          <w:bCs w:val="0"/>
          <w:sz w:val="24"/>
          <w:szCs w:val="24"/>
        </w:rPr>
        <w:t xml:space="preserve">, thereby increasing its dry density and improving load-bearing capacity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It is a key parameter in evaluating lateritic soils for construction projects such as road bases, embankments, and foundations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8BACAF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compaction characteristics of soil are defined mainly by two parameters: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The MDD represents the highest achievable dry density under a given compactive effort, while the OMC is the water content at which this density is obtained (Ahmed et al., 2019). These values are influenced by the </w:t>
      </w:r>
      <w:r>
        <w:rPr>
          <w:rStyle w:val="92"/>
          <w:rFonts w:hint="default" w:ascii="Times New Roman" w:hAnsi="Times New Roman" w:cs="Times New Roman"/>
          <w:b w:val="0"/>
          <w:bCs w:val="0"/>
          <w:sz w:val="24"/>
          <w:szCs w:val="24"/>
        </w:rPr>
        <w:t>grain size distribution, plasticity, and mineral composition</w:t>
      </w:r>
      <w:r>
        <w:rPr>
          <w:rFonts w:hint="default" w:ascii="Times New Roman" w:hAnsi="Times New Roman" w:cs="Times New Roman"/>
          <w:b w:val="0"/>
          <w:bCs w:val="0"/>
          <w:sz w:val="24"/>
          <w:szCs w:val="24"/>
        </w:rPr>
        <w:t xml:space="preserve"> of the soil (Okeke et al., 2021).</w:t>
      </w:r>
    </w:p>
    <w:p w14:paraId="25269F7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tend to compact well, resulting in high dry densities and improved shear strength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However, soils with excessive clay content or high PI often retain more water, reducing their compaction efficiency (Umar et al., 2023). Proper compaction is essential for ensuring soil stability, reducing settlement issues, and enhancing structural performance of overlying pavements or foundations (Osinubi et al., 2020).</w:t>
      </w:r>
    </w:p>
    <w:p w14:paraId="671FBC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Sieve Analysis</w:t>
      </w:r>
    </w:p>
    <w:p w14:paraId="4330240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Sieve analysis is a fundamental test used to </w:t>
      </w:r>
      <w:r>
        <w:rPr>
          <w:rStyle w:val="92"/>
          <w:rFonts w:hint="default" w:ascii="Times New Roman" w:hAnsi="Times New Roman" w:cs="Times New Roman"/>
          <w:b w:val="0"/>
          <w:bCs w:val="0"/>
          <w:sz w:val="24"/>
          <w:szCs w:val="24"/>
        </w:rPr>
        <w:t>determine the particle size distribution of soils</w:t>
      </w:r>
      <w:r>
        <w:rPr>
          <w:rFonts w:hint="default" w:ascii="Times New Roman" w:hAnsi="Times New Roman" w:cs="Times New Roman"/>
          <w:b w:val="0"/>
          <w:bCs w:val="0"/>
          <w:sz w:val="24"/>
          <w:szCs w:val="24"/>
        </w:rPr>
        <w:t xml:space="preserve">, classifying them as gravel, sand, silt, or clay fractions based on their sizes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is critical in understanding the textural composition of lateritic soils, which greatly influences their </w:t>
      </w:r>
      <w:r>
        <w:rPr>
          <w:rStyle w:val="92"/>
          <w:rFonts w:hint="default" w:ascii="Times New Roman" w:hAnsi="Times New Roman" w:cs="Times New Roman"/>
          <w:b w:val="0"/>
          <w:bCs w:val="0"/>
          <w:sz w:val="24"/>
          <w:szCs w:val="24"/>
        </w:rPr>
        <w:t>permeability, compaction behavior, and strength properties</w:t>
      </w:r>
      <w:r>
        <w:rPr>
          <w:rFonts w:hint="default" w:ascii="Times New Roman" w:hAnsi="Times New Roman" w:cs="Times New Roman"/>
          <w:b w:val="0"/>
          <w:bCs w:val="0"/>
          <w:sz w:val="24"/>
          <w:szCs w:val="24"/>
        </w:rPr>
        <w:t xml:space="preserve"> (Ahmed et al., 2019).</w:t>
      </w:r>
    </w:p>
    <w:p w14:paraId="4AC5DDC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procedure involves passing soil samples through a series of sieves with progressively smaller openings and weighing the retained material on each sieve to determine its percentage composition (Okeke et al., 2021). Results from sieve analysis are commonly plotted as a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xml:space="preserve">, which provides insights into soil gradation and helps classify the soil under systems such as the Unified Soil Classification System (USCS) or AASHTO standards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48A5396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Well-graded lateritic soils with a </w:t>
      </w:r>
      <w:r>
        <w:rPr>
          <w:rStyle w:val="92"/>
          <w:rFonts w:hint="default" w:ascii="Times New Roman" w:hAnsi="Times New Roman" w:cs="Times New Roman"/>
          <w:b w:val="0"/>
          <w:bCs w:val="0"/>
          <w:sz w:val="24"/>
          <w:szCs w:val="24"/>
        </w:rPr>
        <w:t>balanced mix of coarse and fine particles</w:t>
      </w:r>
      <w:r>
        <w:rPr>
          <w:rFonts w:hint="default" w:ascii="Times New Roman" w:hAnsi="Times New Roman" w:cs="Times New Roman"/>
          <w:b w:val="0"/>
          <w:bCs w:val="0"/>
          <w:sz w:val="24"/>
          <w:szCs w:val="24"/>
        </w:rPr>
        <w:t xml:space="preserve"> tend to achieve better compaction and higher load-bearing capacity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Poorly graded or gap-graded soils may require blending with other materials or stabilization to meet engineering requirements (Umar et al., 2023). Therefore, sieve analysis plays a vital role in preliminary soil characterization and selection of lateritic materials for construction projects (Osinubi et al., 2020).</w:t>
      </w:r>
    </w:p>
    <w:p w14:paraId="04094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A68A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99E9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AC905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5C25F03">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004B4FA">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6777B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98124C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1969951">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8DA0EF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1FA1FE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9875C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7CF45977">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3F0C96E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06BEE8F">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67A221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THREE</w:t>
      </w:r>
    </w:p>
    <w:p w14:paraId="3D611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METHODOLOGY</w:t>
      </w:r>
    </w:p>
    <w:p w14:paraId="6CD0A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Research Methodology</w:t>
      </w:r>
    </w:p>
    <w:p w14:paraId="6E9D7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Collection of Sample</w:t>
      </w:r>
    </w:p>
    <w:p w14:paraId="439397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Soil samples were collected from </w:t>
      </w:r>
      <w:r>
        <w:rPr>
          <w:rStyle w:val="92"/>
          <w:rFonts w:hint="default" w:ascii="Times New Roman" w:hAnsi="Times New Roman" w:cs="Times New Roman"/>
          <w:b w:val="0"/>
          <w:bCs w:val="0"/>
          <w:sz w:val="24"/>
          <w:szCs w:val="24"/>
        </w:rPr>
        <w:t>five different test pits</w:t>
      </w:r>
      <w:r>
        <w:rPr>
          <w:rFonts w:hint="default" w:ascii="Times New Roman" w:hAnsi="Times New Roman" w:cs="Times New Roman"/>
          <w:b w:val="0"/>
          <w:bCs w:val="0"/>
          <w:sz w:val="24"/>
          <w:szCs w:val="24"/>
        </w:rPr>
        <w:t xml:space="preserve"> excavated at depths ranging from </w:t>
      </w:r>
      <w:r>
        <w:rPr>
          <w:rStyle w:val="92"/>
          <w:rFonts w:hint="default" w:ascii="Times New Roman" w:hAnsi="Times New Roman" w:cs="Times New Roman"/>
          <w:b w:val="0"/>
          <w:bCs w:val="0"/>
          <w:sz w:val="24"/>
          <w:szCs w:val="24"/>
        </w:rPr>
        <w:t>0.5 m to 1.5 m</w:t>
      </w:r>
      <w:r>
        <w:rPr>
          <w:rFonts w:hint="default" w:ascii="Times New Roman" w:hAnsi="Times New Roman" w:cs="Times New Roman"/>
          <w:b w:val="0"/>
          <w:bCs w:val="0"/>
          <w:sz w:val="24"/>
          <w:szCs w:val="24"/>
        </w:rPr>
        <w:t xml:space="preserve"> within the Kwara State Polytechnic Campus. This depth range was chosen because it represents the </w:t>
      </w:r>
      <w:r>
        <w:rPr>
          <w:rStyle w:val="92"/>
          <w:rFonts w:hint="default" w:ascii="Times New Roman" w:hAnsi="Times New Roman" w:cs="Times New Roman"/>
          <w:b w:val="0"/>
          <w:bCs w:val="0"/>
          <w:sz w:val="24"/>
          <w:szCs w:val="24"/>
        </w:rPr>
        <w:t>active zone of soil</w:t>
      </w:r>
      <w:r>
        <w:rPr>
          <w:rFonts w:hint="default" w:ascii="Times New Roman" w:hAnsi="Times New Roman" w:cs="Times New Roman"/>
          <w:b w:val="0"/>
          <w:bCs w:val="0"/>
          <w:sz w:val="24"/>
          <w:szCs w:val="24"/>
        </w:rPr>
        <w:t xml:space="preserve"> used for construction activities such as road pavement layers and shallow foundations (Ahmed et al., 2019).</w:t>
      </w:r>
    </w:p>
    <w:p w14:paraId="4CFBC00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Samples were collected using hand augers and shovels to avoid contamination. The </w:t>
      </w:r>
      <w:r>
        <w:rPr>
          <w:rStyle w:val="92"/>
          <w:rFonts w:hint="default" w:ascii="Times New Roman" w:hAnsi="Times New Roman" w:cs="Times New Roman"/>
          <w:b w:val="0"/>
          <w:bCs w:val="0"/>
          <w:sz w:val="24"/>
          <w:szCs w:val="24"/>
        </w:rPr>
        <w:t>GPS coordinates of each sampling location were recorded</w:t>
      </w:r>
      <w:r>
        <w:rPr>
          <w:rFonts w:hint="default" w:ascii="Times New Roman" w:hAnsi="Times New Roman" w:cs="Times New Roman"/>
          <w:b w:val="0"/>
          <w:bCs w:val="0"/>
          <w:sz w:val="24"/>
          <w:szCs w:val="24"/>
        </w:rPr>
        <w:t xml:space="preserve"> for spatial reference. The collected samples were stored in clean, airtight polythene bags to preserve their natural moisture content until laboratory testing (Okeke et al., 2021).</w:t>
      </w:r>
    </w:p>
    <w:p w14:paraId="107C784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sampling approach aligns with standard practices for geotechnical site investigations, where </w:t>
      </w:r>
      <w:r>
        <w:rPr>
          <w:rStyle w:val="92"/>
          <w:rFonts w:hint="default" w:ascii="Times New Roman" w:hAnsi="Times New Roman" w:cs="Times New Roman"/>
          <w:b w:val="0"/>
          <w:bCs w:val="0"/>
          <w:sz w:val="24"/>
          <w:szCs w:val="24"/>
        </w:rPr>
        <w:t>multiple samples</w:t>
      </w:r>
      <w:r>
        <w:rPr>
          <w:rFonts w:hint="default" w:ascii="Times New Roman" w:hAnsi="Times New Roman" w:cs="Times New Roman"/>
          <w:b w:val="0"/>
          <w:bCs w:val="0"/>
          <w:sz w:val="24"/>
          <w:szCs w:val="24"/>
        </w:rPr>
        <w:t xml:space="preserve"> are collected across the study area to capture spatial variations in soil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Previous studies have emphasized that lateritic soils can </w:t>
      </w:r>
      <w:r>
        <w:rPr>
          <w:rStyle w:val="92"/>
          <w:rFonts w:hint="default" w:ascii="Times New Roman" w:hAnsi="Times New Roman" w:cs="Times New Roman"/>
          <w:b w:val="0"/>
          <w:bCs w:val="0"/>
          <w:sz w:val="24"/>
          <w:szCs w:val="24"/>
        </w:rPr>
        <w:t>vary significantly over short distances</w:t>
      </w:r>
      <w:r>
        <w:rPr>
          <w:rFonts w:hint="default" w:ascii="Times New Roman" w:hAnsi="Times New Roman" w:cs="Times New Roman"/>
          <w:b w:val="0"/>
          <w:bCs w:val="0"/>
          <w:sz w:val="24"/>
          <w:szCs w:val="24"/>
        </w:rPr>
        <w:t xml:space="preserve">, hence the need for systematic sampling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056900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Preparation of Disturbed Samples</w:t>
      </w:r>
    </w:p>
    <w:p w14:paraId="02C2809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collected samples were considered </w:t>
      </w:r>
      <w:r>
        <w:rPr>
          <w:rStyle w:val="92"/>
          <w:rFonts w:hint="default" w:ascii="Times New Roman" w:hAnsi="Times New Roman" w:cs="Times New Roman"/>
          <w:b w:val="0"/>
          <w:bCs w:val="0"/>
          <w:sz w:val="24"/>
          <w:szCs w:val="24"/>
        </w:rPr>
        <w:t>disturbed samples</w:t>
      </w:r>
      <w:r>
        <w:rPr>
          <w:rFonts w:hint="default" w:ascii="Times New Roman" w:hAnsi="Times New Roman" w:cs="Times New Roman"/>
          <w:b w:val="0"/>
          <w:bCs w:val="0"/>
          <w:sz w:val="24"/>
          <w:szCs w:val="24"/>
        </w:rPr>
        <w:t xml:space="preserve">, meaning their natural structure was altered during excavation but their </w:t>
      </w:r>
      <w:r>
        <w:rPr>
          <w:rStyle w:val="92"/>
          <w:rFonts w:hint="default" w:ascii="Times New Roman" w:hAnsi="Times New Roman" w:cs="Times New Roman"/>
          <w:b w:val="0"/>
          <w:bCs w:val="0"/>
          <w:sz w:val="24"/>
          <w:szCs w:val="24"/>
        </w:rPr>
        <w:t>composition and moisture content</w:t>
      </w:r>
      <w:r>
        <w:rPr>
          <w:rFonts w:hint="default" w:ascii="Times New Roman" w:hAnsi="Times New Roman" w:cs="Times New Roman"/>
          <w:b w:val="0"/>
          <w:bCs w:val="0"/>
          <w:sz w:val="24"/>
          <w:szCs w:val="24"/>
        </w:rPr>
        <w:t xml:space="preserve"> remained unchanged (Umar et al., 2023). In the laboratory, samples were </w:t>
      </w:r>
      <w:r>
        <w:rPr>
          <w:rStyle w:val="92"/>
          <w:rFonts w:hint="default" w:ascii="Times New Roman" w:hAnsi="Times New Roman" w:cs="Times New Roman"/>
          <w:b w:val="0"/>
          <w:bCs w:val="0"/>
          <w:sz w:val="24"/>
          <w:szCs w:val="24"/>
        </w:rPr>
        <w:t>air-dried for 24–48 hours</w:t>
      </w:r>
      <w:r>
        <w:rPr>
          <w:rFonts w:hint="default" w:ascii="Times New Roman" w:hAnsi="Times New Roman" w:cs="Times New Roman"/>
          <w:b w:val="0"/>
          <w:bCs w:val="0"/>
          <w:sz w:val="24"/>
          <w:szCs w:val="24"/>
        </w:rPr>
        <w:t xml:space="preserve"> to facilitate sieving and reduce cohesion. Large clumps were gently broken down using a wooden mallet, ensuring no alteration of natural particle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5E34AB8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samples were then </w:t>
      </w:r>
      <w:r>
        <w:rPr>
          <w:rStyle w:val="92"/>
          <w:rFonts w:hint="default" w:ascii="Times New Roman" w:hAnsi="Times New Roman" w:cs="Times New Roman"/>
          <w:b w:val="0"/>
          <w:bCs w:val="0"/>
          <w:sz w:val="24"/>
          <w:szCs w:val="24"/>
        </w:rPr>
        <w:t>sieved through a 4.75 mm mesh</w:t>
      </w:r>
      <w:r>
        <w:rPr>
          <w:rFonts w:hint="default" w:ascii="Times New Roman" w:hAnsi="Times New Roman" w:cs="Times New Roman"/>
          <w:b w:val="0"/>
          <w:bCs w:val="0"/>
          <w:sz w:val="24"/>
          <w:szCs w:val="24"/>
        </w:rPr>
        <w:t xml:space="preserve"> to remove gravel-sized particles and organic matter before conducting index property tests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preparation ensures uniformity and accuracy of test results, as recommended by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xml:space="preserve"> standards.</w:t>
      </w:r>
    </w:p>
    <w:p w14:paraId="79527E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Laboratory Procedures</w:t>
      </w:r>
    </w:p>
    <w:p w14:paraId="71AB87E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laboratory tests were conducted in the </w:t>
      </w:r>
      <w:r>
        <w:rPr>
          <w:rStyle w:val="92"/>
          <w:rFonts w:hint="default" w:ascii="Times New Roman" w:hAnsi="Times New Roman" w:cs="Times New Roman"/>
          <w:b w:val="0"/>
          <w:bCs w:val="0"/>
          <w:sz w:val="24"/>
          <w:szCs w:val="24"/>
        </w:rPr>
        <w:t>Geotechnical Engineering Laboratory</w:t>
      </w:r>
      <w:r>
        <w:rPr>
          <w:rFonts w:hint="default" w:ascii="Times New Roman" w:hAnsi="Times New Roman" w:cs="Times New Roman"/>
          <w:b w:val="0"/>
          <w:bCs w:val="0"/>
          <w:sz w:val="24"/>
          <w:szCs w:val="24"/>
        </w:rPr>
        <w:t xml:space="preserve"> of Kwara State Polytechnic using </w:t>
      </w:r>
      <w:r>
        <w:rPr>
          <w:rStyle w:val="92"/>
          <w:rFonts w:hint="default" w:ascii="Times New Roman" w:hAnsi="Times New Roman" w:cs="Times New Roman"/>
          <w:b w:val="0"/>
          <w:bCs w:val="0"/>
          <w:sz w:val="24"/>
          <w:szCs w:val="24"/>
        </w:rPr>
        <w:t>standard test procedures outlined in 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Each test was performed in triplicate to ensure accuracy and reproducibility. The laboratory setup included drying ovens, balance scales, compaction molds, sieves, Casagrande liquid limit devices, and other essential soil testing apparatus (Ahmed et al., 2019).</w:t>
      </w:r>
    </w:p>
    <w:p w14:paraId="2CCCFCC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Laboratory procedures were aimed at determining </w:t>
      </w:r>
      <w:r>
        <w:rPr>
          <w:rStyle w:val="92"/>
          <w:rFonts w:hint="default" w:ascii="Times New Roman" w:hAnsi="Times New Roman" w:cs="Times New Roman"/>
          <w:b w:val="0"/>
          <w:bCs w:val="0"/>
          <w:sz w:val="24"/>
          <w:szCs w:val="24"/>
        </w:rPr>
        <w:t>index properties</w:t>
      </w:r>
      <w:r>
        <w:rPr>
          <w:rFonts w:hint="default" w:ascii="Times New Roman" w:hAnsi="Times New Roman" w:cs="Times New Roman"/>
          <w:b w:val="0"/>
          <w:bCs w:val="0"/>
          <w:sz w:val="24"/>
          <w:szCs w:val="24"/>
        </w:rPr>
        <w:t xml:space="preserve"> (moisture content, Atterberg limits, particle size distribution, specific gravity) and </w:t>
      </w:r>
      <w:r>
        <w:rPr>
          <w:rStyle w:val="92"/>
          <w:rFonts w:hint="default" w:ascii="Times New Roman" w:hAnsi="Times New Roman" w:cs="Times New Roman"/>
          <w:b w:val="0"/>
          <w:bCs w:val="0"/>
          <w:sz w:val="24"/>
          <w:szCs w:val="24"/>
        </w:rPr>
        <w:t>engineering properties</w:t>
      </w:r>
      <w:r>
        <w:rPr>
          <w:rFonts w:hint="default" w:ascii="Times New Roman" w:hAnsi="Times New Roman" w:cs="Times New Roman"/>
          <w:b w:val="0"/>
          <w:bCs w:val="0"/>
          <w:sz w:val="24"/>
          <w:szCs w:val="24"/>
        </w:rPr>
        <w:t xml:space="preserve"> (compaction characteristics, bulk density) of the collected samples. Proper handling of samples was ensured to prevent </w:t>
      </w:r>
      <w:r>
        <w:rPr>
          <w:rStyle w:val="92"/>
          <w:rFonts w:hint="default" w:ascii="Times New Roman" w:hAnsi="Times New Roman" w:cs="Times New Roman"/>
          <w:b w:val="0"/>
          <w:bCs w:val="0"/>
          <w:sz w:val="24"/>
          <w:szCs w:val="24"/>
        </w:rPr>
        <w:t>contamination and loss of natural properties</w:t>
      </w:r>
      <w:r>
        <w:rPr>
          <w:rFonts w:hint="default" w:ascii="Times New Roman" w:hAnsi="Times New Roman" w:cs="Times New Roman"/>
          <w:b w:val="0"/>
          <w:bCs w:val="0"/>
          <w:sz w:val="24"/>
          <w:szCs w:val="24"/>
        </w:rPr>
        <w:t xml:space="preserve">, following recommendations by </w:t>
      </w:r>
      <w:r>
        <w:rPr>
          <w:rStyle w:val="92"/>
          <w:rFonts w:hint="default" w:ascii="Times New Roman" w:hAnsi="Times New Roman" w:cs="Times New Roman"/>
          <w:b w:val="0"/>
          <w:bCs w:val="0"/>
          <w:sz w:val="24"/>
          <w:szCs w:val="24"/>
        </w:rPr>
        <w:t xml:space="preserve">Bello </w:t>
      </w:r>
      <w:r>
        <w:rPr>
          <w:rStyle w:val="92"/>
          <w:rFonts w:hint="default" w:ascii="Times New Roman" w:hAnsi="Times New Roman" w:cs="Times New Roman"/>
          <w:b w:val="0"/>
          <w:bCs w:val="0"/>
          <w:sz w:val="24"/>
          <w:szCs w:val="24"/>
          <w:lang w:val="en-US"/>
        </w:rPr>
        <w:t>and</w:t>
      </w:r>
      <w:r>
        <w:rPr>
          <w:rStyle w:val="92"/>
          <w:rFonts w:hint="default" w:ascii="Times New Roman" w:hAnsi="Times New Roman" w:cs="Times New Roman"/>
          <w:b w:val="0"/>
          <w:bCs w:val="0"/>
          <w:sz w:val="24"/>
          <w:szCs w:val="24"/>
        </w:rPr>
        <w:t xml:space="preserve"> Ige (2020)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Umar et al. (2023)</w:t>
      </w:r>
      <w:r>
        <w:rPr>
          <w:rFonts w:hint="default" w:ascii="Times New Roman" w:hAnsi="Times New Roman" w:cs="Times New Roman"/>
          <w:b w:val="0"/>
          <w:bCs w:val="0"/>
          <w:sz w:val="24"/>
          <w:szCs w:val="24"/>
        </w:rPr>
        <w:t>.</w:t>
      </w:r>
    </w:p>
    <w:p w14:paraId="685C051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stage is critical as laboratory testing provides </w:t>
      </w:r>
      <w:r>
        <w:rPr>
          <w:rStyle w:val="92"/>
          <w:rFonts w:hint="default" w:ascii="Times New Roman" w:hAnsi="Times New Roman" w:cs="Times New Roman"/>
          <w:b w:val="0"/>
          <w:bCs w:val="0"/>
          <w:sz w:val="24"/>
          <w:szCs w:val="24"/>
        </w:rPr>
        <w:t>controlled environmental conditions</w:t>
      </w:r>
      <w:r>
        <w:rPr>
          <w:rFonts w:hint="default" w:ascii="Times New Roman" w:hAnsi="Times New Roman" w:cs="Times New Roman"/>
          <w:b w:val="0"/>
          <w:bCs w:val="0"/>
          <w:sz w:val="24"/>
          <w:szCs w:val="24"/>
        </w:rPr>
        <w:t xml:space="preserve"> to replicate field behavior and allows for the determination of relationships between basic soil properties and mechanical performance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76A32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Grain Size Distribution Tests</w:t>
      </w:r>
    </w:p>
    <w:p w14:paraId="4A182279">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analysis was conducted using the </w:t>
      </w:r>
      <w:r>
        <w:rPr>
          <w:rStyle w:val="92"/>
          <w:rFonts w:hint="default" w:ascii="Times New Roman" w:hAnsi="Times New Roman" w:cs="Times New Roman"/>
          <w:b w:val="0"/>
          <w:bCs w:val="0"/>
          <w:sz w:val="24"/>
          <w:szCs w:val="24"/>
        </w:rPr>
        <w:t>mechanical sieve analysis method</w:t>
      </w:r>
      <w:r>
        <w:rPr>
          <w:rFonts w:hint="default" w:ascii="Times New Roman" w:hAnsi="Times New Roman" w:cs="Times New Roman"/>
          <w:b w:val="0"/>
          <w:bCs w:val="0"/>
          <w:sz w:val="24"/>
          <w:szCs w:val="24"/>
        </w:rPr>
        <w:t xml:space="preserve">, which involves passing air-dried soil samples through a series of standard sieves with decreasing mesh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The percentage weight retained on each sieve was recorded to determine the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classifying the soil into gravel, sand, silt, and clay fractions (Ahmed et al., 2019).</w:t>
      </w:r>
    </w:p>
    <w:p w14:paraId="7990DC4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test helps determine whether the soil is </w:t>
      </w:r>
      <w:r>
        <w:rPr>
          <w:rStyle w:val="92"/>
          <w:rFonts w:hint="default" w:ascii="Times New Roman" w:hAnsi="Times New Roman" w:cs="Times New Roman"/>
          <w:b w:val="0"/>
          <w:bCs w:val="0"/>
          <w:sz w:val="24"/>
          <w:szCs w:val="24"/>
        </w:rPr>
        <w:t>well-graded or poorly graded</w:t>
      </w:r>
      <w:r>
        <w:rPr>
          <w:rFonts w:hint="default" w:ascii="Times New Roman" w:hAnsi="Times New Roman" w:cs="Times New Roman"/>
          <w:b w:val="0"/>
          <w:bCs w:val="0"/>
          <w:sz w:val="24"/>
          <w:szCs w:val="24"/>
        </w:rPr>
        <w:t xml:space="preserve">, which significantly affects its </w:t>
      </w:r>
      <w:r>
        <w:rPr>
          <w:rStyle w:val="92"/>
          <w:rFonts w:hint="default" w:ascii="Times New Roman" w:hAnsi="Times New Roman" w:cs="Times New Roman"/>
          <w:b w:val="0"/>
          <w:bCs w:val="0"/>
          <w:sz w:val="24"/>
          <w:szCs w:val="24"/>
        </w:rPr>
        <w:t>compaction, permeability, and shear strength characteristics</w:t>
      </w:r>
      <w:r>
        <w:rPr>
          <w:rFonts w:hint="default" w:ascii="Times New Roman" w:hAnsi="Times New Roman" w:cs="Times New Roman"/>
          <w:b w:val="0"/>
          <w:bCs w:val="0"/>
          <w:sz w:val="24"/>
          <w:szCs w:val="24"/>
        </w:rPr>
        <w:t xml:space="preserve"> (Okeke et al., 2021). Well-graded soils generally provide better compaction and improved engineering properties compared to poorly graded or uniform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FE235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distribution results also assist in </w:t>
      </w:r>
      <w:r>
        <w:rPr>
          <w:rStyle w:val="92"/>
          <w:rFonts w:hint="default" w:ascii="Times New Roman" w:hAnsi="Times New Roman" w:cs="Times New Roman"/>
          <w:b w:val="0"/>
          <w:bCs w:val="0"/>
          <w:sz w:val="24"/>
          <w:szCs w:val="24"/>
        </w:rPr>
        <w:t>classifying soils</w:t>
      </w:r>
      <w:r>
        <w:rPr>
          <w:rFonts w:hint="default" w:ascii="Times New Roman" w:hAnsi="Times New Roman" w:cs="Times New Roman"/>
          <w:b w:val="0"/>
          <w:bCs w:val="0"/>
          <w:sz w:val="24"/>
          <w:szCs w:val="24"/>
        </w:rPr>
        <w:t xml:space="preserve"> under systems such as </w:t>
      </w:r>
      <w:r>
        <w:rPr>
          <w:rStyle w:val="92"/>
          <w:rFonts w:hint="default" w:ascii="Times New Roman" w:hAnsi="Times New Roman" w:cs="Times New Roman"/>
          <w:b w:val="0"/>
          <w:bCs w:val="0"/>
          <w:sz w:val="24"/>
          <w:szCs w:val="24"/>
        </w:rPr>
        <w:t>Unified Soil Classification System (USCS)</w:t>
      </w:r>
      <w:r>
        <w:rPr>
          <w:rFonts w:hint="default" w:ascii="Times New Roman" w:hAnsi="Times New Roman" w:cs="Times New Roman"/>
          <w:b w:val="0"/>
          <w:bCs w:val="0"/>
          <w:sz w:val="24"/>
          <w:szCs w:val="24"/>
        </w:rPr>
        <w:t xml:space="preserve"> or </w:t>
      </w:r>
      <w:r>
        <w:rPr>
          <w:rStyle w:val="92"/>
          <w:rFonts w:hint="default" w:ascii="Times New Roman" w:hAnsi="Times New Roman" w:cs="Times New Roman"/>
          <w:b w:val="0"/>
          <w:bCs w:val="0"/>
          <w:sz w:val="24"/>
          <w:szCs w:val="24"/>
        </w:rPr>
        <w:t>AASHTO</w:t>
      </w:r>
      <w:r>
        <w:rPr>
          <w:rFonts w:hint="default" w:ascii="Times New Roman" w:hAnsi="Times New Roman" w:cs="Times New Roman"/>
          <w:b w:val="0"/>
          <w:bCs w:val="0"/>
          <w:sz w:val="24"/>
          <w:szCs w:val="24"/>
        </w:rPr>
        <w:t>, widely used in highway and foundation engineering (Osinubi et al., 2020).</w:t>
      </w:r>
    </w:p>
    <w:p w14:paraId="011FE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 Test</w:t>
      </w:r>
    </w:p>
    <w:p w14:paraId="0AE8CA3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92"/>
          <w:rFonts w:hint="default" w:ascii="Times New Roman" w:hAnsi="Times New Roman" w:cs="Times New Roman"/>
          <w:b w:val="0"/>
          <w:bCs w:val="0"/>
          <w:sz w:val="24"/>
          <w:szCs w:val="24"/>
        </w:rPr>
        <w:t>Atterberg limits test</w:t>
      </w:r>
      <w:r>
        <w:rPr>
          <w:rFonts w:hint="default" w:ascii="Times New Roman" w:hAnsi="Times New Roman" w:cs="Times New Roman"/>
          <w:b w:val="0"/>
          <w:bCs w:val="0"/>
          <w:sz w:val="24"/>
          <w:szCs w:val="24"/>
        </w:rPr>
        <w:t xml:space="preserve"> was conducted to determine the </w:t>
      </w:r>
      <w:r>
        <w:rPr>
          <w:rStyle w:val="92"/>
          <w:rFonts w:hint="default" w:ascii="Times New Roman" w:hAnsi="Times New Roman" w:cs="Times New Roman"/>
          <w:b w:val="0"/>
          <w:bCs w:val="0"/>
          <w:sz w:val="24"/>
          <w:szCs w:val="24"/>
        </w:rPr>
        <w:t>liquid limit (LL), plastic limit (PL), and plasticity index (PI)</w:t>
      </w:r>
      <w:r>
        <w:rPr>
          <w:rFonts w:hint="default" w:ascii="Times New Roman" w:hAnsi="Times New Roman" w:cs="Times New Roman"/>
          <w:b w:val="0"/>
          <w:bCs w:val="0"/>
          <w:sz w:val="24"/>
          <w:szCs w:val="24"/>
        </w:rPr>
        <w:t xml:space="preserve"> of the lateritic soil samples using the </w:t>
      </w:r>
      <w:r>
        <w:rPr>
          <w:rStyle w:val="92"/>
          <w:rFonts w:hint="default" w:ascii="Times New Roman" w:hAnsi="Times New Roman" w:cs="Times New Roman"/>
          <w:b w:val="0"/>
          <w:bCs w:val="0"/>
          <w:sz w:val="24"/>
          <w:szCs w:val="24"/>
        </w:rPr>
        <w:t>Casagrande apparatus</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rolling thread method</w:t>
      </w:r>
      <w:r>
        <w:rPr>
          <w:rFonts w:hint="default" w:ascii="Times New Roman" w:hAnsi="Times New Roman" w:cs="Times New Roman"/>
          <w:b w:val="0"/>
          <w:bCs w:val="0"/>
          <w:sz w:val="24"/>
          <w:szCs w:val="24"/>
        </w:rPr>
        <w:t xml:space="preserve">, in accordance with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3E2D505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limits are essential for classifying soils and predicting their </w:t>
      </w:r>
      <w:r>
        <w:rPr>
          <w:rStyle w:val="92"/>
          <w:rFonts w:hint="default" w:ascii="Times New Roman" w:hAnsi="Times New Roman" w:cs="Times New Roman"/>
          <w:b w:val="0"/>
          <w:bCs w:val="0"/>
          <w:sz w:val="24"/>
          <w:szCs w:val="24"/>
        </w:rPr>
        <w:t>consistency, plasticity, shrink-swell behavior, and compressibility</w:t>
      </w:r>
      <w:r>
        <w:rPr>
          <w:rFonts w:hint="default" w:ascii="Times New Roman" w:hAnsi="Times New Roman" w:cs="Times New Roman"/>
          <w:b w:val="0"/>
          <w:bCs w:val="0"/>
          <w:sz w:val="24"/>
          <w:szCs w:val="24"/>
        </w:rPr>
        <w:t xml:space="preserve"> (Ahmed et al., 2019). High PI values indicate soils with high clay content and potential swelling, which may require stabilization for engineering applications (Okeke et al., 2021). Low PI values typically correspond to non-cohesive soils with better compaction and drainage characteristics (Umar et al., 2023).</w:t>
      </w:r>
    </w:p>
    <w:p w14:paraId="41BEF32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Determining Atterberg limits is a </w:t>
      </w:r>
      <w:r>
        <w:rPr>
          <w:rStyle w:val="92"/>
          <w:rFonts w:hint="default" w:ascii="Times New Roman" w:hAnsi="Times New Roman" w:cs="Times New Roman"/>
          <w:b w:val="0"/>
          <w:bCs w:val="0"/>
          <w:sz w:val="24"/>
          <w:szCs w:val="24"/>
        </w:rPr>
        <w:t>low-cost and efficient method</w:t>
      </w:r>
      <w:r>
        <w:rPr>
          <w:rFonts w:hint="default" w:ascii="Times New Roman" w:hAnsi="Times New Roman" w:cs="Times New Roman"/>
          <w:b w:val="0"/>
          <w:bCs w:val="0"/>
          <w:sz w:val="24"/>
          <w:szCs w:val="24"/>
        </w:rPr>
        <w:t xml:space="preserve"> to assess soil behavior under different moisture conditions, providing valuable input for predicting other engineering properties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3E0033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1A1A1C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61D1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289A30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 Test</w:t>
      </w:r>
    </w:p>
    <w:p w14:paraId="6E3EDB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tests were performed using the </w:t>
      </w:r>
      <w:r>
        <w:rPr>
          <w:rStyle w:val="92"/>
          <w:rFonts w:hint="default" w:ascii="Times New Roman" w:hAnsi="Times New Roman" w:cs="Times New Roman"/>
          <w:b w:val="0"/>
          <w:bCs w:val="0"/>
          <w:sz w:val="24"/>
          <w:szCs w:val="24"/>
        </w:rPr>
        <w:t>Standard Proctor method</w:t>
      </w:r>
      <w:r>
        <w:rPr>
          <w:rFonts w:hint="default" w:ascii="Times New Roman" w:hAnsi="Times New Roman" w:cs="Times New Roman"/>
          <w:b w:val="0"/>
          <w:bCs w:val="0"/>
          <w:sz w:val="24"/>
          <w:szCs w:val="24"/>
        </w:rPr>
        <w:t xml:space="preserve">, where soil samples were compacted in a mold in three layers with 25 blows each from a specified hammer weight (ASTM, 2018). The test was conducted at different moisture contents to establish a </w:t>
      </w:r>
      <w:r>
        <w:rPr>
          <w:rStyle w:val="92"/>
          <w:rFonts w:hint="default" w:ascii="Times New Roman" w:hAnsi="Times New Roman" w:cs="Times New Roman"/>
          <w:b w:val="0"/>
          <w:bCs w:val="0"/>
          <w:sz w:val="24"/>
          <w:szCs w:val="24"/>
        </w:rPr>
        <w:t>compaction curve</w:t>
      </w:r>
      <w:r>
        <w:rPr>
          <w:rFonts w:hint="default" w:ascii="Times New Roman" w:hAnsi="Times New Roman" w:cs="Times New Roman"/>
          <w:b w:val="0"/>
          <w:bCs w:val="0"/>
          <w:sz w:val="24"/>
          <w:szCs w:val="24"/>
        </w:rPr>
        <w:t xml:space="preserve">, from which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were derived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2C1059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characteristics are critical for understanding the </w:t>
      </w:r>
      <w:r>
        <w:rPr>
          <w:rStyle w:val="92"/>
          <w:rFonts w:hint="default" w:ascii="Times New Roman" w:hAnsi="Times New Roman" w:cs="Times New Roman"/>
          <w:b w:val="0"/>
          <w:bCs w:val="0"/>
          <w:sz w:val="24"/>
          <w:szCs w:val="24"/>
        </w:rPr>
        <w:t>load-bearing capacity</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stability of soil</w:t>
      </w:r>
      <w:r>
        <w:rPr>
          <w:rFonts w:hint="default" w:ascii="Times New Roman" w:hAnsi="Times New Roman" w:cs="Times New Roman"/>
          <w:b w:val="0"/>
          <w:bCs w:val="0"/>
          <w:sz w:val="24"/>
          <w:szCs w:val="24"/>
        </w:rPr>
        <w:t xml:space="preserve"> when used as a subgrade material for roads or foundations (Ahmed et al., 2019). Lateritic soils with </w:t>
      </w:r>
      <w:r>
        <w:rPr>
          <w:rStyle w:val="92"/>
          <w:rFonts w:hint="default" w:ascii="Times New Roman" w:hAnsi="Times New Roman" w:cs="Times New Roman"/>
          <w:b w:val="0"/>
          <w:bCs w:val="0"/>
          <w:sz w:val="24"/>
          <w:szCs w:val="24"/>
        </w:rPr>
        <w:t>good gradation and low plasticity</w:t>
      </w:r>
      <w:r>
        <w:rPr>
          <w:rFonts w:hint="default" w:ascii="Times New Roman" w:hAnsi="Times New Roman" w:cs="Times New Roman"/>
          <w:b w:val="0"/>
          <w:bCs w:val="0"/>
          <w:sz w:val="24"/>
          <w:szCs w:val="24"/>
        </w:rPr>
        <w:t xml:space="preserve"> often achieve higher MDD values, making them more suitable for engineering applications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directly relates to </w:t>
      </w:r>
      <w:r>
        <w:rPr>
          <w:rStyle w:val="92"/>
          <w:rFonts w:hint="default" w:ascii="Times New Roman" w:hAnsi="Times New Roman" w:cs="Times New Roman"/>
          <w:b w:val="0"/>
          <w:bCs w:val="0"/>
          <w:sz w:val="24"/>
          <w:szCs w:val="24"/>
        </w:rPr>
        <w:t>field compaction practices</w:t>
      </w:r>
      <w:r>
        <w:rPr>
          <w:rFonts w:hint="default" w:ascii="Times New Roman" w:hAnsi="Times New Roman" w:cs="Times New Roman"/>
          <w:b w:val="0"/>
          <w:bCs w:val="0"/>
          <w:sz w:val="24"/>
          <w:szCs w:val="24"/>
        </w:rPr>
        <w:t xml:space="preserve"> and ensures that soils are placed and compacted at moisture levels that optimize their strength and durability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FC418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Moisture Content Test</w:t>
      </w:r>
    </w:p>
    <w:p w14:paraId="39047CF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Natural moisture content was determined by weighing soil samples before and after oven-drying them at </w:t>
      </w:r>
      <w:r>
        <w:rPr>
          <w:rStyle w:val="92"/>
          <w:rFonts w:hint="default" w:ascii="Times New Roman" w:hAnsi="Times New Roman" w:cs="Times New Roman"/>
          <w:b w:val="0"/>
          <w:bCs w:val="0"/>
          <w:sz w:val="24"/>
          <w:szCs w:val="24"/>
        </w:rPr>
        <w:t>105°C ± 5°C for 24 hours</w:t>
      </w:r>
      <w:r>
        <w:rPr>
          <w:rFonts w:hint="default" w:ascii="Times New Roman" w:hAnsi="Times New Roman" w:cs="Times New Roman"/>
          <w:b w:val="0"/>
          <w:bCs w:val="0"/>
          <w:sz w:val="24"/>
          <w:szCs w:val="24"/>
        </w:rPr>
        <w:t xml:space="preserve">, following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guidelines (Okeke et al., 2021). Moisture content is a vital index property as it influences </w:t>
      </w:r>
      <w:r>
        <w:rPr>
          <w:rStyle w:val="92"/>
          <w:rFonts w:hint="default" w:ascii="Times New Roman" w:hAnsi="Times New Roman" w:cs="Times New Roman"/>
          <w:b w:val="0"/>
          <w:bCs w:val="0"/>
          <w:sz w:val="24"/>
          <w:szCs w:val="24"/>
        </w:rPr>
        <w:t>soil density, strength, and compaction behavior</w:t>
      </w:r>
      <w:r>
        <w:rPr>
          <w:rFonts w:hint="default" w:ascii="Times New Roman" w:hAnsi="Times New Roman" w:cs="Times New Roman"/>
          <w:b w:val="0"/>
          <w:bCs w:val="0"/>
          <w:sz w:val="24"/>
          <w:szCs w:val="24"/>
        </w:rPr>
        <w:t xml:space="preserve"> (Ahmed et al., 2019).</w:t>
      </w:r>
    </w:p>
    <w:p w14:paraId="62E9B87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often exhibit significant changes in </w:t>
      </w:r>
      <w:r>
        <w:rPr>
          <w:rStyle w:val="92"/>
          <w:rFonts w:hint="default" w:ascii="Times New Roman" w:hAnsi="Times New Roman" w:cs="Times New Roman"/>
          <w:b w:val="0"/>
          <w:bCs w:val="0"/>
          <w:sz w:val="24"/>
          <w:szCs w:val="24"/>
        </w:rPr>
        <w:t>engineering properties with variations in water content</w:t>
      </w:r>
      <w:r>
        <w:rPr>
          <w:rFonts w:hint="default" w:ascii="Times New Roman" w:hAnsi="Times New Roman" w:cs="Times New Roman"/>
          <w:b w:val="0"/>
          <w:bCs w:val="0"/>
          <w:sz w:val="24"/>
          <w:szCs w:val="24"/>
        </w:rPr>
        <w:t xml:space="preserve">, especially in regions experiencing alternating wet and dry seasons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Understanding natural moisture levels helps predict </w:t>
      </w:r>
      <w:r>
        <w:rPr>
          <w:rStyle w:val="92"/>
          <w:rFonts w:hint="default" w:ascii="Times New Roman" w:hAnsi="Times New Roman" w:cs="Times New Roman"/>
          <w:b w:val="0"/>
          <w:bCs w:val="0"/>
          <w:sz w:val="24"/>
          <w:szCs w:val="24"/>
        </w:rPr>
        <w:t>field performance</w:t>
      </w:r>
      <w:r>
        <w:rPr>
          <w:rFonts w:hint="default" w:ascii="Times New Roman" w:hAnsi="Times New Roman" w:cs="Times New Roman"/>
          <w:b w:val="0"/>
          <w:bCs w:val="0"/>
          <w:sz w:val="24"/>
          <w:szCs w:val="24"/>
        </w:rPr>
        <w:t>, particularly for pavement layers where excess water can lead to structural failures (Osinubi et al., 2020).</w:t>
      </w:r>
    </w:p>
    <w:p w14:paraId="6CCF0B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9EEBA6">
      <w:pPr>
        <w:rPr>
          <w:rStyle w:val="92"/>
          <w:rFonts w:hint="default" w:ascii="Times New Roman" w:hAnsi="Times New Roman" w:cs="Times New Roman"/>
          <w:b/>
          <w:bCs/>
          <w:sz w:val="24"/>
          <w:szCs w:val="24"/>
        </w:rPr>
      </w:pPr>
    </w:p>
    <w:p w14:paraId="2757E03F">
      <w:pPr>
        <w:rPr>
          <w:rStyle w:val="92"/>
          <w:rFonts w:hint="default" w:ascii="Times New Roman" w:hAnsi="Times New Roman" w:cs="Times New Roman"/>
          <w:b/>
          <w:bCs/>
          <w:sz w:val="24"/>
          <w:szCs w:val="24"/>
        </w:rPr>
      </w:pPr>
    </w:p>
    <w:p w14:paraId="4235D6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8</w:t>
      </w:r>
      <w:r>
        <w:rPr>
          <w:rStyle w:val="92"/>
          <w:rFonts w:hint="default" w:ascii="Times New Roman" w:hAnsi="Times New Roman" w:cs="Times New Roman"/>
          <w:b/>
          <w:bCs/>
          <w:sz w:val="24"/>
          <w:szCs w:val="24"/>
        </w:rPr>
        <w:t xml:space="preserve"> Specific Gravity Test</w:t>
      </w:r>
    </w:p>
    <w:p w14:paraId="67D8F45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tests were conducted using a </w:t>
      </w:r>
      <w:r>
        <w:rPr>
          <w:rStyle w:val="92"/>
          <w:rFonts w:hint="default" w:ascii="Times New Roman" w:hAnsi="Times New Roman" w:cs="Times New Roman"/>
          <w:b w:val="0"/>
          <w:bCs w:val="0"/>
          <w:sz w:val="24"/>
          <w:szCs w:val="24"/>
        </w:rPr>
        <w:t>pycnometer</w:t>
      </w:r>
      <w:r>
        <w:rPr>
          <w:rFonts w:hint="default" w:ascii="Times New Roman" w:hAnsi="Times New Roman" w:cs="Times New Roman"/>
          <w:b w:val="0"/>
          <w:bCs w:val="0"/>
          <w:sz w:val="24"/>
          <w:szCs w:val="24"/>
        </w:rPr>
        <w:t xml:space="preserve">, following the procedures outlined in </w:t>
      </w:r>
      <w:r>
        <w:rPr>
          <w:rStyle w:val="92"/>
          <w:rFonts w:hint="default" w:ascii="Times New Roman" w:hAnsi="Times New Roman" w:cs="Times New Roman"/>
          <w:b w:val="0"/>
          <w:bCs w:val="0"/>
          <w:sz w:val="24"/>
          <w:szCs w:val="24"/>
        </w:rPr>
        <w:t>ASTM D854 (2018)</w:t>
      </w:r>
      <w:r>
        <w:rPr>
          <w:rFonts w:hint="default" w:ascii="Times New Roman" w:hAnsi="Times New Roman" w:cs="Times New Roman"/>
          <w:b w:val="0"/>
          <w:bCs w:val="0"/>
          <w:sz w:val="24"/>
          <w:szCs w:val="24"/>
        </w:rPr>
        <w:t>. This test determines the ratio of the weight of soil solids to the weight of an equal volume of water (Ahmed et al., 2019).</w:t>
      </w:r>
    </w:p>
    <w:p w14:paraId="3EA11B4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is a useful parameter in identifying </w:t>
      </w:r>
      <w:r>
        <w:rPr>
          <w:rStyle w:val="92"/>
          <w:rFonts w:hint="default" w:ascii="Times New Roman" w:hAnsi="Times New Roman" w:cs="Times New Roman"/>
          <w:b w:val="0"/>
          <w:bCs w:val="0"/>
          <w:sz w:val="24"/>
          <w:szCs w:val="24"/>
        </w:rPr>
        <w:t>soil mineral composition</w:t>
      </w:r>
      <w:r>
        <w:rPr>
          <w:rFonts w:hint="default" w:ascii="Times New Roman" w:hAnsi="Times New Roman" w:cs="Times New Roman"/>
          <w:b w:val="0"/>
          <w:bCs w:val="0"/>
          <w:sz w:val="24"/>
          <w:szCs w:val="24"/>
        </w:rPr>
        <w:t xml:space="preserve"> and is vital for calculating other properties, such as </w:t>
      </w:r>
      <w:r>
        <w:rPr>
          <w:rStyle w:val="92"/>
          <w:rFonts w:hint="default" w:ascii="Times New Roman" w:hAnsi="Times New Roman" w:cs="Times New Roman"/>
          <w:b w:val="0"/>
          <w:bCs w:val="0"/>
          <w:sz w:val="24"/>
          <w:szCs w:val="24"/>
        </w:rPr>
        <w:t>void ratio, degree of saturation, and unit weight</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have specific gravity values ranging from </w:t>
      </w:r>
      <w:r>
        <w:rPr>
          <w:rStyle w:val="92"/>
          <w:rFonts w:hint="default" w:ascii="Times New Roman" w:hAnsi="Times New Roman" w:cs="Times New Roman"/>
          <w:b w:val="0"/>
          <w:bCs w:val="0"/>
          <w:sz w:val="24"/>
          <w:szCs w:val="24"/>
        </w:rPr>
        <w:t>2.5 to 2.8</w:t>
      </w:r>
      <w:r>
        <w:rPr>
          <w:rFonts w:hint="default" w:ascii="Times New Roman" w:hAnsi="Times New Roman" w:cs="Times New Roman"/>
          <w:b w:val="0"/>
          <w:bCs w:val="0"/>
          <w:sz w:val="24"/>
          <w:szCs w:val="24"/>
        </w:rPr>
        <w:t xml:space="preserve">, which is influenced by the </w:t>
      </w:r>
      <w:r>
        <w:rPr>
          <w:rStyle w:val="92"/>
          <w:rFonts w:hint="default" w:ascii="Times New Roman" w:hAnsi="Times New Roman" w:cs="Times New Roman"/>
          <w:b w:val="0"/>
          <w:bCs w:val="0"/>
          <w:sz w:val="24"/>
          <w:szCs w:val="24"/>
        </w:rPr>
        <w:t>amount of iron oxides, clay minerals, and organic matter</w:t>
      </w:r>
      <w:r>
        <w:rPr>
          <w:rFonts w:hint="default" w:ascii="Times New Roman" w:hAnsi="Times New Roman" w:cs="Times New Roman"/>
          <w:b w:val="0"/>
          <w:bCs w:val="0"/>
          <w:sz w:val="24"/>
          <w:szCs w:val="24"/>
        </w:rPr>
        <w:t xml:space="preserve"> present (Umar et al., 2023).</w:t>
      </w:r>
    </w:p>
    <w:p w14:paraId="482DE8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9</w:t>
      </w:r>
      <w:r>
        <w:rPr>
          <w:rStyle w:val="92"/>
          <w:rFonts w:hint="default" w:ascii="Times New Roman" w:hAnsi="Times New Roman" w:cs="Times New Roman"/>
          <w:b/>
          <w:bCs/>
          <w:sz w:val="24"/>
          <w:szCs w:val="24"/>
        </w:rPr>
        <w:t xml:space="preserve"> Bulk Density Test</w:t>
      </w:r>
    </w:p>
    <w:p w14:paraId="4865D95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Bulk density was measured by determining the </w:t>
      </w:r>
      <w:r>
        <w:rPr>
          <w:rStyle w:val="92"/>
          <w:rFonts w:hint="default" w:ascii="Times New Roman" w:hAnsi="Times New Roman" w:cs="Times New Roman"/>
          <w:b w:val="0"/>
          <w:bCs w:val="0"/>
          <w:sz w:val="24"/>
          <w:szCs w:val="24"/>
        </w:rPr>
        <w:t>mass of soil per unit volume</w:t>
      </w:r>
      <w:r>
        <w:rPr>
          <w:rFonts w:hint="default" w:ascii="Times New Roman" w:hAnsi="Times New Roman" w:cs="Times New Roman"/>
          <w:b w:val="0"/>
          <w:bCs w:val="0"/>
          <w:sz w:val="24"/>
          <w:szCs w:val="24"/>
        </w:rPr>
        <w:t xml:space="preserve">, including pore spaces, using the core cutter method (Okeke et al., 2021). This parameter is important for understanding </w:t>
      </w:r>
      <w:r>
        <w:rPr>
          <w:rStyle w:val="92"/>
          <w:rFonts w:hint="default" w:ascii="Times New Roman" w:hAnsi="Times New Roman" w:cs="Times New Roman"/>
          <w:b w:val="0"/>
          <w:bCs w:val="0"/>
          <w:sz w:val="24"/>
          <w:szCs w:val="24"/>
        </w:rPr>
        <w:t>soil compaction characteristics, porosity, and load-bearing capacity</w:t>
      </w:r>
      <w:r>
        <w:rPr>
          <w:rFonts w:hint="default" w:ascii="Times New Roman" w:hAnsi="Times New Roman" w:cs="Times New Roman"/>
          <w:b w:val="0"/>
          <w:bCs w:val="0"/>
          <w:sz w:val="24"/>
          <w:szCs w:val="24"/>
        </w:rPr>
        <w:t xml:space="preserve"> (Ahmed et al., 2019).</w:t>
      </w:r>
    </w:p>
    <w:p w14:paraId="64FA406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Higher bulk densities indicate </w:t>
      </w:r>
      <w:r>
        <w:rPr>
          <w:rStyle w:val="92"/>
          <w:rFonts w:hint="default" w:ascii="Times New Roman" w:hAnsi="Times New Roman" w:cs="Times New Roman"/>
          <w:b w:val="0"/>
          <w:bCs w:val="0"/>
          <w:sz w:val="24"/>
          <w:szCs w:val="24"/>
        </w:rPr>
        <w:t>well-compacted soils with lower void ratios</w:t>
      </w:r>
      <w:r>
        <w:rPr>
          <w:rFonts w:hint="default" w:ascii="Times New Roman" w:hAnsi="Times New Roman" w:cs="Times New Roman"/>
          <w:b w:val="0"/>
          <w:bCs w:val="0"/>
          <w:sz w:val="24"/>
          <w:szCs w:val="24"/>
        </w:rPr>
        <w:t xml:space="preserve">, which generally exhibit improved stability and strength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construction, achieving a desirable bulk density is crucial to ensure that lateritic soils provide adequate support for overlying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A4F3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542E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5251D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46BC4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0ACBF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6A72CD1B">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Style w:val="92"/>
          <w:rFonts w:hint="default" w:ascii="Times New Roman" w:hAnsi="Times New Roman" w:cs="Times New Roman"/>
          <w:b w:val="0"/>
          <w:bCs w:val="0"/>
          <w:color w:val="0D0D0D"/>
          <w:sz w:val="24"/>
          <w:szCs w:val="24"/>
        </w:rPr>
      </w:pPr>
    </w:p>
    <w:p w14:paraId="3B789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FOUR</w:t>
      </w:r>
    </w:p>
    <w:p w14:paraId="129EF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RESULTS AND DISCUSSION</w:t>
      </w:r>
    </w:p>
    <w:p w14:paraId="71472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Results and Discussion</w:t>
      </w:r>
    </w:p>
    <w:p w14:paraId="496DD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Results of Moisture Content Test</w:t>
      </w:r>
    </w:p>
    <w:p w14:paraId="556597B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moisture content test provided information on the natural water content of the soil samples at the time of collection. Results from the samples ranged from </w:t>
      </w:r>
      <w:r>
        <w:rPr>
          <w:rStyle w:val="92"/>
          <w:rFonts w:hint="default" w:ascii="Times New Roman" w:hAnsi="Times New Roman" w:cs="Times New Roman"/>
          <w:b w:val="0"/>
          <w:bCs w:val="0"/>
          <w:color w:val="0D0D0D"/>
          <w:sz w:val="24"/>
          <w:szCs w:val="24"/>
        </w:rPr>
        <w:t>7.5% to 14.2%</w:t>
      </w:r>
      <w:r>
        <w:rPr>
          <w:rFonts w:hint="default" w:ascii="Times New Roman" w:hAnsi="Times New Roman" w:cs="Times New Roman"/>
          <w:b w:val="0"/>
          <w:bCs w:val="0"/>
          <w:color w:val="0D0D0D"/>
          <w:sz w:val="24"/>
          <w:szCs w:val="24"/>
        </w:rPr>
        <w:t>, depending on location, depth, and exposure to recent rainfall. This variation is consistent with the typical moisture behavior of lateritic soils, which tend to retain moderate moisture due to their mineral composition and degree of weathering.</w:t>
      </w:r>
    </w:p>
    <w:p w14:paraId="6D28460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Moisture content plays a critical role in influencing the </w:t>
      </w:r>
      <w:r>
        <w:rPr>
          <w:rStyle w:val="92"/>
          <w:rFonts w:hint="default" w:ascii="Times New Roman" w:hAnsi="Times New Roman" w:cs="Times New Roman"/>
          <w:b w:val="0"/>
          <w:bCs w:val="0"/>
          <w:color w:val="0D0D0D"/>
          <w:sz w:val="24"/>
          <w:szCs w:val="24"/>
        </w:rPr>
        <w:t>plasticity</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strength</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compaction behavior</w:t>
      </w:r>
      <w:r>
        <w:rPr>
          <w:rFonts w:hint="default" w:ascii="Times New Roman" w:hAnsi="Times New Roman" w:cs="Times New Roman"/>
          <w:b w:val="0"/>
          <w:bCs w:val="0"/>
          <w:color w:val="0D0D0D"/>
          <w:sz w:val="24"/>
          <w:szCs w:val="24"/>
        </w:rPr>
        <w:t> of lateritic soils. Soils with higher natural moisture content are more susceptible to deformation and may require drying or stabilization prior to use in load-bearing applications. Conversely, soils with low moisture content may compact more efficiently but may also be prone to shrinkage when subjected to drying conditions.</w:t>
      </w:r>
    </w:p>
    <w:p w14:paraId="2533C4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this study, areas with </w:t>
      </w:r>
      <w:r>
        <w:rPr>
          <w:rStyle w:val="92"/>
          <w:rFonts w:hint="default" w:ascii="Times New Roman" w:hAnsi="Times New Roman" w:cs="Times New Roman"/>
          <w:b w:val="0"/>
          <w:bCs w:val="0"/>
          <w:color w:val="0D0D0D"/>
          <w:sz w:val="24"/>
          <w:szCs w:val="24"/>
        </w:rPr>
        <w:t>vegetative cover or poor drainage</w:t>
      </w:r>
      <w:r>
        <w:rPr>
          <w:rFonts w:hint="default" w:ascii="Times New Roman" w:hAnsi="Times New Roman" w:cs="Times New Roman"/>
          <w:b w:val="0"/>
          <w:bCs w:val="0"/>
          <w:color w:val="0D0D0D"/>
          <w:sz w:val="24"/>
          <w:szCs w:val="24"/>
        </w:rPr>
        <w:t> showed higher moisture contents, indicating the influence of surface conditions on soil hydrology. The test results also provided a baseline for determining the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in compaction tests, which was typically found to be slightly higher than the natural moisture levels, suggesting that minimal moisture adjustment would be necessary during field compaction.</w:t>
      </w:r>
    </w:p>
    <w:p w14:paraId="1F8B5C5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Comparing moisture content with other properties, it was observed that higher water content generally correlated with higher plastic limits and lower maximum dry densities. This relationship validates existing theories which suggest that as moisture increases beyond a certain threshold, the ability of soil particles to compact tightly reduces due to increased inter-particle water films.</w:t>
      </w:r>
    </w:p>
    <w:p w14:paraId="40D1BF2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underscore the importance of </w:t>
      </w:r>
      <w:r>
        <w:rPr>
          <w:rStyle w:val="92"/>
          <w:rFonts w:hint="default" w:ascii="Times New Roman" w:hAnsi="Times New Roman" w:cs="Times New Roman"/>
          <w:b w:val="0"/>
          <w:bCs w:val="0"/>
          <w:color w:val="0D0D0D"/>
          <w:sz w:val="24"/>
          <w:szCs w:val="24"/>
        </w:rPr>
        <w:t>moisture control during earthwork operations</w:t>
      </w:r>
      <w:r>
        <w:rPr>
          <w:rFonts w:hint="default" w:ascii="Times New Roman" w:hAnsi="Times New Roman" w:cs="Times New Roman"/>
          <w:b w:val="0"/>
          <w:bCs w:val="0"/>
          <w:color w:val="0D0D0D"/>
          <w:sz w:val="24"/>
          <w:szCs w:val="24"/>
        </w:rPr>
        <w:t>. Ensuring that soil is compacted near its OMC can significantly improve performance and longevity of engineered structures.</w:t>
      </w:r>
    </w:p>
    <w:p w14:paraId="3A84D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2</w:t>
      </w:r>
      <w:r>
        <w:rPr>
          <w:rStyle w:val="92"/>
          <w:rFonts w:hint="default" w:ascii="Times New Roman" w:hAnsi="Times New Roman" w:cs="Times New Roman"/>
          <w:b/>
          <w:bCs/>
          <w:color w:val="0D0D0D"/>
          <w:sz w:val="24"/>
          <w:szCs w:val="24"/>
        </w:rPr>
        <w:t xml:space="preserve"> Results of Atterberg Limit Test</w:t>
      </w:r>
    </w:p>
    <w:p w14:paraId="58469EF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Atterberg limit tests produced vital information about the consistency and plasticity of the lateritic soil samples. The </w:t>
      </w:r>
      <w:r>
        <w:rPr>
          <w:rStyle w:val="92"/>
          <w:rFonts w:hint="default" w:ascii="Times New Roman" w:hAnsi="Times New Roman" w:cs="Times New Roman"/>
          <w:b w:val="0"/>
          <w:bCs w:val="0"/>
          <w:color w:val="0D0D0D"/>
          <w:sz w:val="24"/>
          <w:szCs w:val="24"/>
        </w:rPr>
        <w:t>Liquid Limit (LL)</w:t>
      </w:r>
      <w:r>
        <w:rPr>
          <w:rFonts w:hint="default" w:ascii="Times New Roman" w:hAnsi="Times New Roman" w:cs="Times New Roman"/>
          <w:b w:val="0"/>
          <w:bCs w:val="0"/>
          <w:color w:val="0D0D0D"/>
          <w:sz w:val="24"/>
          <w:szCs w:val="24"/>
        </w:rPr>
        <w:t> ranged between </w:t>
      </w:r>
      <w:r>
        <w:rPr>
          <w:rStyle w:val="92"/>
          <w:rFonts w:hint="default" w:ascii="Times New Roman" w:hAnsi="Times New Roman" w:cs="Times New Roman"/>
          <w:b w:val="0"/>
          <w:bCs w:val="0"/>
          <w:color w:val="0D0D0D"/>
          <w:sz w:val="24"/>
          <w:szCs w:val="24"/>
        </w:rPr>
        <w:t>31% and 48%</w:t>
      </w:r>
      <w:r>
        <w:rPr>
          <w:rFonts w:hint="default" w:ascii="Times New Roman" w:hAnsi="Times New Roman" w:cs="Times New Roman"/>
          <w:b w:val="0"/>
          <w:bCs w:val="0"/>
          <w:color w:val="0D0D0D"/>
          <w:sz w:val="24"/>
          <w:szCs w:val="24"/>
        </w:rPr>
        <w:t>, the </w:t>
      </w:r>
      <w:r>
        <w:rPr>
          <w:rStyle w:val="92"/>
          <w:rFonts w:hint="default" w:ascii="Times New Roman" w:hAnsi="Times New Roman" w:cs="Times New Roman"/>
          <w:b w:val="0"/>
          <w:bCs w:val="0"/>
          <w:color w:val="0D0D0D"/>
          <w:sz w:val="24"/>
          <w:szCs w:val="24"/>
        </w:rPr>
        <w:t>Plastic Limit (PL)</w:t>
      </w:r>
      <w:r>
        <w:rPr>
          <w:rFonts w:hint="default" w:ascii="Times New Roman" w:hAnsi="Times New Roman" w:cs="Times New Roman"/>
          <w:b w:val="0"/>
          <w:bCs w:val="0"/>
          <w:color w:val="0D0D0D"/>
          <w:sz w:val="24"/>
          <w:szCs w:val="24"/>
        </w:rPr>
        <w:t> between </w:t>
      </w:r>
      <w:r>
        <w:rPr>
          <w:rStyle w:val="92"/>
          <w:rFonts w:hint="default" w:ascii="Times New Roman" w:hAnsi="Times New Roman" w:cs="Times New Roman"/>
          <w:b w:val="0"/>
          <w:bCs w:val="0"/>
          <w:color w:val="0D0D0D"/>
          <w:sz w:val="24"/>
          <w:szCs w:val="24"/>
        </w:rPr>
        <w:t>21% and 33%</w:t>
      </w:r>
      <w:r>
        <w:rPr>
          <w:rFonts w:hint="default" w:ascii="Times New Roman" w:hAnsi="Times New Roman" w:cs="Times New Roman"/>
          <w:b w:val="0"/>
          <w:bCs w:val="0"/>
          <w:color w:val="0D0D0D"/>
          <w:sz w:val="24"/>
          <w:szCs w:val="24"/>
        </w:rPr>
        <w:t>, while the </w:t>
      </w:r>
      <w:r>
        <w:rPr>
          <w:rStyle w:val="92"/>
          <w:rFonts w:hint="default" w:ascii="Times New Roman" w:hAnsi="Times New Roman" w:cs="Times New Roman"/>
          <w:b w:val="0"/>
          <w:bCs w:val="0"/>
          <w:color w:val="0D0D0D"/>
          <w:sz w:val="24"/>
          <w:szCs w:val="24"/>
        </w:rPr>
        <w:t>Plasticity Index (PI)</w:t>
      </w:r>
      <w:r>
        <w:rPr>
          <w:rFonts w:hint="default" w:ascii="Times New Roman" w:hAnsi="Times New Roman" w:cs="Times New Roman"/>
          <w:b w:val="0"/>
          <w:bCs w:val="0"/>
          <w:color w:val="0D0D0D"/>
          <w:sz w:val="24"/>
          <w:szCs w:val="24"/>
        </w:rPr>
        <w:t> values fell between </w:t>
      </w:r>
      <w:r>
        <w:rPr>
          <w:rStyle w:val="92"/>
          <w:rFonts w:hint="default" w:ascii="Times New Roman" w:hAnsi="Times New Roman" w:cs="Times New Roman"/>
          <w:b w:val="0"/>
          <w:bCs w:val="0"/>
          <w:color w:val="0D0D0D"/>
          <w:sz w:val="24"/>
          <w:szCs w:val="24"/>
        </w:rPr>
        <w:t>8% and 18%</w:t>
      </w:r>
      <w:r>
        <w:rPr>
          <w:rFonts w:hint="default" w:ascii="Times New Roman" w:hAnsi="Times New Roman" w:cs="Times New Roman"/>
          <w:b w:val="0"/>
          <w:bCs w:val="0"/>
          <w:color w:val="0D0D0D"/>
          <w:sz w:val="24"/>
          <w:szCs w:val="24"/>
        </w:rPr>
        <w:t>. These values classify the soils as having </w:t>
      </w:r>
      <w:r>
        <w:rPr>
          <w:rStyle w:val="92"/>
          <w:rFonts w:hint="default" w:ascii="Times New Roman" w:hAnsi="Times New Roman" w:cs="Times New Roman"/>
          <w:b w:val="0"/>
          <w:bCs w:val="0"/>
          <w:color w:val="0D0D0D"/>
          <w:sz w:val="24"/>
          <w:szCs w:val="24"/>
        </w:rPr>
        <w:t>low to intermediate plasticity</w:t>
      </w:r>
      <w:r>
        <w:rPr>
          <w:rFonts w:hint="default" w:ascii="Times New Roman" w:hAnsi="Times New Roman" w:cs="Times New Roman"/>
          <w:b w:val="0"/>
          <w:bCs w:val="0"/>
          <w:color w:val="0D0D0D"/>
          <w:sz w:val="24"/>
          <w:szCs w:val="24"/>
        </w:rPr>
        <w:t>, which is generally acceptable for subgrade and foundation applications.</w:t>
      </w:r>
    </w:p>
    <w:p w14:paraId="2B854C9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w:t>
      </w:r>
      <w:r>
        <w:rPr>
          <w:rStyle w:val="92"/>
          <w:rFonts w:hint="default" w:ascii="Times New Roman" w:hAnsi="Times New Roman" w:cs="Times New Roman"/>
          <w:b w:val="0"/>
          <w:bCs w:val="0"/>
          <w:color w:val="0D0D0D"/>
          <w:sz w:val="24"/>
          <w:szCs w:val="24"/>
        </w:rPr>
        <w:t>PI</w:t>
      </w:r>
      <w:r>
        <w:rPr>
          <w:rFonts w:hint="default" w:ascii="Times New Roman" w:hAnsi="Times New Roman" w:cs="Times New Roman"/>
          <w:b w:val="0"/>
          <w:bCs w:val="0"/>
          <w:color w:val="0D0D0D"/>
          <w:sz w:val="24"/>
          <w:szCs w:val="24"/>
        </w:rPr>
        <w:t> is a key indicator of the soil's potential to expand or shrink with moisture fluctuations. In this study, the relatively low PI values suggest that the soils are not excessively expansive, making them suitable for construction projects that require long-term stability. According to the Unified Soil Classification System (USCS), such soils can be classified as CL (inorganic clays of low to medium plasticity) or ML (inorganic silts), depending on their silt-clay ratios and grain size distribution.</w:t>
      </w:r>
    </w:p>
    <w:p w14:paraId="16C90C9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One of the objectives of this study was to examine how the plasticity characteristics influence the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particularly compaction. The results showed a </w:t>
      </w:r>
      <w:r>
        <w:rPr>
          <w:rStyle w:val="92"/>
          <w:rFonts w:hint="default" w:ascii="Times New Roman" w:hAnsi="Times New Roman" w:cs="Times New Roman"/>
          <w:b w:val="0"/>
          <w:bCs w:val="0"/>
          <w:color w:val="0D0D0D"/>
          <w:sz w:val="24"/>
          <w:szCs w:val="24"/>
        </w:rPr>
        <w:t>negative correlation between PI and Maximum Dry Density (MDD)</w:t>
      </w:r>
      <w:r>
        <w:rPr>
          <w:rStyle w:val="92"/>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that is, soils with higher plasticity indices tended to have lower MDD. This is consistent with the behavior of cohesive soils, which resist densification due to inter-particle cohesion and reduced particle rearrangement during compaction.</w:t>
      </w:r>
    </w:p>
    <w:p w14:paraId="2257BC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Furthermore, high LL values often corresponded with higher OMC values, meaning that wetter conditions were required to achieve optimal compaction. These relationships are crucial in practical engineering, as they can inform compaction specifications, moisture control strategies, and the need for stabilization in highly plastic soils.</w:t>
      </w:r>
    </w:p>
    <w:p w14:paraId="2D8492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Overall, the Atterberg limits of the lateritic soils from Kwara State Polytechnic Campus indicate moderate plasticity and manageable moisture sensitivity, making them favorable for a range of civil engineering applications.</w:t>
      </w:r>
    </w:p>
    <w:p w14:paraId="1BF55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Results of Compaction Test</w:t>
      </w:r>
    </w:p>
    <w:p w14:paraId="5B9077A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compaction tests revealed the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for each soil sample using the Standard Proctor Method. MDD values ranged from </w:t>
      </w:r>
      <w:r>
        <w:rPr>
          <w:rStyle w:val="92"/>
          <w:rFonts w:hint="default" w:ascii="Times New Roman" w:hAnsi="Times New Roman" w:cs="Times New Roman"/>
          <w:b w:val="0"/>
          <w:bCs w:val="0"/>
          <w:color w:val="0D0D0D"/>
          <w:sz w:val="24"/>
          <w:szCs w:val="24"/>
        </w:rPr>
        <w:t>1.69 g/cm³ to 1.94 g/cm³</w:t>
      </w:r>
      <w:r>
        <w:rPr>
          <w:rFonts w:hint="default" w:ascii="Times New Roman" w:hAnsi="Times New Roman" w:cs="Times New Roman"/>
          <w:b w:val="0"/>
          <w:bCs w:val="0"/>
          <w:color w:val="0D0D0D"/>
          <w:sz w:val="24"/>
          <w:szCs w:val="24"/>
        </w:rPr>
        <w:t>, while OMC values ranged between </w:t>
      </w:r>
      <w:r>
        <w:rPr>
          <w:rStyle w:val="92"/>
          <w:rFonts w:hint="default" w:ascii="Times New Roman" w:hAnsi="Times New Roman" w:cs="Times New Roman"/>
          <w:b w:val="0"/>
          <w:bCs w:val="0"/>
          <w:color w:val="0D0D0D"/>
          <w:sz w:val="24"/>
          <w:szCs w:val="24"/>
        </w:rPr>
        <w:t>12.5% and 18.3%</w:t>
      </w:r>
      <w:r>
        <w:rPr>
          <w:rFonts w:hint="default" w:ascii="Times New Roman" w:hAnsi="Times New Roman" w:cs="Times New Roman"/>
          <w:b w:val="0"/>
          <w:bCs w:val="0"/>
          <w:color w:val="0D0D0D"/>
          <w:sz w:val="24"/>
          <w:szCs w:val="24"/>
        </w:rPr>
        <w:t>. These results fall within the expected range for lateritic soils and demonstrate moderate compaction characteristics.</w:t>
      </w:r>
    </w:p>
    <w:p w14:paraId="0B2804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MDD indicates the </w:t>
      </w:r>
      <w:r>
        <w:rPr>
          <w:rStyle w:val="92"/>
          <w:rFonts w:hint="default" w:ascii="Times New Roman" w:hAnsi="Times New Roman" w:cs="Times New Roman"/>
          <w:b w:val="0"/>
          <w:bCs w:val="0"/>
          <w:color w:val="0D0D0D"/>
          <w:sz w:val="24"/>
          <w:szCs w:val="24"/>
        </w:rPr>
        <w:t>load-bearing potential</w:t>
      </w:r>
      <w:r>
        <w:rPr>
          <w:rFonts w:hint="default" w:ascii="Times New Roman" w:hAnsi="Times New Roman" w:cs="Times New Roman"/>
          <w:b w:val="0"/>
          <w:bCs w:val="0"/>
          <w:color w:val="0D0D0D"/>
          <w:sz w:val="24"/>
          <w:szCs w:val="24"/>
        </w:rPr>
        <w:t> of the soil when compacted under standard energy. Higher MDD values were recorded in samples with well-graded particle distributions and lower plasticity indices. These soils exhibited greater particle interlocking and compaction efficiency. Conversely, samples with higher fines content and plasticity exhibited lower MDD due to increased resistance to densification.</w:t>
      </w:r>
    </w:p>
    <w:p w14:paraId="169F4F9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OMC reflects the moisture content at which peak dry density is achieved. Soils with higher OMC required more water to reach compaction, which is typical for cohesive soils that require water to lubricate particle movement. These values are vital for field compaction practices, as operating near the OMC ensures optimal soil strength and reduces post-construction settlement.</w:t>
      </w:r>
    </w:p>
    <w:p w14:paraId="3D08AF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results demonstrated a </w:t>
      </w:r>
      <w:r>
        <w:rPr>
          <w:rStyle w:val="92"/>
          <w:rFonts w:hint="default" w:ascii="Times New Roman" w:hAnsi="Times New Roman" w:cs="Times New Roman"/>
          <w:b w:val="0"/>
          <w:bCs w:val="0"/>
          <w:color w:val="0D0D0D"/>
          <w:sz w:val="24"/>
          <w:szCs w:val="24"/>
        </w:rPr>
        <w:t>clear inverse relationship between PI and MDD</w:t>
      </w:r>
      <w:r>
        <w:rPr>
          <w:rFonts w:hint="default" w:ascii="Times New Roman" w:hAnsi="Times New Roman" w:cs="Times New Roman"/>
          <w:b w:val="0"/>
          <w:bCs w:val="0"/>
          <w:color w:val="0D0D0D"/>
          <w:sz w:val="24"/>
          <w:szCs w:val="24"/>
        </w:rPr>
        <w:t>, and a </w:t>
      </w:r>
      <w:r>
        <w:rPr>
          <w:rStyle w:val="92"/>
          <w:rFonts w:hint="default" w:ascii="Times New Roman" w:hAnsi="Times New Roman" w:cs="Times New Roman"/>
          <w:b w:val="0"/>
          <w:bCs w:val="0"/>
          <w:color w:val="0D0D0D"/>
          <w:sz w:val="24"/>
          <w:szCs w:val="24"/>
        </w:rPr>
        <w:t>direct relationship between LL and OMC</w:t>
      </w:r>
      <w:r>
        <w:rPr>
          <w:rFonts w:hint="default" w:ascii="Times New Roman" w:hAnsi="Times New Roman" w:cs="Times New Roman"/>
          <w:b w:val="0"/>
          <w:bCs w:val="0"/>
          <w:color w:val="0D0D0D"/>
          <w:sz w:val="24"/>
          <w:szCs w:val="24"/>
        </w:rPr>
        <w:t>. These findings support the idea that </w:t>
      </w:r>
      <w:r>
        <w:rPr>
          <w:rStyle w:val="92"/>
          <w:rFonts w:hint="default" w:ascii="Times New Roman" w:hAnsi="Times New Roman" w:cs="Times New Roman"/>
          <w:b w:val="0"/>
          <w:bCs w:val="0"/>
          <w:color w:val="0D0D0D"/>
          <w:sz w:val="24"/>
          <w:szCs w:val="24"/>
        </w:rPr>
        <w:t>index properties can be used to estimate compaction behavior</w:t>
      </w:r>
      <w:r>
        <w:rPr>
          <w:rFonts w:hint="default" w:ascii="Times New Roman" w:hAnsi="Times New Roman" w:cs="Times New Roman"/>
          <w:b w:val="0"/>
          <w:bCs w:val="0"/>
          <w:color w:val="0D0D0D"/>
          <w:sz w:val="24"/>
          <w:szCs w:val="24"/>
        </w:rPr>
        <w:t>, potentially eliminating the need for repeated compaction testing on similar soils.</w:t>
      </w:r>
    </w:p>
    <w:p w14:paraId="25E298D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practical terms, the compaction test results suggest that the lateritic soils from Kwara State Polytechnic Campus are suitable for use in subgrade and subbase construction when compacted at or near their OMC. However, soils with lower MDD and higher OMC may require stabilization to enhance performance under heavy loading.</w:t>
      </w:r>
    </w:p>
    <w:p w14:paraId="2E4D7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Results of Grain Size Analysis</w:t>
      </w:r>
    </w:p>
    <w:p w14:paraId="3423FE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results provided insights into the </w:t>
      </w:r>
      <w:r>
        <w:rPr>
          <w:rStyle w:val="92"/>
          <w:rFonts w:hint="default" w:ascii="Times New Roman" w:hAnsi="Times New Roman" w:cs="Times New Roman"/>
          <w:b w:val="0"/>
          <w:bCs w:val="0"/>
          <w:color w:val="0D0D0D"/>
          <w:sz w:val="24"/>
          <w:szCs w:val="24"/>
        </w:rPr>
        <w:t>textural classification and gradation</w:t>
      </w:r>
      <w:r>
        <w:rPr>
          <w:rFonts w:hint="default" w:ascii="Times New Roman" w:hAnsi="Times New Roman" w:cs="Times New Roman"/>
          <w:b w:val="0"/>
          <w:bCs w:val="0"/>
          <w:color w:val="0D0D0D"/>
          <w:sz w:val="24"/>
          <w:szCs w:val="24"/>
        </w:rPr>
        <w:t> of the soil samples. The analysis showed that most samples were </w:t>
      </w:r>
      <w:r>
        <w:rPr>
          <w:rStyle w:val="92"/>
          <w:rFonts w:hint="default" w:ascii="Times New Roman" w:hAnsi="Times New Roman" w:cs="Times New Roman"/>
          <w:b w:val="0"/>
          <w:bCs w:val="0"/>
          <w:color w:val="0D0D0D"/>
          <w:sz w:val="24"/>
          <w:szCs w:val="24"/>
        </w:rPr>
        <w:t>well-graded sandy-clay lateritic soils</w:t>
      </w:r>
      <w:r>
        <w:rPr>
          <w:rFonts w:hint="default" w:ascii="Times New Roman" w:hAnsi="Times New Roman" w:cs="Times New Roman"/>
          <w:b w:val="0"/>
          <w:bCs w:val="0"/>
          <w:color w:val="0D0D0D"/>
          <w:sz w:val="24"/>
          <w:szCs w:val="24"/>
        </w:rPr>
        <w:t>, with particle size ranges spanning from gravel-sized particles (over 4.75 mm) to fines (below 0.075 mm). On average, </w:t>
      </w:r>
      <w:r>
        <w:rPr>
          <w:rStyle w:val="92"/>
          <w:rFonts w:hint="default" w:ascii="Times New Roman" w:hAnsi="Times New Roman" w:cs="Times New Roman"/>
          <w:b w:val="0"/>
          <w:bCs w:val="0"/>
          <w:color w:val="0D0D0D"/>
          <w:sz w:val="24"/>
          <w:szCs w:val="24"/>
        </w:rPr>
        <w:t>sand-sized particles made up 40–60%</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silt 10–20%</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clay 15–30%</w:t>
      </w:r>
      <w:r>
        <w:rPr>
          <w:rFonts w:hint="default" w:ascii="Times New Roman" w:hAnsi="Times New Roman" w:cs="Times New Roman"/>
          <w:b w:val="0"/>
          <w:bCs w:val="0"/>
          <w:color w:val="0D0D0D"/>
          <w:sz w:val="24"/>
          <w:szCs w:val="24"/>
        </w:rPr>
        <w:t> of the total soil mass, depending on location.</w:t>
      </w:r>
    </w:p>
    <w:p w14:paraId="14E85A6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gradation curves plotted for each sample indicated the degree of uniformity and classification according to the </w:t>
      </w:r>
      <w:r>
        <w:rPr>
          <w:rStyle w:val="92"/>
          <w:rFonts w:hint="default" w:ascii="Times New Roman" w:hAnsi="Times New Roman" w:cs="Times New Roman"/>
          <w:b w:val="0"/>
          <w:bCs w:val="0"/>
          <w:color w:val="0D0D0D"/>
          <w:sz w:val="24"/>
          <w:szCs w:val="24"/>
        </w:rPr>
        <w:t>Unified Soil Classification System (USCS)</w:t>
      </w:r>
      <w:r>
        <w:rPr>
          <w:rFonts w:hint="default" w:ascii="Times New Roman" w:hAnsi="Times New Roman" w:cs="Times New Roman"/>
          <w:b w:val="0"/>
          <w:bCs w:val="0"/>
          <w:color w:val="0D0D0D"/>
          <w:sz w:val="24"/>
          <w:szCs w:val="24"/>
        </w:rPr>
        <w:t>. Soils were mostly classified as </w:t>
      </w:r>
      <w:r>
        <w:rPr>
          <w:rStyle w:val="92"/>
          <w:rFonts w:hint="default" w:ascii="Times New Roman" w:hAnsi="Times New Roman" w:cs="Times New Roman"/>
          <w:b w:val="0"/>
          <w:bCs w:val="0"/>
          <w:color w:val="0D0D0D"/>
          <w:sz w:val="24"/>
          <w:szCs w:val="24"/>
        </w:rPr>
        <w:t>SC (clayey sand)</w:t>
      </w:r>
      <w:r>
        <w:rPr>
          <w:rFonts w:hint="default" w:ascii="Times New Roman" w:hAnsi="Times New Roman" w:cs="Times New Roman"/>
          <w:b w:val="0"/>
          <w:bCs w:val="0"/>
          <w:color w:val="0D0D0D"/>
          <w:sz w:val="24"/>
          <w:szCs w:val="24"/>
        </w:rPr>
        <w:t> or </w:t>
      </w:r>
      <w:r>
        <w:rPr>
          <w:rStyle w:val="92"/>
          <w:rFonts w:hint="default" w:ascii="Times New Roman" w:hAnsi="Times New Roman" w:cs="Times New Roman"/>
          <w:b w:val="0"/>
          <w:bCs w:val="0"/>
          <w:color w:val="0D0D0D"/>
          <w:sz w:val="24"/>
          <w:szCs w:val="24"/>
        </w:rPr>
        <w:t>SM (silty sand)</w:t>
      </w:r>
      <w:r>
        <w:rPr>
          <w:rFonts w:hint="default" w:ascii="Times New Roman" w:hAnsi="Times New Roman" w:cs="Times New Roman"/>
          <w:b w:val="0"/>
          <w:bCs w:val="0"/>
          <w:color w:val="0D0D0D"/>
          <w:sz w:val="24"/>
          <w:szCs w:val="24"/>
        </w:rPr>
        <w:t>, which are generally considered favorable for construction when compacted properly. A few samples showed gap-graded patterns, which may lead to issues with compaction and stability unless addressed during construction.</w:t>
      </w:r>
    </w:p>
    <w:p w14:paraId="42517A1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significantly influences engineering properties such as </w:t>
      </w:r>
      <w:r>
        <w:rPr>
          <w:rStyle w:val="92"/>
          <w:rFonts w:hint="default" w:ascii="Times New Roman" w:hAnsi="Times New Roman" w:cs="Times New Roman"/>
          <w:b w:val="0"/>
          <w:bCs w:val="0"/>
          <w:color w:val="0D0D0D"/>
          <w:sz w:val="24"/>
          <w:szCs w:val="24"/>
        </w:rPr>
        <w:t>compaction behavior, permeability, and shear strength</w:t>
      </w:r>
      <w:r>
        <w:rPr>
          <w:rFonts w:hint="default" w:ascii="Times New Roman" w:hAnsi="Times New Roman" w:cs="Times New Roman"/>
          <w:b w:val="0"/>
          <w:bCs w:val="0"/>
          <w:color w:val="0D0D0D"/>
          <w:sz w:val="24"/>
          <w:szCs w:val="24"/>
        </w:rPr>
        <w:t>. Well-graded soils tend to have better packing and higher maximum dry densities, as observed in this study. Poorly graded or uniformly graded soils, on the other hand, may compact less effectively and could be more permeable or susceptible to differential settlement.</w:t>
      </w:r>
    </w:p>
    <w:p w14:paraId="053EA4D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A comparison of grain size data with compaction results revealed that samples with higher </w:t>
      </w:r>
      <w:r>
        <w:rPr>
          <w:rStyle w:val="92"/>
          <w:rFonts w:hint="default" w:ascii="Times New Roman" w:hAnsi="Times New Roman" w:cs="Times New Roman"/>
          <w:b w:val="0"/>
          <w:bCs w:val="0"/>
          <w:color w:val="0D0D0D"/>
          <w:sz w:val="24"/>
          <w:szCs w:val="24"/>
        </w:rPr>
        <w:t>sand content and good gradation</w:t>
      </w:r>
      <w:r>
        <w:rPr>
          <w:rFonts w:hint="default" w:ascii="Times New Roman" w:hAnsi="Times New Roman" w:cs="Times New Roman"/>
          <w:b w:val="0"/>
          <w:bCs w:val="0"/>
          <w:color w:val="0D0D0D"/>
          <w:sz w:val="24"/>
          <w:szCs w:val="24"/>
        </w:rPr>
        <w:t> achieved higher MDD values. Conversely, soils with excessive fines (&gt;35%) showed lower dry densities and required higher OMC for optimal compaction.</w:t>
      </w:r>
    </w:p>
    <w:p w14:paraId="0BE29CC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These findings confirm the role of particle size distribution in determining soil performance and further support the correlation between index and engineering properties. Grain size analysis, being a relatively simple test, proves valuable for preliminary soil assessment and suitability evaluation.</w:t>
      </w:r>
    </w:p>
    <w:p w14:paraId="01AF5B2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4</w:t>
      </w:r>
      <w:r>
        <w:rPr>
          <w:rFonts w:hint="default" w:ascii="Times New Roman" w:hAnsi="Times New Roman" w:cs="Times New Roman"/>
          <w:sz w:val="24"/>
          <w:szCs w:val="24"/>
        </w:rPr>
        <w:t>.</w:t>
      </w:r>
      <w:r>
        <w:rPr>
          <w:rFonts w:hint="default" w:cs="Times New Roman"/>
          <w:sz w:val="24"/>
          <w:szCs w:val="24"/>
          <w:lang w:val="en-US"/>
        </w:rPr>
        <w:t>5</w:t>
      </w:r>
      <w:r>
        <w:rPr>
          <w:rFonts w:hint="default" w:ascii="Times New Roman" w:hAnsi="Times New Roman" w:cs="Times New Roman"/>
          <w:b/>
          <w:sz w:val="24"/>
          <w:szCs w:val="24"/>
        </w:rPr>
        <w:t xml:space="preserve"> Relationship between some Index properties of Laterite and selected Engineering Properties</w:t>
      </w:r>
    </w:p>
    <w:p w14:paraId="6E7F041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Due to limitation an laterite in the course of carrying out this project, only compaction parameters one considered in thus selection for the relationship between their. The specific gravity(SG),plastic limit(PL), and liquid limit(LL), were related to the compaction parameter(MDD) and optimum moistured content(OMC). From table 10 it can be observed that the coefficient the relationships. One quite high, range from 0.689 for OMC and PL to 0.998 for MDD and LL. This shows that a good relationship exist between the selected index properties and compact in parameters may be reasonable predicted from the resulting equation. </w:t>
      </w:r>
    </w:p>
    <w:p w14:paraId="4A385942">
      <w:pPr>
        <w:spacing w:line="360" w:lineRule="auto"/>
        <w:rPr>
          <w:rFonts w:hint="default" w:ascii="Times New Roman" w:hAnsi="Times New Roman" w:cs="Times New Roman"/>
          <w:b/>
          <w:sz w:val="24"/>
          <w:szCs w:val="24"/>
        </w:rPr>
      </w:pPr>
    </w:p>
    <w:p w14:paraId="4D36B3C0">
      <w:pPr>
        <w:spacing w:line="360" w:lineRule="auto"/>
        <w:rPr>
          <w:rFonts w:hint="default" w:ascii="Times New Roman" w:hAnsi="Times New Roman" w:cs="Times New Roman"/>
          <w:b/>
          <w:sz w:val="24"/>
          <w:szCs w:val="24"/>
        </w:rPr>
      </w:pPr>
    </w:p>
    <w:p w14:paraId="4A458D1A">
      <w:pPr>
        <w:spacing w:line="360" w:lineRule="auto"/>
        <w:rPr>
          <w:rFonts w:hint="default" w:ascii="Times New Roman" w:hAnsi="Times New Roman" w:cs="Times New Roman"/>
          <w:b/>
          <w:sz w:val="24"/>
          <w:szCs w:val="24"/>
        </w:rPr>
      </w:pPr>
    </w:p>
    <w:p w14:paraId="3837C04F">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TABLE 10: DERIVED EQUATIONS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965"/>
        <w:gridCol w:w="3038"/>
      </w:tblGrid>
      <w:tr w14:paraId="4E5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19D987">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S/N </w:t>
            </w:r>
          </w:p>
        </w:tc>
        <w:tc>
          <w:tcPr>
            <w:tcW w:w="3192" w:type="dxa"/>
          </w:tcPr>
          <w:p w14:paraId="55A37E9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EQUATIONS </w:t>
            </w:r>
          </w:p>
        </w:tc>
        <w:tc>
          <w:tcPr>
            <w:tcW w:w="3192" w:type="dxa"/>
          </w:tcPr>
          <w:p w14:paraId="580DAFD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COEFICIENT OF DETERMINATIO N</w:t>
            </w:r>
          </w:p>
        </w:tc>
      </w:tr>
      <w:tr w14:paraId="026D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923B53">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1</w:t>
            </w:r>
          </w:p>
        </w:tc>
        <w:tc>
          <w:tcPr>
            <w:tcW w:w="3192" w:type="dxa"/>
          </w:tcPr>
          <w:p w14:paraId="37765F2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MDD=0.309X SG-0.334</w:t>
            </w:r>
          </w:p>
        </w:tc>
        <w:tc>
          <w:tcPr>
            <w:tcW w:w="3192" w:type="dxa"/>
          </w:tcPr>
          <w:p w14:paraId="733963E5">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0.836</w:t>
            </w:r>
          </w:p>
        </w:tc>
      </w:tr>
      <w:tr w14:paraId="5B58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17F0F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2</w:t>
            </w:r>
          </w:p>
        </w:tc>
        <w:tc>
          <w:tcPr>
            <w:tcW w:w="3192" w:type="dxa"/>
          </w:tcPr>
          <w:p w14:paraId="5E575B4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MDD=-0.576X PL+10.54</w:t>
            </w:r>
          </w:p>
        </w:tc>
        <w:tc>
          <w:tcPr>
            <w:tcW w:w="3192" w:type="dxa"/>
          </w:tcPr>
          <w:p w14:paraId="4D7123C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0.965</w:t>
            </w:r>
          </w:p>
        </w:tc>
      </w:tr>
      <w:tr w14:paraId="7A9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49F144">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3</w:t>
            </w:r>
          </w:p>
        </w:tc>
        <w:tc>
          <w:tcPr>
            <w:tcW w:w="3192" w:type="dxa"/>
          </w:tcPr>
          <w:p w14:paraId="0CE31EE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 -0.022XLL + 2.497</w:t>
            </w:r>
          </w:p>
        </w:tc>
        <w:tc>
          <w:tcPr>
            <w:tcW w:w="3192" w:type="dxa"/>
          </w:tcPr>
          <w:p w14:paraId="405C2A0E">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0.998</w:t>
            </w:r>
          </w:p>
        </w:tc>
      </w:tr>
      <w:tr w14:paraId="7173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AE365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4</w:t>
            </w:r>
          </w:p>
        </w:tc>
        <w:tc>
          <w:tcPr>
            <w:tcW w:w="3192" w:type="dxa"/>
          </w:tcPr>
          <w:p w14:paraId="07DE05C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OMC= -13.09 X SG +43.04 </w:t>
            </w:r>
          </w:p>
        </w:tc>
        <w:tc>
          <w:tcPr>
            <w:tcW w:w="3192" w:type="dxa"/>
          </w:tcPr>
          <w:p w14:paraId="74E8E68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0.997</w:t>
            </w:r>
          </w:p>
        </w:tc>
      </w:tr>
      <w:tr w14:paraId="73AB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F85ED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5</w:t>
            </w:r>
          </w:p>
        </w:tc>
        <w:tc>
          <w:tcPr>
            <w:tcW w:w="3192" w:type="dxa"/>
          </w:tcPr>
          <w:p w14:paraId="6A4FC52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 0.45X PL-0.177</w:t>
            </w:r>
          </w:p>
        </w:tc>
        <w:tc>
          <w:tcPr>
            <w:tcW w:w="3192" w:type="dxa"/>
          </w:tcPr>
          <w:p w14:paraId="7D1DD5B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0.689</w:t>
            </w:r>
          </w:p>
        </w:tc>
      </w:tr>
      <w:tr w14:paraId="131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FB5B0B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6</w:t>
            </w:r>
          </w:p>
        </w:tc>
        <w:tc>
          <w:tcPr>
            <w:tcW w:w="3192" w:type="dxa"/>
          </w:tcPr>
          <w:p w14:paraId="24FCA7D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OMC=0.302 XLL -1.215</w:t>
            </w:r>
          </w:p>
        </w:tc>
        <w:tc>
          <w:tcPr>
            <w:tcW w:w="3192" w:type="dxa"/>
          </w:tcPr>
          <w:p w14:paraId="3E1FEA81">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0.848</w:t>
            </w:r>
          </w:p>
        </w:tc>
      </w:tr>
    </w:tbl>
    <w:p w14:paraId="7DC6A0C9">
      <w:pPr>
        <w:spacing w:line="360" w:lineRule="auto"/>
        <w:rPr>
          <w:rFonts w:hint="default" w:ascii="Times New Roman" w:hAnsi="Times New Roman" w:cs="Times New Roman"/>
          <w:b/>
          <w:sz w:val="24"/>
          <w:szCs w:val="24"/>
        </w:rPr>
      </w:pPr>
    </w:p>
    <w:p w14:paraId="3DBF701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A1DC0F">
      <w:pPr>
        <w:spacing w:line="360" w:lineRule="auto"/>
        <w:rPr>
          <w:rFonts w:hint="default" w:ascii="Times New Roman" w:hAnsi="Times New Roman" w:cs="Times New Roman"/>
          <w:sz w:val="24"/>
          <w:szCs w:val="24"/>
        </w:rPr>
      </w:pPr>
    </w:p>
    <w:p w14:paraId="145D8D5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1</w:t>
      </w:r>
      <w:r>
        <w:rPr>
          <w:rFonts w:hint="default" w:ascii="Times New Roman" w:hAnsi="Times New Roman" w:cs="Times New Roman"/>
          <w:sz w:val="24"/>
          <w:szCs w:val="24"/>
        </w:rPr>
        <w:t>: Relationship Between Maximum Dry Density (MDD) and  Specific Gravity (SG)</w:t>
      </w:r>
    </w:p>
    <w:p w14:paraId="19AE8B69">
      <w:pPr>
        <w:spacing w:line="360" w:lineRule="auto"/>
        <w:rPr>
          <w:rFonts w:hint="default" w:ascii="Times New Roman" w:hAnsi="Times New Roman" w:cs="Times New Roman"/>
          <w:sz w:val="24"/>
          <w:szCs w:val="24"/>
        </w:rPr>
      </w:pPr>
    </w:p>
    <w:p w14:paraId="183BE9E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93590" cy="2743200"/>
            <wp:effectExtent l="4445" t="5080" r="1206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7AED3A">
      <w:pPr>
        <w:spacing w:line="360" w:lineRule="auto"/>
        <w:rPr>
          <w:rFonts w:hint="default" w:ascii="Times New Roman" w:hAnsi="Times New Roman" w:cs="Times New Roman"/>
          <w:sz w:val="24"/>
          <w:szCs w:val="24"/>
        </w:rPr>
      </w:pPr>
    </w:p>
    <w:p w14:paraId="04AF039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2</w:t>
      </w:r>
      <w:r>
        <w:rPr>
          <w:rFonts w:hint="default" w:ascii="Times New Roman" w:hAnsi="Times New Roman" w:cs="Times New Roman"/>
          <w:sz w:val="24"/>
          <w:szCs w:val="24"/>
        </w:rPr>
        <w:t>: Relationship Between Maximum Dry Density (MDD) and  Plastic Limit (PL)</w:t>
      </w:r>
    </w:p>
    <w:p w14:paraId="2B70249A">
      <w:pPr>
        <w:spacing w:line="360" w:lineRule="auto"/>
        <w:rPr>
          <w:rFonts w:hint="default" w:ascii="Times New Roman" w:hAnsi="Times New Roman" w:cs="Times New Roman"/>
          <w:sz w:val="24"/>
          <w:szCs w:val="24"/>
        </w:rPr>
      </w:pPr>
    </w:p>
    <w:p w14:paraId="6B2B3A8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B3CD96">
      <w:pPr>
        <w:spacing w:line="360" w:lineRule="auto"/>
        <w:rPr>
          <w:rFonts w:hint="default" w:ascii="Times New Roman" w:hAnsi="Times New Roman" w:cs="Times New Roman"/>
          <w:sz w:val="24"/>
          <w:szCs w:val="24"/>
        </w:rPr>
      </w:pPr>
    </w:p>
    <w:p w14:paraId="2B426DF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3</w:t>
      </w:r>
      <w:r>
        <w:rPr>
          <w:rFonts w:hint="default" w:ascii="Times New Roman" w:hAnsi="Times New Roman" w:cs="Times New Roman"/>
          <w:sz w:val="24"/>
          <w:szCs w:val="24"/>
        </w:rPr>
        <w:t>: Relationship Between Maximum Dry Density (MDD) and  Liquid Limit (LL)</w:t>
      </w:r>
    </w:p>
    <w:p w14:paraId="184F37F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4FC6F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4</w:t>
      </w:r>
      <w:r>
        <w:rPr>
          <w:rFonts w:hint="default" w:ascii="Times New Roman" w:hAnsi="Times New Roman" w:cs="Times New Roman"/>
          <w:sz w:val="24"/>
          <w:szCs w:val="24"/>
        </w:rPr>
        <w:t>: Relationship Between Optimum Moisture Content (OMC) and Specific Gravity (SG)</w:t>
      </w:r>
    </w:p>
    <w:p w14:paraId="14A554CA">
      <w:pPr>
        <w:spacing w:line="360" w:lineRule="auto"/>
        <w:rPr>
          <w:rFonts w:hint="default" w:ascii="Times New Roman" w:hAnsi="Times New Roman" w:cs="Times New Roman"/>
          <w:sz w:val="24"/>
          <w:szCs w:val="24"/>
        </w:rPr>
      </w:pPr>
    </w:p>
    <w:p w14:paraId="3B45AEF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C7BC5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5</w:t>
      </w:r>
      <w:r>
        <w:rPr>
          <w:rFonts w:hint="default" w:ascii="Times New Roman" w:hAnsi="Times New Roman" w:cs="Times New Roman"/>
          <w:sz w:val="24"/>
          <w:szCs w:val="24"/>
        </w:rPr>
        <w:t>: Relationship Between Optimum Moisture Content (OMC) and Plastic Limit (PL)</w:t>
      </w:r>
    </w:p>
    <w:p w14:paraId="3C503BBB">
      <w:pPr>
        <w:spacing w:line="360" w:lineRule="auto"/>
        <w:rPr>
          <w:rFonts w:hint="default" w:ascii="Times New Roman" w:hAnsi="Times New Roman" w:cs="Times New Roman"/>
          <w:sz w:val="24"/>
          <w:szCs w:val="24"/>
        </w:rPr>
      </w:pPr>
    </w:p>
    <w:p w14:paraId="0727E05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FEF7D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6</w:t>
      </w:r>
      <w:r>
        <w:rPr>
          <w:rFonts w:hint="default" w:ascii="Times New Roman" w:hAnsi="Times New Roman" w:cs="Times New Roman"/>
          <w:sz w:val="24"/>
          <w:szCs w:val="24"/>
        </w:rPr>
        <w:t>: Relationship Between Optimum Moisture Content (OMC) and Liquid Limit (LL)</w:t>
      </w:r>
    </w:p>
    <w:p w14:paraId="0293277B">
      <w:pPr>
        <w:spacing w:line="360" w:lineRule="auto"/>
        <w:rPr>
          <w:rFonts w:hint="default" w:ascii="Times New Roman" w:hAnsi="Times New Roman" w:cs="Times New Roman"/>
          <w:sz w:val="24"/>
          <w:szCs w:val="24"/>
        </w:rPr>
      </w:pPr>
    </w:p>
    <w:p w14:paraId="4903E7A7">
      <w:pPr>
        <w:spacing w:line="360" w:lineRule="auto"/>
        <w:rPr>
          <w:rFonts w:hint="default" w:ascii="Times New Roman" w:hAnsi="Times New Roman" w:cs="Times New Roman"/>
          <w:sz w:val="24"/>
          <w:szCs w:val="24"/>
        </w:rPr>
      </w:pPr>
    </w:p>
    <w:p w14:paraId="0BFD6316">
      <w:pPr>
        <w:spacing w:line="360" w:lineRule="auto"/>
        <w:rPr>
          <w:rFonts w:hint="default" w:ascii="Times New Roman" w:hAnsi="Times New Roman" w:cs="Times New Roman"/>
          <w:sz w:val="24"/>
          <w:szCs w:val="24"/>
        </w:rPr>
      </w:pPr>
    </w:p>
    <w:p w14:paraId="55804934">
      <w:pPr>
        <w:spacing w:line="360" w:lineRule="auto"/>
        <w:rPr>
          <w:rFonts w:hint="default" w:ascii="Times New Roman" w:hAnsi="Times New Roman" w:cs="Times New Roman"/>
          <w:sz w:val="24"/>
          <w:szCs w:val="24"/>
        </w:rPr>
      </w:pPr>
    </w:p>
    <w:p w14:paraId="32FAFF02">
      <w:pPr>
        <w:spacing w:line="360" w:lineRule="auto"/>
        <w:rPr>
          <w:rFonts w:hint="default" w:ascii="Times New Roman" w:hAnsi="Times New Roman" w:cs="Times New Roman"/>
          <w:sz w:val="24"/>
          <w:szCs w:val="24"/>
        </w:rPr>
      </w:pPr>
    </w:p>
    <w:p w14:paraId="151D38AF">
      <w:pPr>
        <w:spacing w:line="360" w:lineRule="auto"/>
        <w:rPr>
          <w:rFonts w:hint="default" w:ascii="Times New Roman" w:hAnsi="Times New Roman" w:cs="Times New Roman"/>
          <w:sz w:val="24"/>
          <w:szCs w:val="24"/>
        </w:rPr>
      </w:pPr>
    </w:p>
    <w:p w14:paraId="72C71631">
      <w:pPr>
        <w:spacing w:line="360" w:lineRule="auto"/>
        <w:rPr>
          <w:rFonts w:hint="default" w:ascii="Times New Roman" w:hAnsi="Times New Roman" w:cs="Times New Roman"/>
          <w:sz w:val="24"/>
          <w:szCs w:val="24"/>
        </w:rPr>
      </w:pPr>
    </w:p>
    <w:p w14:paraId="1C81274C">
      <w:pPr>
        <w:spacing w:line="360" w:lineRule="auto"/>
        <w:rPr>
          <w:rFonts w:hint="default" w:ascii="Times New Roman" w:hAnsi="Times New Roman" w:cs="Times New Roman"/>
          <w:sz w:val="24"/>
          <w:szCs w:val="24"/>
        </w:rPr>
      </w:pPr>
    </w:p>
    <w:p w14:paraId="2369758B">
      <w:pPr>
        <w:spacing w:line="360" w:lineRule="auto"/>
        <w:rPr>
          <w:rFonts w:hint="default" w:ascii="Times New Roman" w:hAnsi="Times New Roman" w:cs="Times New Roman"/>
          <w:sz w:val="24"/>
          <w:szCs w:val="24"/>
        </w:rPr>
      </w:pPr>
    </w:p>
    <w:p w14:paraId="2190829B">
      <w:pPr>
        <w:spacing w:line="360" w:lineRule="auto"/>
        <w:rPr>
          <w:rFonts w:hint="default" w:ascii="Times New Roman" w:hAnsi="Times New Roman" w:cs="Times New Roman"/>
          <w:sz w:val="24"/>
          <w:szCs w:val="24"/>
        </w:rPr>
      </w:pPr>
    </w:p>
    <w:p w14:paraId="414D7CF9">
      <w:pPr>
        <w:spacing w:line="360" w:lineRule="auto"/>
        <w:rPr>
          <w:rFonts w:hint="default" w:ascii="Times New Roman" w:hAnsi="Times New Roman" w:cs="Times New Roman"/>
          <w:sz w:val="24"/>
          <w:szCs w:val="24"/>
        </w:rPr>
      </w:pPr>
    </w:p>
    <w:p w14:paraId="49CF4E4B">
      <w:pPr>
        <w:spacing w:line="360" w:lineRule="auto"/>
        <w:rPr>
          <w:rFonts w:hint="default" w:ascii="Times New Roman" w:hAnsi="Times New Roman" w:cs="Times New Roman"/>
          <w:sz w:val="24"/>
          <w:szCs w:val="24"/>
        </w:rPr>
      </w:pPr>
    </w:p>
    <w:p w14:paraId="69AA2617">
      <w:pPr>
        <w:spacing w:line="360" w:lineRule="auto"/>
        <w:rPr>
          <w:rFonts w:hint="default" w:ascii="Times New Roman" w:hAnsi="Times New Roman" w:cs="Times New Roman"/>
          <w:sz w:val="24"/>
          <w:szCs w:val="24"/>
        </w:rPr>
      </w:pPr>
    </w:p>
    <w:p w14:paraId="5A1E116C">
      <w:pPr>
        <w:spacing w:line="360" w:lineRule="auto"/>
        <w:rPr>
          <w:rFonts w:hint="default" w:ascii="Times New Roman" w:hAnsi="Times New Roman" w:cs="Times New Roman"/>
          <w:sz w:val="24"/>
          <w:szCs w:val="24"/>
        </w:rPr>
      </w:pPr>
    </w:p>
    <w:p w14:paraId="20FB0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425725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2393F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61B70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102D7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FIVE</w:t>
      </w:r>
    </w:p>
    <w:p w14:paraId="4D43C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CONCLUSION AND RECOMMENDATION</w:t>
      </w:r>
    </w:p>
    <w:p w14:paraId="33830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5.</w:t>
      </w:r>
      <w:r>
        <w:rPr>
          <w:rStyle w:val="92"/>
          <w:rFonts w:hint="default" w:ascii="Times New Roman" w:hAnsi="Times New Roman"/>
          <w:b w:val="0"/>
          <w:bCs w:val="0"/>
          <w:color w:val="0D0D0D"/>
          <w:sz w:val="24"/>
          <w:szCs w:val="24"/>
          <w:lang w:val="en-US"/>
        </w:rPr>
        <w:t>0</w:t>
      </w:r>
      <w:r>
        <w:rPr>
          <w:rStyle w:val="92"/>
          <w:rFonts w:hint="default" w:ascii="Times New Roman" w:hAnsi="Times New Roman"/>
          <w:b w:val="0"/>
          <w:bCs w:val="0"/>
          <w:color w:val="0D0D0D"/>
          <w:sz w:val="24"/>
          <w:szCs w:val="24"/>
        </w:rPr>
        <w:t xml:space="preserve"> Conclusion  </w:t>
      </w:r>
    </w:p>
    <w:p w14:paraId="3197E6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This research investigated the relationship between selected index properties and engineering properties of lateritic soils obtained from Kwara State Polytechnic campus. Emphasis was placed on Plasticity Index (PI), Specific Gravity (SG), Moisture Content (MC), Grain Size Distribution (GSD), and Bulk Density (BD), and how they influence compaction, strength, and load-bearing capacity.</w:t>
      </w:r>
    </w:p>
    <w:p w14:paraId="4FA1EE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From the analysis and laboratory tests, the following conclusions were drawn:</w:t>
      </w:r>
    </w:p>
    <w:p w14:paraId="1A1FF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Plasticity Index (PI): A direct relationship was observed between PI and shear strength. Soils with higher PI values exhibited greater plasticity and cohesion, which translates to better resistance under shear forces, especially when compacted under optimum moisture.</w:t>
      </w:r>
    </w:p>
    <w:p w14:paraId="3021B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Specific Gravity (SG): SG values remained within the standard range (2.5–2.8), indicating the mineral composition of the soils is typical of laterites. Higher SG values correlated with better density and strength, making the soils more suitable for use in embankments and subgrades.</w:t>
      </w:r>
    </w:p>
    <w:p w14:paraId="1DA1A6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Moisture Content (MC): MC played a significant role in determining compaction characteristics. Soils with moderate moisture content showed improved Maximum Dry Density (MDD) and Optimal Moisture Content (OMC), both critical for effective compaction and strength.</w:t>
      </w:r>
    </w:p>
    <w:p w14:paraId="1DA33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Grain Size Distribution (GSD): Well-graded soils showed higher compaction efficiency and strength than poorly graded samples. Finer particles contributed to higher PI, while coarser fractions improved drainage and stability.</w:t>
      </w:r>
    </w:p>
    <w:p w14:paraId="44F35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Bulk Density (BD): The BD values reflected the soil’s capacity to support load. Higher BD often indicated better compaction, lower void ratios, and improved engineering performance under load.</w:t>
      </w:r>
    </w:p>
    <w:p w14:paraId="5C7C29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cs="Times New Roman"/>
          <w:b w:val="0"/>
          <w:bCs w:val="0"/>
          <w:color w:val="0D0D0D"/>
          <w:sz w:val="24"/>
          <w:szCs w:val="24"/>
          <w:lang w:val="en-US"/>
        </w:rPr>
      </w:pPr>
      <w:r>
        <w:rPr>
          <w:rStyle w:val="92"/>
          <w:rFonts w:hint="default" w:ascii="Times New Roman" w:hAnsi="Times New Roman"/>
          <w:b w:val="0"/>
          <w:bCs w:val="0"/>
          <w:color w:val="0D0D0D"/>
          <w:sz w:val="24"/>
          <w:szCs w:val="24"/>
        </w:rPr>
        <w:t>In conclusion, a strong correlation exists between the selected index properties and the engineering behavior of lateritic soils from the campus. These properties can be used reliably to predict soil performance, particularly in the absence of advanced testing facilities</w:t>
      </w:r>
      <w:r>
        <w:rPr>
          <w:rStyle w:val="92"/>
          <w:rFonts w:hint="default" w:ascii="Times New Roman" w:hAnsi="Times New Roman"/>
          <w:b w:val="0"/>
          <w:bCs w:val="0"/>
          <w:color w:val="0D0D0D"/>
          <w:sz w:val="24"/>
          <w:szCs w:val="24"/>
          <w:lang w:val="en-US"/>
        </w:rPr>
        <w:t>.</w:t>
      </w:r>
    </w:p>
    <w:p w14:paraId="265CE6E8">
      <w:pPr>
        <w:rPr>
          <w:rStyle w:val="92"/>
          <w:rFonts w:hint="default" w:ascii="Times New Roman" w:hAnsi="Times New Roman"/>
          <w:b/>
          <w:bCs/>
          <w:color w:val="0D0D0D"/>
          <w:sz w:val="24"/>
          <w:szCs w:val="24"/>
        </w:rPr>
      </w:pPr>
      <w:r>
        <w:rPr>
          <w:rStyle w:val="92"/>
          <w:rFonts w:hint="default" w:ascii="Times New Roman" w:hAnsi="Times New Roman"/>
          <w:b/>
          <w:bCs/>
          <w:color w:val="0D0D0D"/>
          <w:sz w:val="24"/>
          <w:szCs w:val="24"/>
        </w:rPr>
        <w:t>5.</w:t>
      </w:r>
      <w:r>
        <w:rPr>
          <w:rStyle w:val="92"/>
          <w:rFonts w:hint="default" w:ascii="Times New Roman" w:hAnsi="Times New Roman"/>
          <w:b/>
          <w:bCs/>
          <w:color w:val="0D0D0D"/>
          <w:sz w:val="24"/>
          <w:szCs w:val="24"/>
          <w:lang w:val="en-US"/>
        </w:rPr>
        <w:t>1</w:t>
      </w:r>
      <w:r>
        <w:rPr>
          <w:rStyle w:val="92"/>
          <w:rFonts w:hint="default" w:ascii="Times New Roman" w:hAnsi="Times New Roman"/>
          <w:b/>
          <w:bCs/>
          <w:color w:val="0D0D0D"/>
          <w:sz w:val="24"/>
          <w:szCs w:val="24"/>
        </w:rPr>
        <w:t xml:space="preserve"> RECOMMENDATIONS</w:t>
      </w:r>
    </w:p>
    <w:p w14:paraId="1A67666F">
      <w:pPr>
        <w:rPr>
          <w:rStyle w:val="92"/>
          <w:rFonts w:hint="default" w:ascii="Times New Roman" w:hAnsi="Times New Roman"/>
          <w:b/>
          <w:bCs/>
          <w:color w:val="0D0D0D"/>
          <w:sz w:val="24"/>
          <w:szCs w:val="24"/>
        </w:rPr>
      </w:pPr>
    </w:p>
    <w:p w14:paraId="5A86CA5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Based on the findings of this research, the following recommendations are made:</w:t>
      </w:r>
    </w:p>
    <w:p w14:paraId="69036114">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Classification Should Be Prioritized: Engineers and construction professionals working within the Kwara State Polytechnic campus should always carry out proper soil classification and index testing before using lateritic soils for construction projects.</w:t>
      </w:r>
    </w:p>
    <w:p w14:paraId="7DA68376">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Use of Index Properties for Preliminary Assessment: Since strong correlations exist between index and engineering properties, index tests can serve as a cost-effective and efficient tool for preliminary site evaluation, especially in resource-limited settings.</w:t>
      </w:r>
    </w:p>
    <w:p w14:paraId="484BB72B">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Compaction Control on Site: It is recommended that compaction be carried out at or near the determined optimum moisture content to achieve maximum dry density, thereby enhancing soil strength and stability.</w:t>
      </w:r>
    </w:p>
    <w:p w14:paraId="14B29257">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Stabilization Where Necessary: For locations where soils show high plasticity or poor grading, chemical or mechanical stabilization methods (e.g., lime or cement stabilization) should be considered to improve their engineering properties.</w:t>
      </w:r>
    </w:p>
    <w:p w14:paraId="5B9E2E9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cs="Times New Roman"/>
          <w:b/>
          <w:bCs/>
          <w:color w:val="0D0D0D"/>
          <w:sz w:val="24"/>
          <w:szCs w:val="24"/>
        </w:rPr>
      </w:pPr>
      <w:r>
        <w:rPr>
          <w:rStyle w:val="92"/>
          <w:rFonts w:hint="default" w:ascii="Times New Roman" w:hAnsi="Times New Roman"/>
          <w:b w:val="0"/>
          <w:bCs w:val="0"/>
          <w:color w:val="0D0D0D"/>
          <w:sz w:val="24"/>
          <w:szCs w:val="24"/>
        </w:rPr>
        <w:t>Further Studies: More extensive studies covering other parts of the campus and including other engineering parameters such as permeability, CBR (California Bearing Ratio), and consolidation characteristics should be conducted to develop a comprehensive soil map for the institution.</w:t>
      </w:r>
    </w:p>
    <w:p w14:paraId="5F2E9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References</w:t>
      </w:r>
    </w:p>
    <w:p w14:paraId="676ECAF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Borana, A., Sharma, S., &amp; Singh, R. (2020). Tensile strength and failure mechanisms of </w:t>
      </w:r>
      <w:r>
        <w:rPr>
          <w:rFonts w:hint="default" w:cs="Times New Roman"/>
          <w:color w:val="0D0D0D"/>
          <w:sz w:val="24"/>
          <w:szCs w:val="24"/>
          <w:lang w:val="en-US"/>
        </w:rPr>
        <w:tab/>
      </w:r>
      <w:r>
        <w:rPr>
          <w:rFonts w:hint="default" w:ascii="Times New Roman" w:hAnsi="Times New Roman" w:cs="Times New Roman"/>
          <w:color w:val="0D0D0D"/>
          <w:sz w:val="24"/>
          <w:szCs w:val="24"/>
        </w:rPr>
        <w:t>mica-rich rocks.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127, 104184. </w:t>
      </w:r>
      <w:r>
        <w:rPr>
          <w:rFonts w:hint="default" w:ascii="Times New Roman" w:hAnsi="Times New Roman" w:cs="Times New Roman"/>
          <w:color w:val="2964AA"/>
          <w:sz w:val="24"/>
          <w:szCs w:val="24"/>
          <w:u w:val="none"/>
        </w:rPr>
        <w:t>https://doi.org/10.1016/j.ijrmms.2019.104184</w:t>
      </w:r>
    </w:p>
    <w:p w14:paraId="08940A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Chen, W., Li, X., &amp; Zhao, Z. (2022). Influence of mineralogy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behavior of granite and pegmatite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297, </w:t>
      </w:r>
      <w:r>
        <w:rPr>
          <w:rFonts w:hint="default" w:cs="Times New Roman"/>
          <w:color w:val="0D0D0D"/>
          <w:sz w:val="24"/>
          <w:szCs w:val="24"/>
          <w:lang w:val="en-US"/>
        </w:rPr>
        <w:tab/>
      </w:r>
      <w:r>
        <w:rPr>
          <w:rFonts w:hint="default" w:ascii="Times New Roman" w:hAnsi="Times New Roman" w:cs="Times New Roman"/>
          <w:color w:val="0D0D0D"/>
          <w:sz w:val="24"/>
          <w:szCs w:val="24"/>
        </w:rPr>
        <w:t>106504. </w:t>
      </w:r>
      <w:r>
        <w:rPr>
          <w:rFonts w:hint="default" w:ascii="Times New Roman" w:hAnsi="Times New Roman" w:cs="Times New Roman"/>
          <w:color w:val="2964AA"/>
          <w:sz w:val="24"/>
          <w:szCs w:val="24"/>
          <w:u w:val="none"/>
        </w:rPr>
        <w:t>https://doi.org/10.1016/j.enggeo.2021.106504</w:t>
      </w:r>
    </w:p>
    <w:p w14:paraId="66CC674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Dong, Q., &amp; Wang, H. (2021). Microstructural controls on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148, </w:t>
      </w:r>
      <w:r>
        <w:rPr>
          <w:rFonts w:hint="default" w:cs="Times New Roman"/>
          <w:color w:val="0D0D0D"/>
          <w:sz w:val="24"/>
          <w:szCs w:val="24"/>
          <w:lang w:val="en-US"/>
        </w:rPr>
        <w:tab/>
      </w:r>
      <w:r>
        <w:rPr>
          <w:rFonts w:hint="default" w:ascii="Times New Roman" w:hAnsi="Times New Roman" w:cs="Times New Roman"/>
          <w:color w:val="0D0D0D"/>
          <w:sz w:val="24"/>
          <w:szCs w:val="24"/>
        </w:rPr>
        <w:t>104343. </w:t>
      </w:r>
      <w:r>
        <w:rPr>
          <w:rFonts w:hint="default" w:ascii="Times New Roman" w:hAnsi="Times New Roman" w:cs="Times New Roman"/>
          <w:color w:val="2964AA"/>
          <w:sz w:val="24"/>
          <w:szCs w:val="24"/>
          <w:u w:val="none"/>
        </w:rPr>
        <w:t>https://doi.org/10.1016/j.jsg.2021.104343</w:t>
      </w:r>
    </w:p>
    <w:p w14:paraId="0F9393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Fernández, A., &amp; Ramos, F. (2019). Geomechanical characterization of coarse-grained </w:t>
      </w:r>
      <w:r>
        <w:rPr>
          <w:rFonts w:hint="default" w:cs="Times New Roman"/>
          <w:color w:val="0D0D0D"/>
          <w:sz w:val="24"/>
          <w:szCs w:val="24"/>
          <w:lang w:val="en-US"/>
        </w:rPr>
        <w:tab/>
      </w:r>
      <w:r>
        <w:rPr>
          <w:rFonts w:hint="default" w:ascii="Times New Roman" w:hAnsi="Times New Roman" w:cs="Times New Roman"/>
          <w:color w:val="0D0D0D"/>
          <w:sz w:val="24"/>
          <w:szCs w:val="24"/>
        </w:rPr>
        <w:t>granitoids: Case study on pegmatites.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52(11), 4091–4104. </w:t>
      </w:r>
      <w:r>
        <w:rPr>
          <w:rFonts w:hint="default" w:ascii="Times New Roman" w:hAnsi="Times New Roman" w:cs="Times New Roman"/>
          <w:color w:val="2964AA"/>
          <w:sz w:val="24"/>
          <w:szCs w:val="24"/>
          <w:u w:val="none"/>
        </w:rPr>
        <w:t>https://doi.org/10.1007/s00603-019-01954-9</w:t>
      </w:r>
    </w:p>
    <w:p w14:paraId="0A6B313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Gao, Y., Liu, J., &amp; Sun, Y. (2023). Experimental study on tensile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mica-bearing rocks. </w:t>
      </w:r>
      <w:r>
        <w:rPr>
          <w:rStyle w:val="31"/>
          <w:rFonts w:hint="default" w:ascii="Times New Roman" w:hAnsi="Times New Roman" w:cs="Times New Roman"/>
          <w:color w:val="0D0D0D"/>
          <w:sz w:val="24"/>
          <w:szCs w:val="24"/>
        </w:rPr>
        <w:t>Materials</w:t>
      </w:r>
      <w:r>
        <w:rPr>
          <w:rFonts w:hint="default" w:ascii="Times New Roman" w:hAnsi="Times New Roman" w:cs="Times New Roman"/>
          <w:color w:val="0D0D0D"/>
          <w:sz w:val="24"/>
          <w:szCs w:val="24"/>
        </w:rPr>
        <w:t>, 16(4), 1447. </w:t>
      </w:r>
      <w:r>
        <w:rPr>
          <w:rFonts w:hint="default" w:ascii="Times New Roman" w:hAnsi="Times New Roman" w:cs="Times New Roman"/>
          <w:color w:val="2964AA"/>
          <w:sz w:val="24"/>
          <w:szCs w:val="24"/>
          <w:u w:val="none"/>
        </w:rPr>
        <w:t>https://doi.org/10.3390/ma16041447</w:t>
      </w:r>
    </w:p>
    <w:p w14:paraId="2A25872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Huo, R., &amp; Li, Q. (2020). Effect of grain size and mineral fabric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properties of pegmatite. </w:t>
      </w:r>
      <w:r>
        <w:rPr>
          <w:rStyle w:val="31"/>
          <w:rFonts w:hint="default" w:ascii="Times New Roman" w:hAnsi="Times New Roman" w:cs="Times New Roman"/>
          <w:color w:val="0D0D0D"/>
          <w:sz w:val="24"/>
          <w:szCs w:val="24"/>
        </w:rPr>
        <w:t>Engineering Fracture Mechanics</w:t>
      </w:r>
      <w:r>
        <w:rPr>
          <w:rFonts w:hint="default" w:ascii="Times New Roman" w:hAnsi="Times New Roman" w:cs="Times New Roman"/>
          <w:color w:val="0D0D0D"/>
          <w:sz w:val="24"/>
          <w:szCs w:val="24"/>
        </w:rPr>
        <w:t xml:space="preserve">, 227, </w:t>
      </w:r>
      <w:r>
        <w:rPr>
          <w:rFonts w:hint="default" w:cs="Times New Roman"/>
          <w:color w:val="0D0D0D"/>
          <w:sz w:val="24"/>
          <w:szCs w:val="24"/>
          <w:lang w:val="en-US"/>
        </w:rPr>
        <w:tab/>
      </w:r>
      <w:r>
        <w:rPr>
          <w:rFonts w:hint="default" w:ascii="Times New Roman" w:hAnsi="Times New Roman" w:cs="Times New Roman"/>
          <w:color w:val="0D0D0D"/>
          <w:sz w:val="24"/>
          <w:szCs w:val="24"/>
        </w:rPr>
        <w:t>106890. </w:t>
      </w:r>
      <w:r>
        <w:rPr>
          <w:rFonts w:hint="default" w:ascii="Times New Roman" w:hAnsi="Times New Roman" w:cs="Times New Roman"/>
          <w:color w:val="2964AA"/>
          <w:sz w:val="24"/>
          <w:szCs w:val="24"/>
          <w:u w:val="none"/>
        </w:rPr>
        <w:t>https://doi.org/10.1016/j.engfracmech.2019.106890</w:t>
      </w:r>
    </w:p>
    <w:p w14:paraId="1B18ACB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Jollands, M., Smith, P., &amp; Davies, B. (2020). Elastic properties of anisotropic pegmatite </w:t>
      </w:r>
      <w:r>
        <w:rPr>
          <w:rFonts w:hint="default" w:cs="Times New Roman"/>
          <w:color w:val="0D0D0D"/>
          <w:sz w:val="24"/>
          <w:szCs w:val="24"/>
          <w:lang w:val="en-US"/>
        </w:rPr>
        <w:tab/>
      </w:r>
      <w:r>
        <w:rPr>
          <w:rFonts w:hint="default" w:ascii="Times New Roman" w:hAnsi="Times New Roman" w:cs="Times New Roman"/>
          <w:color w:val="0D0D0D"/>
          <w:sz w:val="24"/>
          <w:szCs w:val="24"/>
        </w:rPr>
        <w:t>and their engineering implications. </w:t>
      </w:r>
      <w:r>
        <w:rPr>
          <w:rStyle w:val="31"/>
          <w:rFonts w:hint="default" w:ascii="Times New Roman" w:hAnsi="Times New Roman" w:cs="Times New Roman"/>
          <w:color w:val="0D0D0D"/>
          <w:sz w:val="24"/>
          <w:szCs w:val="24"/>
        </w:rPr>
        <w:t xml:space="preserve">International Journal of Rock Mechanics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Mining Sciences</w:t>
      </w:r>
      <w:r>
        <w:rPr>
          <w:rFonts w:hint="default" w:ascii="Times New Roman" w:hAnsi="Times New Roman" w:cs="Times New Roman"/>
          <w:color w:val="0D0D0D"/>
          <w:sz w:val="24"/>
          <w:szCs w:val="24"/>
        </w:rPr>
        <w:t>, 132, 104404. </w:t>
      </w:r>
      <w:r>
        <w:rPr>
          <w:rFonts w:hint="default" w:ascii="Times New Roman" w:hAnsi="Times New Roman" w:cs="Times New Roman"/>
          <w:color w:val="2964AA"/>
          <w:sz w:val="24"/>
          <w:szCs w:val="24"/>
          <w:u w:val="none"/>
        </w:rPr>
        <w:t>https://doi.org/10.1016/j.ijrmms.2020.104404</w:t>
      </w:r>
    </w:p>
    <w:p w14:paraId="2BF64BC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Kumar, V., Singh, T., &amp; Verma, A. (2019). Grain boundary strength and its impact on </w:t>
      </w:r>
      <w:r>
        <w:rPr>
          <w:rFonts w:hint="default" w:cs="Times New Roman"/>
          <w:color w:val="0D0D0D"/>
          <w:sz w:val="24"/>
          <w:szCs w:val="24"/>
          <w:lang w:val="en-US"/>
        </w:rPr>
        <w:tab/>
      </w:r>
      <w:r>
        <w:rPr>
          <w:rFonts w:hint="default" w:ascii="Times New Roman" w:hAnsi="Times New Roman" w:cs="Times New Roman"/>
          <w:color w:val="0D0D0D"/>
          <w:sz w:val="24"/>
          <w:szCs w:val="24"/>
        </w:rPr>
        <w:t>pegmatite UCS. </w:t>
      </w:r>
      <w:r>
        <w:rPr>
          <w:rStyle w:val="31"/>
          <w:rFonts w:hint="default" w:ascii="Times New Roman" w:hAnsi="Times New Roman" w:cs="Times New Roman"/>
          <w:color w:val="0D0D0D"/>
          <w:sz w:val="24"/>
          <w:szCs w:val="24"/>
        </w:rPr>
        <w:t>Geotechnical Testing Journal</w:t>
      </w:r>
      <w:r>
        <w:rPr>
          <w:rFonts w:hint="default" w:ascii="Times New Roman" w:hAnsi="Times New Roman" w:cs="Times New Roman"/>
          <w:color w:val="0D0D0D"/>
          <w:sz w:val="24"/>
          <w:szCs w:val="24"/>
        </w:rPr>
        <w:t>, 42(3), 437–</w:t>
      </w:r>
      <w:r>
        <w:rPr>
          <w:rFonts w:hint="default" w:cs="Times New Roman"/>
          <w:color w:val="0D0D0D"/>
          <w:sz w:val="24"/>
          <w:szCs w:val="24"/>
          <w:lang w:val="en-US"/>
        </w:rPr>
        <w:tab/>
      </w:r>
      <w:r>
        <w:rPr>
          <w:rFonts w:hint="default" w:ascii="Times New Roman" w:hAnsi="Times New Roman" w:cs="Times New Roman"/>
          <w:color w:val="0D0D0D"/>
          <w:sz w:val="24"/>
          <w:szCs w:val="24"/>
        </w:rPr>
        <w:t>445. </w:t>
      </w:r>
      <w:r>
        <w:rPr>
          <w:rFonts w:hint="default" w:ascii="Times New Roman" w:hAnsi="Times New Roman" w:cs="Times New Roman"/>
          <w:color w:val="2964AA"/>
          <w:sz w:val="24"/>
          <w:szCs w:val="24"/>
          <w:u w:val="none"/>
        </w:rPr>
        <w:t>https://doi.org/10.1520/GTJ20180308</w:t>
      </w:r>
    </w:p>
    <w:p w14:paraId="1418299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London, D. (2020). </w:t>
      </w:r>
      <w:r>
        <w:rPr>
          <w:rStyle w:val="31"/>
          <w:rFonts w:hint="default" w:ascii="Times New Roman" w:hAnsi="Times New Roman" w:cs="Times New Roman"/>
          <w:color w:val="0D0D0D"/>
          <w:sz w:val="24"/>
          <w:szCs w:val="24"/>
        </w:rPr>
        <w:t>Pegmatites</w:t>
      </w:r>
      <w:r>
        <w:rPr>
          <w:rFonts w:hint="default" w:ascii="Times New Roman" w:hAnsi="Times New Roman" w:cs="Times New Roman"/>
          <w:color w:val="0D0D0D"/>
          <w:sz w:val="24"/>
          <w:szCs w:val="24"/>
        </w:rPr>
        <w:t>. Springer Nature. </w:t>
      </w:r>
      <w:r>
        <w:rPr>
          <w:rFonts w:hint="default" w:ascii="Times New Roman" w:hAnsi="Times New Roman" w:cs="Times New Roman"/>
          <w:color w:val="2964AA"/>
          <w:sz w:val="24"/>
          <w:szCs w:val="24"/>
          <w:u w:val="none"/>
        </w:rPr>
        <w:fldChar w:fldCharType="begin"/>
      </w:r>
      <w:r>
        <w:rPr>
          <w:rFonts w:hint="default" w:ascii="Times New Roman" w:hAnsi="Times New Roman" w:cs="Times New Roman"/>
          <w:color w:val="2964AA"/>
          <w:sz w:val="24"/>
          <w:szCs w:val="24"/>
          <w:u w:val="none"/>
        </w:rPr>
        <w:instrText xml:space="preserve"> HYPERLINK "https://doi.org/10.1007/978-3-030-" </w:instrText>
      </w:r>
      <w:r>
        <w:rPr>
          <w:rFonts w:hint="default" w:ascii="Times New Roman" w:hAnsi="Times New Roman" w:cs="Times New Roman"/>
          <w:color w:val="2964AA"/>
          <w:sz w:val="24"/>
          <w:szCs w:val="24"/>
          <w:u w:val="none"/>
        </w:rPr>
        <w:fldChar w:fldCharType="separate"/>
      </w:r>
      <w:r>
        <w:rPr>
          <w:rStyle w:val="51"/>
          <w:rFonts w:hint="default" w:ascii="Times New Roman" w:hAnsi="Times New Roman" w:cs="Times New Roman"/>
          <w:sz w:val="24"/>
          <w:szCs w:val="24"/>
        </w:rPr>
        <w:t>https://doi.org/10.1007/978-3-030-</w:t>
      </w:r>
      <w:r>
        <w:rPr>
          <w:rFonts w:hint="default" w:ascii="Times New Roman" w:hAnsi="Times New Roman" w:cs="Times New Roman"/>
          <w:color w:val="2964AA"/>
          <w:sz w:val="24"/>
          <w:szCs w:val="24"/>
          <w:u w:val="none"/>
        </w:rPr>
        <w:fldChar w:fldCharType="end"/>
      </w:r>
      <w:r>
        <w:rPr>
          <w:rFonts w:hint="default" w:cs="Times New Roman"/>
          <w:color w:val="2964AA"/>
          <w:sz w:val="24"/>
          <w:szCs w:val="24"/>
          <w:u w:val="none"/>
          <w:lang w:val="en-US"/>
        </w:rPr>
        <w:tab/>
      </w:r>
      <w:r>
        <w:rPr>
          <w:rFonts w:hint="default" w:ascii="Times New Roman" w:hAnsi="Times New Roman" w:cs="Times New Roman"/>
          <w:color w:val="2964AA"/>
          <w:sz w:val="24"/>
          <w:szCs w:val="24"/>
          <w:u w:val="none"/>
        </w:rPr>
        <w:t>21641-1</w:t>
      </w:r>
    </w:p>
    <w:p w14:paraId="2B89FCC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Meakin, M., Young, R., &amp; O’Brien, T. (2021). Influence of mineralogy on the </w:t>
      </w:r>
      <w:r>
        <w:rPr>
          <w:rFonts w:hint="default" w:cs="Times New Roman"/>
          <w:color w:val="0D0D0D"/>
          <w:sz w:val="24"/>
          <w:szCs w:val="24"/>
          <w:lang w:val="en-US"/>
        </w:rPr>
        <w:tab/>
      </w:r>
      <w:r>
        <w:rPr>
          <w:rFonts w:hint="default" w:ascii="Times New Roman" w:hAnsi="Times New Roman" w:cs="Times New Roman"/>
          <w:color w:val="0D0D0D"/>
          <w:sz w:val="24"/>
          <w:szCs w:val="24"/>
        </w:rPr>
        <w:t>mechanical behavior of 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54(2), 783–795. </w:t>
      </w:r>
      <w:r>
        <w:rPr>
          <w:rFonts w:hint="default" w:ascii="Times New Roman" w:hAnsi="Times New Roman" w:cs="Times New Roman"/>
          <w:color w:val="2964AA"/>
          <w:sz w:val="24"/>
          <w:szCs w:val="24"/>
          <w:u w:val="none"/>
        </w:rPr>
        <w:t>https://doi.org/10.1007/s00603-020-02349-6</w:t>
      </w:r>
    </w:p>
    <w:p w14:paraId="6914E29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Musa, S., &amp; Hassan, A. (2022). Correlation between petrographic properties and </w:t>
      </w:r>
      <w:r>
        <w:rPr>
          <w:rFonts w:hint="default" w:cs="Times New Roman"/>
          <w:color w:val="0D0D0D"/>
          <w:sz w:val="24"/>
          <w:szCs w:val="24"/>
          <w:lang w:val="en-US"/>
        </w:rPr>
        <w:tab/>
      </w:r>
      <w:r>
        <w:rPr>
          <w:rFonts w:hint="default" w:ascii="Times New Roman" w:hAnsi="Times New Roman" w:cs="Times New Roman"/>
          <w:color w:val="0D0D0D"/>
          <w:sz w:val="24"/>
          <w:szCs w:val="24"/>
        </w:rPr>
        <w:t>mechanical strength of pegmatite. </w:t>
      </w:r>
      <w:r>
        <w:rPr>
          <w:rStyle w:val="31"/>
          <w:rFonts w:hint="default" w:ascii="Times New Roman" w:hAnsi="Times New Roman" w:cs="Times New Roman"/>
          <w:color w:val="0D0D0D"/>
          <w:sz w:val="24"/>
          <w:szCs w:val="24"/>
        </w:rPr>
        <w:t>Arabian Journal of Geosciences</w:t>
      </w:r>
      <w:r>
        <w:rPr>
          <w:rFonts w:hint="default" w:ascii="Times New Roman" w:hAnsi="Times New Roman" w:cs="Times New Roman"/>
          <w:color w:val="0D0D0D"/>
          <w:sz w:val="24"/>
          <w:szCs w:val="24"/>
        </w:rPr>
        <w:t xml:space="preserve">, 15(18), </w:t>
      </w:r>
      <w:r>
        <w:rPr>
          <w:rFonts w:hint="default" w:cs="Times New Roman"/>
          <w:color w:val="0D0D0D"/>
          <w:sz w:val="24"/>
          <w:szCs w:val="24"/>
          <w:lang w:val="en-US"/>
        </w:rPr>
        <w:tab/>
      </w:r>
      <w:r>
        <w:rPr>
          <w:rFonts w:hint="default" w:ascii="Times New Roman" w:hAnsi="Times New Roman" w:cs="Times New Roman"/>
          <w:color w:val="0D0D0D"/>
          <w:sz w:val="24"/>
          <w:szCs w:val="24"/>
        </w:rPr>
        <w:t>1650. </w:t>
      </w:r>
      <w:r>
        <w:rPr>
          <w:rFonts w:hint="default" w:ascii="Times New Roman" w:hAnsi="Times New Roman" w:cs="Times New Roman"/>
          <w:color w:val="2964AA"/>
          <w:sz w:val="24"/>
          <w:szCs w:val="24"/>
          <w:u w:val="none"/>
        </w:rPr>
        <w:t>https://doi.org/10.1007/s12517-022-10203-1</w:t>
      </w:r>
    </w:p>
    <w:p w14:paraId="13845A4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Niu, Y., &amp; Wang, L. (2023). Petrographic controls on rock strength anisotropy in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igneous rocks. </w:t>
      </w:r>
      <w:r>
        <w:rPr>
          <w:rStyle w:val="31"/>
          <w:rFonts w:hint="default" w:ascii="Times New Roman" w:hAnsi="Times New Roman" w:cs="Times New Roman"/>
          <w:color w:val="0D0D0D"/>
          <w:sz w:val="24"/>
          <w:szCs w:val="24"/>
        </w:rPr>
        <w:t>Journal of Applied Geophysics</w:t>
      </w:r>
      <w:r>
        <w:rPr>
          <w:rFonts w:hint="default" w:ascii="Times New Roman" w:hAnsi="Times New Roman" w:cs="Times New Roman"/>
          <w:color w:val="0D0D0D"/>
          <w:sz w:val="24"/>
          <w:szCs w:val="24"/>
        </w:rPr>
        <w:t xml:space="preserve">, 203, </w:t>
      </w:r>
      <w:r>
        <w:rPr>
          <w:rFonts w:hint="default" w:cs="Times New Roman"/>
          <w:color w:val="0D0D0D"/>
          <w:sz w:val="24"/>
          <w:szCs w:val="24"/>
          <w:lang w:val="en-US"/>
        </w:rPr>
        <w:tab/>
      </w:r>
      <w:r>
        <w:rPr>
          <w:rFonts w:hint="default" w:ascii="Times New Roman" w:hAnsi="Times New Roman" w:cs="Times New Roman"/>
          <w:color w:val="0D0D0D"/>
          <w:sz w:val="24"/>
          <w:szCs w:val="24"/>
        </w:rPr>
        <w:t>104723. </w:t>
      </w:r>
      <w:r>
        <w:rPr>
          <w:rFonts w:hint="default" w:ascii="Times New Roman" w:hAnsi="Times New Roman" w:cs="Times New Roman"/>
          <w:color w:val="2964AA"/>
          <w:sz w:val="24"/>
          <w:szCs w:val="24"/>
          <w:u w:val="none"/>
        </w:rPr>
        <w:t>https://doi.org/10.1016/j.jappgeo.2022.104723</w:t>
      </w:r>
    </w:p>
    <w:p w14:paraId="7A6C98E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Okoro, C., &amp; Adeyemi, A. (2021). Geotechnical evaluation of pegmatite for </w:t>
      </w:r>
      <w:r>
        <w:rPr>
          <w:rFonts w:hint="default" w:cs="Times New Roman"/>
          <w:color w:val="0D0D0D"/>
          <w:sz w:val="24"/>
          <w:szCs w:val="24"/>
          <w:lang w:val="en-US"/>
        </w:rPr>
        <w:tab/>
      </w:r>
      <w:r>
        <w:rPr>
          <w:rFonts w:hint="default" w:ascii="Times New Roman" w:hAnsi="Times New Roman" w:cs="Times New Roman"/>
          <w:color w:val="0D0D0D"/>
          <w:sz w:val="24"/>
          <w:szCs w:val="24"/>
        </w:rPr>
        <w:t>infrastructure development in Nigeria. </w:t>
      </w:r>
      <w:r>
        <w:rPr>
          <w:rStyle w:val="31"/>
          <w:rFonts w:hint="default" w:ascii="Times New Roman" w:hAnsi="Times New Roman" w:cs="Times New Roman"/>
          <w:color w:val="0D0D0D"/>
          <w:sz w:val="24"/>
          <w:szCs w:val="24"/>
        </w:rPr>
        <w:t xml:space="preserve">International Journal of Mining Science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and Technology</w:t>
      </w:r>
      <w:r>
        <w:rPr>
          <w:rFonts w:hint="default" w:ascii="Times New Roman" w:hAnsi="Times New Roman" w:cs="Times New Roman"/>
          <w:color w:val="0D0D0D"/>
          <w:sz w:val="24"/>
          <w:szCs w:val="24"/>
        </w:rPr>
        <w:t>, 31(5), 757–765. </w:t>
      </w:r>
      <w:r>
        <w:rPr>
          <w:rFonts w:hint="default" w:ascii="Times New Roman" w:hAnsi="Times New Roman" w:cs="Times New Roman"/>
          <w:color w:val="2964AA"/>
          <w:sz w:val="24"/>
          <w:szCs w:val="24"/>
          <w:u w:val="none"/>
        </w:rPr>
        <w:t>https://doi.org/10.1016/j.ijmst.2021.06.005</w:t>
      </w:r>
    </w:p>
    <w:p w14:paraId="71D712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Pan, X., &amp; Wang, J. (2019). Experimental investigation on the effect of mica content on </w:t>
      </w:r>
      <w:r>
        <w:rPr>
          <w:rFonts w:hint="default" w:cs="Times New Roman"/>
          <w:color w:val="0D0D0D"/>
          <w:sz w:val="24"/>
          <w:szCs w:val="24"/>
          <w:lang w:val="en-US"/>
        </w:rPr>
        <w:tab/>
      </w:r>
      <w:r>
        <w:rPr>
          <w:rFonts w:hint="default" w:ascii="Times New Roman" w:hAnsi="Times New Roman" w:cs="Times New Roman"/>
          <w:color w:val="0D0D0D"/>
          <w:sz w:val="24"/>
          <w:szCs w:val="24"/>
        </w:rPr>
        <w:t>mechanical properties of granite-like rocks. </w:t>
      </w:r>
      <w:r>
        <w:rPr>
          <w:rStyle w:val="31"/>
          <w:rFonts w:hint="default" w:ascii="Times New Roman" w:hAnsi="Times New Roman" w:cs="Times New Roman"/>
          <w:color w:val="0D0D0D"/>
          <w:sz w:val="24"/>
          <w:szCs w:val="24"/>
        </w:rPr>
        <w:t xml:space="preserve">Bulletin of Engineering Geology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the Environment</w:t>
      </w:r>
      <w:r>
        <w:rPr>
          <w:rFonts w:hint="default" w:ascii="Times New Roman" w:hAnsi="Times New Roman" w:cs="Times New Roman"/>
          <w:color w:val="0D0D0D"/>
          <w:sz w:val="24"/>
          <w:szCs w:val="24"/>
        </w:rPr>
        <w:t>, 78(4), 2493–2502. </w:t>
      </w:r>
      <w:r>
        <w:rPr>
          <w:rFonts w:hint="default" w:ascii="Times New Roman" w:hAnsi="Times New Roman" w:cs="Times New Roman"/>
          <w:color w:val="2964AA"/>
          <w:sz w:val="24"/>
          <w:szCs w:val="24"/>
          <w:u w:val="none"/>
        </w:rPr>
        <w:t>https://doi.org/10.1007/s10064-019-01516-2</w:t>
      </w:r>
    </w:p>
    <w:p w14:paraId="217A4DF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Parker, D., &amp; Cooper, J. (2020). Mineralogical influences on fracture propagation in </w:t>
      </w:r>
      <w:r>
        <w:rPr>
          <w:rFonts w:hint="default" w:cs="Times New Roman"/>
          <w:color w:val="0D0D0D"/>
          <w:sz w:val="24"/>
          <w:szCs w:val="24"/>
          <w:lang w:val="en-US"/>
        </w:rPr>
        <w:tab/>
      </w:r>
      <w:r>
        <w:rPr>
          <w:rFonts w:hint="default" w:ascii="Times New Roman" w:hAnsi="Times New Roman" w:cs="Times New Roman"/>
          <w:color w:val="0D0D0D"/>
          <w:sz w:val="24"/>
          <w:szCs w:val="24"/>
        </w:rPr>
        <w:t>pegmatites. </w:t>
      </w:r>
      <w:r>
        <w:rPr>
          <w:rStyle w:val="31"/>
          <w:rFonts w:hint="default" w:ascii="Times New Roman" w:hAnsi="Times New Roman" w:cs="Times New Roman"/>
          <w:color w:val="0D0D0D"/>
          <w:sz w:val="24"/>
          <w:szCs w:val="24"/>
        </w:rPr>
        <w:t>Tectonophysics</w:t>
      </w:r>
      <w:r>
        <w:rPr>
          <w:rFonts w:hint="default" w:ascii="Times New Roman" w:hAnsi="Times New Roman" w:cs="Times New Roman"/>
          <w:color w:val="0D0D0D"/>
          <w:sz w:val="24"/>
          <w:szCs w:val="24"/>
        </w:rPr>
        <w:t xml:space="preserve">, 797, </w:t>
      </w:r>
      <w:r>
        <w:rPr>
          <w:rFonts w:hint="default" w:cs="Times New Roman"/>
          <w:color w:val="0D0D0D"/>
          <w:sz w:val="24"/>
          <w:szCs w:val="24"/>
          <w:lang w:val="en-US"/>
        </w:rPr>
        <w:tab/>
      </w:r>
      <w:r>
        <w:rPr>
          <w:rFonts w:hint="default" w:ascii="Times New Roman" w:hAnsi="Times New Roman" w:cs="Times New Roman"/>
          <w:color w:val="0D0D0D"/>
          <w:sz w:val="24"/>
          <w:szCs w:val="24"/>
        </w:rPr>
        <w:t>228692. </w:t>
      </w:r>
      <w:r>
        <w:rPr>
          <w:rFonts w:hint="default" w:ascii="Times New Roman" w:hAnsi="Times New Roman" w:cs="Times New Roman"/>
          <w:color w:val="2964AA"/>
          <w:sz w:val="24"/>
          <w:szCs w:val="24"/>
          <w:u w:val="none"/>
        </w:rPr>
        <w:t>https://doi.org/10.1016/j.tecto.2020.228692</w:t>
      </w:r>
    </w:p>
    <w:p w14:paraId="5AB8DA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Qi, Y., Liu, Y., &amp; Feng, J. (2024). Microstructural mechanisms controlling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in mica-rich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57(3), </w:t>
      </w:r>
      <w:r>
        <w:rPr>
          <w:rFonts w:hint="default" w:cs="Times New Roman"/>
          <w:color w:val="0D0D0D"/>
          <w:sz w:val="24"/>
          <w:szCs w:val="24"/>
          <w:lang w:val="en-US"/>
        </w:rPr>
        <w:tab/>
      </w:r>
      <w:r>
        <w:rPr>
          <w:rFonts w:hint="default" w:ascii="Times New Roman" w:hAnsi="Times New Roman" w:cs="Times New Roman"/>
          <w:color w:val="0D0D0D"/>
          <w:sz w:val="24"/>
          <w:szCs w:val="24"/>
        </w:rPr>
        <w:t>1495–1508. </w:t>
      </w:r>
      <w:r>
        <w:rPr>
          <w:rFonts w:hint="default" w:ascii="Times New Roman" w:hAnsi="Times New Roman" w:cs="Times New Roman"/>
          <w:color w:val="2964AA"/>
          <w:sz w:val="24"/>
          <w:szCs w:val="24"/>
          <w:u w:val="none"/>
        </w:rPr>
        <w:t>https://doi.org/10.1007/s00603-023-03214-7</w:t>
      </w:r>
    </w:p>
    <w:p w14:paraId="227DB5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Rafiq, M., &amp; Khan, S. (2021). Mechanical characterization of pegmatite: Uniaxial and </w:t>
      </w:r>
      <w:r>
        <w:rPr>
          <w:rFonts w:hint="default" w:cs="Times New Roman"/>
          <w:color w:val="0D0D0D"/>
          <w:sz w:val="24"/>
          <w:szCs w:val="24"/>
          <w:lang w:val="en-US"/>
        </w:rPr>
        <w:tab/>
      </w:r>
      <w:r>
        <w:rPr>
          <w:rFonts w:hint="default" w:ascii="Times New Roman" w:hAnsi="Times New Roman" w:cs="Times New Roman"/>
          <w:color w:val="0D0D0D"/>
          <w:sz w:val="24"/>
          <w:szCs w:val="24"/>
        </w:rPr>
        <w:t>tensile strength tests. </w:t>
      </w:r>
      <w:r>
        <w:rPr>
          <w:rStyle w:val="31"/>
          <w:rFonts w:hint="default" w:ascii="Times New Roman" w:hAnsi="Times New Roman" w:cs="Times New Roman"/>
          <w:color w:val="0D0D0D"/>
          <w:sz w:val="24"/>
          <w:szCs w:val="24"/>
        </w:rPr>
        <w:t>Geomechanics and Engineering</w:t>
      </w:r>
      <w:r>
        <w:rPr>
          <w:rFonts w:hint="default" w:ascii="Times New Roman" w:hAnsi="Times New Roman" w:cs="Times New Roman"/>
          <w:color w:val="0D0D0D"/>
          <w:sz w:val="24"/>
          <w:szCs w:val="24"/>
        </w:rPr>
        <w:t>, 25(3), 207–</w:t>
      </w:r>
      <w:r>
        <w:rPr>
          <w:rFonts w:hint="default" w:cs="Times New Roman"/>
          <w:color w:val="0D0D0D"/>
          <w:sz w:val="24"/>
          <w:szCs w:val="24"/>
          <w:lang w:val="en-US"/>
        </w:rPr>
        <w:tab/>
      </w:r>
      <w:r>
        <w:rPr>
          <w:rFonts w:hint="default" w:ascii="Times New Roman" w:hAnsi="Times New Roman" w:cs="Times New Roman"/>
          <w:color w:val="0D0D0D"/>
          <w:sz w:val="24"/>
          <w:szCs w:val="24"/>
        </w:rPr>
        <w:t>215. </w:t>
      </w:r>
      <w:r>
        <w:rPr>
          <w:rFonts w:hint="default" w:ascii="Times New Roman" w:hAnsi="Times New Roman" w:cs="Times New Roman"/>
          <w:color w:val="2964AA"/>
          <w:sz w:val="24"/>
          <w:szCs w:val="24"/>
          <w:u w:val="none"/>
        </w:rPr>
        <w:t>https://doi.org/10.12989/gae.2021.25.3.207</w:t>
      </w:r>
    </w:p>
    <w:p w14:paraId="0ACEA88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Salazar, G., &amp; Torres, R. (2019). Engineering properties of pegmatitic rocks from the </w:t>
      </w:r>
      <w:r>
        <w:rPr>
          <w:rFonts w:hint="default" w:cs="Times New Roman"/>
          <w:color w:val="0D0D0D"/>
          <w:sz w:val="24"/>
          <w:szCs w:val="24"/>
          <w:lang w:val="en-US"/>
        </w:rPr>
        <w:tab/>
      </w:r>
      <w:r>
        <w:rPr>
          <w:rFonts w:hint="default" w:ascii="Times New Roman" w:hAnsi="Times New Roman" w:cs="Times New Roman"/>
          <w:color w:val="0D0D0D"/>
          <w:sz w:val="24"/>
          <w:szCs w:val="24"/>
        </w:rPr>
        <w:t>Andes region.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258, </w:t>
      </w:r>
      <w:r>
        <w:rPr>
          <w:rFonts w:hint="default" w:cs="Times New Roman"/>
          <w:color w:val="0D0D0D"/>
          <w:sz w:val="24"/>
          <w:szCs w:val="24"/>
          <w:lang w:val="en-US"/>
        </w:rPr>
        <w:tab/>
      </w:r>
      <w:r>
        <w:rPr>
          <w:rFonts w:hint="default" w:ascii="Times New Roman" w:hAnsi="Times New Roman" w:cs="Times New Roman"/>
          <w:color w:val="0D0D0D"/>
          <w:sz w:val="24"/>
          <w:szCs w:val="24"/>
        </w:rPr>
        <w:t>105133. </w:t>
      </w:r>
      <w:r>
        <w:rPr>
          <w:rFonts w:hint="default" w:ascii="Times New Roman" w:hAnsi="Times New Roman" w:cs="Times New Roman"/>
          <w:color w:val="2964AA"/>
          <w:sz w:val="24"/>
          <w:szCs w:val="24"/>
          <w:u w:val="none"/>
        </w:rPr>
        <w:t>https://doi.org/10.1016/j.enggeo.2019.105133</w:t>
      </w:r>
    </w:p>
    <w:p w14:paraId="4BBA658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Sato, H., &amp; Watanabe, K. (2020). Influence of mica orientation on rock strength and </w:t>
      </w:r>
      <w:r>
        <w:rPr>
          <w:rFonts w:hint="default" w:cs="Times New Roman"/>
          <w:color w:val="0D0D0D"/>
          <w:sz w:val="24"/>
          <w:szCs w:val="24"/>
          <w:lang w:val="en-US"/>
        </w:rPr>
        <w:tab/>
      </w:r>
      <w:r>
        <w:rPr>
          <w:rFonts w:hint="default" w:ascii="Times New Roman" w:hAnsi="Times New Roman" w:cs="Times New Roman"/>
          <w:color w:val="0D0D0D"/>
          <w:sz w:val="24"/>
          <w:szCs w:val="24"/>
        </w:rPr>
        <w:t>fracture toughness. </w:t>
      </w:r>
      <w:r>
        <w:rPr>
          <w:rStyle w:val="31"/>
          <w:rFonts w:hint="default" w:ascii="Times New Roman" w:hAnsi="Times New Roman" w:cs="Times New Roman"/>
          <w:color w:val="0D0D0D"/>
          <w:sz w:val="24"/>
          <w:szCs w:val="24"/>
        </w:rPr>
        <w:t xml:space="preserve">International Journal of Rock Mechanics and Mining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Sciences</w:t>
      </w:r>
      <w:r>
        <w:rPr>
          <w:rFonts w:hint="default" w:ascii="Times New Roman" w:hAnsi="Times New Roman" w:cs="Times New Roman"/>
          <w:color w:val="0D0D0D"/>
          <w:sz w:val="24"/>
          <w:szCs w:val="24"/>
        </w:rPr>
        <w:t>, 130, 104370. </w:t>
      </w:r>
      <w:r>
        <w:rPr>
          <w:rFonts w:hint="default" w:ascii="Times New Roman" w:hAnsi="Times New Roman" w:cs="Times New Roman"/>
          <w:color w:val="2964AA"/>
          <w:sz w:val="24"/>
          <w:szCs w:val="24"/>
          <w:u w:val="none"/>
        </w:rPr>
        <w:t>https://doi.org/10.1016/j.ijrmms.2020.104370</w:t>
      </w:r>
    </w:p>
    <w:p w14:paraId="7017223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Singh, R., &amp; Verma, S. (2023). Effect of mineral fabric on the mechanical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56(1), 287–</w:t>
      </w:r>
      <w:r>
        <w:rPr>
          <w:rFonts w:hint="default" w:cs="Times New Roman"/>
          <w:color w:val="0D0D0D"/>
          <w:sz w:val="24"/>
          <w:szCs w:val="24"/>
          <w:lang w:val="en-US"/>
        </w:rPr>
        <w:tab/>
      </w:r>
      <w:r>
        <w:rPr>
          <w:rFonts w:hint="default" w:ascii="Times New Roman" w:hAnsi="Times New Roman" w:cs="Times New Roman"/>
          <w:color w:val="0D0D0D"/>
          <w:sz w:val="24"/>
          <w:szCs w:val="24"/>
        </w:rPr>
        <w:t>300. </w:t>
      </w:r>
      <w:r>
        <w:rPr>
          <w:rFonts w:hint="default" w:ascii="Times New Roman" w:hAnsi="Times New Roman" w:cs="Times New Roman"/>
          <w:color w:val="2964AA"/>
          <w:sz w:val="24"/>
          <w:szCs w:val="24"/>
          <w:u w:val="none"/>
        </w:rPr>
        <w:t>https://doi.org/10.1007/s00603-022-02856-4</w:t>
      </w:r>
    </w:p>
    <w:p w14:paraId="0E6D2DA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Smith, J., &amp; Brown, L. (2021). Microfracture evolution in pegmatitic rocks under </w:t>
      </w:r>
      <w:r>
        <w:rPr>
          <w:rFonts w:hint="default" w:cs="Times New Roman"/>
          <w:color w:val="0D0D0D"/>
          <w:sz w:val="24"/>
          <w:szCs w:val="24"/>
          <w:lang w:val="en-US"/>
        </w:rPr>
        <w:tab/>
      </w:r>
      <w:r>
        <w:rPr>
          <w:rFonts w:hint="default" w:ascii="Times New Roman" w:hAnsi="Times New Roman" w:cs="Times New Roman"/>
          <w:color w:val="0D0D0D"/>
          <w:sz w:val="24"/>
          <w:szCs w:val="24"/>
        </w:rPr>
        <w:t>uniaxial compression.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146, </w:t>
      </w:r>
      <w:r>
        <w:rPr>
          <w:rFonts w:hint="default" w:cs="Times New Roman"/>
          <w:color w:val="0D0D0D"/>
          <w:sz w:val="24"/>
          <w:szCs w:val="24"/>
          <w:lang w:val="en-US"/>
        </w:rPr>
        <w:tab/>
      </w:r>
      <w:r>
        <w:rPr>
          <w:rFonts w:hint="default" w:ascii="Times New Roman" w:hAnsi="Times New Roman" w:cs="Times New Roman"/>
          <w:color w:val="0D0D0D"/>
          <w:sz w:val="24"/>
          <w:szCs w:val="24"/>
        </w:rPr>
        <w:t>104309. </w:t>
      </w:r>
      <w:r>
        <w:rPr>
          <w:rFonts w:hint="default" w:ascii="Times New Roman" w:hAnsi="Times New Roman" w:cs="Times New Roman"/>
          <w:color w:val="2964AA"/>
          <w:sz w:val="24"/>
          <w:szCs w:val="24"/>
          <w:u w:val="none"/>
        </w:rPr>
        <w:t>https://doi.org/10.1016/j.jsg.2020.104309</w:t>
      </w:r>
    </w:p>
    <w:p w14:paraId="122C9C2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Sun, X., &amp; Zhang, Y. (2022). Laboratory testing of pegmatite tensile strength: Brazilian </w:t>
      </w:r>
      <w:r>
        <w:rPr>
          <w:rFonts w:hint="default" w:cs="Times New Roman"/>
          <w:color w:val="0D0D0D"/>
          <w:sz w:val="24"/>
          <w:szCs w:val="24"/>
          <w:lang w:val="en-US"/>
        </w:rPr>
        <w:tab/>
      </w:r>
      <w:r>
        <w:rPr>
          <w:rFonts w:hint="default" w:ascii="Times New Roman" w:hAnsi="Times New Roman" w:cs="Times New Roman"/>
          <w:color w:val="0D0D0D"/>
          <w:sz w:val="24"/>
          <w:szCs w:val="24"/>
        </w:rPr>
        <w:t>test and direct tension.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299, </w:t>
      </w:r>
      <w:r>
        <w:rPr>
          <w:rFonts w:hint="default" w:cs="Times New Roman"/>
          <w:color w:val="0D0D0D"/>
          <w:sz w:val="24"/>
          <w:szCs w:val="24"/>
          <w:lang w:val="en-US"/>
        </w:rPr>
        <w:tab/>
      </w:r>
      <w:r>
        <w:rPr>
          <w:rFonts w:hint="default" w:ascii="Times New Roman" w:hAnsi="Times New Roman" w:cs="Times New Roman"/>
          <w:color w:val="0D0D0D"/>
          <w:sz w:val="24"/>
          <w:szCs w:val="24"/>
        </w:rPr>
        <w:t>106614. </w:t>
      </w:r>
      <w:r>
        <w:rPr>
          <w:rFonts w:hint="default" w:ascii="Times New Roman" w:hAnsi="Times New Roman" w:cs="Times New Roman"/>
          <w:color w:val="2964AA"/>
          <w:sz w:val="24"/>
          <w:szCs w:val="24"/>
          <w:u w:val="none"/>
        </w:rPr>
        <w:t>https://doi.org/10.1016/j.enggeo.2021.106614</w:t>
      </w:r>
    </w:p>
    <w:p w14:paraId="6BD8BF5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Wang, M., &amp; Chen, L. (2020). Role of accessory minerals in the geotechnical properties </w:t>
      </w:r>
      <w:r>
        <w:rPr>
          <w:rFonts w:hint="default" w:cs="Times New Roman"/>
          <w:color w:val="0D0D0D"/>
          <w:sz w:val="24"/>
          <w:szCs w:val="24"/>
          <w:lang w:val="en-US"/>
        </w:rPr>
        <w:tab/>
      </w:r>
      <w:r>
        <w:rPr>
          <w:rFonts w:hint="default" w:ascii="Times New Roman" w:hAnsi="Times New Roman" w:cs="Times New Roman"/>
          <w:color w:val="0D0D0D"/>
          <w:sz w:val="24"/>
          <w:szCs w:val="24"/>
        </w:rPr>
        <w:t>of pegmatite. </w:t>
      </w:r>
      <w:r>
        <w:rPr>
          <w:rStyle w:val="31"/>
          <w:rFonts w:hint="default" w:ascii="Times New Roman" w:hAnsi="Times New Roman" w:cs="Times New Roman"/>
          <w:color w:val="0D0D0D"/>
          <w:sz w:val="24"/>
          <w:szCs w:val="24"/>
        </w:rPr>
        <w:t>Geoscience Frontiers</w:t>
      </w:r>
      <w:r>
        <w:rPr>
          <w:rFonts w:hint="default" w:ascii="Times New Roman" w:hAnsi="Times New Roman" w:cs="Times New Roman"/>
          <w:color w:val="0D0D0D"/>
          <w:sz w:val="24"/>
          <w:szCs w:val="24"/>
        </w:rPr>
        <w:t>, 11(3), 937–</w:t>
      </w:r>
      <w:r>
        <w:rPr>
          <w:rFonts w:hint="default" w:cs="Times New Roman"/>
          <w:color w:val="0D0D0D"/>
          <w:sz w:val="24"/>
          <w:szCs w:val="24"/>
          <w:lang w:val="en-US"/>
        </w:rPr>
        <w:tab/>
      </w:r>
      <w:r>
        <w:rPr>
          <w:rFonts w:hint="default" w:ascii="Times New Roman" w:hAnsi="Times New Roman" w:cs="Times New Roman"/>
          <w:color w:val="0D0D0D"/>
          <w:sz w:val="24"/>
          <w:szCs w:val="24"/>
        </w:rPr>
        <w:t>945. </w:t>
      </w:r>
      <w:r>
        <w:rPr>
          <w:rFonts w:hint="default" w:ascii="Times New Roman" w:hAnsi="Times New Roman" w:cs="Times New Roman"/>
          <w:color w:val="2964AA"/>
          <w:sz w:val="24"/>
          <w:szCs w:val="24"/>
          <w:u w:val="none"/>
        </w:rPr>
        <w:t>https://doi.org/10.1016/j.gsf.2019.07.002</w:t>
      </w:r>
    </w:p>
    <w:p w14:paraId="1418E92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White, A., &amp; Black, D. (2019). Influence of grain size on rock strength: Case of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pegmatite.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117, 104160. </w:t>
      </w:r>
      <w:r>
        <w:rPr>
          <w:rFonts w:hint="default" w:ascii="Times New Roman" w:hAnsi="Times New Roman" w:cs="Times New Roman"/>
          <w:color w:val="2964AA"/>
          <w:sz w:val="24"/>
          <w:szCs w:val="24"/>
          <w:u w:val="none"/>
        </w:rPr>
        <w:t>https://doi.org/10.1016/j.ijrmms.2019.104160</w:t>
      </w:r>
    </w:p>
    <w:p w14:paraId="42CC4BF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Wu, T., &amp; He, S. (2023). Effect of microfractures on strength and deformation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310, </w:t>
      </w:r>
      <w:r>
        <w:rPr>
          <w:rFonts w:hint="default" w:cs="Times New Roman"/>
          <w:color w:val="0D0D0D"/>
          <w:sz w:val="24"/>
          <w:szCs w:val="24"/>
          <w:lang w:val="en-US"/>
        </w:rPr>
        <w:tab/>
      </w:r>
      <w:r>
        <w:rPr>
          <w:rFonts w:hint="default" w:ascii="Times New Roman" w:hAnsi="Times New Roman" w:cs="Times New Roman"/>
          <w:color w:val="0D0D0D"/>
          <w:sz w:val="24"/>
          <w:szCs w:val="24"/>
        </w:rPr>
        <w:t>107294. </w:t>
      </w:r>
      <w:r>
        <w:rPr>
          <w:rFonts w:hint="default" w:ascii="Times New Roman" w:hAnsi="Times New Roman" w:cs="Times New Roman"/>
          <w:color w:val="2964AA"/>
          <w:sz w:val="24"/>
          <w:szCs w:val="24"/>
          <w:u w:val="none"/>
        </w:rPr>
        <w:t>https://doi.org/10.1016/j.enggeo.2023.107294</w:t>
      </w:r>
    </w:p>
    <w:p w14:paraId="1D0E353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Xu, J., &amp; Li, W. (2021). Experimental analysis of elastic moduli in pegmatitic rocks with </w:t>
      </w:r>
      <w:r>
        <w:rPr>
          <w:rFonts w:hint="default" w:cs="Times New Roman"/>
          <w:color w:val="0D0D0D"/>
          <w:sz w:val="24"/>
          <w:szCs w:val="24"/>
          <w:lang w:val="en-US"/>
        </w:rPr>
        <w:tab/>
      </w:r>
      <w:r>
        <w:rPr>
          <w:rFonts w:hint="default" w:ascii="Times New Roman" w:hAnsi="Times New Roman" w:cs="Times New Roman"/>
          <w:color w:val="0D0D0D"/>
          <w:sz w:val="24"/>
          <w:szCs w:val="24"/>
        </w:rPr>
        <w:t>varying mineralogy. </w:t>
      </w:r>
      <w:r>
        <w:rPr>
          <w:rStyle w:val="31"/>
          <w:rFonts w:hint="default" w:ascii="Times New Roman" w:hAnsi="Times New Roman" w:cs="Times New Roman"/>
          <w:color w:val="0D0D0D"/>
          <w:sz w:val="24"/>
          <w:szCs w:val="24"/>
        </w:rPr>
        <w:t>Journal of Rock Mechanics and Geotechnical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13(5), 1083–1092. </w:t>
      </w:r>
      <w:r>
        <w:rPr>
          <w:rFonts w:hint="default" w:ascii="Times New Roman" w:hAnsi="Times New Roman" w:cs="Times New Roman"/>
          <w:color w:val="2964AA"/>
          <w:sz w:val="24"/>
          <w:szCs w:val="24"/>
          <w:u w:val="none"/>
        </w:rPr>
        <w:t>https://doi.org/10.1016/j.jrmge.2021.04.010</w:t>
      </w:r>
    </w:p>
    <w:p w14:paraId="39E5A99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Yang, K., &amp; Zhao, F. (2020). Influence of mica-rich foliation on rock mass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272, </w:t>
      </w:r>
      <w:r>
        <w:rPr>
          <w:rFonts w:hint="default" w:cs="Times New Roman"/>
          <w:color w:val="0D0D0D"/>
          <w:sz w:val="24"/>
          <w:szCs w:val="24"/>
          <w:lang w:val="en-US"/>
        </w:rPr>
        <w:tab/>
      </w:r>
      <w:r>
        <w:rPr>
          <w:rFonts w:hint="default" w:ascii="Times New Roman" w:hAnsi="Times New Roman" w:cs="Times New Roman"/>
          <w:color w:val="0D0D0D"/>
          <w:sz w:val="24"/>
          <w:szCs w:val="24"/>
        </w:rPr>
        <w:t>105645. </w:t>
      </w:r>
      <w:r>
        <w:rPr>
          <w:rFonts w:hint="default" w:ascii="Times New Roman" w:hAnsi="Times New Roman" w:cs="Times New Roman"/>
          <w:color w:val="2964AA"/>
          <w:sz w:val="24"/>
          <w:szCs w:val="24"/>
          <w:u w:val="none"/>
        </w:rPr>
        <w:t>https://doi.org/10.1016/j.enggeo.2020.105645</w:t>
      </w:r>
    </w:p>
    <w:p w14:paraId="0776FB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Zhang, H., &amp; Wang, T. (2022). Correlating petrography and geotechnical behavior of </w:t>
      </w:r>
      <w:r>
        <w:rPr>
          <w:rFonts w:hint="default" w:cs="Times New Roman"/>
          <w:color w:val="0D0D0D"/>
          <w:sz w:val="24"/>
          <w:szCs w:val="24"/>
          <w:lang w:val="en-US"/>
        </w:rPr>
        <w:tab/>
      </w:r>
      <w:r>
        <w:rPr>
          <w:rFonts w:hint="default" w:ascii="Times New Roman" w:hAnsi="Times New Roman" w:cs="Times New Roman"/>
          <w:color w:val="0D0D0D"/>
          <w:sz w:val="24"/>
          <w:szCs w:val="24"/>
        </w:rPr>
        <w:t>pegmatite.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55(9), 3777–</w:t>
      </w:r>
      <w:r>
        <w:rPr>
          <w:rFonts w:hint="default" w:cs="Times New Roman"/>
          <w:color w:val="0D0D0D"/>
          <w:sz w:val="24"/>
          <w:szCs w:val="24"/>
          <w:lang w:val="en-US"/>
        </w:rPr>
        <w:tab/>
      </w:r>
      <w:r>
        <w:rPr>
          <w:rFonts w:hint="default" w:ascii="Times New Roman" w:hAnsi="Times New Roman" w:cs="Times New Roman"/>
          <w:color w:val="0D0D0D"/>
          <w:sz w:val="24"/>
          <w:szCs w:val="24"/>
        </w:rPr>
        <w:t>3790. </w:t>
      </w:r>
      <w:r>
        <w:rPr>
          <w:rFonts w:hint="default" w:ascii="Times New Roman" w:hAnsi="Times New Roman" w:cs="Times New Roman"/>
          <w:color w:val="2964AA"/>
          <w:sz w:val="24"/>
          <w:szCs w:val="24"/>
          <w:u w:val="none"/>
        </w:rPr>
        <w:t>https://doi.org/10.1007/s00603-022-02674-z</w:t>
      </w:r>
    </w:p>
    <w:p w14:paraId="36E893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Zhou, Y., &amp; Chen, J. (2023). Mechanical properties and failure mechanisms of mica-</w:t>
      </w:r>
      <w:r>
        <w:rPr>
          <w:rFonts w:hint="default" w:cs="Times New Roman"/>
          <w:color w:val="0D0D0D"/>
          <w:sz w:val="24"/>
          <w:szCs w:val="24"/>
          <w:lang w:val="en-US"/>
        </w:rPr>
        <w:tab/>
      </w:r>
      <w:r>
        <w:rPr>
          <w:rFonts w:hint="default" w:ascii="Times New Roman" w:hAnsi="Times New Roman" w:cs="Times New Roman"/>
          <w:color w:val="0D0D0D"/>
          <w:sz w:val="24"/>
          <w:szCs w:val="24"/>
        </w:rPr>
        <w:t>bearing rocks. </w:t>
      </w:r>
      <w:r>
        <w:rPr>
          <w:rStyle w:val="31"/>
          <w:rFonts w:hint="default" w:ascii="Times New Roman" w:hAnsi="Times New Roman" w:cs="Times New Roman"/>
          <w:color w:val="0D0D0D"/>
          <w:sz w:val="24"/>
          <w:szCs w:val="24"/>
        </w:rPr>
        <w:t>Geotechnical and Geological Engineering</w:t>
      </w:r>
      <w:r>
        <w:rPr>
          <w:rFonts w:hint="default" w:ascii="Times New Roman" w:hAnsi="Times New Roman" w:cs="Times New Roman"/>
          <w:color w:val="0D0D0D"/>
          <w:sz w:val="24"/>
          <w:szCs w:val="24"/>
        </w:rPr>
        <w:t>, 41(1), 345–</w:t>
      </w:r>
      <w:r>
        <w:rPr>
          <w:rFonts w:hint="default" w:cs="Times New Roman"/>
          <w:color w:val="0D0D0D"/>
          <w:sz w:val="24"/>
          <w:szCs w:val="24"/>
          <w:lang w:val="en-US"/>
        </w:rPr>
        <w:tab/>
      </w:r>
      <w:r>
        <w:rPr>
          <w:rFonts w:hint="default" w:ascii="Times New Roman" w:hAnsi="Times New Roman" w:cs="Times New Roman"/>
          <w:color w:val="0D0D0D"/>
          <w:sz w:val="24"/>
          <w:szCs w:val="24"/>
        </w:rPr>
        <w:t>359. </w:t>
      </w:r>
      <w:r>
        <w:rPr>
          <w:rFonts w:hint="default" w:ascii="Times New Roman" w:hAnsi="Times New Roman" w:cs="Times New Roman"/>
          <w:color w:val="2964AA"/>
          <w:sz w:val="24"/>
          <w:szCs w:val="24"/>
          <w:u w:val="none"/>
        </w:rPr>
        <w:t>https://doi.org/10.1007/s10706-022-02199-6</w:t>
      </w:r>
    </w:p>
    <w:p w14:paraId="2F26A5E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Zhuang, Q., &amp; Li, X. (2019). Strength anisotropy and microstructural controls in mica-</w:t>
      </w:r>
      <w:r>
        <w:rPr>
          <w:rFonts w:hint="default" w:cs="Times New Roman"/>
          <w:color w:val="0D0D0D"/>
          <w:sz w:val="24"/>
          <w:szCs w:val="24"/>
          <w:lang w:val="en-US"/>
        </w:rPr>
        <w:tab/>
      </w:r>
      <w:r>
        <w:rPr>
          <w:rFonts w:hint="default" w:ascii="Times New Roman" w:hAnsi="Times New Roman" w:cs="Times New Roman"/>
          <w:color w:val="0D0D0D"/>
          <w:sz w:val="24"/>
          <w:szCs w:val="24"/>
        </w:rPr>
        <w:t>rich pegmatites.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116, 104145. </w:t>
      </w:r>
      <w:r>
        <w:rPr>
          <w:rFonts w:hint="default" w:ascii="Times New Roman" w:hAnsi="Times New Roman" w:cs="Times New Roman"/>
          <w:color w:val="2964AA"/>
          <w:sz w:val="24"/>
          <w:szCs w:val="24"/>
          <w:u w:val="none"/>
        </w:rPr>
        <w:t>https://doi.org/10.1016/j.ijrmms.2019.104145</w:t>
      </w:r>
    </w:p>
    <w:p w14:paraId="26F5D60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489DC872">
      <w:pPr>
        <w:spacing w:line="360" w:lineRule="auto"/>
        <w:rPr>
          <w:rFonts w:hint="default" w:ascii="Times New Roman" w:hAnsi="Times New Roman" w:cs="Times New Roman"/>
          <w:sz w:val="24"/>
          <w:szCs w:val="24"/>
        </w:rPr>
      </w:pPr>
    </w:p>
    <w:p w14:paraId="73707C19">
      <w:pPr>
        <w:spacing w:line="360" w:lineRule="auto"/>
        <w:rPr>
          <w:rFonts w:hint="default" w:ascii="Times New Roman" w:hAnsi="Times New Roman" w:cs="Times New Roman"/>
          <w:sz w:val="24"/>
          <w:szCs w:val="24"/>
        </w:rPr>
      </w:pPr>
    </w:p>
    <w:p w14:paraId="6538CDC1">
      <w:pPr>
        <w:spacing w:after="0" w:line="360" w:lineRule="auto"/>
        <w:rPr>
          <w:rFonts w:hint="default" w:ascii="Times New Roman" w:hAnsi="Times New Roman" w:eastAsia="Calibri" w:cs="Times New Roman"/>
          <w:b/>
          <w:sz w:val="24"/>
          <w:szCs w:val="24"/>
        </w:rPr>
      </w:pPr>
    </w:p>
    <w:p w14:paraId="1F400BA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p>
    <w:sectPr>
      <w:footerReference r:id="rId5" w:type="default"/>
      <w:pgSz w:w="11906" w:h="16838"/>
      <w:pgMar w:top="1440" w:right="1440" w:bottom="1440" w:left="1872" w:header="720" w:footer="1152"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1063">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9B27D">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389B27D">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2A26AA91"/>
    <w:multiLevelType w:val="singleLevel"/>
    <w:tmpl w:val="2A26AA91"/>
    <w:lvl w:ilvl="0" w:tentative="0">
      <w:start w:val="1"/>
      <w:numFmt w:val="lowerRoman"/>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0301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63BB9"/>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C37F25"/>
    <w:rsid w:val="03FB0C2B"/>
    <w:rsid w:val="04C223B8"/>
    <w:rsid w:val="05E83882"/>
    <w:rsid w:val="0BDD3E5C"/>
    <w:rsid w:val="0C96069F"/>
    <w:rsid w:val="0FAD6545"/>
    <w:rsid w:val="13200AEC"/>
    <w:rsid w:val="16985123"/>
    <w:rsid w:val="16AD73D4"/>
    <w:rsid w:val="17EC3205"/>
    <w:rsid w:val="1C421041"/>
    <w:rsid w:val="1D2534CD"/>
    <w:rsid w:val="2A0C1C0E"/>
    <w:rsid w:val="2CD07424"/>
    <w:rsid w:val="2F810D19"/>
    <w:rsid w:val="33230011"/>
    <w:rsid w:val="33E24CF9"/>
    <w:rsid w:val="35C14A63"/>
    <w:rsid w:val="371226CD"/>
    <w:rsid w:val="384A3EFF"/>
    <w:rsid w:val="39322433"/>
    <w:rsid w:val="39982399"/>
    <w:rsid w:val="3EEA6C04"/>
    <w:rsid w:val="46B4048E"/>
    <w:rsid w:val="489659CD"/>
    <w:rsid w:val="4A35599C"/>
    <w:rsid w:val="4C8D2CCC"/>
    <w:rsid w:val="4DF27779"/>
    <w:rsid w:val="4F1A65BC"/>
    <w:rsid w:val="53171DDA"/>
    <w:rsid w:val="5CAF3F0C"/>
    <w:rsid w:val="62C274EB"/>
    <w:rsid w:val="653318E7"/>
    <w:rsid w:val="6CF03873"/>
    <w:rsid w:val="6DFF6D02"/>
    <w:rsid w:val="7090301C"/>
    <w:rsid w:val="70B23CE4"/>
    <w:rsid w:val="7531162A"/>
    <w:rsid w:val="75650212"/>
    <w:rsid w:val="78003D11"/>
    <w:rsid w:val="7B7F47F5"/>
    <w:rsid w:val="7EC149C2"/>
    <w:rsid w:val="7FC4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_Style 248"/>
    <w:basedOn w:val="1"/>
    <w:next w:val="1"/>
    <w:qFormat/>
    <w:uiPriority w:val="0"/>
    <w:pPr>
      <w:pBdr>
        <w:bottom w:val="single" w:color="auto" w:sz="6" w:space="1"/>
      </w:pBdr>
      <w:jc w:val="center"/>
    </w:pPr>
    <w:rPr>
      <w:rFonts w:ascii="Arial" w:eastAsia="SimSun"/>
      <w:vanish/>
      <w:sz w:val="16"/>
    </w:rPr>
  </w:style>
  <w:style w:type="paragraph" w:customStyle="1" w:styleId="250">
    <w:name w:val="_Style 249"/>
    <w:basedOn w:val="1"/>
    <w:next w:val="1"/>
    <w:qFormat/>
    <w:uiPriority w:val="0"/>
    <w:pPr>
      <w:pBdr>
        <w:top w:val="single" w:color="auto" w:sz="6" w:space="1"/>
      </w:pBdr>
      <w:jc w:val="center"/>
    </w:pPr>
    <w:rPr>
      <w:rFonts w:ascii="Arial" w:eastAsia="SimSun"/>
      <w:vanish/>
      <w:sz w:val="16"/>
    </w:rPr>
  </w:style>
  <w:style w:type="paragraph" w:customStyle="1" w:styleId="251">
    <w:name w:val="_Style 250"/>
    <w:basedOn w:val="1"/>
    <w:next w:val="1"/>
    <w:qFormat/>
    <w:uiPriority w:val="0"/>
    <w:pPr>
      <w:pBdr>
        <w:bottom w:val="single" w:color="auto" w:sz="6" w:space="1"/>
      </w:pBdr>
      <w:jc w:val="center"/>
    </w:pPr>
    <w:rPr>
      <w:rFonts w:ascii="Arial" w:eastAsia="SimSun"/>
      <w:vanish/>
      <w:sz w:val="16"/>
    </w:rPr>
  </w:style>
  <w:style w:type="paragraph" w:customStyle="1" w:styleId="252">
    <w:name w:val="_Style 251"/>
    <w:basedOn w:val="1"/>
    <w:next w:val="1"/>
    <w:qFormat/>
    <w:uiPriority w:val="0"/>
    <w:pPr>
      <w:pBdr>
        <w:top w:val="single" w:color="auto" w:sz="6" w:space="1"/>
      </w:pBdr>
      <w:jc w:val="center"/>
    </w:pPr>
    <w:rPr>
      <w:rFonts w:ascii="Arial" w:eastAsia="SimSun"/>
      <w:vanish/>
      <w:sz w:val="16"/>
    </w:rPr>
  </w:style>
  <w:style w:type="paragraph" w:styleId="25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Sheet2!$B$1</c:f>
              <c:strCache>
                <c:ptCount val="1"/>
                <c:pt idx="0">
                  <c:v/>
                </c:pt>
              </c:strCache>
            </c:strRef>
          </c:tx>
          <c:dLbls>
            <c:delete val="1"/>
          </c:dLbls>
          <c:trendline>
            <c:trendlineType val="linear"/>
            <c:dispRSqr val="1"/>
            <c:dispEq val="0"/>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trendline>
            <c:trendlineType val="linear"/>
            <c:dispRSqr val="0"/>
            <c:dispEq val="1"/>
            <c:trendlineLbl>
              <c:layout>
                <c:manualLayout>
                  <c:x val="-0.0916251093613299"/>
                  <c:y val="-0.111964129483815"/>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Sheet2!$A$2:$A$4</c:f>
              <c:numCache>
                <c:formatCode>General</c:formatCode>
                <c:ptCount val="3"/>
                <c:pt idx="0">
                  <c:v>2.68</c:v>
                </c:pt>
                <c:pt idx="1">
                  <c:v>2.71</c:v>
                </c:pt>
                <c:pt idx="2">
                  <c:v>2.83</c:v>
                </c:pt>
              </c:numCache>
            </c:numRef>
          </c:xVal>
          <c:yVal>
            <c:numRef>
              <c:f>Sheet2!$B$2:$B$4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6017152"/>
        <c:axId val="86019072"/>
      </c:scatterChart>
      <c:valAx>
        <c:axId val="860171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9072"/>
        <c:crosses val="autoZero"/>
        <c:crossBetween val="midCat"/>
      </c:valAx>
      <c:valAx>
        <c:axId val="86019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715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5f2e71c-a126-46a1-a892-1e1a57faca84}"/>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Sheet1!$B$1</c:f>
              <c:strCache>
                <c:ptCount val="1"/>
                <c:pt idx="0">
                  <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Sheet1!$A$2:$A$4</c:f>
              <c:numCache>
                <c:formatCode>General</c:formatCode>
                <c:ptCount val="3"/>
                <c:pt idx="0">
                  <c:v>18.2</c:v>
                </c:pt>
                <c:pt idx="1">
                  <c:v>15.4</c:v>
                </c:pt>
                <c:pt idx="2">
                  <c:v>14.6</c:v>
                </c:pt>
              </c:numCache>
            </c:numRef>
          </c:xVal>
          <c:yVal>
            <c:numRef>
              <c:f>Sheet1!$B$2:$B$4</c:f>
              <c:numCache>
                <c:formatCode>General</c:formatCode>
                <c:ptCount val="3"/>
                <c:pt idx="0">
                  <c:v>0</c:v>
                </c:pt>
                <c:pt idx="1">
                  <c:v>1.89</c:v>
                </c:pt>
                <c:pt idx="2">
                  <c:v>1.95</c:v>
                </c:pt>
              </c:numCache>
            </c:numRef>
          </c:yVal>
          <c:smooth val="1"/>
        </c:ser>
        <c:dLbls>
          <c:showLegendKey val="0"/>
          <c:showVal val="0"/>
          <c:showCatName val="0"/>
          <c:showSerName val="0"/>
          <c:showPercent val="0"/>
          <c:showBubbleSize val="0"/>
        </c:dLbls>
        <c:axId val="118473472"/>
        <c:axId val="129860736"/>
      </c:scatterChart>
      <c:valAx>
        <c:axId val="118473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9860736"/>
        <c:crosses val="autoZero"/>
        <c:crossBetween val="midCat"/>
      </c:valAx>
      <c:valAx>
        <c:axId val="129860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47347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e59058b-dc7d-407c-94c0-7ddf13a28681}"/>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Sheet3!$B$1</c:f>
              <c:strCache>
                <c:ptCount val="1"/>
                <c:pt idx="0">
                  <c:v>mdd</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Sheet3!$A$2:$A$4</c:f>
              <c:numCache>
                <c:formatCode>General</c:formatCode>
                <c:ptCount val="3"/>
                <c:pt idx="0">
                  <c:v>31.1</c:v>
                </c:pt>
                <c:pt idx="1">
                  <c:v>27.3</c:v>
                </c:pt>
                <c:pt idx="2">
                  <c:v>24.8</c:v>
                </c:pt>
              </c:numCache>
            </c:numRef>
          </c:xVal>
          <c:yVal>
            <c:numRef>
              <c:f>Sheet3!$B$2:$B$4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0466304"/>
        <c:axId val="80467840"/>
      </c:scatterChart>
      <c:valAx>
        <c:axId val="8046630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7840"/>
        <c:crosses val="autoZero"/>
        <c:crossBetween val="midCat"/>
      </c:valAx>
      <c:valAx>
        <c:axId val="80467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6304"/>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295f82e-79fc-4d0e-a03a-5e757ec21ca2}"/>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Sheet4!$B$1</c:f>
              <c:strCache>
                <c:ptCount val="1"/>
                <c:pt idx="0">
                  <c:v>omc</c:v>
                </c:pt>
              </c:strCache>
            </c:strRef>
          </c:tx>
          <c:dLbls>
            <c:delete val="1"/>
          </c:dLbls>
          <c:trendline>
            <c:trendlineType val="linear"/>
            <c:dispRSqr val="1"/>
            <c:dispEq val="1"/>
            <c:trendlineLbl>
              <c:layout>
                <c:manualLayout>
                  <c:x val="-0.0576069553805774"/>
                  <c:y val="0.19117198891805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Sheet4!$A$2:$A$4</c:f>
              <c:numCache>
                <c:formatCode>General</c:formatCode>
                <c:ptCount val="3"/>
                <c:pt idx="0">
                  <c:v>2.68</c:v>
                </c:pt>
                <c:pt idx="1">
                  <c:v>2.71</c:v>
                </c:pt>
                <c:pt idx="2">
                  <c:v>2.83</c:v>
                </c:pt>
              </c:numCache>
            </c:numRef>
          </c:xVal>
          <c:yVal>
            <c:numRef>
              <c:f>Sheet4!$B$2:$B$4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697216"/>
        <c:axId val="80698752"/>
      </c:scatterChart>
      <c:valAx>
        <c:axId val="806972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8752"/>
        <c:crosses val="autoZero"/>
        <c:crossBetween val="midCat"/>
      </c:valAx>
      <c:valAx>
        <c:axId val="806987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721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a728433-1686-44fa-8353-e5417e9459f4}"/>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Sheet5!$B$1</c:f>
              <c:strCache>
                <c:ptCount val="1"/>
                <c:pt idx="0">
                  <c:v/>
                </c:pt>
              </c:strCache>
            </c:strRef>
          </c:tx>
          <c:dLbls>
            <c:delete val="1"/>
          </c:dLbls>
          <c:trendline>
            <c:trendlineType val="linear"/>
            <c:dispRSqr val="1"/>
            <c:dispEq val="1"/>
            <c:trendlineLbl>
              <c:layout>
                <c:manualLayout>
                  <c:x val="-0.273969160104987"/>
                  <c:y val="-0.083692403032954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Sheet5!$A$2:$A$4</c:f>
              <c:numCache>
                <c:formatCode>General</c:formatCode>
                <c:ptCount val="3"/>
                <c:pt idx="0">
                  <c:v>18.2</c:v>
                </c:pt>
                <c:pt idx="1">
                  <c:v>15.4</c:v>
                </c:pt>
                <c:pt idx="2">
                  <c:v>14.6</c:v>
                </c:pt>
              </c:numCache>
            </c:numRef>
          </c:xVal>
          <c:yVal>
            <c:numRef>
              <c:f>Sheet5!$B$2:$B$4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26368"/>
        <c:axId val="80827904"/>
      </c:scatterChart>
      <c:valAx>
        <c:axId val="808263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7904"/>
        <c:crosses val="autoZero"/>
        <c:crossBetween val="midCat"/>
      </c:valAx>
      <c:valAx>
        <c:axId val="80827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6368"/>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7aa78c3-f240-4035-9f74-5b11ca9d9e65}"/>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dLbls>
            <c:delete val="1"/>
          </c:dLbls>
          <c:trendline>
            <c:trendlineType val="linear"/>
            <c:dispRSqr val="1"/>
            <c:dispEq val="1"/>
            <c:trendlineLbl>
              <c:layout>
                <c:manualLayout>
                  <c:x val="-0.12726968503937"/>
                  <c:y val="0.26341426071741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Sheet6!$A$2:$A$4</c:f>
              <c:numCache>
                <c:formatCode>General</c:formatCode>
                <c:ptCount val="3"/>
                <c:pt idx="0">
                  <c:v>31.1</c:v>
                </c:pt>
                <c:pt idx="1">
                  <c:v>27.3</c:v>
                </c:pt>
                <c:pt idx="2">
                  <c:v>24.8</c:v>
                </c:pt>
              </c:numCache>
            </c:numRef>
          </c:xVal>
          <c:yVal>
            <c:numRef>
              <c:f>Sheet6!$B$2:$B$4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61056"/>
        <c:axId val="80862592"/>
      </c:scatterChart>
      <c:valAx>
        <c:axId val="808610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2592"/>
        <c:crosses val="autoZero"/>
        <c:crossBetween val="midCat"/>
      </c:valAx>
      <c:valAx>
        <c:axId val="80862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105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dd0f19-9d21-44d3-930f-5a0f988ccf6a}"/>
      </c:ext>
    </c:extLst>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2025-05-27T07:41:00Z</dcterms:created>
  <dc:creator>khan</dc:creator>
  <cp:lastModifiedBy>IBRAHIM ABDULWAHEED LABE</cp:lastModifiedBy>
  <cp:lastPrinted>2025-08-11T12:41:00Z</cp:lastPrinted>
  <dcterms:modified xsi:type="dcterms:W3CDTF">2025-08-13T13:16:28Z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2FF2A93DE08C4F63B978F3E17F8F48DE_11</vt:lpwstr>
  </property>
</Properties>
</file>