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rawings/drawing3.xml" ContentType="application/vnd.openxmlformats-officedocument.drawingml.chartshapes+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CE4" w:rsidRPr="00CF514E" w:rsidRDefault="00775655" w:rsidP="00207CE4">
      <w:pPr>
        <w:spacing w:after="0" w:line="480" w:lineRule="auto"/>
        <w:jc w:val="center"/>
        <w:rPr>
          <w:rFonts w:ascii="Arial Black" w:hAnsi="Arial Black" w:cs="Times New Roman"/>
          <w:b/>
          <w:sz w:val="28"/>
          <w:szCs w:val="28"/>
        </w:rPr>
      </w:pPr>
      <w:r w:rsidRPr="00CF514E">
        <w:rPr>
          <w:rFonts w:ascii="Arial Black" w:hAnsi="Arial Black" w:cs="Times New Roman"/>
          <w:b/>
          <w:sz w:val="28"/>
          <w:szCs w:val="28"/>
        </w:rPr>
        <w:t>HYDROCHEMICAL CHARACTERISTICS OF GROUNDWATER OF PARTS OF ILORIN SOUTHWESTERN, NIGERIA</w:t>
      </w:r>
    </w:p>
    <w:p w:rsidR="00CF514E" w:rsidRDefault="00CF514E" w:rsidP="00CF514E">
      <w:pPr>
        <w:jc w:val="center"/>
        <w:rPr>
          <w:rFonts w:ascii="Arial Black" w:hAnsi="Arial Black"/>
          <w:b/>
          <w:sz w:val="28"/>
          <w:szCs w:val="36"/>
        </w:rPr>
      </w:pPr>
    </w:p>
    <w:p w:rsidR="00CF514E" w:rsidRDefault="00CF514E" w:rsidP="00CF514E">
      <w:pPr>
        <w:jc w:val="center"/>
        <w:rPr>
          <w:rFonts w:ascii="Arial Black" w:hAnsi="Arial Black"/>
          <w:b/>
          <w:sz w:val="28"/>
          <w:szCs w:val="36"/>
        </w:rPr>
      </w:pPr>
    </w:p>
    <w:p w:rsidR="00CF514E" w:rsidRPr="00487BC9" w:rsidRDefault="00CF514E" w:rsidP="00CF514E">
      <w:pPr>
        <w:jc w:val="center"/>
        <w:rPr>
          <w:rFonts w:ascii="Arial Black" w:hAnsi="Arial Black"/>
          <w:b/>
          <w:sz w:val="28"/>
          <w:szCs w:val="36"/>
        </w:rPr>
      </w:pPr>
      <w:r w:rsidRPr="00487BC9">
        <w:rPr>
          <w:rFonts w:ascii="Arial Black" w:hAnsi="Arial Black"/>
          <w:b/>
          <w:sz w:val="28"/>
          <w:szCs w:val="36"/>
        </w:rPr>
        <w:t>BY:</w:t>
      </w:r>
    </w:p>
    <w:p w:rsidR="00CF514E" w:rsidRPr="0049104C" w:rsidRDefault="003137CA" w:rsidP="00CF514E">
      <w:pPr>
        <w:jc w:val="center"/>
        <w:rPr>
          <w:rFonts w:ascii="Arial Black" w:hAnsi="Arial Black"/>
          <w:sz w:val="28"/>
          <w:szCs w:val="28"/>
        </w:rPr>
      </w:pPr>
      <w:proofErr w:type="spellStart"/>
      <w:r>
        <w:rPr>
          <w:rFonts w:ascii="Arial Black" w:hAnsi="Arial Black"/>
          <w:sz w:val="28"/>
          <w:szCs w:val="28"/>
        </w:rPr>
        <w:t>Adeolu</w:t>
      </w:r>
      <w:proofErr w:type="spellEnd"/>
      <w:r>
        <w:rPr>
          <w:rFonts w:ascii="Arial Black" w:hAnsi="Arial Black"/>
          <w:sz w:val="28"/>
          <w:szCs w:val="28"/>
        </w:rPr>
        <w:t xml:space="preserve"> Nathaniel BABATUNDE</w:t>
      </w:r>
    </w:p>
    <w:p w:rsidR="00CF514E" w:rsidRPr="0049104C" w:rsidRDefault="00EF0CC0" w:rsidP="00CF514E">
      <w:pPr>
        <w:jc w:val="center"/>
        <w:rPr>
          <w:rFonts w:ascii="Arial Black" w:hAnsi="Arial Black"/>
          <w:sz w:val="28"/>
          <w:szCs w:val="28"/>
        </w:rPr>
      </w:pPr>
      <w:bookmarkStart w:id="0" w:name="_GoBack"/>
      <w:r>
        <w:rPr>
          <w:rFonts w:ascii="Arial Black" w:hAnsi="Arial Black"/>
          <w:sz w:val="28"/>
          <w:szCs w:val="28"/>
        </w:rPr>
        <w:t>ND/23/MPE/F</w:t>
      </w:r>
      <w:r w:rsidR="00527140">
        <w:rPr>
          <w:rFonts w:ascii="Arial Black" w:hAnsi="Arial Black"/>
          <w:sz w:val="28"/>
          <w:szCs w:val="28"/>
        </w:rPr>
        <w:t>T/</w:t>
      </w:r>
      <w:r w:rsidR="00FD7401">
        <w:rPr>
          <w:rFonts w:ascii="Arial Black" w:hAnsi="Arial Black"/>
          <w:sz w:val="28"/>
          <w:szCs w:val="28"/>
        </w:rPr>
        <w:t>00</w:t>
      </w:r>
      <w:r w:rsidR="003137CA">
        <w:rPr>
          <w:rFonts w:ascii="Arial Black" w:hAnsi="Arial Black"/>
          <w:sz w:val="28"/>
          <w:szCs w:val="28"/>
        </w:rPr>
        <w:t>48</w:t>
      </w:r>
      <w:bookmarkEnd w:id="0"/>
    </w:p>
    <w:p w:rsidR="00CF514E" w:rsidRDefault="00CF514E" w:rsidP="00CF514E">
      <w:pPr>
        <w:jc w:val="center"/>
        <w:rPr>
          <w:rFonts w:ascii="Arial Black" w:hAnsi="Arial Black"/>
          <w:sz w:val="28"/>
          <w:szCs w:val="28"/>
        </w:rPr>
      </w:pPr>
    </w:p>
    <w:p w:rsidR="00CF514E" w:rsidRPr="00EB39EB" w:rsidRDefault="00CF514E" w:rsidP="00CF514E">
      <w:pPr>
        <w:jc w:val="center"/>
        <w:rPr>
          <w:rFonts w:ascii="Arial Black" w:hAnsi="Arial Black"/>
          <w:sz w:val="28"/>
          <w:szCs w:val="28"/>
        </w:rPr>
      </w:pPr>
    </w:p>
    <w:p w:rsidR="00CF514E" w:rsidRDefault="00CF514E" w:rsidP="00CF514E">
      <w:pPr>
        <w:spacing w:line="360" w:lineRule="auto"/>
        <w:jc w:val="center"/>
        <w:rPr>
          <w:rFonts w:ascii="Arial Black" w:hAnsi="Arial Black"/>
          <w:b/>
          <w:sz w:val="28"/>
          <w:szCs w:val="32"/>
        </w:rPr>
      </w:pPr>
      <w:r w:rsidRPr="00704FEC">
        <w:rPr>
          <w:rFonts w:ascii="Arial Black" w:hAnsi="Arial Black"/>
          <w:b/>
          <w:sz w:val="28"/>
          <w:szCs w:val="32"/>
        </w:rPr>
        <w:t xml:space="preserve">BEING A RESEARCH PROJECT SUBMITTED TO </w:t>
      </w:r>
      <w:r>
        <w:rPr>
          <w:rFonts w:ascii="Arial Black" w:hAnsi="Arial Black"/>
          <w:b/>
          <w:sz w:val="28"/>
          <w:szCs w:val="32"/>
        </w:rPr>
        <w:t xml:space="preserve">THE </w:t>
      </w:r>
      <w:r w:rsidRPr="00704FEC">
        <w:rPr>
          <w:rFonts w:ascii="Arial Black" w:hAnsi="Arial Black"/>
          <w:b/>
          <w:sz w:val="28"/>
          <w:szCs w:val="32"/>
        </w:rPr>
        <w:t xml:space="preserve">DEPARTMENT OF </w:t>
      </w:r>
      <w:r>
        <w:rPr>
          <w:rFonts w:ascii="Arial Black" w:hAnsi="Arial Black"/>
          <w:b/>
          <w:sz w:val="28"/>
          <w:szCs w:val="32"/>
        </w:rPr>
        <w:t>MINERAL AND PETROLEUM RESOURCES ENGINEERING</w:t>
      </w:r>
      <w:r w:rsidRPr="00704FEC">
        <w:rPr>
          <w:rFonts w:ascii="Arial Black" w:hAnsi="Arial Black"/>
          <w:b/>
          <w:sz w:val="28"/>
          <w:szCs w:val="32"/>
        </w:rPr>
        <w:t xml:space="preserve">, INSTITUTE OF </w:t>
      </w:r>
      <w:r>
        <w:rPr>
          <w:rFonts w:ascii="Arial Black" w:hAnsi="Arial Black"/>
          <w:b/>
          <w:sz w:val="28"/>
          <w:szCs w:val="32"/>
        </w:rPr>
        <w:t>TECHNOLOGY</w:t>
      </w:r>
      <w:r w:rsidRPr="00704FEC">
        <w:rPr>
          <w:rFonts w:ascii="Arial Black" w:hAnsi="Arial Black"/>
          <w:b/>
          <w:sz w:val="28"/>
          <w:szCs w:val="32"/>
        </w:rPr>
        <w:t>, KWARA STATE POLYTECHNIC, ILORIN</w:t>
      </w:r>
    </w:p>
    <w:p w:rsidR="00CF514E" w:rsidRPr="00704FEC" w:rsidRDefault="00CF514E" w:rsidP="00CF514E">
      <w:pPr>
        <w:spacing w:line="360" w:lineRule="auto"/>
        <w:jc w:val="center"/>
        <w:rPr>
          <w:rFonts w:ascii="Arial Black" w:hAnsi="Arial Black"/>
          <w:b/>
          <w:sz w:val="28"/>
          <w:szCs w:val="32"/>
        </w:rPr>
      </w:pPr>
    </w:p>
    <w:p w:rsidR="00CF514E" w:rsidRPr="00704FEC" w:rsidRDefault="00CF514E" w:rsidP="00CF514E">
      <w:pPr>
        <w:spacing w:line="360" w:lineRule="auto"/>
        <w:jc w:val="center"/>
        <w:rPr>
          <w:rFonts w:ascii="Arial Black" w:hAnsi="Arial Black"/>
          <w:b/>
          <w:sz w:val="28"/>
          <w:szCs w:val="32"/>
        </w:rPr>
      </w:pPr>
      <w:r w:rsidRPr="00704FEC">
        <w:rPr>
          <w:rFonts w:ascii="Arial Black" w:hAnsi="Arial Black"/>
          <w:b/>
          <w:sz w:val="28"/>
          <w:szCs w:val="32"/>
        </w:rPr>
        <w:t xml:space="preserve">IN PARTIAL FULFILLMENT OF THE REQUIREMENT FOR THE AWARD OF </w:t>
      </w:r>
      <w:r>
        <w:rPr>
          <w:rFonts w:ascii="Arial Black" w:hAnsi="Arial Black"/>
          <w:b/>
          <w:sz w:val="28"/>
          <w:szCs w:val="32"/>
        </w:rPr>
        <w:t xml:space="preserve">NATIONAL DIPLOMA (ND) </w:t>
      </w:r>
      <w:r w:rsidRPr="00704FEC">
        <w:rPr>
          <w:rFonts w:ascii="Arial Black" w:hAnsi="Arial Black"/>
          <w:b/>
          <w:sz w:val="28"/>
          <w:szCs w:val="32"/>
        </w:rPr>
        <w:t xml:space="preserve">IN </w:t>
      </w:r>
      <w:r>
        <w:rPr>
          <w:rFonts w:ascii="Arial Black" w:hAnsi="Arial Black"/>
          <w:b/>
          <w:sz w:val="28"/>
          <w:szCs w:val="32"/>
        </w:rPr>
        <w:t>MINERAL AND PETROLEUM RESOURCES ENGINEERING</w:t>
      </w:r>
    </w:p>
    <w:p w:rsidR="00CF514E" w:rsidRDefault="00CF514E" w:rsidP="00CF514E">
      <w:pPr>
        <w:spacing w:after="0" w:line="360" w:lineRule="auto"/>
        <w:ind w:left="5040" w:firstLine="720"/>
        <w:jc w:val="center"/>
        <w:rPr>
          <w:rFonts w:ascii="Arial Black" w:hAnsi="Arial Black"/>
          <w:b/>
          <w:sz w:val="28"/>
          <w:szCs w:val="36"/>
        </w:rPr>
      </w:pPr>
    </w:p>
    <w:p w:rsidR="00CF514E" w:rsidRDefault="00CF514E" w:rsidP="00CF514E">
      <w:pPr>
        <w:spacing w:after="0" w:line="360" w:lineRule="auto"/>
        <w:ind w:left="5040" w:firstLine="720"/>
        <w:jc w:val="center"/>
        <w:rPr>
          <w:rFonts w:ascii="Arial Black" w:hAnsi="Arial Black"/>
          <w:b/>
          <w:sz w:val="28"/>
          <w:szCs w:val="36"/>
        </w:rPr>
      </w:pPr>
    </w:p>
    <w:p w:rsidR="00CF514E" w:rsidRDefault="00CF514E" w:rsidP="00CF514E">
      <w:pPr>
        <w:spacing w:after="0" w:line="360" w:lineRule="auto"/>
        <w:ind w:left="5760" w:firstLine="720"/>
        <w:rPr>
          <w:rFonts w:ascii="Times New Roman" w:hAnsi="Times New Roman"/>
          <w:b/>
        </w:rPr>
      </w:pPr>
      <w:r>
        <w:rPr>
          <w:rFonts w:ascii="Arial Black" w:hAnsi="Arial Black"/>
          <w:b/>
          <w:sz w:val="28"/>
          <w:szCs w:val="36"/>
        </w:rPr>
        <w:t>AUGUST</w:t>
      </w:r>
      <w:r w:rsidRPr="00487BC9">
        <w:rPr>
          <w:rFonts w:ascii="Arial Black" w:hAnsi="Arial Black"/>
          <w:b/>
          <w:sz w:val="28"/>
          <w:szCs w:val="36"/>
        </w:rPr>
        <w:t>, 2025.</w:t>
      </w:r>
    </w:p>
    <w:p w:rsidR="00CF514E" w:rsidRDefault="00CF514E" w:rsidP="00CF514E">
      <w:pPr>
        <w:spacing w:after="0" w:line="480" w:lineRule="auto"/>
        <w:jc w:val="center"/>
        <w:rPr>
          <w:rFonts w:ascii="Times New Roman" w:hAnsi="Times New Roman"/>
          <w:b/>
        </w:rPr>
      </w:pPr>
    </w:p>
    <w:p w:rsidR="00CF514E" w:rsidRPr="0098551C" w:rsidRDefault="003137CA" w:rsidP="00CF514E">
      <w:pPr>
        <w:spacing w:after="0" w:line="480" w:lineRule="auto"/>
        <w:jc w:val="both"/>
        <w:rPr>
          <w:rFonts w:ascii="Times New Roman" w:hAnsi="Times New Roman"/>
          <w:i/>
        </w:rPr>
      </w:pPr>
      <w:r>
        <w:rPr>
          <w:rFonts w:ascii="Times New Roman" w:hAnsi="Times New Roman"/>
          <w:i/>
          <w:noProof/>
        </w:rPr>
        <w:lastRenderedPageBreak/>
        <w:drawing>
          <wp:anchor distT="0" distB="0" distL="114300" distR="114300" simplePos="0" relativeHeight="251686912" behindDoc="1" locked="0" layoutInCell="1" allowOverlap="1">
            <wp:simplePos x="0" y="0"/>
            <wp:positionH relativeFrom="column">
              <wp:posOffset>-288290</wp:posOffset>
            </wp:positionH>
            <wp:positionV relativeFrom="paragraph">
              <wp:posOffset>0</wp:posOffset>
            </wp:positionV>
            <wp:extent cx="6021705" cy="8841105"/>
            <wp:effectExtent l="0" t="0" r="0" b="0"/>
            <wp:wrapTight wrapText="bothSides">
              <wp:wrapPolygon edited="0">
                <wp:start x="0" y="0"/>
                <wp:lineTo x="0" y="21549"/>
                <wp:lineTo x="21525" y="21549"/>
                <wp:lineTo x="21525"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50813_14071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21705" cy="8841105"/>
                    </a:xfrm>
                    <a:prstGeom prst="rect">
                      <a:avLst/>
                    </a:prstGeom>
                  </pic:spPr>
                </pic:pic>
              </a:graphicData>
            </a:graphic>
            <wp14:sizeRelH relativeFrom="page">
              <wp14:pctWidth>0</wp14:pctWidth>
            </wp14:sizeRelH>
            <wp14:sizeRelV relativeFrom="page">
              <wp14:pctHeight>0</wp14:pctHeight>
            </wp14:sizeRelV>
          </wp:anchor>
        </w:drawing>
      </w:r>
      <w:r w:rsidR="00CF514E">
        <w:rPr>
          <w:rFonts w:ascii="Times New Roman" w:hAnsi="Times New Roman"/>
          <w:i/>
        </w:rPr>
        <w:tab/>
      </w:r>
      <w:r w:rsidR="00CF514E">
        <w:rPr>
          <w:rFonts w:ascii="Times New Roman" w:hAnsi="Times New Roman"/>
          <w:i/>
        </w:rPr>
        <w:tab/>
      </w:r>
      <w:r w:rsidR="00CF514E">
        <w:rPr>
          <w:rFonts w:ascii="Times New Roman" w:hAnsi="Times New Roman"/>
          <w:i/>
        </w:rPr>
        <w:tab/>
      </w:r>
      <w:r w:rsidR="00CF514E">
        <w:rPr>
          <w:rFonts w:ascii="Times New Roman" w:hAnsi="Times New Roman"/>
          <w:i/>
        </w:rPr>
        <w:tab/>
      </w:r>
      <w:r w:rsidR="00CF514E">
        <w:rPr>
          <w:rFonts w:ascii="Times New Roman" w:hAnsi="Times New Roman"/>
          <w:i/>
        </w:rPr>
        <w:tab/>
        <w:t xml:space="preserve">         </w:t>
      </w:r>
    </w:p>
    <w:p w:rsidR="00CF514E" w:rsidRPr="00C4012A" w:rsidRDefault="00CF514E" w:rsidP="00CF514E">
      <w:pPr>
        <w:spacing w:after="0" w:line="480" w:lineRule="auto"/>
        <w:jc w:val="center"/>
        <w:rPr>
          <w:rFonts w:ascii="Times New Roman" w:hAnsi="Times New Roman"/>
          <w:b/>
          <w:color w:val="000000" w:themeColor="text1"/>
          <w:sz w:val="24"/>
          <w:szCs w:val="24"/>
        </w:rPr>
      </w:pPr>
      <w:r w:rsidRPr="00C4012A">
        <w:rPr>
          <w:rFonts w:ascii="Times New Roman" w:hAnsi="Times New Roman"/>
          <w:b/>
          <w:color w:val="000000" w:themeColor="text1"/>
          <w:sz w:val="24"/>
          <w:szCs w:val="24"/>
        </w:rPr>
        <w:lastRenderedPageBreak/>
        <w:t>DEDICATION</w:t>
      </w:r>
    </w:p>
    <w:p w:rsidR="00CF514E" w:rsidRPr="00C4012A" w:rsidRDefault="00CF514E" w:rsidP="00CF514E">
      <w:pPr>
        <w:spacing w:after="0" w:line="480" w:lineRule="auto"/>
        <w:jc w:val="both"/>
        <w:rPr>
          <w:rFonts w:ascii="Times New Roman" w:hAnsi="Times New Roman"/>
          <w:b/>
          <w:color w:val="000000" w:themeColor="text1"/>
          <w:sz w:val="24"/>
          <w:szCs w:val="24"/>
        </w:rPr>
      </w:pPr>
      <w:r w:rsidRPr="00C4012A">
        <w:rPr>
          <w:rFonts w:ascii="Times New Roman" w:hAnsi="Times New Roman"/>
          <w:color w:val="000000" w:themeColor="text1"/>
          <w:sz w:val="24"/>
          <w:szCs w:val="24"/>
        </w:rPr>
        <w:t xml:space="preserve">This research project is dedicated to the Almighty God, the most High that bestows upon us in His infinite mercy, the freedom of life and sustain us throughout the course of my </w:t>
      </w:r>
      <w:proofErr w:type="spellStart"/>
      <w:r w:rsidRPr="00C4012A">
        <w:rPr>
          <w:rFonts w:ascii="Times New Roman" w:hAnsi="Times New Roman"/>
          <w:color w:val="000000" w:themeColor="text1"/>
          <w:sz w:val="24"/>
          <w:szCs w:val="24"/>
        </w:rPr>
        <w:t>programme</w:t>
      </w:r>
      <w:proofErr w:type="spellEnd"/>
      <w:r w:rsidRPr="00C4012A">
        <w:rPr>
          <w:rFonts w:ascii="Times New Roman" w:hAnsi="Times New Roman"/>
          <w:color w:val="000000" w:themeColor="text1"/>
          <w:sz w:val="24"/>
          <w:szCs w:val="24"/>
        </w:rPr>
        <w:t xml:space="preserve"> at the </w:t>
      </w:r>
      <w:proofErr w:type="spellStart"/>
      <w:r>
        <w:rPr>
          <w:rFonts w:ascii="Times New Roman" w:hAnsi="Times New Roman"/>
          <w:color w:val="000000" w:themeColor="text1"/>
          <w:sz w:val="24"/>
          <w:szCs w:val="24"/>
        </w:rPr>
        <w:t>Kwara</w:t>
      </w:r>
      <w:proofErr w:type="spellEnd"/>
      <w:r>
        <w:rPr>
          <w:rFonts w:ascii="Times New Roman" w:hAnsi="Times New Roman"/>
          <w:color w:val="000000" w:themeColor="text1"/>
          <w:sz w:val="24"/>
          <w:szCs w:val="24"/>
        </w:rPr>
        <w:t xml:space="preserve"> State Polytechnic, Ilorin</w:t>
      </w:r>
      <w:r w:rsidRPr="00C4012A">
        <w:rPr>
          <w:rFonts w:ascii="Times New Roman" w:hAnsi="Times New Roman"/>
          <w:color w:val="000000" w:themeColor="text1"/>
          <w:sz w:val="24"/>
          <w:szCs w:val="24"/>
        </w:rPr>
        <w:t xml:space="preserve"> and to our beloved parents and supervisor, who has stood by our side at all times.</w:t>
      </w:r>
    </w:p>
    <w:p w:rsidR="00CF514E" w:rsidRPr="00C4012A" w:rsidRDefault="00CF514E" w:rsidP="00CF514E">
      <w:pPr>
        <w:spacing w:after="0" w:line="480" w:lineRule="auto"/>
        <w:jc w:val="center"/>
        <w:rPr>
          <w:rFonts w:ascii="Times New Roman" w:hAnsi="Times New Roman"/>
          <w:b/>
          <w:color w:val="000000" w:themeColor="text1"/>
          <w:sz w:val="24"/>
          <w:szCs w:val="24"/>
        </w:rPr>
      </w:pPr>
    </w:p>
    <w:p w:rsidR="00CF514E" w:rsidRPr="00C4012A" w:rsidRDefault="00CF514E" w:rsidP="00CF514E">
      <w:pPr>
        <w:spacing w:after="0" w:line="480" w:lineRule="auto"/>
        <w:jc w:val="center"/>
        <w:rPr>
          <w:rFonts w:ascii="Times New Roman" w:hAnsi="Times New Roman"/>
          <w:b/>
          <w:color w:val="000000" w:themeColor="text1"/>
          <w:sz w:val="24"/>
          <w:szCs w:val="24"/>
        </w:rPr>
      </w:pPr>
    </w:p>
    <w:p w:rsidR="00CF514E" w:rsidRPr="00C4012A" w:rsidRDefault="00CF514E" w:rsidP="00CF514E">
      <w:pPr>
        <w:spacing w:line="480" w:lineRule="auto"/>
        <w:jc w:val="center"/>
        <w:rPr>
          <w:rFonts w:ascii="Times New Roman" w:hAnsi="Times New Roman"/>
          <w:b/>
          <w:color w:val="000000" w:themeColor="text1"/>
          <w:sz w:val="24"/>
          <w:szCs w:val="24"/>
        </w:rPr>
      </w:pPr>
    </w:p>
    <w:p w:rsidR="00CF514E" w:rsidRPr="00C4012A" w:rsidRDefault="00CF514E" w:rsidP="00CF514E">
      <w:pPr>
        <w:spacing w:line="480" w:lineRule="auto"/>
        <w:jc w:val="center"/>
        <w:rPr>
          <w:rFonts w:ascii="Times New Roman" w:hAnsi="Times New Roman"/>
          <w:b/>
          <w:color w:val="000000" w:themeColor="text1"/>
          <w:sz w:val="24"/>
          <w:szCs w:val="24"/>
        </w:rPr>
      </w:pPr>
    </w:p>
    <w:p w:rsidR="00CF514E" w:rsidRPr="00C4012A" w:rsidRDefault="00CF514E" w:rsidP="00CF514E">
      <w:pPr>
        <w:spacing w:line="480" w:lineRule="auto"/>
        <w:jc w:val="center"/>
        <w:rPr>
          <w:rFonts w:ascii="Times New Roman" w:hAnsi="Times New Roman"/>
          <w:b/>
          <w:color w:val="000000" w:themeColor="text1"/>
          <w:sz w:val="24"/>
          <w:szCs w:val="24"/>
        </w:rPr>
      </w:pPr>
    </w:p>
    <w:p w:rsidR="00CF514E" w:rsidRPr="00C4012A" w:rsidRDefault="00CF514E" w:rsidP="00CF514E">
      <w:pPr>
        <w:spacing w:line="480" w:lineRule="auto"/>
        <w:jc w:val="center"/>
        <w:rPr>
          <w:rFonts w:ascii="Times New Roman" w:hAnsi="Times New Roman"/>
          <w:b/>
          <w:color w:val="000000" w:themeColor="text1"/>
          <w:sz w:val="24"/>
          <w:szCs w:val="24"/>
        </w:rPr>
      </w:pPr>
    </w:p>
    <w:p w:rsidR="00CF514E" w:rsidRPr="00C4012A" w:rsidRDefault="00CF514E" w:rsidP="00CF514E">
      <w:pPr>
        <w:spacing w:line="480" w:lineRule="auto"/>
        <w:jc w:val="center"/>
        <w:rPr>
          <w:rFonts w:ascii="Times New Roman" w:hAnsi="Times New Roman"/>
          <w:b/>
          <w:color w:val="000000" w:themeColor="text1"/>
          <w:sz w:val="24"/>
          <w:szCs w:val="24"/>
        </w:rPr>
      </w:pPr>
    </w:p>
    <w:p w:rsidR="00CF514E" w:rsidRPr="00C4012A" w:rsidRDefault="00CF514E" w:rsidP="00CF514E">
      <w:pPr>
        <w:spacing w:line="480" w:lineRule="auto"/>
        <w:jc w:val="center"/>
        <w:rPr>
          <w:rFonts w:ascii="Times New Roman" w:hAnsi="Times New Roman"/>
          <w:b/>
          <w:color w:val="000000" w:themeColor="text1"/>
          <w:sz w:val="24"/>
          <w:szCs w:val="24"/>
        </w:rPr>
      </w:pPr>
    </w:p>
    <w:p w:rsidR="00CF514E" w:rsidRPr="00C4012A" w:rsidRDefault="00CF514E" w:rsidP="00CF514E">
      <w:pPr>
        <w:spacing w:line="480" w:lineRule="auto"/>
        <w:jc w:val="center"/>
        <w:rPr>
          <w:rFonts w:ascii="Times New Roman" w:hAnsi="Times New Roman"/>
          <w:b/>
          <w:color w:val="000000" w:themeColor="text1"/>
          <w:sz w:val="24"/>
          <w:szCs w:val="24"/>
        </w:rPr>
      </w:pPr>
    </w:p>
    <w:p w:rsidR="00CF514E" w:rsidRPr="00C4012A" w:rsidRDefault="00CF514E" w:rsidP="00CF514E">
      <w:pPr>
        <w:spacing w:line="480" w:lineRule="auto"/>
        <w:jc w:val="center"/>
        <w:rPr>
          <w:rFonts w:ascii="Times New Roman" w:hAnsi="Times New Roman"/>
          <w:b/>
          <w:color w:val="000000" w:themeColor="text1"/>
          <w:sz w:val="24"/>
          <w:szCs w:val="24"/>
        </w:rPr>
      </w:pPr>
    </w:p>
    <w:p w:rsidR="00CF514E" w:rsidRPr="00C4012A" w:rsidRDefault="00CF514E" w:rsidP="00CF514E">
      <w:pPr>
        <w:spacing w:line="480" w:lineRule="auto"/>
        <w:jc w:val="center"/>
        <w:rPr>
          <w:rFonts w:ascii="Times New Roman" w:hAnsi="Times New Roman"/>
          <w:b/>
          <w:color w:val="000000" w:themeColor="text1"/>
          <w:sz w:val="24"/>
          <w:szCs w:val="24"/>
        </w:rPr>
      </w:pPr>
    </w:p>
    <w:p w:rsidR="00CF514E" w:rsidRPr="00C4012A" w:rsidRDefault="00CF514E" w:rsidP="00CF514E">
      <w:pPr>
        <w:spacing w:line="480" w:lineRule="auto"/>
        <w:jc w:val="center"/>
        <w:rPr>
          <w:rFonts w:ascii="Times New Roman" w:hAnsi="Times New Roman"/>
          <w:b/>
          <w:color w:val="000000" w:themeColor="text1"/>
          <w:sz w:val="24"/>
          <w:szCs w:val="24"/>
        </w:rPr>
      </w:pPr>
    </w:p>
    <w:p w:rsidR="00CF514E" w:rsidRDefault="00CF514E" w:rsidP="00CF514E">
      <w:pPr>
        <w:spacing w:after="0" w:line="480" w:lineRule="auto"/>
        <w:jc w:val="center"/>
        <w:rPr>
          <w:rFonts w:ascii="Times New Roman" w:hAnsi="Times New Roman"/>
          <w:b/>
          <w:color w:val="000000" w:themeColor="text1"/>
          <w:sz w:val="24"/>
          <w:szCs w:val="24"/>
        </w:rPr>
      </w:pPr>
    </w:p>
    <w:p w:rsidR="00CF514E" w:rsidRDefault="00CF514E" w:rsidP="00CF514E">
      <w:pPr>
        <w:spacing w:after="0" w:line="480" w:lineRule="auto"/>
        <w:jc w:val="center"/>
        <w:rPr>
          <w:rFonts w:ascii="Times New Roman" w:hAnsi="Times New Roman"/>
          <w:b/>
          <w:color w:val="000000" w:themeColor="text1"/>
          <w:sz w:val="24"/>
          <w:szCs w:val="24"/>
        </w:rPr>
      </w:pPr>
    </w:p>
    <w:p w:rsidR="00CF514E" w:rsidRDefault="00CF514E" w:rsidP="00CF514E">
      <w:pPr>
        <w:spacing w:after="0" w:line="480" w:lineRule="auto"/>
        <w:jc w:val="center"/>
        <w:rPr>
          <w:rFonts w:ascii="Times New Roman" w:hAnsi="Times New Roman"/>
          <w:b/>
          <w:color w:val="000000" w:themeColor="text1"/>
          <w:sz w:val="24"/>
          <w:szCs w:val="24"/>
        </w:rPr>
      </w:pPr>
    </w:p>
    <w:p w:rsidR="00CF514E" w:rsidRDefault="00CF514E" w:rsidP="00CF514E">
      <w:pPr>
        <w:spacing w:after="0" w:line="480" w:lineRule="auto"/>
        <w:jc w:val="center"/>
        <w:rPr>
          <w:rFonts w:ascii="Times New Roman" w:hAnsi="Times New Roman"/>
          <w:b/>
          <w:color w:val="000000" w:themeColor="text1"/>
          <w:sz w:val="24"/>
          <w:szCs w:val="24"/>
        </w:rPr>
      </w:pPr>
    </w:p>
    <w:p w:rsidR="00CF514E" w:rsidRPr="001C7690" w:rsidRDefault="00CF514E" w:rsidP="00CF514E">
      <w:pPr>
        <w:spacing w:after="0" w:line="480" w:lineRule="auto"/>
        <w:jc w:val="center"/>
        <w:rPr>
          <w:rFonts w:ascii="Times New Roman" w:hAnsi="Times New Roman"/>
          <w:b/>
          <w:color w:val="000000" w:themeColor="text1"/>
          <w:sz w:val="24"/>
          <w:szCs w:val="24"/>
        </w:rPr>
      </w:pPr>
    </w:p>
    <w:p w:rsidR="00CF514E" w:rsidRPr="00C4012A" w:rsidRDefault="00CF514E" w:rsidP="00CF514E">
      <w:pPr>
        <w:spacing w:after="0" w:line="480" w:lineRule="auto"/>
        <w:jc w:val="center"/>
        <w:rPr>
          <w:rFonts w:ascii="Times New Roman" w:hAnsi="Times New Roman"/>
          <w:b/>
          <w:color w:val="000000" w:themeColor="text1"/>
          <w:sz w:val="24"/>
          <w:szCs w:val="24"/>
        </w:rPr>
      </w:pPr>
      <w:r w:rsidRPr="00C4012A">
        <w:rPr>
          <w:rFonts w:ascii="Times New Roman" w:hAnsi="Times New Roman"/>
          <w:b/>
          <w:color w:val="000000" w:themeColor="text1"/>
          <w:sz w:val="24"/>
          <w:szCs w:val="24"/>
        </w:rPr>
        <w:lastRenderedPageBreak/>
        <w:t>ACKNOWLEDGEMENT</w:t>
      </w:r>
    </w:p>
    <w:p w:rsidR="00CF514E" w:rsidRPr="003B5509" w:rsidRDefault="00CF514E" w:rsidP="00CF514E">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First and foremost, I</w:t>
      </w:r>
      <w:r w:rsidRPr="003B5509">
        <w:rPr>
          <w:rFonts w:ascii="Times New Roman" w:hAnsi="Times New Roman"/>
          <w:color w:val="000000" w:themeColor="text1"/>
          <w:sz w:val="24"/>
          <w:szCs w:val="24"/>
        </w:rPr>
        <w:t xml:space="preserve"> wish to thank and praise the Almighty God for spari</w:t>
      </w:r>
      <w:r>
        <w:rPr>
          <w:rFonts w:ascii="Times New Roman" w:hAnsi="Times New Roman"/>
          <w:color w:val="000000" w:themeColor="text1"/>
          <w:sz w:val="24"/>
          <w:szCs w:val="24"/>
        </w:rPr>
        <w:t>ng my</w:t>
      </w:r>
      <w:r w:rsidRPr="003B5509">
        <w:rPr>
          <w:rFonts w:ascii="Times New Roman" w:hAnsi="Times New Roman"/>
          <w:color w:val="000000" w:themeColor="text1"/>
          <w:sz w:val="24"/>
          <w:szCs w:val="24"/>
        </w:rPr>
        <w:t xml:space="preserve"> li</w:t>
      </w:r>
      <w:r>
        <w:rPr>
          <w:rFonts w:ascii="Times New Roman" w:hAnsi="Times New Roman"/>
          <w:color w:val="000000" w:themeColor="text1"/>
          <w:sz w:val="24"/>
          <w:szCs w:val="24"/>
        </w:rPr>
        <w:t>fe</w:t>
      </w:r>
      <w:r w:rsidRPr="003B5509">
        <w:rPr>
          <w:rFonts w:ascii="Times New Roman" w:hAnsi="Times New Roman"/>
          <w:color w:val="000000" w:themeColor="text1"/>
          <w:sz w:val="24"/>
          <w:szCs w:val="24"/>
        </w:rPr>
        <w:t xml:space="preserve"> and more i</w:t>
      </w:r>
      <w:r>
        <w:rPr>
          <w:rFonts w:ascii="Times New Roman" w:hAnsi="Times New Roman"/>
          <w:color w:val="000000" w:themeColor="text1"/>
          <w:sz w:val="24"/>
          <w:szCs w:val="24"/>
        </w:rPr>
        <w:t>mportantly for H</w:t>
      </w:r>
      <w:r w:rsidRPr="003B5509">
        <w:rPr>
          <w:rFonts w:ascii="Times New Roman" w:hAnsi="Times New Roman"/>
          <w:color w:val="000000" w:themeColor="text1"/>
          <w:sz w:val="24"/>
          <w:szCs w:val="24"/>
        </w:rPr>
        <w:t xml:space="preserve">is spiritual guidance and heavenly mercies rendered to </w:t>
      </w:r>
      <w:r>
        <w:rPr>
          <w:rFonts w:ascii="Times New Roman" w:hAnsi="Times New Roman"/>
          <w:color w:val="000000" w:themeColor="text1"/>
          <w:sz w:val="24"/>
          <w:szCs w:val="24"/>
        </w:rPr>
        <w:t>me</w:t>
      </w:r>
      <w:r w:rsidRPr="003B5509">
        <w:rPr>
          <w:rFonts w:ascii="Times New Roman" w:hAnsi="Times New Roman"/>
          <w:color w:val="000000" w:themeColor="text1"/>
          <w:sz w:val="24"/>
          <w:szCs w:val="24"/>
        </w:rPr>
        <w:t xml:space="preserve"> since the beginni</w:t>
      </w:r>
      <w:r>
        <w:rPr>
          <w:rFonts w:ascii="Times New Roman" w:hAnsi="Times New Roman"/>
          <w:color w:val="000000" w:themeColor="text1"/>
          <w:sz w:val="24"/>
          <w:szCs w:val="24"/>
        </w:rPr>
        <w:t>ng of my</w:t>
      </w:r>
      <w:r w:rsidRPr="003B5509">
        <w:rPr>
          <w:rFonts w:ascii="Times New Roman" w:hAnsi="Times New Roman"/>
          <w:color w:val="000000" w:themeColor="text1"/>
          <w:sz w:val="24"/>
          <w:szCs w:val="24"/>
        </w:rPr>
        <w:t xml:space="preserve"> academic pursuit to thi</w:t>
      </w:r>
      <w:r>
        <w:rPr>
          <w:rFonts w:ascii="Times New Roman" w:hAnsi="Times New Roman"/>
          <w:color w:val="000000" w:themeColor="text1"/>
          <w:sz w:val="24"/>
          <w:szCs w:val="24"/>
        </w:rPr>
        <w:t>s stage. I</w:t>
      </w:r>
      <w:r w:rsidRPr="003B5509">
        <w:rPr>
          <w:rFonts w:ascii="Times New Roman" w:hAnsi="Times New Roman"/>
          <w:color w:val="000000" w:themeColor="text1"/>
          <w:sz w:val="24"/>
          <w:szCs w:val="24"/>
        </w:rPr>
        <w:t xml:space="preserve"> wish to express my profound gratitude to my parents</w:t>
      </w:r>
      <w:r>
        <w:rPr>
          <w:rFonts w:ascii="Times New Roman" w:hAnsi="Times New Roman"/>
          <w:color w:val="000000" w:themeColor="text1"/>
          <w:sz w:val="24"/>
          <w:szCs w:val="24"/>
        </w:rPr>
        <w:t xml:space="preserve">, </w:t>
      </w:r>
      <w:r w:rsidRPr="00DD7C28">
        <w:rPr>
          <w:rFonts w:ascii="Times New Roman" w:hAnsi="Times New Roman"/>
          <w:b/>
          <w:caps/>
          <w:color w:val="000000" w:themeColor="text1"/>
          <w:sz w:val="24"/>
          <w:szCs w:val="24"/>
        </w:rPr>
        <w:t xml:space="preserve">Mr. and Mrs. </w:t>
      </w:r>
      <w:r w:rsidR="003137CA">
        <w:rPr>
          <w:rFonts w:ascii="Times New Roman" w:hAnsi="Times New Roman"/>
          <w:b/>
          <w:caps/>
          <w:color w:val="000000" w:themeColor="text1"/>
        </w:rPr>
        <w:t>BABATUNDE</w:t>
      </w:r>
      <w:r w:rsidRPr="00E821B7">
        <w:rPr>
          <w:rFonts w:ascii="Times New Roman" w:hAnsi="Times New Roman"/>
          <w:b/>
          <w:color w:val="000000" w:themeColor="text1"/>
          <w:sz w:val="24"/>
          <w:szCs w:val="24"/>
        </w:rPr>
        <w:t>,</w:t>
      </w:r>
      <w:r w:rsidRPr="003B5509">
        <w:rPr>
          <w:rFonts w:ascii="Times New Roman" w:hAnsi="Times New Roman"/>
          <w:color w:val="000000" w:themeColor="text1"/>
          <w:sz w:val="24"/>
          <w:szCs w:val="24"/>
        </w:rPr>
        <w:t xml:space="preserve"> for their unflinching support, both morally and financially and to </w:t>
      </w:r>
      <w:r>
        <w:rPr>
          <w:rFonts w:ascii="Times New Roman" w:hAnsi="Times New Roman"/>
          <w:color w:val="000000" w:themeColor="text1"/>
          <w:sz w:val="24"/>
          <w:szCs w:val="24"/>
        </w:rPr>
        <w:t>siblings</w:t>
      </w:r>
      <w:r w:rsidRPr="003B5509">
        <w:rPr>
          <w:rFonts w:ascii="Times New Roman" w:hAnsi="Times New Roman"/>
          <w:color w:val="000000" w:themeColor="text1"/>
          <w:sz w:val="24"/>
          <w:szCs w:val="24"/>
        </w:rPr>
        <w:t xml:space="preserve"> for their love and support.</w:t>
      </w:r>
    </w:p>
    <w:p w:rsidR="00CF514E" w:rsidRPr="003B5509" w:rsidRDefault="00CF514E" w:rsidP="00CF514E">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I</w:t>
      </w:r>
      <w:r w:rsidRPr="003B5509">
        <w:rPr>
          <w:rFonts w:ascii="Times New Roman" w:hAnsi="Times New Roman"/>
          <w:color w:val="000000" w:themeColor="text1"/>
          <w:sz w:val="24"/>
          <w:szCs w:val="24"/>
        </w:rPr>
        <w:t xml:space="preserve"> also wish to express with deep sense of humanity, gratitude and i</w:t>
      </w:r>
      <w:r>
        <w:rPr>
          <w:rFonts w:ascii="Times New Roman" w:hAnsi="Times New Roman"/>
          <w:color w:val="000000" w:themeColor="text1"/>
          <w:sz w:val="24"/>
          <w:szCs w:val="24"/>
        </w:rPr>
        <w:t>ndebtedness to my</w:t>
      </w:r>
      <w:r w:rsidRPr="003B5509">
        <w:rPr>
          <w:rFonts w:ascii="Times New Roman" w:hAnsi="Times New Roman"/>
          <w:color w:val="000000" w:themeColor="text1"/>
          <w:sz w:val="24"/>
          <w:szCs w:val="24"/>
        </w:rPr>
        <w:t xml:space="preserve"> beloved project supervisor</w:t>
      </w:r>
      <w:r>
        <w:rPr>
          <w:rFonts w:ascii="Times New Roman" w:hAnsi="Times New Roman"/>
          <w:color w:val="000000" w:themeColor="text1"/>
          <w:sz w:val="24"/>
          <w:szCs w:val="24"/>
        </w:rPr>
        <w:t>,</w:t>
      </w:r>
      <w:r w:rsidRPr="003B5509">
        <w:rPr>
          <w:rFonts w:ascii="Times New Roman" w:hAnsi="Times New Roman"/>
          <w:color w:val="000000" w:themeColor="text1"/>
          <w:sz w:val="24"/>
          <w:szCs w:val="24"/>
        </w:rPr>
        <w:t xml:space="preserve"> </w:t>
      </w:r>
      <w:r>
        <w:rPr>
          <w:rFonts w:ascii="Times New Roman" w:hAnsi="Times New Roman"/>
          <w:b/>
          <w:color w:val="000000" w:themeColor="text1"/>
          <w:sz w:val="24"/>
          <w:szCs w:val="24"/>
        </w:rPr>
        <w:t>DR. O</w:t>
      </w:r>
      <w:r w:rsidRPr="00DD7C28">
        <w:rPr>
          <w:rFonts w:ascii="Times New Roman" w:hAnsi="Times New Roman"/>
          <w:b/>
          <w:caps/>
          <w:color w:val="000000" w:themeColor="text1"/>
          <w:sz w:val="24"/>
          <w:szCs w:val="24"/>
        </w:rPr>
        <w:t>latunji</w:t>
      </w:r>
      <w:r>
        <w:rPr>
          <w:rFonts w:ascii="Times New Roman" w:hAnsi="Times New Roman"/>
          <w:color w:val="000000" w:themeColor="text1"/>
          <w:sz w:val="24"/>
          <w:szCs w:val="24"/>
        </w:rPr>
        <w:t xml:space="preserve"> </w:t>
      </w:r>
      <w:r w:rsidRPr="00DD7C28">
        <w:rPr>
          <w:rFonts w:ascii="Times New Roman" w:hAnsi="Times New Roman"/>
          <w:b/>
          <w:color w:val="000000" w:themeColor="text1"/>
          <w:sz w:val="24"/>
          <w:szCs w:val="24"/>
        </w:rPr>
        <w:t>J.A.</w:t>
      </w:r>
      <w:r>
        <w:rPr>
          <w:rFonts w:ascii="Times New Roman" w:hAnsi="Times New Roman"/>
          <w:b/>
          <w:color w:val="000000" w:themeColor="text1"/>
          <w:sz w:val="24"/>
          <w:szCs w:val="24"/>
        </w:rPr>
        <w:t>,</w:t>
      </w:r>
      <w:r w:rsidRPr="003B5509">
        <w:rPr>
          <w:rFonts w:ascii="Times New Roman" w:hAnsi="Times New Roman"/>
          <w:color w:val="000000" w:themeColor="text1"/>
          <w:sz w:val="24"/>
          <w:szCs w:val="24"/>
        </w:rPr>
        <w:t xml:space="preserve"> </w:t>
      </w:r>
      <w:proofErr w:type="gramStart"/>
      <w:r w:rsidRPr="003B5509">
        <w:rPr>
          <w:rFonts w:ascii="Times New Roman" w:hAnsi="Times New Roman"/>
          <w:color w:val="000000" w:themeColor="text1"/>
          <w:sz w:val="24"/>
          <w:szCs w:val="24"/>
        </w:rPr>
        <w:t>whose</w:t>
      </w:r>
      <w:proofErr w:type="gramEnd"/>
      <w:r w:rsidRPr="003B5509">
        <w:rPr>
          <w:rFonts w:ascii="Times New Roman" w:hAnsi="Times New Roman"/>
          <w:color w:val="000000" w:themeColor="text1"/>
          <w:sz w:val="24"/>
          <w:szCs w:val="24"/>
        </w:rPr>
        <w:t xml:space="preserve"> regular and prompt attention, useful suggestions, comments and encouragement at every stage of this work were invaluabl</w:t>
      </w:r>
      <w:r>
        <w:rPr>
          <w:rFonts w:ascii="Times New Roman" w:hAnsi="Times New Roman"/>
          <w:color w:val="000000" w:themeColor="text1"/>
          <w:sz w:val="24"/>
          <w:szCs w:val="24"/>
        </w:rPr>
        <w:t>e. I</w:t>
      </w:r>
      <w:r w:rsidRPr="003B5509">
        <w:rPr>
          <w:rFonts w:ascii="Times New Roman" w:hAnsi="Times New Roman"/>
          <w:color w:val="000000" w:themeColor="text1"/>
          <w:sz w:val="24"/>
          <w:szCs w:val="24"/>
        </w:rPr>
        <w:t xml:space="preserve"> wish to thank more si</w:t>
      </w:r>
      <w:r>
        <w:rPr>
          <w:rFonts w:ascii="Times New Roman" w:hAnsi="Times New Roman"/>
          <w:color w:val="000000" w:themeColor="text1"/>
          <w:sz w:val="24"/>
          <w:szCs w:val="24"/>
        </w:rPr>
        <w:t>ncerely for his</w:t>
      </w:r>
      <w:r w:rsidRPr="003B5509">
        <w:rPr>
          <w:rFonts w:ascii="Times New Roman" w:hAnsi="Times New Roman"/>
          <w:color w:val="000000" w:themeColor="text1"/>
          <w:sz w:val="24"/>
          <w:szCs w:val="24"/>
        </w:rPr>
        <w:t xml:space="preserve"> open handedness and accomplishi</w:t>
      </w:r>
      <w:r>
        <w:rPr>
          <w:rFonts w:ascii="Times New Roman" w:hAnsi="Times New Roman"/>
          <w:color w:val="000000" w:themeColor="text1"/>
          <w:sz w:val="24"/>
          <w:szCs w:val="24"/>
        </w:rPr>
        <w:t>ng nature towards me</w:t>
      </w:r>
      <w:r w:rsidRPr="003B5509">
        <w:rPr>
          <w:rFonts w:ascii="Times New Roman" w:hAnsi="Times New Roman"/>
          <w:color w:val="000000" w:themeColor="text1"/>
          <w:sz w:val="24"/>
          <w:szCs w:val="24"/>
        </w:rPr>
        <w:t>, prayi</w:t>
      </w:r>
      <w:r>
        <w:rPr>
          <w:rFonts w:ascii="Times New Roman" w:hAnsi="Times New Roman"/>
          <w:color w:val="000000" w:themeColor="text1"/>
          <w:sz w:val="24"/>
          <w:szCs w:val="24"/>
        </w:rPr>
        <w:t>ng the good Lord to bless him and his</w:t>
      </w:r>
      <w:r w:rsidRPr="003B5509">
        <w:rPr>
          <w:rFonts w:ascii="Times New Roman" w:hAnsi="Times New Roman"/>
          <w:color w:val="000000" w:themeColor="text1"/>
          <w:sz w:val="24"/>
          <w:szCs w:val="24"/>
        </w:rPr>
        <w:t xml:space="preserve"> family.</w:t>
      </w:r>
    </w:p>
    <w:p w:rsidR="00CF514E" w:rsidRPr="003B5509" w:rsidRDefault="00CF514E" w:rsidP="00CF514E">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I</w:t>
      </w:r>
      <w:r w:rsidRPr="003B5509">
        <w:rPr>
          <w:rFonts w:ascii="Times New Roman" w:hAnsi="Times New Roman"/>
          <w:color w:val="000000" w:themeColor="text1"/>
          <w:sz w:val="24"/>
          <w:szCs w:val="24"/>
        </w:rPr>
        <w:t xml:space="preserve"> sincerely appreciate the invaluable help and advi</w:t>
      </w:r>
      <w:r>
        <w:rPr>
          <w:rFonts w:ascii="Times New Roman" w:hAnsi="Times New Roman"/>
          <w:color w:val="000000" w:themeColor="text1"/>
          <w:sz w:val="24"/>
          <w:szCs w:val="24"/>
        </w:rPr>
        <w:t xml:space="preserve">ce from my departmental </w:t>
      </w:r>
      <w:r w:rsidRPr="00E821B7">
        <w:rPr>
          <w:rFonts w:ascii="Times New Roman" w:hAnsi="Times New Roman"/>
          <w:b/>
          <w:color w:val="000000" w:themeColor="text1"/>
          <w:sz w:val="24"/>
          <w:szCs w:val="24"/>
        </w:rPr>
        <w:t>H.O.D.</w:t>
      </w:r>
      <w:r>
        <w:rPr>
          <w:rFonts w:ascii="Times New Roman" w:hAnsi="Times New Roman"/>
          <w:color w:val="000000" w:themeColor="text1"/>
          <w:sz w:val="24"/>
          <w:szCs w:val="24"/>
        </w:rPr>
        <w:t xml:space="preserve">, </w:t>
      </w:r>
      <w:r>
        <w:rPr>
          <w:rFonts w:ascii="Times New Roman" w:hAnsi="Times New Roman"/>
          <w:b/>
          <w:color w:val="000000" w:themeColor="text1"/>
          <w:sz w:val="24"/>
          <w:szCs w:val="24"/>
        </w:rPr>
        <w:t>DR. O</w:t>
      </w:r>
      <w:r w:rsidRPr="00DD7C28">
        <w:rPr>
          <w:rFonts w:ascii="Times New Roman" w:hAnsi="Times New Roman"/>
          <w:b/>
          <w:caps/>
          <w:color w:val="000000" w:themeColor="text1"/>
          <w:sz w:val="24"/>
          <w:szCs w:val="24"/>
        </w:rPr>
        <w:t>latunji</w:t>
      </w:r>
      <w:r>
        <w:rPr>
          <w:rFonts w:ascii="Times New Roman" w:hAnsi="Times New Roman"/>
          <w:color w:val="000000" w:themeColor="text1"/>
          <w:sz w:val="24"/>
          <w:szCs w:val="24"/>
        </w:rPr>
        <w:t xml:space="preserve"> </w:t>
      </w:r>
      <w:r w:rsidRPr="00DD7C28">
        <w:rPr>
          <w:rFonts w:ascii="Times New Roman" w:hAnsi="Times New Roman"/>
          <w:b/>
          <w:color w:val="000000" w:themeColor="text1"/>
          <w:sz w:val="24"/>
          <w:szCs w:val="24"/>
        </w:rPr>
        <w:t>J.A.</w:t>
      </w:r>
      <w:r w:rsidRPr="003B5509">
        <w:rPr>
          <w:rFonts w:ascii="Times New Roman" w:hAnsi="Times New Roman"/>
          <w:color w:val="000000" w:themeColor="text1"/>
          <w:sz w:val="24"/>
          <w:szCs w:val="24"/>
        </w:rPr>
        <w:t xml:space="preserve"> and others lecture</w:t>
      </w:r>
      <w:r>
        <w:rPr>
          <w:rFonts w:ascii="Times New Roman" w:hAnsi="Times New Roman"/>
          <w:color w:val="000000" w:themeColor="text1"/>
          <w:sz w:val="24"/>
          <w:szCs w:val="24"/>
        </w:rPr>
        <w:t>r</w:t>
      </w:r>
      <w:r w:rsidRPr="003B5509">
        <w:rPr>
          <w:rFonts w:ascii="Times New Roman" w:hAnsi="Times New Roman"/>
          <w:color w:val="000000" w:themeColor="text1"/>
          <w:sz w:val="24"/>
          <w:szCs w:val="24"/>
        </w:rPr>
        <w:t>s i</w:t>
      </w:r>
      <w:r>
        <w:rPr>
          <w:rFonts w:ascii="Times New Roman" w:hAnsi="Times New Roman"/>
          <w:color w:val="000000" w:themeColor="text1"/>
          <w:sz w:val="24"/>
          <w:szCs w:val="24"/>
        </w:rPr>
        <w:t>n our</w:t>
      </w:r>
      <w:r w:rsidRPr="003B5509">
        <w:rPr>
          <w:rFonts w:ascii="Times New Roman" w:hAnsi="Times New Roman"/>
          <w:color w:val="000000" w:themeColor="text1"/>
          <w:sz w:val="24"/>
          <w:szCs w:val="24"/>
        </w:rPr>
        <w:t xml:space="preserve"> Department who had impacted something meaningful i</w:t>
      </w:r>
      <w:r>
        <w:rPr>
          <w:rFonts w:ascii="Times New Roman" w:hAnsi="Times New Roman"/>
          <w:color w:val="000000" w:themeColor="text1"/>
          <w:sz w:val="24"/>
          <w:szCs w:val="24"/>
        </w:rPr>
        <w:t>nto my</w:t>
      </w:r>
      <w:r w:rsidRPr="003B5509">
        <w:rPr>
          <w:rFonts w:ascii="Times New Roman" w:hAnsi="Times New Roman"/>
          <w:color w:val="000000" w:themeColor="text1"/>
          <w:sz w:val="24"/>
          <w:szCs w:val="24"/>
        </w:rPr>
        <w:t xml:space="preserve"> life.</w:t>
      </w:r>
    </w:p>
    <w:p w:rsidR="00CF514E" w:rsidRPr="00DD7C28" w:rsidRDefault="00CF514E" w:rsidP="00CF514E">
      <w:pPr>
        <w:spacing w:after="0" w:line="480" w:lineRule="auto"/>
        <w:jc w:val="both"/>
        <w:rPr>
          <w:rFonts w:ascii="Times New Roman" w:hAnsi="Times New Roman" w:cs="Times New Roman"/>
          <w:color w:val="000000" w:themeColor="text1"/>
          <w:sz w:val="24"/>
          <w:szCs w:val="24"/>
        </w:rPr>
      </w:pPr>
      <w:r>
        <w:rPr>
          <w:rFonts w:ascii="Times New Roman" w:hAnsi="Times New Roman"/>
          <w:color w:val="000000" w:themeColor="text1"/>
          <w:sz w:val="24"/>
          <w:szCs w:val="24"/>
        </w:rPr>
        <w:t>I</w:t>
      </w:r>
      <w:r w:rsidRPr="003B5509">
        <w:rPr>
          <w:rFonts w:ascii="Times New Roman" w:hAnsi="Times New Roman"/>
          <w:color w:val="000000" w:themeColor="text1"/>
          <w:sz w:val="24"/>
          <w:szCs w:val="24"/>
        </w:rPr>
        <w:t xml:space="preserve"> personally that in moment of sober reflection discover that I am indebted to very many people even for the least achi</w:t>
      </w:r>
      <w:r>
        <w:rPr>
          <w:rFonts w:ascii="Times New Roman" w:hAnsi="Times New Roman"/>
          <w:color w:val="000000" w:themeColor="text1"/>
          <w:sz w:val="24"/>
          <w:szCs w:val="24"/>
        </w:rPr>
        <w:t>evement. Here I</w:t>
      </w:r>
      <w:r w:rsidRPr="003B5509">
        <w:rPr>
          <w:rFonts w:ascii="Times New Roman" w:hAnsi="Times New Roman"/>
          <w:color w:val="000000" w:themeColor="text1"/>
          <w:sz w:val="24"/>
          <w:szCs w:val="24"/>
        </w:rPr>
        <w:t xml:space="preserve"> fi</w:t>
      </w:r>
      <w:r>
        <w:rPr>
          <w:rFonts w:ascii="Times New Roman" w:hAnsi="Times New Roman"/>
          <w:color w:val="000000" w:themeColor="text1"/>
          <w:sz w:val="24"/>
          <w:szCs w:val="24"/>
        </w:rPr>
        <w:t>nd myself</w:t>
      </w:r>
      <w:r w:rsidRPr="003B5509">
        <w:rPr>
          <w:rFonts w:ascii="Times New Roman" w:hAnsi="Times New Roman"/>
          <w:color w:val="000000" w:themeColor="text1"/>
          <w:sz w:val="24"/>
          <w:szCs w:val="24"/>
        </w:rPr>
        <w:t xml:space="preserve"> limited i</w:t>
      </w:r>
      <w:r>
        <w:rPr>
          <w:rFonts w:ascii="Times New Roman" w:hAnsi="Times New Roman"/>
          <w:color w:val="000000" w:themeColor="text1"/>
          <w:sz w:val="24"/>
          <w:szCs w:val="24"/>
        </w:rPr>
        <w:t xml:space="preserve">n </w:t>
      </w:r>
      <w:proofErr w:type="gramStart"/>
      <w:r>
        <w:rPr>
          <w:rFonts w:ascii="Times New Roman" w:hAnsi="Times New Roman"/>
          <w:color w:val="000000" w:themeColor="text1"/>
          <w:sz w:val="24"/>
          <w:szCs w:val="24"/>
        </w:rPr>
        <w:t>space,</w:t>
      </w:r>
      <w:proofErr w:type="gramEnd"/>
      <w:r>
        <w:rPr>
          <w:rFonts w:ascii="Times New Roman" w:hAnsi="Times New Roman"/>
          <w:color w:val="000000" w:themeColor="text1"/>
          <w:sz w:val="24"/>
          <w:szCs w:val="24"/>
        </w:rPr>
        <w:t xml:space="preserve"> I</w:t>
      </w:r>
      <w:r w:rsidRPr="003B5509">
        <w:rPr>
          <w:rFonts w:ascii="Times New Roman" w:hAnsi="Times New Roman"/>
          <w:color w:val="000000" w:themeColor="text1"/>
          <w:sz w:val="24"/>
          <w:szCs w:val="24"/>
        </w:rPr>
        <w:t xml:space="preserve"> would have gone on and on mentioning them.</w:t>
      </w:r>
    </w:p>
    <w:p w:rsidR="00207CE4" w:rsidRPr="00660F21" w:rsidRDefault="00CF514E" w:rsidP="00CF514E">
      <w:pPr>
        <w:spacing w:after="0" w:line="480" w:lineRule="auto"/>
        <w:jc w:val="both"/>
        <w:rPr>
          <w:rFonts w:ascii="Times New Roman" w:hAnsi="Times New Roman" w:cs="Times New Roman"/>
          <w:b/>
          <w:sz w:val="28"/>
          <w:szCs w:val="28"/>
        </w:rPr>
      </w:pPr>
      <w:r w:rsidRPr="00DD7C28">
        <w:rPr>
          <w:rFonts w:ascii="Times New Roman" w:hAnsi="Times New Roman" w:cs="Times New Roman"/>
          <w:color w:val="000000" w:themeColor="text1"/>
          <w:sz w:val="24"/>
          <w:szCs w:val="24"/>
        </w:rPr>
        <w:t xml:space="preserve">Above all, we give endless thanks to Almighty God, the Author and Finisher of my faith, for giving me the grace to embark and successfully complete this </w:t>
      </w:r>
      <w:proofErr w:type="spellStart"/>
      <w:r w:rsidRPr="00DD7C28">
        <w:rPr>
          <w:rFonts w:ascii="Times New Roman" w:hAnsi="Times New Roman" w:cs="Times New Roman"/>
          <w:color w:val="000000" w:themeColor="text1"/>
          <w:sz w:val="24"/>
          <w:szCs w:val="24"/>
        </w:rPr>
        <w:t>programme</w:t>
      </w:r>
      <w:proofErr w:type="spellEnd"/>
      <w:r w:rsidRPr="00DD7C28">
        <w:rPr>
          <w:rFonts w:ascii="Times New Roman" w:hAnsi="Times New Roman" w:cs="Times New Roman"/>
          <w:color w:val="000000" w:themeColor="text1"/>
          <w:sz w:val="24"/>
          <w:szCs w:val="24"/>
        </w:rPr>
        <w:t>.</w:t>
      </w:r>
    </w:p>
    <w:p w:rsidR="00207CE4" w:rsidRDefault="00207CE4" w:rsidP="00207CE4">
      <w:pPr>
        <w:spacing w:after="0" w:line="480" w:lineRule="auto"/>
        <w:rPr>
          <w:rFonts w:ascii="Times New Roman" w:hAnsi="Times New Roman" w:cs="Times New Roman"/>
          <w:b/>
          <w:sz w:val="28"/>
          <w:szCs w:val="28"/>
        </w:rPr>
      </w:pPr>
    </w:p>
    <w:p w:rsidR="00CF514E" w:rsidRDefault="00CF514E" w:rsidP="00207CE4">
      <w:pPr>
        <w:spacing w:after="0" w:line="480" w:lineRule="auto"/>
        <w:rPr>
          <w:rFonts w:ascii="Times New Roman" w:hAnsi="Times New Roman" w:cs="Times New Roman"/>
          <w:b/>
          <w:sz w:val="28"/>
          <w:szCs w:val="28"/>
        </w:rPr>
      </w:pPr>
    </w:p>
    <w:p w:rsidR="00CF514E" w:rsidRDefault="00CF514E" w:rsidP="00207CE4">
      <w:pPr>
        <w:spacing w:after="0" w:line="480" w:lineRule="auto"/>
        <w:rPr>
          <w:rFonts w:ascii="Times New Roman" w:hAnsi="Times New Roman" w:cs="Times New Roman"/>
          <w:b/>
          <w:sz w:val="28"/>
          <w:szCs w:val="28"/>
        </w:rPr>
      </w:pPr>
    </w:p>
    <w:p w:rsidR="00CF514E" w:rsidRDefault="00CF514E" w:rsidP="00207CE4">
      <w:pPr>
        <w:spacing w:after="0" w:line="480" w:lineRule="auto"/>
        <w:rPr>
          <w:rFonts w:ascii="Times New Roman" w:hAnsi="Times New Roman" w:cs="Times New Roman"/>
          <w:b/>
          <w:sz w:val="28"/>
          <w:szCs w:val="28"/>
        </w:rPr>
      </w:pPr>
    </w:p>
    <w:p w:rsidR="00CF514E" w:rsidRDefault="00CF514E" w:rsidP="00207CE4">
      <w:pPr>
        <w:spacing w:after="0" w:line="480" w:lineRule="auto"/>
        <w:rPr>
          <w:rFonts w:ascii="Times New Roman" w:hAnsi="Times New Roman" w:cs="Times New Roman"/>
          <w:b/>
          <w:sz w:val="28"/>
          <w:szCs w:val="28"/>
        </w:rPr>
      </w:pPr>
    </w:p>
    <w:p w:rsidR="00775655" w:rsidRDefault="00775655" w:rsidP="0037735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775655" w:rsidRPr="00775655" w:rsidRDefault="00775655" w:rsidP="0037735E">
      <w:pPr>
        <w:spacing w:after="0"/>
        <w:jc w:val="both"/>
        <w:rPr>
          <w:rFonts w:ascii="Times New Roman" w:hAnsi="Times New Roman" w:cs="Times New Roman"/>
          <w:i/>
          <w:sz w:val="24"/>
          <w:szCs w:val="24"/>
        </w:rPr>
      </w:pPr>
      <w:r w:rsidRPr="00775655">
        <w:rPr>
          <w:rFonts w:ascii="Times New Roman" w:hAnsi="Times New Roman" w:cs="Times New Roman"/>
          <w:i/>
          <w:sz w:val="24"/>
          <w:szCs w:val="24"/>
        </w:rPr>
        <w:t>This research assesses groundwater pollution levels in selected areas of Ilorin, southwestern Nigeria, focusing on heavy metal contamination and physicochemical parameters. Groundwater samples from hand-dug wells and boreholes across six locations (</w:t>
      </w:r>
      <w:proofErr w:type="spellStart"/>
      <w:r w:rsidRPr="00775655">
        <w:rPr>
          <w:rFonts w:ascii="Times New Roman" w:hAnsi="Times New Roman" w:cs="Times New Roman"/>
          <w:i/>
          <w:sz w:val="24"/>
          <w:szCs w:val="24"/>
        </w:rPr>
        <w:t>Tanke</w:t>
      </w:r>
      <w:proofErr w:type="spellEnd"/>
      <w:r w:rsidRPr="00775655">
        <w:rPr>
          <w:rFonts w:ascii="Times New Roman" w:hAnsi="Times New Roman" w:cs="Times New Roman"/>
          <w:i/>
          <w:sz w:val="24"/>
          <w:szCs w:val="24"/>
        </w:rPr>
        <w:t xml:space="preserve">, </w:t>
      </w:r>
      <w:proofErr w:type="spellStart"/>
      <w:r w:rsidRPr="00775655">
        <w:rPr>
          <w:rFonts w:ascii="Times New Roman" w:hAnsi="Times New Roman" w:cs="Times New Roman"/>
          <w:i/>
          <w:sz w:val="24"/>
          <w:szCs w:val="24"/>
        </w:rPr>
        <w:t>Oke-Odo</w:t>
      </w:r>
      <w:proofErr w:type="spellEnd"/>
      <w:r w:rsidRPr="00775655">
        <w:rPr>
          <w:rFonts w:ascii="Times New Roman" w:hAnsi="Times New Roman" w:cs="Times New Roman"/>
          <w:i/>
          <w:sz w:val="24"/>
          <w:szCs w:val="24"/>
        </w:rPr>
        <w:t xml:space="preserve">, </w:t>
      </w:r>
      <w:proofErr w:type="spellStart"/>
      <w:r w:rsidRPr="00775655">
        <w:rPr>
          <w:rFonts w:ascii="Times New Roman" w:hAnsi="Times New Roman" w:cs="Times New Roman"/>
          <w:i/>
          <w:sz w:val="24"/>
          <w:szCs w:val="24"/>
        </w:rPr>
        <w:t>Agbo</w:t>
      </w:r>
      <w:proofErr w:type="spellEnd"/>
      <w:r w:rsidRPr="00775655">
        <w:rPr>
          <w:rFonts w:ascii="Times New Roman" w:hAnsi="Times New Roman" w:cs="Times New Roman"/>
          <w:i/>
          <w:sz w:val="24"/>
          <w:szCs w:val="24"/>
        </w:rPr>
        <w:t xml:space="preserve">-Oba, </w:t>
      </w:r>
      <w:proofErr w:type="spellStart"/>
      <w:r w:rsidRPr="00775655">
        <w:rPr>
          <w:rFonts w:ascii="Times New Roman" w:hAnsi="Times New Roman" w:cs="Times New Roman"/>
          <w:i/>
          <w:sz w:val="24"/>
          <w:szCs w:val="24"/>
        </w:rPr>
        <w:t>Oja</w:t>
      </w:r>
      <w:proofErr w:type="spellEnd"/>
      <w:r w:rsidRPr="00775655">
        <w:rPr>
          <w:rFonts w:ascii="Times New Roman" w:hAnsi="Times New Roman" w:cs="Times New Roman"/>
          <w:i/>
          <w:sz w:val="24"/>
          <w:szCs w:val="24"/>
        </w:rPr>
        <w:t xml:space="preserve">-Oba, </w:t>
      </w:r>
      <w:proofErr w:type="spellStart"/>
      <w:r w:rsidRPr="00775655">
        <w:rPr>
          <w:rFonts w:ascii="Times New Roman" w:hAnsi="Times New Roman" w:cs="Times New Roman"/>
          <w:i/>
          <w:sz w:val="24"/>
          <w:szCs w:val="24"/>
        </w:rPr>
        <w:t>Gaa-Akanbi</w:t>
      </w:r>
      <w:proofErr w:type="spellEnd"/>
      <w:r w:rsidRPr="00775655">
        <w:rPr>
          <w:rFonts w:ascii="Times New Roman" w:hAnsi="Times New Roman" w:cs="Times New Roman"/>
          <w:i/>
          <w:sz w:val="24"/>
          <w:szCs w:val="24"/>
        </w:rPr>
        <w:t xml:space="preserve">, and Sango) were analyzed following APHA (2017) standards. Results revealed significant spatial variability: pH ranged from 3.7 (acidic) to 7.9 (neutral), electrical conductivity from 44.3 to 1079 </w:t>
      </w:r>
      <w:proofErr w:type="spellStart"/>
      <w:r w:rsidRPr="00775655">
        <w:rPr>
          <w:rFonts w:ascii="Times New Roman" w:hAnsi="Times New Roman" w:cs="Times New Roman"/>
          <w:i/>
          <w:sz w:val="24"/>
          <w:szCs w:val="24"/>
        </w:rPr>
        <w:t>μS</w:t>
      </w:r>
      <w:proofErr w:type="spellEnd"/>
      <w:r w:rsidRPr="00775655">
        <w:rPr>
          <w:rFonts w:ascii="Times New Roman" w:hAnsi="Times New Roman" w:cs="Times New Roman"/>
          <w:i/>
          <w:sz w:val="24"/>
          <w:szCs w:val="24"/>
        </w:rPr>
        <w:t xml:space="preserve">/cm, and total dissolved solids from 10.6 to 501.0 mg/L. Chloride (6.00–229.95 mg/L) indicated urban pollution hotspots, while cadmium concentrations (0.57–0.58 mg/L) consistently exceeded WHO limits, posing severe health risks. Total hardness reached 400 mg/L (as </w:t>
      </w:r>
      <w:proofErr w:type="spellStart"/>
      <w:r w:rsidRPr="00775655">
        <w:rPr>
          <w:rFonts w:ascii="Times New Roman" w:hAnsi="Times New Roman" w:cs="Times New Roman"/>
          <w:i/>
          <w:sz w:val="24"/>
          <w:szCs w:val="24"/>
        </w:rPr>
        <w:t>CaCO</w:t>
      </w:r>
      <w:proofErr w:type="spellEnd"/>
      <w:r w:rsidRPr="00775655">
        <w:rPr>
          <w:rFonts w:ascii="Times New Roman" w:hAnsi="Times New Roman" w:cs="Times New Roman"/>
          <w:i/>
          <w:sz w:val="24"/>
          <w:szCs w:val="24"/>
        </w:rPr>
        <w:t xml:space="preserve">₃) in 25% of samples, rendering them unsafe. The study attributes contamination to anthropogenic activities (industrial discharge, waste disposal, agricultural runoff) and natural </w:t>
      </w:r>
      <w:proofErr w:type="spellStart"/>
      <w:r w:rsidRPr="00775655">
        <w:rPr>
          <w:rFonts w:ascii="Times New Roman" w:hAnsi="Times New Roman" w:cs="Times New Roman"/>
          <w:i/>
          <w:sz w:val="24"/>
          <w:szCs w:val="24"/>
        </w:rPr>
        <w:t>hydrogeochemical</w:t>
      </w:r>
      <w:proofErr w:type="spellEnd"/>
      <w:r w:rsidRPr="00775655">
        <w:rPr>
          <w:rFonts w:ascii="Times New Roman" w:hAnsi="Times New Roman" w:cs="Times New Roman"/>
          <w:i/>
          <w:sz w:val="24"/>
          <w:szCs w:val="24"/>
        </w:rPr>
        <w:t xml:space="preserve"> processes. Recommendations include immediate remediation of cadmium/lead sources, installation of pH-adjustment systems and household filters, strict regulation of industrial discharges, buffer zones around wells, and enhanced monitoring of heavy metals and hardness parameters. </w:t>
      </w:r>
    </w:p>
    <w:p w:rsidR="00775655" w:rsidRDefault="00775655" w:rsidP="00207CE4">
      <w:pPr>
        <w:spacing w:after="0" w:line="480" w:lineRule="auto"/>
        <w:jc w:val="center"/>
        <w:rPr>
          <w:rFonts w:ascii="Times New Roman" w:hAnsi="Times New Roman" w:cs="Times New Roman"/>
          <w:b/>
          <w:caps/>
          <w:sz w:val="24"/>
          <w:szCs w:val="24"/>
        </w:rPr>
      </w:pPr>
    </w:p>
    <w:p w:rsidR="00775655" w:rsidRDefault="00775655" w:rsidP="00207CE4">
      <w:pPr>
        <w:spacing w:after="0" w:line="480" w:lineRule="auto"/>
        <w:jc w:val="center"/>
        <w:rPr>
          <w:rFonts w:ascii="Times New Roman" w:hAnsi="Times New Roman" w:cs="Times New Roman"/>
          <w:b/>
          <w:caps/>
          <w:sz w:val="24"/>
          <w:szCs w:val="24"/>
        </w:rPr>
      </w:pPr>
    </w:p>
    <w:p w:rsidR="00775655" w:rsidRDefault="00775655" w:rsidP="00207CE4">
      <w:pPr>
        <w:spacing w:after="0" w:line="480" w:lineRule="auto"/>
        <w:jc w:val="center"/>
        <w:rPr>
          <w:rFonts w:ascii="Times New Roman" w:hAnsi="Times New Roman" w:cs="Times New Roman"/>
          <w:b/>
          <w:caps/>
          <w:sz w:val="24"/>
          <w:szCs w:val="24"/>
        </w:rPr>
      </w:pPr>
    </w:p>
    <w:p w:rsidR="00775655" w:rsidRDefault="00775655" w:rsidP="00207CE4">
      <w:pPr>
        <w:spacing w:after="0" w:line="480" w:lineRule="auto"/>
        <w:jc w:val="center"/>
        <w:rPr>
          <w:rFonts w:ascii="Times New Roman" w:hAnsi="Times New Roman" w:cs="Times New Roman"/>
          <w:b/>
          <w:caps/>
          <w:sz w:val="24"/>
          <w:szCs w:val="24"/>
        </w:rPr>
      </w:pPr>
    </w:p>
    <w:p w:rsidR="00775655" w:rsidRDefault="00775655" w:rsidP="00207CE4">
      <w:pPr>
        <w:spacing w:after="0" w:line="480" w:lineRule="auto"/>
        <w:jc w:val="center"/>
        <w:rPr>
          <w:rFonts w:ascii="Times New Roman" w:hAnsi="Times New Roman" w:cs="Times New Roman"/>
          <w:b/>
          <w:caps/>
          <w:sz w:val="24"/>
          <w:szCs w:val="24"/>
        </w:rPr>
      </w:pPr>
    </w:p>
    <w:p w:rsidR="00527140" w:rsidRDefault="00527140" w:rsidP="00207CE4">
      <w:pPr>
        <w:spacing w:after="0" w:line="480" w:lineRule="auto"/>
        <w:jc w:val="center"/>
        <w:rPr>
          <w:rFonts w:ascii="Times New Roman" w:hAnsi="Times New Roman" w:cs="Times New Roman"/>
          <w:b/>
          <w:caps/>
          <w:sz w:val="24"/>
          <w:szCs w:val="24"/>
        </w:rPr>
      </w:pPr>
    </w:p>
    <w:p w:rsidR="00775655" w:rsidRDefault="00775655" w:rsidP="00207CE4">
      <w:pPr>
        <w:spacing w:after="0" w:line="480" w:lineRule="auto"/>
        <w:jc w:val="center"/>
        <w:rPr>
          <w:rFonts w:ascii="Times New Roman" w:hAnsi="Times New Roman" w:cs="Times New Roman"/>
          <w:b/>
          <w:caps/>
          <w:sz w:val="24"/>
          <w:szCs w:val="24"/>
        </w:rPr>
      </w:pPr>
    </w:p>
    <w:p w:rsidR="00775655" w:rsidRDefault="00775655" w:rsidP="00207CE4">
      <w:pPr>
        <w:spacing w:after="0" w:line="480" w:lineRule="auto"/>
        <w:jc w:val="center"/>
        <w:rPr>
          <w:rFonts w:ascii="Times New Roman" w:hAnsi="Times New Roman" w:cs="Times New Roman"/>
          <w:b/>
          <w:caps/>
          <w:sz w:val="24"/>
          <w:szCs w:val="24"/>
        </w:rPr>
      </w:pPr>
    </w:p>
    <w:p w:rsidR="00775655" w:rsidRDefault="00775655" w:rsidP="00207CE4">
      <w:pPr>
        <w:spacing w:after="0" w:line="480" w:lineRule="auto"/>
        <w:jc w:val="center"/>
        <w:rPr>
          <w:rFonts w:ascii="Times New Roman" w:hAnsi="Times New Roman" w:cs="Times New Roman"/>
          <w:b/>
          <w:caps/>
          <w:sz w:val="24"/>
          <w:szCs w:val="24"/>
        </w:rPr>
      </w:pPr>
    </w:p>
    <w:p w:rsidR="00775655" w:rsidRDefault="00775655" w:rsidP="00207CE4">
      <w:pPr>
        <w:spacing w:after="0" w:line="480" w:lineRule="auto"/>
        <w:jc w:val="center"/>
        <w:rPr>
          <w:rFonts w:ascii="Times New Roman" w:hAnsi="Times New Roman" w:cs="Times New Roman"/>
          <w:b/>
          <w:caps/>
          <w:sz w:val="24"/>
          <w:szCs w:val="24"/>
        </w:rPr>
      </w:pPr>
    </w:p>
    <w:p w:rsidR="00775655" w:rsidRDefault="00775655" w:rsidP="00207CE4">
      <w:pPr>
        <w:spacing w:after="0" w:line="480" w:lineRule="auto"/>
        <w:jc w:val="center"/>
        <w:rPr>
          <w:rFonts w:ascii="Times New Roman" w:hAnsi="Times New Roman" w:cs="Times New Roman"/>
          <w:b/>
          <w:caps/>
          <w:sz w:val="24"/>
          <w:szCs w:val="24"/>
        </w:rPr>
      </w:pPr>
    </w:p>
    <w:p w:rsidR="00775655" w:rsidRDefault="00775655" w:rsidP="00207CE4">
      <w:pPr>
        <w:spacing w:after="0" w:line="480" w:lineRule="auto"/>
        <w:jc w:val="center"/>
        <w:rPr>
          <w:rFonts w:ascii="Times New Roman" w:hAnsi="Times New Roman" w:cs="Times New Roman"/>
          <w:b/>
          <w:caps/>
          <w:sz w:val="24"/>
          <w:szCs w:val="24"/>
        </w:rPr>
      </w:pPr>
    </w:p>
    <w:p w:rsidR="00775655" w:rsidRDefault="00775655" w:rsidP="00207CE4">
      <w:pPr>
        <w:spacing w:after="0" w:line="480" w:lineRule="auto"/>
        <w:jc w:val="center"/>
        <w:rPr>
          <w:rFonts w:ascii="Times New Roman" w:hAnsi="Times New Roman" w:cs="Times New Roman"/>
          <w:b/>
          <w:caps/>
          <w:sz w:val="24"/>
          <w:szCs w:val="24"/>
        </w:rPr>
      </w:pPr>
    </w:p>
    <w:p w:rsidR="00775655" w:rsidRDefault="00775655" w:rsidP="00207CE4">
      <w:pPr>
        <w:spacing w:after="0" w:line="480" w:lineRule="auto"/>
        <w:jc w:val="center"/>
        <w:rPr>
          <w:rFonts w:ascii="Times New Roman" w:hAnsi="Times New Roman" w:cs="Times New Roman"/>
          <w:b/>
          <w:caps/>
          <w:sz w:val="24"/>
          <w:szCs w:val="24"/>
        </w:rPr>
      </w:pPr>
    </w:p>
    <w:p w:rsidR="00775655" w:rsidRDefault="00775655" w:rsidP="00207CE4">
      <w:pPr>
        <w:spacing w:after="0" w:line="480" w:lineRule="auto"/>
        <w:jc w:val="center"/>
        <w:rPr>
          <w:rFonts w:ascii="Times New Roman" w:hAnsi="Times New Roman" w:cs="Times New Roman"/>
          <w:b/>
          <w:caps/>
          <w:sz w:val="24"/>
          <w:szCs w:val="24"/>
        </w:rPr>
      </w:pPr>
    </w:p>
    <w:p w:rsidR="0037735E" w:rsidRDefault="0037735E" w:rsidP="00207CE4">
      <w:pPr>
        <w:spacing w:after="0" w:line="480" w:lineRule="auto"/>
        <w:jc w:val="center"/>
        <w:rPr>
          <w:rFonts w:ascii="Times New Roman" w:hAnsi="Times New Roman" w:cs="Times New Roman"/>
          <w:b/>
          <w:caps/>
          <w:sz w:val="24"/>
          <w:szCs w:val="24"/>
        </w:rPr>
      </w:pPr>
    </w:p>
    <w:p w:rsidR="00207CE4" w:rsidRDefault="00207CE4" w:rsidP="00207CE4">
      <w:pPr>
        <w:spacing w:after="0" w:line="480" w:lineRule="auto"/>
        <w:jc w:val="center"/>
        <w:rPr>
          <w:rFonts w:ascii="Times New Roman" w:hAnsi="Times New Roman" w:cs="Times New Roman"/>
          <w:b/>
          <w:caps/>
          <w:sz w:val="24"/>
          <w:szCs w:val="24"/>
        </w:rPr>
      </w:pPr>
      <w:r w:rsidRPr="00C26982">
        <w:rPr>
          <w:rFonts w:ascii="Times New Roman" w:hAnsi="Times New Roman" w:cs="Times New Roman"/>
          <w:b/>
          <w:caps/>
          <w:sz w:val="24"/>
          <w:szCs w:val="24"/>
        </w:rPr>
        <w:lastRenderedPageBreak/>
        <w:t>Table of Contents</w:t>
      </w:r>
    </w:p>
    <w:p w:rsidR="00207CE4" w:rsidRDefault="00207CE4" w:rsidP="00207CE4">
      <w:pPr>
        <w:spacing w:after="0" w:line="480" w:lineRule="auto"/>
        <w:rPr>
          <w:rFonts w:ascii="Times New Roman" w:hAnsi="Times New Roman" w:cs="Times New Roman"/>
          <w:b/>
          <w:sz w:val="24"/>
          <w:szCs w:val="24"/>
        </w:rPr>
      </w:pPr>
      <w:r>
        <w:rPr>
          <w:rFonts w:ascii="Times New Roman" w:hAnsi="Times New Roman" w:cs="Times New Roman"/>
          <w:b/>
          <w:caps/>
          <w:sz w:val="24"/>
          <w:szCs w:val="24"/>
        </w:rPr>
        <w:t>T</w:t>
      </w:r>
      <w:r>
        <w:rPr>
          <w:rFonts w:ascii="Times New Roman" w:hAnsi="Times New Roman" w:cs="Times New Roman"/>
          <w:b/>
          <w:sz w:val="24"/>
          <w:szCs w:val="24"/>
        </w:rPr>
        <w:t>itle Page</w:t>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t>i</w:t>
      </w:r>
    </w:p>
    <w:p w:rsidR="00207CE4" w:rsidRDefault="00207CE4" w:rsidP="00207CE4">
      <w:pPr>
        <w:spacing w:after="0" w:line="480" w:lineRule="auto"/>
        <w:rPr>
          <w:rFonts w:ascii="Times New Roman" w:hAnsi="Times New Roman" w:cs="Times New Roman"/>
          <w:b/>
          <w:sz w:val="24"/>
          <w:szCs w:val="24"/>
        </w:rPr>
      </w:pPr>
      <w:r>
        <w:rPr>
          <w:rFonts w:ascii="Times New Roman" w:hAnsi="Times New Roman" w:cs="Times New Roman"/>
          <w:b/>
          <w:sz w:val="24"/>
          <w:szCs w:val="24"/>
        </w:rPr>
        <w:t>Certification</w:t>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t>ii</w:t>
      </w:r>
    </w:p>
    <w:p w:rsidR="00207CE4" w:rsidRDefault="00207CE4" w:rsidP="00207CE4">
      <w:pPr>
        <w:spacing w:after="0" w:line="480" w:lineRule="auto"/>
        <w:rPr>
          <w:rFonts w:ascii="Times New Roman" w:hAnsi="Times New Roman" w:cs="Times New Roman"/>
          <w:b/>
          <w:sz w:val="24"/>
          <w:szCs w:val="24"/>
        </w:rPr>
      </w:pPr>
      <w:r>
        <w:rPr>
          <w:rFonts w:ascii="Times New Roman" w:hAnsi="Times New Roman" w:cs="Times New Roman"/>
          <w:b/>
          <w:sz w:val="24"/>
          <w:szCs w:val="24"/>
        </w:rPr>
        <w:t>Dedication</w:t>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t>iii</w:t>
      </w:r>
    </w:p>
    <w:p w:rsidR="00207CE4" w:rsidRDefault="00207CE4" w:rsidP="00207CE4">
      <w:pPr>
        <w:spacing w:after="0" w:line="480" w:lineRule="auto"/>
        <w:rPr>
          <w:rFonts w:ascii="Times New Roman" w:hAnsi="Times New Roman" w:cs="Times New Roman"/>
          <w:b/>
          <w:sz w:val="24"/>
          <w:szCs w:val="24"/>
        </w:rPr>
      </w:pPr>
      <w:r>
        <w:rPr>
          <w:rFonts w:ascii="Times New Roman" w:hAnsi="Times New Roman" w:cs="Times New Roman"/>
          <w:b/>
          <w:sz w:val="24"/>
          <w:szCs w:val="24"/>
        </w:rPr>
        <w:t>Acknowledgment</w:t>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proofErr w:type="gramStart"/>
      <w:r w:rsidR="00CF514E">
        <w:rPr>
          <w:rFonts w:ascii="Times New Roman" w:hAnsi="Times New Roman" w:cs="Times New Roman"/>
          <w:b/>
          <w:sz w:val="24"/>
          <w:szCs w:val="24"/>
        </w:rPr>
        <w:t>iv</w:t>
      </w:r>
      <w:proofErr w:type="gramEnd"/>
    </w:p>
    <w:p w:rsidR="00207CE4" w:rsidRDefault="00207CE4" w:rsidP="00207CE4">
      <w:pPr>
        <w:spacing w:after="0" w:line="480" w:lineRule="auto"/>
        <w:rPr>
          <w:rFonts w:ascii="Times New Roman" w:hAnsi="Times New Roman" w:cs="Times New Roman"/>
          <w:b/>
          <w:sz w:val="24"/>
          <w:szCs w:val="24"/>
        </w:rPr>
      </w:pPr>
      <w:r>
        <w:rPr>
          <w:rFonts w:ascii="Times New Roman" w:hAnsi="Times New Roman" w:cs="Times New Roman"/>
          <w:b/>
          <w:sz w:val="24"/>
          <w:szCs w:val="24"/>
        </w:rPr>
        <w:t>Abstract</w:t>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t>v</w:t>
      </w:r>
    </w:p>
    <w:p w:rsidR="00207CE4" w:rsidRDefault="00207CE4" w:rsidP="00207CE4">
      <w:pPr>
        <w:spacing w:after="0" w:line="480" w:lineRule="auto"/>
        <w:rPr>
          <w:rFonts w:ascii="Times New Roman" w:hAnsi="Times New Roman" w:cs="Times New Roman"/>
          <w:b/>
          <w:sz w:val="24"/>
          <w:szCs w:val="24"/>
        </w:rPr>
      </w:pPr>
      <w:r>
        <w:rPr>
          <w:rFonts w:ascii="Times New Roman" w:hAnsi="Times New Roman" w:cs="Times New Roman"/>
          <w:b/>
          <w:sz w:val="24"/>
          <w:szCs w:val="24"/>
        </w:rPr>
        <w:t>Table of Contents</w:t>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proofErr w:type="gramStart"/>
      <w:r w:rsidR="00CF514E">
        <w:rPr>
          <w:rFonts w:ascii="Times New Roman" w:hAnsi="Times New Roman" w:cs="Times New Roman"/>
          <w:b/>
          <w:sz w:val="24"/>
          <w:szCs w:val="24"/>
        </w:rPr>
        <w:t>vi</w:t>
      </w:r>
      <w:proofErr w:type="gramEnd"/>
    </w:p>
    <w:p w:rsidR="00CF514E" w:rsidRDefault="00CF514E" w:rsidP="00207CE4">
      <w:pPr>
        <w:spacing w:after="0" w:line="480" w:lineRule="auto"/>
        <w:rPr>
          <w:rFonts w:ascii="Times New Roman" w:hAnsi="Times New Roman" w:cs="Times New Roman"/>
          <w:b/>
          <w:sz w:val="24"/>
          <w:szCs w:val="24"/>
        </w:rPr>
      </w:pPr>
      <w:r>
        <w:rPr>
          <w:rFonts w:ascii="Times New Roman" w:hAnsi="Times New Roman" w:cs="Times New Roman"/>
          <w:b/>
          <w:sz w:val="24"/>
          <w:szCs w:val="24"/>
        </w:rPr>
        <w:t>List of Figures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viii</w:t>
      </w:r>
    </w:p>
    <w:p w:rsidR="00CF514E" w:rsidRPr="00207CE4" w:rsidRDefault="00CF514E" w:rsidP="00207CE4">
      <w:pPr>
        <w:spacing w:after="0" w:line="480" w:lineRule="auto"/>
        <w:rPr>
          <w:rFonts w:ascii="Times New Roman" w:hAnsi="Times New Roman" w:cs="Times New Roman"/>
          <w:b/>
          <w:sz w:val="24"/>
          <w:szCs w:val="24"/>
        </w:rPr>
      </w:pPr>
      <w:r>
        <w:rPr>
          <w:rFonts w:ascii="Times New Roman" w:hAnsi="Times New Roman" w:cs="Times New Roman"/>
          <w:b/>
          <w:sz w:val="24"/>
          <w:szCs w:val="24"/>
        </w:rPr>
        <w:t>List</w:t>
      </w:r>
      <w:r w:rsidR="00527140">
        <w:rPr>
          <w:rFonts w:ascii="Times New Roman" w:hAnsi="Times New Roman" w:cs="Times New Roman"/>
          <w:b/>
          <w:sz w:val="24"/>
          <w:szCs w:val="24"/>
        </w:rPr>
        <w:t xml:space="preserve"> of Tables</w:t>
      </w:r>
      <w:r w:rsidR="00527140">
        <w:rPr>
          <w:rFonts w:ascii="Times New Roman" w:hAnsi="Times New Roman" w:cs="Times New Roman"/>
          <w:b/>
          <w:sz w:val="24"/>
          <w:szCs w:val="24"/>
        </w:rPr>
        <w:tab/>
      </w:r>
      <w:r w:rsidR="00527140">
        <w:rPr>
          <w:rFonts w:ascii="Times New Roman" w:hAnsi="Times New Roman" w:cs="Times New Roman"/>
          <w:b/>
          <w:sz w:val="24"/>
          <w:szCs w:val="24"/>
        </w:rPr>
        <w:tab/>
      </w:r>
      <w:r w:rsidR="00527140">
        <w:rPr>
          <w:rFonts w:ascii="Times New Roman" w:hAnsi="Times New Roman" w:cs="Times New Roman"/>
          <w:b/>
          <w:sz w:val="24"/>
          <w:szCs w:val="24"/>
        </w:rPr>
        <w:tab/>
      </w:r>
      <w:r w:rsidR="00527140">
        <w:rPr>
          <w:rFonts w:ascii="Times New Roman" w:hAnsi="Times New Roman" w:cs="Times New Roman"/>
          <w:b/>
          <w:sz w:val="24"/>
          <w:szCs w:val="24"/>
        </w:rPr>
        <w:tab/>
      </w:r>
      <w:r w:rsidR="00527140">
        <w:rPr>
          <w:rFonts w:ascii="Times New Roman" w:hAnsi="Times New Roman" w:cs="Times New Roman"/>
          <w:b/>
          <w:sz w:val="24"/>
          <w:szCs w:val="24"/>
        </w:rPr>
        <w:tab/>
      </w:r>
      <w:r w:rsidR="00527140">
        <w:rPr>
          <w:rFonts w:ascii="Times New Roman" w:hAnsi="Times New Roman" w:cs="Times New Roman"/>
          <w:b/>
          <w:sz w:val="24"/>
          <w:szCs w:val="24"/>
        </w:rPr>
        <w:tab/>
      </w:r>
      <w:r w:rsidR="00527140">
        <w:rPr>
          <w:rFonts w:ascii="Times New Roman" w:hAnsi="Times New Roman" w:cs="Times New Roman"/>
          <w:b/>
          <w:sz w:val="24"/>
          <w:szCs w:val="24"/>
        </w:rPr>
        <w:tab/>
      </w:r>
      <w:r w:rsidR="00527140">
        <w:rPr>
          <w:rFonts w:ascii="Times New Roman" w:hAnsi="Times New Roman" w:cs="Times New Roman"/>
          <w:b/>
          <w:sz w:val="24"/>
          <w:szCs w:val="24"/>
        </w:rPr>
        <w:tab/>
      </w:r>
      <w:r w:rsidR="00527140">
        <w:rPr>
          <w:rFonts w:ascii="Times New Roman" w:hAnsi="Times New Roman" w:cs="Times New Roman"/>
          <w:b/>
          <w:sz w:val="24"/>
          <w:szCs w:val="24"/>
        </w:rPr>
        <w:tab/>
      </w:r>
      <w:r w:rsidR="00527140">
        <w:rPr>
          <w:rFonts w:ascii="Times New Roman" w:hAnsi="Times New Roman" w:cs="Times New Roman"/>
          <w:b/>
          <w:sz w:val="24"/>
          <w:szCs w:val="24"/>
        </w:rPr>
        <w:tab/>
        <w:t>ix</w:t>
      </w:r>
    </w:p>
    <w:p w:rsidR="00207CE4" w:rsidRPr="00C26982" w:rsidRDefault="00207CE4" w:rsidP="00207CE4">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Chapter one:</w:t>
      </w:r>
      <w:r>
        <w:rPr>
          <w:rFonts w:ascii="Times New Roman" w:hAnsi="Times New Roman" w:cs="Times New Roman"/>
          <w:b/>
          <w:caps/>
          <w:sz w:val="24"/>
          <w:szCs w:val="24"/>
        </w:rPr>
        <w:tab/>
      </w:r>
      <w:r>
        <w:rPr>
          <w:rFonts w:ascii="Times New Roman" w:hAnsi="Times New Roman" w:cs="Times New Roman"/>
          <w:b/>
          <w:caps/>
          <w:sz w:val="24"/>
          <w:szCs w:val="24"/>
        </w:rPr>
        <w:tab/>
      </w:r>
      <w:r w:rsidRPr="00C26982">
        <w:rPr>
          <w:rFonts w:ascii="Times New Roman" w:hAnsi="Times New Roman" w:cs="Times New Roman"/>
          <w:b/>
          <w:caps/>
          <w:sz w:val="24"/>
          <w:szCs w:val="24"/>
        </w:rPr>
        <w:t>Introduction</w:t>
      </w:r>
      <w:r w:rsidR="00D370AD">
        <w:rPr>
          <w:rFonts w:ascii="Times New Roman" w:hAnsi="Times New Roman" w:cs="Times New Roman"/>
          <w:b/>
          <w:caps/>
          <w:sz w:val="24"/>
          <w:szCs w:val="24"/>
        </w:rPr>
        <w:tab/>
      </w:r>
      <w:r w:rsidR="00D370AD">
        <w:rPr>
          <w:rFonts w:ascii="Times New Roman" w:hAnsi="Times New Roman" w:cs="Times New Roman"/>
          <w:b/>
          <w:caps/>
          <w:sz w:val="24"/>
          <w:szCs w:val="24"/>
        </w:rPr>
        <w:tab/>
      </w:r>
      <w:r w:rsidR="00D370AD">
        <w:rPr>
          <w:rFonts w:ascii="Times New Roman" w:hAnsi="Times New Roman" w:cs="Times New Roman"/>
          <w:b/>
          <w:caps/>
          <w:sz w:val="24"/>
          <w:szCs w:val="24"/>
        </w:rPr>
        <w:tab/>
      </w:r>
      <w:r w:rsidR="00D370AD">
        <w:rPr>
          <w:rFonts w:ascii="Times New Roman" w:hAnsi="Times New Roman" w:cs="Times New Roman"/>
          <w:b/>
          <w:caps/>
          <w:sz w:val="24"/>
          <w:szCs w:val="24"/>
        </w:rPr>
        <w:tab/>
      </w:r>
      <w:r w:rsidR="00D370AD">
        <w:rPr>
          <w:rFonts w:ascii="Times New Roman" w:hAnsi="Times New Roman" w:cs="Times New Roman"/>
          <w:b/>
          <w:caps/>
          <w:sz w:val="24"/>
          <w:szCs w:val="24"/>
        </w:rPr>
        <w:tab/>
        <w:t>10</w:t>
      </w:r>
    </w:p>
    <w:p w:rsidR="00207CE4" w:rsidRPr="009C5EAB" w:rsidRDefault="00207CE4" w:rsidP="00207C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Pr="009C5EAB">
        <w:rPr>
          <w:rFonts w:ascii="Times New Roman" w:hAnsi="Times New Roman" w:cs="Times New Roman"/>
          <w:sz w:val="24"/>
          <w:szCs w:val="24"/>
        </w:rPr>
        <w:t xml:space="preserve">Background of the Study  </w:t>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t>10</w:t>
      </w:r>
    </w:p>
    <w:p w:rsidR="00207CE4" w:rsidRPr="009C5EAB" w:rsidRDefault="00207CE4" w:rsidP="00207C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Pr="009C5EAB">
        <w:rPr>
          <w:rFonts w:ascii="Times New Roman" w:hAnsi="Times New Roman" w:cs="Times New Roman"/>
          <w:sz w:val="24"/>
          <w:szCs w:val="24"/>
        </w:rPr>
        <w:t xml:space="preserve">Statement of the Problem  </w:t>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t>12</w:t>
      </w:r>
    </w:p>
    <w:p w:rsidR="00207CE4" w:rsidRPr="009C5EAB" w:rsidRDefault="00207CE4" w:rsidP="00207C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 xml:space="preserve">Aims </w:t>
      </w:r>
      <w:r w:rsidRPr="009C5EAB">
        <w:rPr>
          <w:rFonts w:ascii="Times New Roman" w:hAnsi="Times New Roman" w:cs="Times New Roman"/>
          <w:sz w:val="24"/>
          <w:szCs w:val="24"/>
        </w:rPr>
        <w:t xml:space="preserve">of the Study  </w:t>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t>12</w:t>
      </w:r>
    </w:p>
    <w:p w:rsidR="00207CE4" w:rsidRPr="009C5EAB" w:rsidRDefault="00207CE4" w:rsidP="00207C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Pr="009C5EAB">
        <w:rPr>
          <w:rFonts w:ascii="Times New Roman" w:hAnsi="Times New Roman" w:cs="Times New Roman"/>
          <w:sz w:val="24"/>
          <w:szCs w:val="24"/>
        </w:rPr>
        <w:t xml:space="preserve">Objectives of the Study  </w:t>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t>13</w:t>
      </w:r>
    </w:p>
    <w:p w:rsidR="00207CE4" w:rsidRPr="009C5EAB" w:rsidRDefault="00207CE4" w:rsidP="00207C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Pr="009C5EAB">
        <w:rPr>
          <w:rFonts w:ascii="Times New Roman" w:hAnsi="Times New Roman" w:cs="Times New Roman"/>
          <w:sz w:val="24"/>
          <w:szCs w:val="24"/>
        </w:rPr>
        <w:t xml:space="preserve">Significance of the Study  </w:t>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t>13</w:t>
      </w:r>
    </w:p>
    <w:p w:rsidR="00207CE4" w:rsidRPr="00C26982" w:rsidRDefault="00207CE4" w:rsidP="00207CE4">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Chapter two:</w:t>
      </w:r>
      <w:r>
        <w:rPr>
          <w:rFonts w:ascii="Times New Roman" w:hAnsi="Times New Roman" w:cs="Times New Roman"/>
          <w:b/>
          <w:caps/>
          <w:sz w:val="24"/>
          <w:szCs w:val="24"/>
        </w:rPr>
        <w:tab/>
      </w:r>
      <w:r>
        <w:rPr>
          <w:rFonts w:ascii="Times New Roman" w:hAnsi="Times New Roman" w:cs="Times New Roman"/>
          <w:b/>
          <w:caps/>
          <w:sz w:val="24"/>
          <w:szCs w:val="24"/>
        </w:rPr>
        <w:tab/>
      </w:r>
      <w:r w:rsidRPr="00C26982">
        <w:rPr>
          <w:rFonts w:ascii="Times New Roman" w:hAnsi="Times New Roman" w:cs="Times New Roman"/>
          <w:b/>
          <w:caps/>
          <w:sz w:val="24"/>
          <w:szCs w:val="24"/>
        </w:rPr>
        <w:t>Literature Review</w:t>
      </w:r>
      <w:r w:rsidR="00D370AD">
        <w:rPr>
          <w:rFonts w:ascii="Times New Roman" w:hAnsi="Times New Roman" w:cs="Times New Roman"/>
          <w:b/>
          <w:caps/>
          <w:sz w:val="24"/>
          <w:szCs w:val="24"/>
        </w:rPr>
        <w:tab/>
      </w:r>
      <w:r w:rsidR="00D370AD">
        <w:rPr>
          <w:rFonts w:ascii="Times New Roman" w:hAnsi="Times New Roman" w:cs="Times New Roman"/>
          <w:b/>
          <w:caps/>
          <w:sz w:val="24"/>
          <w:szCs w:val="24"/>
        </w:rPr>
        <w:tab/>
      </w:r>
      <w:r w:rsidR="00D370AD">
        <w:rPr>
          <w:rFonts w:ascii="Times New Roman" w:hAnsi="Times New Roman" w:cs="Times New Roman"/>
          <w:b/>
          <w:caps/>
          <w:sz w:val="24"/>
          <w:szCs w:val="24"/>
        </w:rPr>
        <w:tab/>
      </w:r>
      <w:r w:rsidR="00D370AD">
        <w:rPr>
          <w:rFonts w:ascii="Times New Roman" w:hAnsi="Times New Roman" w:cs="Times New Roman"/>
          <w:b/>
          <w:caps/>
          <w:sz w:val="24"/>
          <w:szCs w:val="24"/>
        </w:rPr>
        <w:tab/>
        <w:t>15</w:t>
      </w:r>
    </w:p>
    <w:p w:rsidR="00B2439C" w:rsidRPr="003117DC" w:rsidRDefault="00B2439C" w:rsidP="00B2439C">
      <w:pPr>
        <w:pStyle w:val="Heading2"/>
        <w:spacing w:before="0" w:beforeAutospacing="0" w:after="0" w:afterAutospacing="0" w:line="480" w:lineRule="auto"/>
        <w:jc w:val="both"/>
        <w:rPr>
          <w:b w:val="0"/>
          <w:sz w:val="24"/>
          <w:szCs w:val="24"/>
        </w:rPr>
      </w:pPr>
      <w:r w:rsidRPr="003117DC">
        <w:rPr>
          <w:b w:val="0"/>
          <w:sz w:val="24"/>
          <w:szCs w:val="24"/>
        </w:rPr>
        <w:t>2.1</w:t>
      </w:r>
      <w:r w:rsidRPr="003117DC">
        <w:rPr>
          <w:b w:val="0"/>
          <w:sz w:val="24"/>
          <w:szCs w:val="24"/>
        </w:rPr>
        <w:tab/>
        <w:t>Groundwater Occurrence and Hydrogeological Setting in Ilorin</w:t>
      </w:r>
      <w:r w:rsidR="00D370AD">
        <w:rPr>
          <w:b w:val="0"/>
          <w:sz w:val="24"/>
          <w:szCs w:val="24"/>
        </w:rPr>
        <w:tab/>
      </w:r>
      <w:r w:rsidR="00D370AD">
        <w:rPr>
          <w:b w:val="0"/>
          <w:sz w:val="24"/>
          <w:szCs w:val="24"/>
        </w:rPr>
        <w:tab/>
        <w:t>15</w:t>
      </w:r>
    </w:p>
    <w:p w:rsidR="00B2439C" w:rsidRPr="003117DC" w:rsidRDefault="00B2439C" w:rsidP="00B2439C">
      <w:pPr>
        <w:pStyle w:val="Heading2"/>
        <w:spacing w:before="0" w:beforeAutospacing="0" w:after="0" w:afterAutospacing="0" w:line="480" w:lineRule="auto"/>
        <w:jc w:val="both"/>
        <w:rPr>
          <w:b w:val="0"/>
          <w:sz w:val="24"/>
          <w:szCs w:val="24"/>
        </w:rPr>
      </w:pPr>
      <w:r w:rsidRPr="003117DC">
        <w:rPr>
          <w:b w:val="0"/>
          <w:sz w:val="24"/>
          <w:szCs w:val="24"/>
        </w:rPr>
        <w:t>2.2</w:t>
      </w:r>
      <w:r w:rsidRPr="003117DC">
        <w:rPr>
          <w:b w:val="0"/>
          <w:sz w:val="24"/>
          <w:szCs w:val="24"/>
        </w:rPr>
        <w:tab/>
      </w:r>
      <w:proofErr w:type="spellStart"/>
      <w:r w:rsidRPr="003117DC">
        <w:rPr>
          <w:b w:val="0"/>
          <w:sz w:val="24"/>
          <w:szCs w:val="24"/>
        </w:rPr>
        <w:t>Hydrochemical</w:t>
      </w:r>
      <w:proofErr w:type="spellEnd"/>
      <w:r w:rsidRPr="003117DC">
        <w:rPr>
          <w:b w:val="0"/>
          <w:sz w:val="24"/>
          <w:szCs w:val="24"/>
        </w:rPr>
        <w:t xml:space="preserve"> Characteristics and Contamination Sources</w:t>
      </w:r>
      <w:r w:rsidR="00D370AD">
        <w:rPr>
          <w:b w:val="0"/>
          <w:sz w:val="24"/>
          <w:szCs w:val="24"/>
        </w:rPr>
        <w:tab/>
      </w:r>
      <w:r w:rsidR="00D370AD">
        <w:rPr>
          <w:b w:val="0"/>
          <w:sz w:val="24"/>
          <w:szCs w:val="24"/>
        </w:rPr>
        <w:tab/>
      </w:r>
      <w:r w:rsidR="00D370AD">
        <w:rPr>
          <w:b w:val="0"/>
          <w:sz w:val="24"/>
          <w:szCs w:val="24"/>
        </w:rPr>
        <w:tab/>
        <w:t>16</w:t>
      </w:r>
    </w:p>
    <w:p w:rsidR="00B2439C" w:rsidRPr="003117DC" w:rsidRDefault="00B2439C" w:rsidP="00B2439C">
      <w:pPr>
        <w:pStyle w:val="Heading2"/>
        <w:spacing w:before="0" w:beforeAutospacing="0" w:after="0" w:afterAutospacing="0" w:line="480" w:lineRule="auto"/>
        <w:jc w:val="both"/>
        <w:rPr>
          <w:b w:val="0"/>
          <w:sz w:val="24"/>
          <w:szCs w:val="24"/>
        </w:rPr>
      </w:pPr>
      <w:r w:rsidRPr="003117DC">
        <w:rPr>
          <w:b w:val="0"/>
          <w:sz w:val="24"/>
          <w:szCs w:val="24"/>
        </w:rPr>
        <w:t>2.3</w:t>
      </w:r>
      <w:r w:rsidRPr="003117DC">
        <w:rPr>
          <w:b w:val="0"/>
          <w:sz w:val="24"/>
          <w:szCs w:val="24"/>
        </w:rPr>
        <w:tab/>
        <w:t>Groundwater Quality Assessment, Health Implications, and Suitability</w:t>
      </w:r>
      <w:r w:rsidR="00D370AD">
        <w:rPr>
          <w:b w:val="0"/>
          <w:sz w:val="24"/>
          <w:szCs w:val="24"/>
        </w:rPr>
        <w:tab/>
        <w:t>17</w:t>
      </w:r>
    </w:p>
    <w:p w:rsidR="00B2439C" w:rsidRPr="003117DC" w:rsidRDefault="00B2439C" w:rsidP="00B2439C">
      <w:pPr>
        <w:pStyle w:val="Heading2"/>
        <w:spacing w:before="0" w:beforeAutospacing="0" w:after="0" w:afterAutospacing="0" w:line="480" w:lineRule="auto"/>
        <w:jc w:val="both"/>
        <w:rPr>
          <w:b w:val="0"/>
          <w:sz w:val="24"/>
          <w:szCs w:val="24"/>
        </w:rPr>
      </w:pPr>
      <w:r w:rsidRPr="003117DC">
        <w:rPr>
          <w:b w:val="0"/>
          <w:sz w:val="24"/>
          <w:szCs w:val="24"/>
        </w:rPr>
        <w:t>2.4</w:t>
      </w:r>
      <w:r w:rsidRPr="003117DC">
        <w:rPr>
          <w:b w:val="0"/>
          <w:sz w:val="24"/>
          <w:szCs w:val="24"/>
        </w:rPr>
        <w:tab/>
        <w:t>Previous Studies</w:t>
      </w:r>
      <w:r w:rsidR="00D370AD">
        <w:rPr>
          <w:b w:val="0"/>
          <w:sz w:val="24"/>
          <w:szCs w:val="24"/>
        </w:rPr>
        <w:tab/>
      </w:r>
      <w:r w:rsidR="00D370AD">
        <w:rPr>
          <w:b w:val="0"/>
          <w:sz w:val="24"/>
          <w:szCs w:val="24"/>
        </w:rPr>
        <w:tab/>
      </w:r>
      <w:r w:rsidR="00D370AD">
        <w:rPr>
          <w:b w:val="0"/>
          <w:sz w:val="24"/>
          <w:szCs w:val="24"/>
        </w:rPr>
        <w:tab/>
      </w:r>
      <w:r w:rsidR="00D370AD">
        <w:rPr>
          <w:b w:val="0"/>
          <w:sz w:val="24"/>
          <w:szCs w:val="24"/>
        </w:rPr>
        <w:tab/>
      </w:r>
      <w:r w:rsidR="00D370AD">
        <w:rPr>
          <w:b w:val="0"/>
          <w:sz w:val="24"/>
          <w:szCs w:val="24"/>
        </w:rPr>
        <w:tab/>
      </w:r>
      <w:r w:rsidR="00D370AD">
        <w:rPr>
          <w:b w:val="0"/>
          <w:sz w:val="24"/>
          <w:szCs w:val="24"/>
        </w:rPr>
        <w:tab/>
      </w:r>
      <w:r w:rsidR="00D370AD">
        <w:rPr>
          <w:b w:val="0"/>
          <w:sz w:val="24"/>
          <w:szCs w:val="24"/>
        </w:rPr>
        <w:tab/>
      </w:r>
      <w:r w:rsidR="00D370AD">
        <w:rPr>
          <w:b w:val="0"/>
          <w:sz w:val="24"/>
          <w:szCs w:val="24"/>
        </w:rPr>
        <w:tab/>
        <w:t>18</w:t>
      </w:r>
    </w:p>
    <w:p w:rsidR="00D370AD" w:rsidRDefault="00D370AD" w:rsidP="00207CE4">
      <w:pPr>
        <w:spacing w:after="0" w:line="480" w:lineRule="auto"/>
        <w:jc w:val="both"/>
        <w:rPr>
          <w:rFonts w:ascii="Times New Roman" w:hAnsi="Times New Roman" w:cs="Times New Roman"/>
          <w:b/>
          <w:caps/>
          <w:sz w:val="24"/>
          <w:szCs w:val="24"/>
        </w:rPr>
      </w:pPr>
    </w:p>
    <w:p w:rsidR="00D370AD" w:rsidRDefault="00D370AD" w:rsidP="00207CE4">
      <w:pPr>
        <w:spacing w:after="0" w:line="480" w:lineRule="auto"/>
        <w:jc w:val="both"/>
        <w:rPr>
          <w:rFonts w:ascii="Times New Roman" w:hAnsi="Times New Roman" w:cs="Times New Roman"/>
          <w:b/>
          <w:caps/>
          <w:sz w:val="24"/>
          <w:szCs w:val="24"/>
        </w:rPr>
      </w:pPr>
    </w:p>
    <w:p w:rsidR="00D370AD" w:rsidRDefault="00D370AD" w:rsidP="00207CE4">
      <w:pPr>
        <w:spacing w:after="0" w:line="480" w:lineRule="auto"/>
        <w:jc w:val="both"/>
        <w:rPr>
          <w:rFonts w:ascii="Times New Roman" w:hAnsi="Times New Roman" w:cs="Times New Roman"/>
          <w:b/>
          <w:caps/>
          <w:sz w:val="24"/>
          <w:szCs w:val="24"/>
        </w:rPr>
      </w:pPr>
    </w:p>
    <w:p w:rsidR="00D370AD" w:rsidRDefault="00D370AD" w:rsidP="00207CE4">
      <w:pPr>
        <w:spacing w:after="0" w:line="480" w:lineRule="auto"/>
        <w:jc w:val="both"/>
        <w:rPr>
          <w:rFonts w:ascii="Times New Roman" w:hAnsi="Times New Roman" w:cs="Times New Roman"/>
          <w:b/>
          <w:caps/>
          <w:sz w:val="24"/>
          <w:szCs w:val="24"/>
        </w:rPr>
      </w:pPr>
    </w:p>
    <w:p w:rsidR="00527140" w:rsidRDefault="00527140" w:rsidP="00207CE4">
      <w:pPr>
        <w:spacing w:after="0" w:line="480" w:lineRule="auto"/>
        <w:jc w:val="both"/>
        <w:rPr>
          <w:rFonts w:ascii="Times New Roman" w:hAnsi="Times New Roman" w:cs="Times New Roman"/>
          <w:b/>
          <w:caps/>
          <w:sz w:val="24"/>
          <w:szCs w:val="24"/>
        </w:rPr>
      </w:pPr>
    </w:p>
    <w:p w:rsidR="00207CE4" w:rsidRPr="00C26982" w:rsidRDefault="00207CE4" w:rsidP="00207CE4">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lastRenderedPageBreak/>
        <w:t>Chapter three:</w:t>
      </w:r>
      <w:r>
        <w:rPr>
          <w:rFonts w:ascii="Times New Roman" w:hAnsi="Times New Roman" w:cs="Times New Roman"/>
          <w:b/>
          <w:caps/>
          <w:sz w:val="24"/>
          <w:szCs w:val="24"/>
        </w:rPr>
        <w:tab/>
      </w:r>
      <w:r>
        <w:rPr>
          <w:rFonts w:ascii="Times New Roman" w:hAnsi="Times New Roman" w:cs="Times New Roman"/>
          <w:b/>
          <w:caps/>
          <w:sz w:val="24"/>
          <w:szCs w:val="24"/>
        </w:rPr>
        <w:tab/>
      </w:r>
      <w:r w:rsidRPr="00C26982">
        <w:rPr>
          <w:rFonts w:ascii="Times New Roman" w:hAnsi="Times New Roman" w:cs="Times New Roman"/>
          <w:b/>
          <w:caps/>
          <w:sz w:val="24"/>
          <w:szCs w:val="24"/>
        </w:rPr>
        <w:t>Methodology</w:t>
      </w:r>
      <w:r w:rsidR="00D370AD">
        <w:rPr>
          <w:rFonts w:ascii="Times New Roman" w:hAnsi="Times New Roman" w:cs="Times New Roman"/>
          <w:b/>
          <w:caps/>
          <w:sz w:val="24"/>
          <w:szCs w:val="24"/>
        </w:rPr>
        <w:tab/>
      </w:r>
      <w:r w:rsidR="00D370AD">
        <w:rPr>
          <w:rFonts w:ascii="Times New Roman" w:hAnsi="Times New Roman" w:cs="Times New Roman"/>
          <w:b/>
          <w:caps/>
          <w:sz w:val="24"/>
          <w:szCs w:val="24"/>
        </w:rPr>
        <w:tab/>
      </w:r>
      <w:r w:rsidR="00D370AD">
        <w:rPr>
          <w:rFonts w:ascii="Times New Roman" w:hAnsi="Times New Roman" w:cs="Times New Roman"/>
          <w:b/>
          <w:caps/>
          <w:sz w:val="24"/>
          <w:szCs w:val="24"/>
        </w:rPr>
        <w:tab/>
      </w:r>
      <w:r w:rsidR="00D370AD">
        <w:rPr>
          <w:rFonts w:ascii="Times New Roman" w:hAnsi="Times New Roman" w:cs="Times New Roman"/>
          <w:b/>
          <w:caps/>
          <w:sz w:val="24"/>
          <w:szCs w:val="24"/>
        </w:rPr>
        <w:tab/>
      </w:r>
      <w:r w:rsidR="00D370AD">
        <w:rPr>
          <w:rFonts w:ascii="Times New Roman" w:hAnsi="Times New Roman" w:cs="Times New Roman"/>
          <w:b/>
          <w:caps/>
          <w:sz w:val="24"/>
          <w:szCs w:val="24"/>
        </w:rPr>
        <w:tab/>
        <w:t>20</w:t>
      </w:r>
    </w:p>
    <w:p w:rsidR="00B2439C" w:rsidRPr="003515F9" w:rsidRDefault="00B2439C" w:rsidP="00B2439C">
      <w:pPr>
        <w:spacing w:after="0" w:line="480" w:lineRule="auto"/>
        <w:rPr>
          <w:rFonts w:ascii="Times New Roman" w:hAnsi="Times New Roman" w:cs="Times New Roman"/>
          <w:sz w:val="24"/>
          <w:szCs w:val="24"/>
        </w:rPr>
      </w:pPr>
      <w:r w:rsidRPr="003515F9">
        <w:rPr>
          <w:rFonts w:ascii="Times New Roman" w:hAnsi="Times New Roman" w:cs="Times New Roman"/>
          <w:sz w:val="24"/>
          <w:szCs w:val="24"/>
        </w:rPr>
        <w:t>3.1</w:t>
      </w:r>
      <w:r w:rsidRPr="003515F9">
        <w:rPr>
          <w:rFonts w:ascii="Times New Roman" w:hAnsi="Times New Roman" w:cs="Times New Roman"/>
          <w:sz w:val="24"/>
          <w:szCs w:val="24"/>
        </w:rPr>
        <w:tab/>
        <w:t>Desk Study</w:t>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t>20</w:t>
      </w:r>
    </w:p>
    <w:p w:rsidR="00B2439C" w:rsidRPr="003515F9" w:rsidRDefault="00B2439C" w:rsidP="00B2439C">
      <w:pPr>
        <w:spacing w:after="0" w:line="480" w:lineRule="auto"/>
        <w:jc w:val="both"/>
        <w:rPr>
          <w:rFonts w:ascii="Times New Roman" w:hAnsi="Times New Roman" w:cs="Times New Roman"/>
          <w:caps/>
          <w:sz w:val="24"/>
          <w:szCs w:val="24"/>
        </w:rPr>
      </w:pPr>
      <w:r w:rsidRPr="003515F9">
        <w:rPr>
          <w:rFonts w:ascii="Times New Roman" w:hAnsi="Times New Roman" w:cs="Times New Roman"/>
          <w:sz w:val="24"/>
          <w:szCs w:val="24"/>
        </w:rPr>
        <w:t>3.2</w:t>
      </w:r>
      <w:r w:rsidRPr="003515F9">
        <w:rPr>
          <w:rFonts w:ascii="Times New Roman" w:hAnsi="Times New Roman" w:cs="Times New Roman"/>
          <w:sz w:val="24"/>
          <w:szCs w:val="24"/>
        </w:rPr>
        <w:tab/>
        <w:t>Research Design</w:t>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t>21</w:t>
      </w:r>
    </w:p>
    <w:p w:rsidR="00B2439C" w:rsidRPr="003515F9" w:rsidRDefault="00B2439C" w:rsidP="00B2439C">
      <w:pPr>
        <w:spacing w:after="0" w:line="480" w:lineRule="auto"/>
        <w:jc w:val="both"/>
        <w:rPr>
          <w:rFonts w:ascii="Times New Roman" w:hAnsi="Times New Roman" w:cs="Times New Roman"/>
          <w:caps/>
          <w:sz w:val="24"/>
          <w:szCs w:val="24"/>
        </w:rPr>
      </w:pPr>
      <w:r w:rsidRPr="003515F9">
        <w:rPr>
          <w:rFonts w:ascii="Times New Roman" w:hAnsi="Times New Roman" w:cs="Times New Roman"/>
          <w:sz w:val="24"/>
          <w:szCs w:val="24"/>
        </w:rPr>
        <w:t>3.3</w:t>
      </w:r>
      <w:r w:rsidRPr="003515F9">
        <w:rPr>
          <w:rFonts w:ascii="Times New Roman" w:hAnsi="Times New Roman" w:cs="Times New Roman"/>
          <w:sz w:val="24"/>
          <w:szCs w:val="24"/>
        </w:rPr>
        <w:tab/>
        <w:t xml:space="preserve">Reconnaissance Survey </w:t>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t>21</w:t>
      </w:r>
    </w:p>
    <w:p w:rsidR="00B2439C" w:rsidRPr="003515F9" w:rsidRDefault="00B2439C" w:rsidP="00B2439C">
      <w:pPr>
        <w:spacing w:after="0" w:line="480" w:lineRule="auto"/>
        <w:jc w:val="both"/>
        <w:rPr>
          <w:rFonts w:ascii="Times New Roman" w:hAnsi="Times New Roman" w:cs="Times New Roman"/>
          <w:caps/>
          <w:sz w:val="24"/>
          <w:szCs w:val="24"/>
        </w:rPr>
      </w:pPr>
      <w:r w:rsidRPr="003515F9">
        <w:rPr>
          <w:rFonts w:ascii="Times New Roman" w:hAnsi="Times New Roman" w:cs="Times New Roman"/>
          <w:sz w:val="24"/>
          <w:szCs w:val="24"/>
        </w:rPr>
        <w:t>3.4</w:t>
      </w:r>
      <w:r w:rsidRPr="003515F9">
        <w:rPr>
          <w:rFonts w:ascii="Times New Roman" w:hAnsi="Times New Roman" w:cs="Times New Roman"/>
          <w:sz w:val="24"/>
          <w:szCs w:val="24"/>
        </w:rPr>
        <w:tab/>
        <w:t xml:space="preserve">Sampling Locations </w:t>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t>22</w:t>
      </w:r>
    </w:p>
    <w:p w:rsidR="00B2439C" w:rsidRPr="003515F9" w:rsidRDefault="00B2439C" w:rsidP="00B2439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Sample Collection a</w:t>
      </w:r>
      <w:r w:rsidRPr="003515F9">
        <w:rPr>
          <w:rFonts w:ascii="Times New Roman" w:hAnsi="Times New Roman" w:cs="Times New Roman"/>
          <w:sz w:val="24"/>
          <w:szCs w:val="24"/>
        </w:rPr>
        <w:t>nd Preservation</w:t>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t>23</w:t>
      </w:r>
    </w:p>
    <w:p w:rsidR="00B2439C" w:rsidRPr="003515F9" w:rsidRDefault="00B2439C" w:rsidP="00B2439C">
      <w:pPr>
        <w:spacing w:after="0" w:line="480" w:lineRule="auto"/>
        <w:jc w:val="both"/>
        <w:rPr>
          <w:rFonts w:ascii="Times New Roman" w:hAnsi="Times New Roman" w:cs="Times New Roman"/>
          <w:caps/>
          <w:color w:val="000000" w:themeColor="text1"/>
          <w:sz w:val="24"/>
          <w:szCs w:val="24"/>
        </w:rPr>
      </w:pPr>
      <w:r w:rsidRPr="003515F9">
        <w:rPr>
          <w:rFonts w:ascii="Times New Roman" w:hAnsi="Times New Roman" w:cs="Times New Roman"/>
          <w:color w:val="000000" w:themeColor="text1"/>
          <w:sz w:val="24"/>
          <w:szCs w:val="24"/>
        </w:rPr>
        <w:t>3.6</w:t>
      </w:r>
      <w:r w:rsidRPr="003515F9">
        <w:rPr>
          <w:rFonts w:ascii="Times New Roman" w:hAnsi="Times New Roman" w:cs="Times New Roman"/>
          <w:color w:val="000000" w:themeColor="text1"/>
          <w:sz w:val="24"/>
          <w:szCs w:val="24"/>
        </w:rPr>
        <w:tab/>
        <w:t xml:space="preserve">Laboratory Analytical Procedure </w:t>
      </w:r>
      <w:r w:rsidR="008F5D4B">
        <w:rPr>
          <w:rFonts w:ascii="Times New Roman" w:hAnsi="Times New Roman" w:cs="Times New Roman"/>
          <w:color w:val="000000" w:themeColor="text1"/>
          <w:sz w:val="24"/>
          <w:szCs w:val="24"/>
        </w:rPr>
        <w:tab/>
      </w:r>
      <w:r w:rsidR="008F5D4B">
        <w:rPr>
          <w:rFonts w:ascii="Times New Roman" w:hAnsi="Times New Roman" w:cs="Times New Roman"/>
          <w:color w:val="000000" w:themeColor="text1"/>
          <w:sz w:val="24"/>
          <w:szCs w:val="24"/>
        </w:rPr>
        <w:tab/>
      </w:r>
      <w:r w:rsidR="008F5D4B">
        <w:rPr>
          <w:rFonts w:ascii="Times New Roman" w:hAnsi="Times New Roman" w:cs="Times New Roman"/>
          <w:color w:val="000000" w:themeColor="text1"/>
          <w:sz w:val="24"/>
          <w:szCs w:val="24"/>
        </w:rPr>
        <w:tab/>
      </w:r>
      <w:r w:rsidR="008F5D4B">
        <w:rPr>
          <w:rFonts w:ascii="Times New Roman" w:hAnsi="Times New Roman" w:cs="Times New Roman"/>
          <w:color w:val="000000" w:themeColor="text1"/>
          <w:sz w:val="24"/>
          <w:szCs w:val="24"/>
        </w:rPr>
        <w:tab/>
      </w:r>
      <w:r w:rsidR="008F5D4B">
        <w:rPr>
          <w:rFonts w:ascii="Times New Roman" w:hAnsi="Times New Roman" w:cs="Times New Roman"/>
          <w:color w:val="000000" w:themeColor="text1"/>
          <w:sz w:val="24"/>
          <w:szCs w:val="24"/>
        </w:rPr>
        <w:tab/>
      </w:r>
      <w:r w:rsidR="008F5D4B">
        <w:rPr>
          <w:rFonts w:ascii="Times New Roman" w:hAnsi="Times New Roman" w:cs="Times New Roman"/>
          <w:color w:val="000000" w:themeColor="text1"/>
          <w:sz w:val="24"/>
          <w:szCs w:val="24"/>
        </w:rPr>
        <w:tab/>
        <w:t>23</w:t>
      </w:r>
    </w:p>
    <w:p w:rsidR="00B2439C" w:rsidRPr="003515F9" w:rsidRDefault="00B2439C" w:rsidP="00B2439C">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w:t>
      </w:r>
      <w:r>
        <w:rPr>
          <w:rFonts w:ascii="Times New Roman" w:hAnsi="Times New Roman" w:cs="Times New Roman"/>
          <w:color w:val="000000" w:themeColor="text1"/>
          <w:sz w:val="24"/>
          <w:szCs w:val="24"/>
        </w:rPr>
        <w:tab/>
        <w:t>Data Quality Control a</w:t>
      </w:r>
      <w:r w:rsidRPr="003515F9">
        <w:rPr>
          <w:rFonts w:ascii="Times New Roman" w:hAnsi="Times New Roman" w:cs="Times New Roman"/>
          <w:color w:val="000000" w:themeColor="text1"/>
          <w:sz w:val="24"/>
          <w:szCs w:val="24"/>
        </w:rPr>
        <w:t xml:space="preserve">nd Assurance </w:t>
      </w:r>
      <w:r w:rsidR="008F5D4B">
        <w:rPr>
          <w:rFonts w:ascii="Times New Roman" w:hAnsi="Times New Roman" w:cs="Times New Roman"/>
          <w:color w:val="000000" w:themeColor="text1"/>
          <w:sz w:val="24"/>
          <w:szCs w:val="24"/>
        </w:rPr>
        <w:tab/>
      </w:r>
      <w:r w:rsidR="008F5D4B">
        <w:rPr>
          <w:rFonts w:ascii="Times New Roman" w:hAnsi="Times New Roman" w:cs="Times New Roman"/>
          <w:color w:val="000000" w:themeColor="text1"/>
          <w:sz w:val="24"/>
          <w:szCs w:val="24"/>
        </w:rPr>
        <w:tab/>
      </w:r>
      <w:r w:rsidR="008F5D4B">
        <w:rPr>
          <w:rFonts w:ascii="Times New Roman" w:hAnsi="Times New Roman" w:cs="Times New Roman"/>
          <w:color w:val="000000" w:themeColor="text1"/>
          <w:sz w:val="24"/>
          <w:szCs w:val="24"/>
        </w:rPr>
        <w:tab/>
      </w:r>
      <w:r w:rsidR="008F5D4B">
        <w:rPr>
          <w:rFonts w:ascii="Times New Roman" w:hAnsi="Times New Roman" w:cs="Times New Roman"/>
          <w:color w:val="000000" w:themeColor="text1"/>
          <w:sz w:val="24"/>
          <w:szCs w:val="24"/>
        </w:rPr>
        <w:tab/>
      </w:r>
      <w:r w:rsidR="008F5D4B">
        <w:rPr>
          <w:rFonts w:ascii="Times New Roman" w:hAnsi="Times New Roman" w:cs="Times New Roman"/>
          <w:color w:val="000000" w:themeColor="text1"/>
          <w:sz w:val="24"/>
          <w:szCs w:val="24"/>
        </w:rPr>
        <w:tab/>
      </w:r>
      <w:r w:rsidR="008F5D4B">
        <w:rPr>
          <w:rFonts w:ascii="Times New Roman" w:hAnsi="Times New Roman" w:cs="Times New Roman"/>
          <w:color w:val="000000" w:themeColor="text1"/>
          <w:sz w:val="24"/>
          <w:szCs w:val="24"/>
        </w:rPr>
        <w:tab/>
        <w:t>24</w:t>
      </w:r>
    </w:p>
    <w:p w:rsidR="00B2439C" w:rsidRPr="003515F9" w:rsidRDefault="00B2439C" w:rsidP="00B2439C">
      <w:pPr>
        <w:spacing w:after="0" w:line="480" w:lineRule="auto"/>
        <w:outlineLvl w:val="2"/>
        <w:rPr>
          <w:rFonts w:ascii="Times New Roman" w:eastAsia="Times New Roman" w:hAnsi="Times New Roman" w:cs="Times New Roman"/>
          <w:bCs/>
          <w:caps/>
          <w:color w:val="000000" w:themeColor="text1"/>
          <w:sz w:val="24"/>
          <w:szCs w:val="24"/>
        </w:rPr>
      </w:pPr>
      <w:r w:rsidRPr="003515F9">
        <w:rPr>
          <w:rFonts w:ascii="Times New Roman" w:eastAsia="Times New Roman" w:hAnsi="Times New Roman" w:cs="Times New Roman"/>
          <w:bCs/>
          <w:color w:val="000000" w:themeColor="text1"/>
          <w:sz w:val="24"/>
          <w:szCs w:val="24"/>
        </w:rPr>
        <w:t>3.8</w:t>
      </w:r>
      <w:r w:rsidRPr="003515F9">
        <w:rPr>
          <w:rFonts w:ascii="Times New Roman" w:eastAsia="Times New Roman" w:hAnsi="Times New Roman" w:cs="Times New Roman"/>
          <w:bCs/>
          <w:color w:val="000000" w:themeColor="text1"/>
          <w:sz w:val="24"/>
          <w:szCs w:val="24"/>
        </w:rPr>
        <w:tab/>
        <w:t>Data Analysis Techniques</w:t>
      </w:r>
      <w:r w:rsidR="008F5D4B">
        <w:rPr>
          <w:rFonts w:ascii="Times New Roman" w:eastAsia="Times New Roman" w:hAnsi="Times New Roman" w:cs="Times New Roman"/>
          <w:bCs/>
          <w:color w:val="000000" w:themeColor="text1"/>
          <w:sz w:val="24"/>
          <w:szCs w:val="24"/>
        </w:rPr>
        <w:tab/>
      </w:r>
      <w:r w:rsidR="008F5D4B">
        <w:rPr>
          <w:rFonts w:ascii="Times New Roman" w:eastAsia="Times New Roman" w:hAnsi="Times New Roman" w:cs="Times New Roman"/>
          <w:bCs/>
          <w:color w:val="000000" w:themeColor="text1"/>
          <w:sz w:val="24"/>
          <w:szCs w:val="24"/>
        </w:rPr>
        <w:tab/>
      </w:r>
      <w:r w:rsidR="008F5D4B">
        <w:rPr>
          <w:rFonts w:ascii="Times New Roman" w:eastAsia="Times New Roman" w:hAnsi="Times New Roman" w:cs="Times New Roman"/>
          <w:bCs/>
          <w:color w:val="000000" w:themeColor="text1"/>
          <w:sz w:val="24"/>
          <w:szCs w:val="24"/>
        </w:rPr>
        <w:tab/>
      </w:r>
      <w:r w:rsidR="008F5D4B">
        <w:rPr>
          <w:rFonts w:ascii="Times New Roman" w:eastAsia="Times New Roman" w:hAnsi="Times New Roman" w:cs="Times New Roman"/>
          <w:bCs/>
          <w:color w:val="000000" w:themeColor="text1"/>
          <w:sz w:val="24"/>
          <w:szCs w:val="24"/>
        </w:rPr>
        <w:tab/>
      </w:r>
      <w:r w:rsidR="008F5D4B">
        <w:rPr>
          <w:rFonts w:ascii="Times New Roman" w:eastAsia="Times New Roman" w:hAnsi="Times New Roman" w:cs="Times New Roman"/>
          <w:bCs/>
          <w:color w:val="000000" w:themeColor="text1"/>
          <w:sz w:val="24"/>
          <w:szCs w:val="24"/>
        </w:rPr>
        <w:tab/>
      </w:r>
      <w:r w:rsidR="008F5D4B">
        <w:rPr>
          <w:rFonts w:ascii="Times New Roman" w:eastAsia="Times New Roman" w:hAnsi="Times New Roman" w:cs="Times New Roman"/>
          <w:bCs/>
          <w:color w:val="000000" w:themeColor="text1"/>
          <w:sz w:val="24"/>
          <w:szCs w:val="24"/>
        </w:rPr>
        <w:tab/>
      </w:r>
      <w:r w:rsidR="008F5D4B">
        <w:rPr>
          <w:rFonts w:ascii="Times New Roman" w:eastAsia="Times New Roman" w:hAnsi="Times New Roman" w:cs="Times New Roman"/>
          <w:bCs/>
          <w:color w:val="000000" w:themeColor="text1"/>
          <w:sz w:val="24"/>
          <w:szCs w:val="24"/>
        </w:rPr>
        <w:tab/>
        <w:t>24</w:t>
      </w:r>
    </w:p>
    <w:p w:rsidR="00B2439C" w:rsidRPr="003515F9" w:rsidRDefault="00B2439C" w:rsidP="00B2439C">
      <w:pPr>
        <w:spacing w:after="0" w:line="480" w:lineRule="auto"/>
        <w:jc w:val="both"/>
        <w:rPr>
          <w:rFonts w:ascii="Times New Roman" w:hAnsi="Times New Roman" w:cs="Times New Roman"/>
          <w:sz w:val="24"/>
          <w:szCs w:val="24"/>
        </w:rPr>
      </w:pPr>
      <w:r w:rsidRPr="003515F9">
        <w:rPr>
          <w:rFonts w:ascii="Times New Roman" w:hAnsi="Times New Roman" w:cs="Times New Roman"/>
          <w:sz w:val="24"/>
          <w:szCs w:val="24"/>
        </w:rPr>
        <w:t>3.9</w:t>
      </w:r>
      <w:r w:rsidRPr="003515F9">
        <w:rPr>
          <w:rFonts w:ascii="Times New Roman" w:hAnsi="Times New Roman" w:cs="Times New Roman"/>
          <w:sz w:val="24"/>
          <w:szCs w:val="24"/>
        </w:rPr>
        <w:tab/>
        <w:t>Ethical Considerations</w:t>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t>26</w:t>
      </w:r>
    </w:p>
    <w:p w:rsidR="00B2439C" w:rsidRPr="003515F9" w:rsidRDefault="00B2439C" w:rsidP="00B2439C">
      <w:pPr>
        <w:spacing w:after="0" w:line="480" w:lineRule="auto"/>
        <w:jc w:val="both"/>
        <w:rPr>
          <w:rFonts w:ascii="Times New Roman" w:hAnsi="Times New Roman" w:cs="Times New Roman"/>
          <w:sz w:val="24"/>
          <w:szCs w:val="24"/>
        </w:rPr>
      </w:pPr>
      <w:r w:rsidRPr="003515F9">
        <w:rPr>
          <w:rFonts w:ascii="Times New Roman" w:hAnsi="Times New Roman" w:cs="Times New Roman"/>
          <w:sz w:val="24"/>
          <w:szCs w:val="24"/>
        </w:rPr>
        <w:t>3.10</w:t>
      </w:r>
      <w:r w:rsidRPr="003515F9">
        <w:rPr>
          <w:rFonts w:ascii="Times New Roman" w:hAnsi="Times New Roman" w:cs="Times New Roman"/>
          <w:sz w:val="24"/>
          <w:szCs w:val="24"/>
        </w:rPr>
        <w:tab/>
        <w:t xml:space="preserve">Limitation </w:t>
      </w:r>
      <w:proofErr w:type="gramStart"/>
      <w:r w:rsidRPr="003515F9">
        <w:rPr>
          <w:rFonts w:ascii="Times New Roman" w:hAnsi="Times New Roman" w:cs="Times New Roman"/>
          <w:sz w:val="24"/>
          <w:szCs w:val="24"/>
        </w:rPr>
        <w:t>Of</w:t>
      </w:r>
      <w:proofErr w:type="gramEnd"/>
      <w:r w:rsidRPr="003515F9">
        <w:rPr>
          <w:rFonts w:ascii="Times New Roman" w:hAnsi="Times New Roman" w:cs="Times New Roman"/>
          <w:sz w:val="24"/>
          <w:szCs w:val="24"/>
        </w:rPr>
        <w:t xml:space="preserve"> The Methodology  </w:t>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t>26</w:t>
      </w:r>
    </w:p>
    <w:p w:rsidR="00B2439C" w:rsidRPr="003515F9" w:rsidRDefault="00B2439C" w:rsidP="00B2439C">
      <w:pPr>
        <w:spacing w:after="0" w:line="480" w:lineRule="auto"/>
        <w:jc w:val="both"/>
        <w:rPr>
          <w:rFonts w:ascii="Times New Roman" w:hAnsi="Times New Roman" w:cs="Times New Roman"/>
          <w:sz w:val="24"/>
          <w:szCs w:val="24"/>
        </w:rPr>
      </w:pPr>
      <w:r w:rsidRPr="003515F9">
        <w:rPr>
          <w:rFonts w:ascii="Times New Roman" w:hAnsi="Times New Roman" w:cs="Times New Roman"/>
          <w:sz w:val="24"/>
          <w:szCs w:val="24"/>
        </w:rPr>
        <w:t>3.11</w:t>
      </w:r>
      <w:r w:rsidRPr="003515F9">
        <w:rPr>
          <w:rFonts w:ascii="Times New Roman" w:hAnsi="Times New Roman" w:cs="Times New Roman"/>
          <w:sz w:val="24"/>
          <w:szCs w:val="24"/>
        </w:rPr>
        <w:tab/>
        <w:t>Summary</w:t>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t>26</w:t>
      </w:r>
    </w:p>
    <w:p w:rsidR="00207CE4" w:rsidRPr="00C26982" w:rsidRDefault="00C1670C" w:rsidP="00207CE4">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Chapter four:</w:t>
      </w:r>
      <w:r>
        <w:rPr>
          <w:rFonts w:ascii="Times New Roman" w:hAnsi="Times New Roman" w:cs="Times New Roman"/>
          <w:b/>
          <w:caps/>
          <w:sz w:val="24"/>
          <w:szCs w:val="24"/>
        </w:rPr>
        <w:tab/>
      </w:r>
      <w:r w:rsidR="00207CE4" w:rsidRPr="00C26982">
        <w:rPr>
          <w:rFonts w:ascii="Times New Roman" w:hAnsi="Times New Roman" w:cs="Times New Roman"/>
          <w:b/>
          <w:caps/>
          <w:sz w:val="24"/>
          <w:szCs w:val="24"/>
        </w:rPr>
        <w:t>Results and Discussion</w:t>
      </w:r>
      <w:r w:rsidR="008F5D4B">
        <w:rPr>
          <w:rFonts w:ascii="Times New Roman" w:hAnsi="Times New Roman" w:cs="Times New Roman"/>
          <w:b/>
          <w:caps/>
          <w:sz w:val="24"/>
          <w:szCs w:val="24"/>
        </w:rPr>
        <w:tab/>
      </w:r>
      <w:r w:rsidR="008F5D4B">
        <w:rPr>
          <w:rFonts w:ascii="Times New Roman" w:hAnsi="Times New Roman" w:cs="Times New Roman"/>
          <w:b/>
          <w:caps/>
          <w:sz w:val="24"/>
          <w:szCs w:val="24"/>
        </w:rPr>
        <w:tab/>
      </w:r>
      <w:r w:rsidR="008F5D4B">
        <w:rPr>
          <w:rFonts w:ascii="Times New Roman" w:hAnsi="Times New Roman" w:cs="Times New Roman"/>
          <w:b/>
          <w:caps/>
          <w:sz w:val="24"/>
          <w:szCs w:val="24"/>
        </w:rPr>
        <w:tab/>
      </w:r>
      <w:r w:rsidR="008F5D4B">
        <w:rPr>
          <w:rFonts w:ascii="Times New Roman" w:hAnsi="Times New Roman" w:cs="Times New Roman"/>
          <w:b/>
          <w:caps/>
          <w:sz w:val="24"/>
          <w:szCs w:val="24"/>
        </w:rPr>
        <w:tab/>
        <w:t>27</w:t>
      </w:r>
    </w:p>
    <w:p w:rsidR="00207CE4" w:rsidRDefault="00207CE4" w:rsidP="00207C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proofErr w:type="spellStart"/>
      <w:r w:rsidR="008F5D4B">
        <w:rPr>
          <w:rFonts w:ascii="Times New Roman" w:hAnsi="Times New Roman" w:cs="Times New Roman"/>
          <w:sz w:val="24"/>
          <w:szCs w:val="24"/>
        </w:rPr>
        <w:t>Physico</w:t>
      </w:r>
      <w:proofErr w:type="spellEnd"/>
      <w:r w:rsidR="008F5D4B">
        <w:rPr>
          <w:rFonts w:ascii="Times New Roman" w:hAnsi="Times New Roman" w:cs="Times New Roman"/>
          <w:sz w:val="24"/>
          <w:szCs w:val="24"/>
        </w:rPr>
        <w:t>-Chemical Parameters</w:t>
      </w:r>
      <w:r w:rsidRPr="009C5EAB">
        <w:rPr>
          <w:rFonts w:ascii="Times New Roman" w:hAnsi="Times New Roman" w:cs="Times New Roman"/>
          <w:sz w:val="24"/>
          <w:szCs w:val="24"/>
        </w:rPr>
        <w:t xml:space="preserve">  </w:t>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t>27</w:t>
      </w:r>
    </w:p>
    <w:p w:rsidR="008F5D4B" w:rsidRPr="009C5EAB" w:rsidRDefault="008F5D4B" w:rsidP="00207C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Heavy Metals Concentration Yields Risk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rsidR="00207CE4" w:rsidRPr="00C26982" w:rsidRDefault="00207CE4" w:rsidP="00207CE4">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Chapter five:</w:t>
      </w:r>
      <w:r>
        <w:rPr>
          <w:rFonts w:ascii="Times New Roman" w:hAnsi="Times New Roman" w:cs="Times New Roman"/>
          <w:b/>
          <w:caps/>
          <w:sz w:val="24"/>
          <w:szCs w:val="24"/>
        </w:rPr>
        <w:tab/>
      </w:r>
      <w:r w:rsidRPr="00C26982">
        <w:rPr>
          <w:rFonts w:ascii="Times New Roman" w:hAnsi="Times New Roman" w:cs="Times New Roman"/>
          <w:b/>
          <w:caps/>
          <w:sz w:val="24"/>
          <w:szCs w:val="24"/>
        </w:rPr>
        <w:t>Conclusion and Recommendations</w:t>
      </w:r>
      <w:r w:rsidR="008F5D4B">
        <w:rPr>
          <w:rFonts w:ascii="Times New Roman" w:hAnsi="Times New Roman" w:cs="Times New Roman"/>
          <w:b/>
          <w:caps/>
          <w:sz w:val="24"/>
          <w:szCs w:val="24"/>
        </w:rPr>
        <w:tab/>
      </w:r>
      <w:r w:rsidR="008F5D4B">
        <w:rPr>
          <w:rFonts w:ascii="Times New Roman" w:hAnsi="Times New Roman" w:cs="Times New Roman"/>
          <w:b/>
          <w:caps/>
          <w:sz w:val="24"/>
          <w:szCs w:val="24"/>
        </w:rPr>
        <w:tab/>
        <w:t>42</w:t>
      </w:r>
    </w:p>
    <w:p w:rsidR="00207CE4" w:rsidRPr="009C5EAB" w:rsidRDefault="00207CE4" w:rsidP="00207C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sidRPr="009C5EAB">
        <w:rPr>
          <w:rFonts w:ascii="Times New Roman" w:hAnsi="Times New Roman" w:cs="Times New Roman"/>
          <w:sz w:val="24"/>
          <w:szCs w:val="24"/>
        </w:rPr>
        <w:t xml:space="preserve">Summary of Findings  </w:t>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t>42</w:t>
      </w:r>
    </w:p>
    <w:p w:rsidR="00207CE4" w:rsidRPr="009C5EAB" w:rsidRDefault="00207CE4" w:rsidP="00207C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sidRPr="009C5EAB">
        <w:rPr>
          <w:rFonts w:ascii="Times New Roman" w:hAnsi="Times New Roman" w:cs="Times New Roman"/>
          <w:sz w:val="24"/>
          <w:szCs w:val="24"/>
        </w:rPr>
        <w:t xml:space="preserve">Conclusion  </w:t>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t>43</w:t>
      </w:r>
    </w:p>
    <w:p w:rsidR="00207CE4" w:rsidRDefault="00207CE4" w:rsidP="00207CE4">
      <w:pPr>
        <w:spacing w:after="0" w:line="480" w:lineRule="auto"/>
        <w:rPr>
          <w:rFonts w:ascii="Times New Roman" w:hAnsi="Times New Roman" w:cs="Times New Roman"/>
          <w:b/>
          <w:sz w:val="24"/>
          <w:szCs w:val="24"/>
        </w:rPr>
      </w:pPr>
      <w:r>
        <w:rPr>
          <w:rFonts w:ascii="Times New Roman" w:hAnsi="Times New Roman" w:cs="Times New Roman"/>
          <w:sz w:val="24"/>
          <w:szCs w:val="24"/>
        </w:rPr>
        <w:t>5.3</w:t>
      </w:r>
      <w:r>
        <w:rPr>
          <w:rFonts w:ascii="Times New Roman" w:hAnsi="Times New Roman" w:cs="Times New Roman"/>
          <w:sz w:val="24"/>
          <w:szCs w:val="24"/>
        </w:rPr>
        <w:tab/>
      </w:r>
      <w:r w:rsidRPr="009C5EAB">
        <w:rPr>
          <w:rFonts w:ascii="Times New Roman" w:hAnsi="Times New Roman" w:cs="Times New Roman"/>
          <w:sz w:val="24"/>
          <w:szCs w:val="24"/>
        </w:rPr>
        <w:t>Recommendations</w:t>
      </w:r>
      <w:r w:rsidR="00B96E14">
        <w:rPr>
          <w:rFonts w:ascii="Times New Roman" w:hAnsi="Times New Roman" w:cs="Times New Roman"/>
          <w:b/>
          <w:sz w:val="24"/>
          <w:szCs w:val="24"/>
        </w:rPr>
        <w:t xml:space="preserve"> </w:t>
      </w:r>
      <w:r w:rsidR="008F5D4B">
        <w:rPr>
          <w:rFonts w:ascii="Times New Roman" w:hAnsi="Times New Roman" w:cs="Times New Roman"/>
          <w:b/>
          <w:sz w:val="24"/>
          <w:szCs w:val="24"/>
        </w:rPr>
        <w:tab/>
      </w:r>
      <w:r w:rsidR="008F5D4B">
        <w:rPr>
          <w:rFonts w:ascii="Times New Roman" w:hAnsi="Times New Roman" w:cs="Times New Roman"/>
          <w:b/>
          <w:sz w:val="24"/>
          <w:szCs w:val="24"/>
        </w:rPr>
        <w:tab/>
      </w:r>
      <w:r w:rsidR="008F5D4B">
        <w:rPr>
          <w:rFonts w:ascii="Times New Roman" w:hAnsi="Times New Roman" w:cs="Times New Roman"/>
          <w:b/>
          <w:sz w:val="24"/>
          <w:szCs w:val="24"/>
        </w:rPr>
        <w:tab/>
      </w:r>
      <w:r w:rsidR="008F5D4B">
        <w:rPr>
          <w:rFonts w:ascii="Times New Roman" w:hAnsi="Times New Roman" w:cs="Times New Roman"/>
          <w:b/>
          <w:sz w:val="24"/>
          <w:szCs w:val="24"/>
        </w:rPr>
        <w:tab/>
      </w:r>
      <w:r w:rsidR="008F5D4B">
        <w:rPr>
          <w:rFonts w:ascii="Times New Roman" w:hAnsi="Times New Roman" w:cs="Times New Roman"/>
          <w:b/>
          <w:sz w:val="24"/>
          <w:szCs w:val="24"/>
        </w:rPr>
        <w:tab/>
      </w:r>
      <w:r w:rsidR="008F5D4B">
        <w:rPr>
          <w:rFonts w:ascii="Times New Roman" w:hAnsi="Times New Roman" w:cs="Times New Roman"/>
          <w:b/>
          <w:sz w:val="24"/>
          <w:szCs w:val="24"/>
        </w:rPr>
        <w:tab/>
      </w:r>
      <w:r w:rsidR="008F5D4B">
        <w:rPr>
          <w:rFonts w:ascii="Times New Roman" w:hAnsi="Times New Roman" w:cs="Times New Roman"/>
          <w:b/>
          <w:sz w:val="24"/>
          <w:szCs w:val="24"/>
        </w:rPr>
        <w:tab/>
      </w:r>
      <w:r w:rsidR="008F5D4B">
        <w:rPr>
          <w:rFonts w:ascii="Times New Roman" w:hAnsi="Times New Roman" w:cs="Times New Roman"/>
          <w:b/>
          <w:sz w:val="24"/>
          <w:szCs w:val="24"/>
        </w:rPr>
        <w:tab/>
      </w:r>
      <w:r w:rsidR="008F5D4B" w:rsidRPr="008F5D4B">
        <w:rPr>
          <w:rFonts w:ascii="Times New Roman" w:hAnsi="Times New Roman" w:cs="Times New Roman"/>
          <w:sz w:val="24"/>
          <w:szCs w:val="24"/>
        </w:rPr>
        <w:t>44</w:t>
      </w:r>
    </w:p>
    <w:p w:rsidR="00775655" w:rsidRDefault="008F5D4B" w:rsidP="00207CE4">
      <w:pPr>
        <w:spacing w:after="0" w:line="480" w:lineRule="auto"/>
        <w:rPr>
          <w:rFonts w:ascii="Times New Roman" w:hAnsi="Times New Roman" w:cs="Times New Roman"/>
          <w:b/>
          <w:sz w:val="24"/>
          <w:szCs w:val="24"/>
        </w:rPr>
      </w:pPr>
      <w:r>
        <w:rPr>
          <w:rFonts w:ascii="Times New Roman" w:hAnsi="Times New Roman" w:cs="Times New Roman"/>
          <w:b/>
          <w:sz w:val="24"/>
          <w:szCs w:val="24"/>
        </w:rPr>
        <w:tab/>
        <w:t>References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46</w:t>
      </w:r>
    </w:p>
    <w:p w:rsidR="00775655" w:rsidRDefault="00775655" w:rsidP="00207CE4">
      <w:pPr>
        <w:spacing w:after="0" w:line="480" w:lineRule="auto"/>
        <w:rPr>
          <w:rFonts w:ascii="Times New Roman" w:hAnsi="Times New Roman" w:cs="Times New Roman"/>
          <w:b/>
          <w:sz w:val="24"/>
          <w:szCs w:val="24"/>
        </w:rPr>
      </w:pPr>
    </w:p>
    <w:p w:rsidR="00775655" w:rsidRDefault="00775655" w:rsidP="00207CE4">
      <w:pPr>
        <w:spacing w:after="0" w:line="480" w:lineRule="auto"/>
        <w:rPr>
          <w:rFonts w:ascii="Times New Roman" w:hAnsi="Times New Roman" w:cs="Times New Roman"/>
          <w:b/>
          <w:sz w:val="24"/>
          <w:szCs w:val="24"/>
        </w:rPr>
      </w:pPr>
    </w:p>
    <w:p w:rsidR="00775655" w:rsidRDefault="00775655" w:rsidP="00207CE4">
      <w:pPr>
        <w:spacing w:after="0" w:line="480" w:lineRule="auto"/>
        <w:rPr>
          <w:rFonts w:ascii="Times New Roman" w:hAnsi="Times New Roman" w:cs="Times New Roman"/>
          <w:b/>
          <w:sz w:val="24"/>
          <w:szCs w:val="24"/>
        </w:rPr>
      </w:pPr>
    </w:p>
    <w:p w:rsidR="00775655" w:rsidRDefault="00775655" w:rsidP="00207CE4">
      <w:pPr>
        <w:spacing w:after="0" w:line="480" w:lineRule="auto"/>
        <w:rPr>
          <w:rFonts w:ascii="Times New Roman" w:hAnsi="Times New Roman" w:cs="Times New Roman"/>
          <w:b/>
          <w:sz w:val="24"/>
          <w:szCs w:val="24"/>
        </w:rPr>
      </w:pPr>
    </w:p>
    <w:p w:rsidR="00775655" w:rsidRDefault="00775655" w:rsidP="00207CE4">
      <w:pPr>
        <w:spacing w:after="0" w:line="480" w:lineRule="auto"/>
        <w:rPr>
          <w:rFonts w:ascii="Times New Roman" w:hAnsi="Times New Roman" w:cs="Times New Roman"/>
          <w:b/>
          <w:sz w:val="24"/>
          <w:szCs w:val="24"/>
        </w:rPr>
      </w:pPr>
    </w:p>
    <w:p w:rsidR="00775655" w:rsidRDefault="00775655" w:rsidP="0077565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LIST OF FIGURES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5"/>
        <w:gridCol w:w="7769"/>
        <w:gridCol w:w="315"/>
      </w:tblGrid>
      <w:tr w:rsidR="00527140" w:rsidRPr="002A6E8B" w:rsidTr="00527140">
        <w:trPr>
          <w:tblCellSpacing w:w="15" w:type="dxa"/>
        </w:trPr>
        <w:tc>
          <w:tcPr>
            <w:tcW w:w="990"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Fig 4.1</w:t>
            </w:r>
          </w:p>
        </w:tc>
        <w:tc>
          <w:tcPr>
            <w:tcW w:w="7739"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Concentration of Calcium Carbonate (</w:t>
            </w:r>
            <w:proofErr w:type="spellStart"/>
            <w:r w:rsidRPr="002A6E8B">
              <w:rPr>
                <w:rFonts w:ascii="Times New Roman" w:eastAsia="Times New Roman" w:hAnsi="Times New Roman" w:cs="Times New Roman"/>
                <w:sz w:val="24"/>
                <w:szCs w:val="24"/>
              </w:rPr>
              <w:t>CaCO</w:t>
            </w:r>
            <w:proofErr w:type="spellEnd"/>
            <w:r w:rsidRPr="002A6E8B">
              <w:rPr>
                <w:rFonts w:ascii="Times New Roman" w:eastAsia="Times New Roman" w:hAnsi="Times New Roman" w:cs="Times New Roman"/>
                <w:sz w:val="24"/>
                <w:szCs w:val="24"/>
              </w:rPr>
              <w:t xml:space="preserve">₃) </w:t>
            </w:r>
            <w:proofErr w:type="spellStart"/>
            <w:r w:rsidRPr="002A6E8B">
              <w:rPr>
                <w:rFonts w:ascii="Times New Roman" w:eastAsia="Times New Roman" w:hAnsi="Times New Roman" w:cs="Times New Roman"/>
                <w:sz w:val="24"/>
                <w:szCs w:val="24"/>
              </w:rPr>
              <w:t>Physico</w:t>
            </w:r>
            <w:proofErr w:type="spellEnd"/>
            <w:r w:rsidRPr="002A6E8B">
              <w:rPr>
                <w:rFonts w:ascii="Times New Roman" w:eastAsia="Times New Roman" w:hAnsi="Times New Roman" w:cs="Times New Roman"/>
                <w:sz w:val="24"/>
                <w:szCs w:val="24"/>
              </w:rPr>
              <w:t>-Chemical Parameters</w:t>
            </w:r>
          </w:p>
        </w:tc>
        <w:tc>
          <w:tcPr>
            <w:tcW w:w="0" w:type="auto"/>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r>
      <w:tr w:rsidR="00527140" w:rsidRPr="002A6E8B" w:rsidTr="00527140">
        <w:trPr>
          <w:tblCellSpacing w:w="15" w:type="dxa"/>
        </w:trPr>
        <w:tc>
          <w:tcPr>
            <w:tcW w:w="990"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Fig 4.2</w:t>
            </w:r>
          </w:p>
        </w:tc>
        <w:tc>
          <w:tcPr>
            <w:tcW w:w="7739"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 xml:space="preserve">Concentration of Calcium Hardness (mg/l </w:t>
            </w:r>
            <w:proofErr w:type="spellStart"/>
            <w:r w:rsidRPr="002A6E8B">
              <w:rPr>
                <w:rFonts w:ascii="Times New Roman" w:eastAsia="Times New Roman" w:hAnsi="Times New Roman" w:cs="Times New Roman"/>
                <w:sz w:val="24"/>
                <w:szCs w:val="24"/>
              </w:rPr>
              <w:t>CaCO</w:t>
            </w:r>
            <w:proofErr w:type="spellEnd"/>
            <w:r w:rsidRPr="002A6E8B">
              <w:rPr>
                <w:rFonts w:ascii="Times New Roman" w:eastAsia="Times New Roman" w:hAnsi="Times New Roman" w:cs="Times New Roman"/>
                <w:sz w:val="24"/>
                <w:szCs w:val="24"/>
              </w:rPr>
              <w:t xml:space="preserve">₃) </w:t>
            </w:r>
            <w:proofErr w:type="spellStart"/>
            <w:r w:rsidRPr="002A6E8B">
              <w:rPr>
                <w:rFonts w:ascii="Times New Roman" w:eastAsia="Times New Roman" w:hAnsi="Times New Roman" w:cs="Times New Roman"/>
                <w:sz w:val="24"/>
                <w:szCs w:val="24"/>
              </w:rPr>
              <w:t>Physico</w:t>
            </w:r>
            <w:proofErr w:type="spellEnd"/>
            <w:r w:rsidRPr="002A6E8B">
              <w:rPr>
                <w:rFonts w:ascii="Times New Roman" w:eastAsia="Times New Roman" w:hAnsi="Times New Roman" w:cs="Times New Roman"/>
                <w:sz w:val="24"/>
                <w:szCs w:val="24"/>
              </w:rPr>
              <w:t>-Chemical Parameters</w:t>
            </w:r>
          </w:p>
        </w:tc>
        <w:tc>
          <w:tcPr>
            <w:tcW w:w="0" w:type="auto"/>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r>
      <w:tr w:rsidR="00527140" w:rsidRPr="002A6E8B" w:rsidTr="00527140">
        <w:trPr>
          <w:tblCellSpacing w:w="15" w:type="dxa"/>
        </w:trPr>
        <w:tc>
          <w:tcPr>
            <w:tcW w:w="990"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Fig 4.3</w:t>
            </w:r>
          </w:p>
        </w:tc>
        <w:tc>
          <w:tcPr>
            <w:tcW w:w="7739"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 xml:space="preserve">Concentration of Magnesium Hardness (mg/l </w:t>
            </w:r>
            <w:proofErr w:type="spellStart"/>
            <w:r w:rsidRPr="002A6E8B">
              <w:rPr>
                <w:rFonts w:ascii="Times New Roman" w:eastAsia="Times New Roman" w:hAnsi="Times New Roman" w:cs="Times New Roman"/>
                <w:sz w:val="24"/>
                <w:szCs w:val="24"/>
              </w:rPr>
              <w:t>CaCO</w:t>
            </w:r>
            <w:proofErr w:type="spellEnd"/>
            <w:r w:rsidRPr="002A6E8B">
              <w:rPr>
                <w:rFonts w:ascii="Times New Roman" w:eastAsia="Times New Roman" w:hAnsi="Times New Roman" w:cs="Times New Roman"/>
                <w:sz w:val="24"/>
                <w:szCs w:val="24"/>
              </w:rPr>
              <w:t xml:space="preserve">₃) </w:t>
            </w:r>
            <w:proofErr w:type="spellStart"/>
            <w:r w:rsidRPr="002A6E8B">
              <w:rPr>
                <w:rFonts w:ascii="Times New Roman" w:eastAsia="Times New Roman" w:hAnsi="Times New Roman" w:cs="Times New Roman"/>
                <w:sz w:val="24"/>
                <w:szCs w:val="24"/>
              </w:rPr>
              <w:t>Physico</w:t>
            </w:r>
            <w:proofErr w:type="spellEnd"/>
            <w:r w:rsidRPr="002A6E8B">
              <w:rPr>
                <w:rFonts w:ascii="Times New Roman" w:eastAsia="Times New Roman" w:hAnsi="Times New Roman" w:cs="Times New Roman"/>
                <w:sz w:val="24"/>
                <w:szCs w:val="24"/>
              </w:rPr>
              <w:t>-Chemical Parameters</w:t>
            </w:r>
          </w:p>
        </w:tc>
        <w:tc>
          <w:tcPr>
            <w:tcW w:w="0" w:type="auto"/>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527140" w:rsidRPr="002A6E8B" w:rsidTr="00527140">
        <w:trPr>
          <w:tblCellSpacing w:w="15" w:type="dxa"/>
        </w:trPr>
        <w:tc>
          <w:tcPr>
            <w:tcW w:w="990"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Fig 4.4</w:t>
            </w:r>
          </w:p>
        </w:tc>
        <w:tc>
          <w:tcPr>
            <w:tcW w:w="7739"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Concentration of Calcium Carbonate (</w:t>
            </w:r>
            <w:proofErr w:type="spellStart"/>
            <w:r w:rsidRPr="002A6E8B">
              <w:rPr>
                <w:rFonts w:ascii="Times New Roman" w:eastAsia="Times New Roman" w:hAnsi="Times New Roman" w:cs="Times New Roman"/>
                <w:sz w:val="24"/>
                <w:szCs w:val="24"/>
              </w:rPr>
              <w:t>CaCO</w:t>
            </w:r>
            <w:proofErr w:type="spellEnd"/>
            <w:r w:rsidRPr="002A6E8B">
              <w:rPr>
                <w:rFonts w:ascii="Times New Roman" w:eastAsia="Times New Roman" w:hAnsi="Times New Roman" w:cs="Times New Roman"/>
                <w:sz w:val="24"/>
                <w:szCs w:val="24"/>
              </w:rPr>
              <w:t xml:space="preserve">₃) </w:t>
            </w:r>
            <w:proofErr w:type="spellStart"/>
            <w:r w:rsidRPr="002A6E8B">
              <w:rPr>
                <w:rFonts w:ascii="Times New Roman" w:eastAsia="Times New Roman" w:hAnsi="Times New Roman" w:cs="Times New Roman"/>
                <w:sz w:val="24"/>
                <w:szCs w:val="24"/>
              </w:rPr>
              <w:t>Physico</w:t>
            </w:r>
            <w:proofErr w:type="spellEnd"/>
            <w:r w:rsidRPr="002A6E8B">
              <w:rPr>
                <w:rFonts w:ascii="Times New Roman" w:eastAsia="Times New Roman" w:hAnsi="Times New Roman" w:cs="Times New Roman"/>
                <w:sz w:val="24"/>
                <w:szCs w:val="24"/>
              </w:rPr>
              <w:t>-Chemical Parameters</w:t>
            </w:r>
          </w:p>
        </w:tc>
        <w:tc>
          <w:tcPr>
            <w:tcW w:w="0" w:type="auto"/>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r>
      <w:tr w:rsidR="00527140" w:rsidRPr="002A6E8B" w:rsidTr="00527140">
        <w:trPr>
          <w:tblCellSpacing w:w="15" w:type="dxa"/>
        </w:trPr>
        <w:tc>
          <w:tcPr>
            <w:tcW w:w="990"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Fig 4.5</w:t>
            </w:r>
          </w:p>
        </w:tc>
        <w:tc>
          <w:tcPr>
            <w:tcW w:w="7739"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 xml:space="preserve">Concentration of Magnesium Ions (Mg²⁺) </w:t>
            </w:r>
            <w:proofErr w:type="spellStart"/>
            <w:r w:rsidRPr="002A6E8B">
              <w:rPr>
                <w:rFonts w:ascii="Times New Roman" w:eastAsia="Times New Roman" w:hAnsi="Times New Roman" w:cs="Times New Roman"/>
                <w:sz w:val="24"/>
                <w:szCs w:val="24"/>
              </w:rPr>
              <w:t>Physico</w:t>
            </w:r>
            <w:proofErr w:type="spellEnd"/>
            <w:r w:rsidRPr="002A6E8B">
              <w:rPr>
                <w:rFonts w:ascii="Times New Roman" w:eastAsia="Times New Roman" w:hAnsi="Times New Roman" w:cs="Times New Roman"/>
                <w:sz w:val="24"/>
                <w:szCs w:val="24"/>
              </w:rPr>
              <w:t>-Chemical Parameters</w:t>
            </w:r>
          </w:p>
        </w:tc>
        <w:tc>
          <w:tcPr>
            <w:tcW w:w="0" w:type="auto"/>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r>
      <w:tr w:rsidR="00527140" w:rsidRPr="002A6E8B" w:rsidTr="00527140">
        <w:trPr>
          <w:tblCellSpacing w:w="15" w:type="dxa"/>
        </w:trPr>
        <w:tc>
          <w:tcPr>
            <w:tcW w:w="990"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Fig 4.6</w:t>
            </w:r>
          </w:p>
        </w:tc>
        <w:tc>
          <w:tcPr>
            <w:tcW w:w="7739"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 xml:space="preserve">Concentration of Bicarbonates (HCO₃⁻) ppm </w:t>
            </w:r>
            <w:proofErr w:type="spellStart"/>
            <w:r w:rsidRPr="002A6E8B">
              <w:rPr>
                <w:rFonts w:ascii="Times New Roman" w:eastAsia="Times New Roman" w:hAnsi="Times New Roman" w:cs="Times New Roman"/>
                <w:sz w:val="24"/>
                <w:szCs w:val="24"/>
              </w:rPr>
              <w:t>Physico</w:t>
            </w:r>
            <w:proofErr w:type="spellEnd"/>
            <w:r w:rsidRPr="002A6E8B">
              <w:rPr>
                <w:rFonts w:ascii="Times New Roman" w:eastAsia="Times New Roman" w:hAnsi="Times New Roman" w:cs="Times New Roman"/>
                <w:sz w:val="24"/>
                <w:szCs w:val="24"/>
              </w:rPr>
              <w:t>-Chemical Parameters</w:t>
            </w:r>
          </w:p>
        </w:tc>
        <w:tc>
          <w:tcPr>
            <w:tcW w:w="0" w:type="auto"/>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r>
      <w:tr w:rsidR="00527140" w:rsidRPr="002A6E8B" w:rsidTr="00527140">
        <w:trPr>
          <w:tblCellSpacing w:w="15" w:type="dxa"/>
        </w:trPr>
        <w:tc>
          <w:tcPr>
            <w:tcW w:w="990"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Fig 4.7</w:t>
            </w:r>
          </w:p>
        </w:tc>
        <w:tc>
          <w:tcPr>
            <w:tcW w:w="7739"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 xml:space="preserve">Concentration of </w:t>
            </w:r>
            <w:proofErr w:type="spellStart"/>
            <w:r w:rsidRPr="002A6E8B">
              <w:rPr>
                <w:rFonts w:ascii="Times New Roman" w:eastAsia="Times New Roman" w:hAnsi="Times New Roman" w:cs="Times New Roman"/>
                <w:sz w:val="24"/>
                <w:szCs w:val="24"/>
              </w:rPr>
              <w:t>Sulphate</w:t>
            </w:r>
            <w:proofErr w:type="spellEnd"/>
            <w:r w:rsidRPr="002A6E8B">
              <w:rPr>
                <w:rFonts w:ascii="Times New Roman" w:eastAsia="Times New Roman" w:hAnsi="Times New Roman" w:cs="Times New Roman"/>
                <w:sz w:val="24"/>
                <w:szCs w:val="24"/>
              </w:rPr>
              <w:t xml:space="preserve"> (SO₄²⁻) </w:t>
            </w:r>
            <w:proofErr w:type="spellStart"/>
            <w:r w:rsidRPr="002A6E8B">
              <w:rPr>
                <w:rFonts w:ascii="Times New Roman" w:eastAsia="Times New Roman" w:hAnsi="Times New Roman" w:cs="Times New Roman"/>
                <w:sz w:val="24"/>
                <w:szCs w:val="24"/>
              </w:rPr>
              <w:t>Physico</w:t>
            </w:r>
            <w:proofErr w:type="spellEnd"/>
            <w:r w:rsidRPr="002A6E8B">
              <w:rPr>
                <w:rFonts w:ascii="Times New Roman" w:eastAsia="Times New Roman" w:hAnsi="Times New Roman" w:cs="Times New Roman"/>
                <w:sz w:val="24"/>
                <w:szCs w:val="24"/>
              </w:rPr>
              <w:t>-Chemical Parameters</w:t>
            </w:r>
          </w:p>
        </w:tc>
        <w:tc>
          <w:tcPr>
            <w:tcW w:w="0" w:type="auto"/>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r>
      <w:tr w:rsidR="00527140" w:rsidRPr="002A6E8B" w:rsidTr="00527140">
        <w:trPr>
          <w:tblCellSpacing w:w="15" w:type="dxa"/>
        </w:trPr>
        <w:tc>
          <w:tcPr>
            <w:tcW w:w="990"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Fig 4.8</w:t>
            </w:r>
          </w:p>
        </w:tc>
        <w:tc>
          <w:tcPr>
            <w:tcW w:w="7739"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Concentration of Chloride (</w:t>
            </w:r>
            <w:proofErr w:type="spellStart"/>
            <w:r w:rsidRPr="002A6E8B">
              <w:rPr>
                <w:rFonts w:ascii="Times New Roman" w:eastAsia="Times New Roman" w:hAnsi="Times New Roman" w:cs="Times New Roman"/>
                <w:sz w:val="24"/>
                <w:szCs w:val="24"/>
              </w:rPr>
              <w:t>Cl</w:t>
            </w:r>
            <w:proofErr w:type="spellEnd"/>
            <w:r w:rsidRPr="002A6E8B">
              <w:rPr>
                <w:rFonts w:ascii="Times New Roman" w:eastAsia="Times New Roman" w:hAnsi="Times New Roman" w:cs="Times New Roman"/>
                <w:sz w:val="24"/>
                <w:szCs w:val="24"/>
              </w:rPr>
              <w:t xml:space="preserve">⁻) </w:t>
            </w:r>
            <w:proofErr w:type="spellStart"/>
            <w:r w:rsidRPr="002A6E8B">
              <w:rPr>
                <w:rFonts w:ascii="Times New Roman" w:eastAsia="Times New Roman" w:hAnsi="Times New Roman" w:cs="Times New Roman"/>
                <w:sz w:val="24"/>
                <w:szCs w:val="24"/>
              </w:rPr>
              <w:t>Physico</w:t>
            </w:r>
            <w:proofErr w:type="spellEnd"/>
            <w:r w:rsidRPr="002A6E8B">
              <w:rPr>
                <w:rFonts w:ascii="Times New Roman" w:eastAsia="Times New Roman" w:hAnsi="Times New Roman" w:cs="Times New Roman"/>
                <w:sz w:val="24"/>
                <w:szCs w:val="24"/>
              </w:rPr>
              <w:t>-Chemical Parameters</w:t>
            </w:r>
          </w:p>
        </w:tc>
        <w:tc>
          <w:tcPr>
            <w:tcW w:w="0" w:type="auto"/>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527140" w:rsidRPr="002A6E8B" w:rsidTr="00527140">
        <w:trPr>
          <w:tblCellSpacing w:w="15" w:type="dxa"/>
        </w:trPr>
        <w:tc>
          <w:tcPr>
            <w:tcW w:w="990"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Fig 4.9</w:t>
            </w:r>
          </w:p>
        </w:tc>
        <w:tc>
          <w:tcPr>
            <w:tcW w:w="7739"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 xml:space="preserve">Concentration of Nitrate (NO₃⁻) </w:t>
            </w:r>
            <w:proofErr w:type="spellStart"/>
            <w:r w:rsidRPr="002A6E8B">
              <w:rPr>
                <w:rFonts w:ascii="Times New Roman" w:eastAsia="Times New Roman" w:hAnsi="Times New Roman" w:cs="Times New Roman"/>
                <w:sz w:val="24"/>
                <w:szCs w:val="24"/>
              </w:rPr>
              <w:t>Physico</w:t>
            </w:r>
            <w:proofErr w:type="spellEnd"/>
            <w:r w:rsidRPr="002A6E8B">
              <w:rPr>
                <w:rFonts w:ascii="Times New Roman" w:eastAsia="Times New Roman" w:hAnsi="Times New Roman" w:cs="Times New Roman"/>
                <w:sz w:val="24"/>
                <w:szCs w:val="24"/>
              </w:rPr>
              <w:t>-Chemical Parameters</w:t>
            </w:r>
          </w:p>
        </w:tc>
        <w:tc>
          <w:tcPr>
            <w:tcW w:w="0" w:type="auto"/>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527140" w:rsidRPr="002A6E8B" w:rsidTr="00527140">
        <w:trPr>
          <w:tblCellSpacing w:w="15" w:type="dxa"/>
        </w:trPr>
        <w:tc>
          <w:tcPr>
            <w:tcW w:w="990"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Fig 4.10</w:t>
            </w:r>
          </w:p>
        </w:tc>
        <w:tc>
          <w:tcPr>
            <w:tcW w:w="7739"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 xml:space="preserve">Concentration of Carbonate (CO₃²⁻) </w:t>
            </w:r>
            <w:proofErr w:type="spellStart"/>
            <w:r w:rsidRPr="002A6E8B">
              <w:rPr>
                <w:rFonts w:ascii="Times New Roman" w:eastAsia="Times New Roman" w:hAnsi="Times New Roman" w:cs="Times New Roman"/>
                <w:sz w:val="24"/>
                <w:szCs w:val="24"/>
              </w:rPr>
              <w:t>Physico</w:t>
            </w:r>
            <w:proofErr w:type="spellEnd"/>
            <w:r w:rsidRPr="002A6E8B">
              <w:rPr>
                <w:rFonts w:ascii="Times New Roman" w:eastAsia="Times New Roman" w:hAnsi="Times New Roman" w:cs="Times New Roman"/>
                <w:sz w:val="24"/>
                <w:szCs w:val="24"/>
              </w:rPr>
              <w:t>-Chemical Parameters</w:t>
            </w:r>
          </w:p>
        </w:tc>
        <w:tc>
          <w:tcPr>
            <w:tcW w:w="0" w:type="auto"/>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r>
      <w:tr w:rsidR="00527140" w:rsidRPr="002A6E8B" w:rsidTr="00527140">
        <w:trPr>
          <w:tblCellSpacing w:w="15" w:type="dxa"/>
        </w:trPr>
        <w:tc>
          <w:tcPr>
            <w:tcW w:w="990"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Fig 4.11</w:t>
            </w:r>
          </w:p>
        </w:tc>
        <w:tc>
          <w:tcPr>
            <w:tcW w:w="7739"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 xml:space="preserve">Concentration of Sodium (Na⁺) ppm </w:t>
            </w:r>
            <w:proofErr w:type="spellStart"/>
            <w:r w:rsidRPr="002A6E8B">
              <w:rPr>
                <w:rFonts w:ascii="Times New Roman" w:eastAsia="Times New Roman" w:hAnsi="Times New Roman" w:cs="Times New Roman"/>
                <w:sz w:val="24"/>
                <w:szCs w:val="24"/>
              </w:rPr>
              <w:t>Physico</w:t>
            </w:r>
            <w:proofErr w:type="spellEnd"/>
            <w:r w:rsidRPr="002A6E8B">
              <w:rPr>
                <w:rFonts w:ascii="Times New Roman" w:eastAsia="Times New Roman" w:hAnsi="Times New Roman" w:cs="Times New Roman"/>
                <w:sz w:val="24"/>
                <w:szCs w:val="24"/>
              </w:rPr>
              <w:t>-Chemical Parameters</w:t>
            </w:r>
          </w:p>
        </w:tc>
        <w:tc>
          <w:tcPr>
            <w:tcW w:w="0" w:type="auto"/>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r>
      <w:tr w:rsidR="00527140" w:rsidRPr="002A6E8B" w:rsidTr="00527140">
        <w:trPr>
          <w:tblCellSpacing w:w="15" w:type="dxa"/>
        </w:trPr>
        <w:tc>
          <w:tcPr>
            <w:tcW w:w="990"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Fig 4.12</w:t>
            </w:r>
          </w:p>
        </w:tc>
        <w:tc>
          <w:tcPr>
            <w:tcW w:w="7739"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 xml:space="preserve">Concentration of Potassium (K⁺) ppm </w:t>
            </w:r>
            <w:proofErr w:type="spellStart"/>
            <w:r w:rsidRPr="002A6E8B">
              <w:rPr>
                <w:rFonts w:ascii="Times New Roman" w:eastAsia="Times New Roman" w:hAnsi="Times New Roman" w:cs="Times New Roman"/>
                <w:sz w:val="24"/>
                <w:szCs w:val="24"/>
              </w:rPr>
              <w:t>Physico</w:t>
            </w:r>
            <w:proofErr w:type="spellEnd"/>
            <w:r w:rsidRPr="002A6E8B">
              <w:rPr>
                <w:rFonts w:ascii="Times New Roman" w:eastAsia="Times New Roman" w:hAnsi="Times New Roman" w:cs="Times New Roman"/>
                <w:sz w:val="24"/>
                <w:szCs w:val="24"/>
              </w:rPr>
              <w:t>-Chemical Parameters</w:t>
            </w:r>
          </w:p>
        </w:tc>
        <w:tc>
          <w:tcPr>
            <w:tcW w:w="0" w:type="auto"/>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r>
    </w:tbl>
    <w:p w:rsidR="00775655" w:rsidRDefault="00775655" w:rsidP="00207CE4">
      <w:pPr>
        <w:spacing w:after="0" w:line="480" w:lineRule="auto"/>
        <w:rPr>
          <w:rFonts w:ascii="Times New Roman" w:hAnsi="Times New Roman" w:cs="Times New Roman"/>
          <w:b/>
          <w:sz w:val="24"/>
          <w:szCs w:val="24"/>
        </w:rPr>
      </w:pPr>
    </w:p>
    <w:p w:rsidR="00775655" w:rsidRDefault="00775655" w:rsidP="00207CE4">
      <w:pPr>
        <w:spacing w:after="0" w:line="480" w:lineRule="auto"/>
        <w:rPr>
          <w:rFonts w:ascii="Times New Roman" w:hAnsi="Times New Roman" w:cs="Times New Roman"/>
          <w:b/>
          <w:sz w:val="24"/>
          <w:szCs w:val="24"/>
        </w:rPr>
      </w:pPr>
    </w:p>
    <w:p w:rsidR="00775655" w:rsidRDefault="00775655" w:rsidP="00207CE4">
      <w:pPr>
        <w:spacing w:after="0" w:line="480" w:lineRule="auto"/>
        <w:rPr>
          <w:rFonts w:ascii="Times New Roman" w:hAnsi="Times New Roman" w:cs="Times New Roman"/>
          <w:b/>
          <w:sz w:val="24"/>
          <w:szCs w:val="24"/>
        </w:rPr>
      </w:pPr>
    </w:p>
    <w:p w:rsidR="00775655" w:rsidRDefault="00775655" w:rsidP="00207CE4">
      <w:pPr>
        <w:spacing w:after="0" w:line="480" w:lineRule="auto"/>
        <w:rPr>
          <w:rFonts w:ascii="Times New Roman" w:hAnsi="Times New Roman" w:cs="Times New Roman"/>
          <w:b/>
          <w:sz w:val="24"/>
          <w:szCs w:val="24"/>
        </w:rPr>
      </w:pPr>
    </w:p>
    <w:p w:rsidR="00775655" w:rsidRDefault="00775655" w:rsidP="00207CE4">
      <w:pPr>
        <w:spacing w:after="0" w:line="480" w:lineRule="auto"/>
        <w:rPr>
          <w:rFonts w:ascii="Times New Roman" w:hAnsi="Times New Roman" w:cs="Times New Roman"/>
          <w:b/>
          <w:sz w:val="24"/>
          <w:szCs w:val="24"/>
        </w:rPr>
      </w:pPr>
    </w:p>
    <w:p w:rsidR="00775655" w:rsidRDefault="00775655" w:rsidP="00207CE4">
      <w:pPr>
        <w:spacing w:after="0" w:line="480" w:lineRule="auto"/>
        <w:rPr>
          <w:rFonts w:ascii="Times New Roman" w:hAnsi="Times New Roman" w:cs="Times New Roman"/>
          <w:b/>
          <w:sz w:val="24"/>
          <w:szCs w:val="24"/>
        </w:rPr>
      </w:pPr>
    </w:p>
    <w:p w:rsidR="00775655" w:rsidRDefault="00775655" w:rsidP="00207CE4">
      <w:pPr>
        <w:spacing w:after="0" w:line="480" w:lineRule="auto"/>
        <w:rPr>
          <w:rFonts w:ascii="Times New Roman" w:hAnsi="Times New Roman" w:cs="Times New Roman"/>
          <w:b/>
          <w:sz w:val="24"/>
          <w:szCs w:val="24"/>
        </w:rPr>
      </w:pPr>
    </w:p>
    <w:p w:rsidR="00775655" w:rsidRDefault="00775655" w:rsidP="00207CE4">
      <w:pPr>
        <w:spacing w:after="0" w:line="480" w:lineRule="auto"/>
        <w:rPr>
          <w:rFonts w:ascii="Times New Roman" w:hAnsi="Times New Roman" w:cs="Times New Roman"/>
          <w:b/>
          <w:sz w:val="24"/>
          <w:szCs w:val="24"/>
        </w:rPr>
      </w:pPr>
    </w:p>
    <w:p w:rsidR="00775655" w:rsidRDefault="00775655" w:rsidP="00207CE4">
      <w:pPr>
        <w:spacing w:after="0" w:line="480" w:lineRule="auto"/>
        <w:rPr>
          <w:rFonts w:ascii="Times New Roman" w:hAnsi="Times New Roman" w:cs="Times New Roman"/>
          <w:b/>
          <w:sz w:val="24"/>
          <w:szCs w:val="24"/>
        </w:rPr>
      </w:pPr>
    </w:p>
    <w:p w:rsidR="00775655" w:rsidRDefault="00775655" w:rsidP="0077565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LIST OF TABLES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5"/>
        <w:gridCol w:w="6390"/>
        <w:gridCol w:w="990"/>
      </w:tblGrid>
      <w:tr w:rsidR="00527140" w:rsidRPr="002A6E8B" w:rsidTr="00527140">
        <w:trPr>
          <w:tblCellSpacing w:w="15" w:type="dxa"/>
        </w:trPr>
        <w:tc>
          <w:tcPr>
            <w:tcW w:w="1170" w:type="dxa"/>
            <w:vAlign w:val="center"/>
            <w:hideMark/>
          </w:tcPr>
          <w:p w:rsidR="00527140" w:rsidRPr="002A6E8B" w:rsidRDefault="00527140" w:rsidP="00527140">
            <w:pPr>
              <w:spacing w:after="0" w:line="480" w:lineRule="auto"/>
              <w:jc w:val="both"/>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Table 4.1</w:t>
            </w:r>
          </w:p>
        </w:tc>
        <w:tc>
          <w:tcPr>
            <w:tcW w:w="6360" w:type="dxa"/>
            <w:vAlign w:val="center"/>
            <w:hideMark/>
          </w:tcPr>
          <w:p w:rsidR="00527140" w:rsidRPr="002A6E8B" w:rsidRDefault="00527140" w:rsidP="00527140">
            <w:pPr>
              <w:spacing w:after="0" w:line="480" w:lineRule="auto"/>
              <w:jc w:val="both"/>
              <w:rPr>
                <w:rFonts w:ascii="Times New Roman" w:eastAsia="Times New Roman" w:hAnsi="Times New Roman" w:cs="Times New Roman"/>
                <w:sz w:val="24"/>
                <w:szCs w:val="24"/>
              </w:rPr>
            </w:pPr>
            <w:proofErr w:type="spellStart"/>
            <w:r w:rsidRPr="002A6E8B">
              <w:rPr>
                <w:rFonts w:ascii="Times New Roman" w:eastAsia="Times New Roman" w:hAnsi="Times New Roman" w:cs="Times New Roman"/>
                <w:sz w:val="24"/>
                <w:szCs w:val="24"/>
              </w:rPr>
              <w:t>Physico</w:t>
            </w:r>
            <w:proofErr w:type="spellEnd"/>
            <w:r w:rsidRPr="002A6E8B">
              <w:rPr>
                <w:rFonts w:ascii="Times New Roman" w:eastAsia="Times New Roman" w:hAnsi="Times New Roman" w:cs="Times New Roman"/>
                <w:sz w:val="24"/>
                <w:szCs w:val="24"/>
              </w:rPr>
              <w:t>-Chemical Parameters of Groundwater Samples</w:t>
            </w:r>
          </w:p>
        </w:tc>
        <w:tc>
          <w:tcPr>
            <w:tcW w:w="945" w:type="dxa"/>
            <w:vAlign w:val="center"/>
            <w:hideMark/>
          </w:tcPr>
          <w:p w:rsidR="00527140" w:rsidRPr="002A6E8B" w:rsidRDefault="00527140" w:rsidP="00527140">
            <w:pPr>
              <w:spacing w:after="0" w:line="480" w:lineRule="auto"/>
              <w:jc w:val="both"/>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27</w:t>
            </w:r>
          </w:p>
        </w:tc>
      </w:tr>
    </w:tbl>
    <w:p w:rsidR="00775655" w:rsidRDefault="00775655" w:rsidP="00207CE4">
      <w:pPr>
        <w:spacing w:after="0" w:line="480" w:lineRule="auto"/>
        <w:rPr>
          <w:rFonts w:ascii="Times New Roman" w:hAnsi="Times New Roman" w:cs="Times New Roman"/>
          <w:b/>
          <w:sz w:val="24"/>
          <w:szCs w:val="24"/>
        </w:rPr>
      </w:pPr>
    </w:p>
    <w:p w:rsidR="00775655" w:rsidRDefault="00775655" w:rsidP="00207CE4">
      <w:pPr>
        <w:spacing w:after="0" w:line="480" w:lineRule="auto"/>
        <w:rPr>
          <w:rFonts w:ascii="Times New Roman" w:hAnsi="Times New Roman" w:cs="Times New Roman"/>
          <w:b/>
          <w:sz w:val="24"/>
          <w:szCs w:val="24"/>
        </w:rPr>
      </w:pPr>
    </w:p>
    <w:p w:rsidR="00775655" w:rsidRDefault="00775655" w:rsidP="00207CE4">
      <w:pPr>
        <w:spacing w:after="0" w:line="480" w:lineRule="auto"/>
        <w:rPr>
          <w:rFonts w:ascii="Times New Roman" w:hAnsi="Times New Roman" w:cs="Times New Roman"/>
          <w:b/>
          <w:sz w:val="24"/>
          <w:szCs w:val="24"/>
        </w:rPr>
      </w:pPr>
    </w:p>
    <w:p w:rsidR="00207CE4" w:rsidRDefault="00207CE4" w:rsidP="001B2BB3">
      <w:pPr>
        <w:spacing w:after="0" w:line="480" w:lineRule="auto"/>
        <w:jc w:val="center"/>
        <w:rPr>
          <w:rFonts w:ascii="Times New Roman" w:hAnsi="Times New Roman" w:cs="Times New Roman"/>
          <w:b/>
          <w:sz w:val="24"/>
          <w:szCs w:val="24"/>
        </w:rPr>
      </w:pPr>
    </w:p>
    <w:p w:rsidR="00207CE4" w:rsidRDefault="00207CE4" w:rsidP="001B2BB3">
      <w:pPr>
        <w:spacing w:after="0" w:line="480" w:lineRule="auto"/>
        <w:jc w:val="center"/>
        <w:rPr>
          <w:rFonts w:ascii="Times New Roman" w:hAnsi="Times New Roman" w:cs="Times New Roman"/>
          <w:b/>
          <w:sz w:val="24"/>
          <w:szCs w:val="24"/>
        </w:rPr>
      </w:pPr>
    </w:p>
    <w:p w:rsidR="00207CE4" w:rsidRDefault="00207CE4" w:rsidP="001B2BB3">
      <w:pPr>
        <w:spacing w:after="0" w:line="480" w:lineRule="auto"/>
        <w:jc w:val="center"/>
        <w:rPr>
          <w:rFonts w:ascii="Times New Roman" w:hAnsi="Times New Roman" w:cs="Times New Roman"/>
          <w:b/>
          <w:sz w:val="24"/>
          <w:szCs w:val="24"/>
        </w:rPr>
      </w:pPr>
    </w:p>
    <w:p w:rsidR="00207CE4" w:rsidRDefault="00207CE4" w:rsidP="001B2BB3">
      <w:pPr>
        <w:spacing w:after="0" w:line="480" w:lineRule="auto"/>
        <w:jc w:val="center"/>
        <w:rPr>
          <w:rFonts w:ascii="Times New Roman" w:hAnsi="Times New Roman" w:cs="Times New Roman"/>
          <w:b/>
          <w:sz w:val="24"/>
          <w:szCs w:val="24"/>
        </w:rPr>
      </w:pPr>
    </w:p>
    <w:p w:rsidR="00207CE4" w:rsidRDefault="00207CE4" w:rsidP="001B2BB3">
      <w:pPr>
        <w:spacing w:after="0" w:line="480" w:lineRule="auto"/>
        <w:jc w:val="center"/>
        <w:rPr>
          <w:rFonts w:ascii="Times New Roman" w:hAnsi="Times New Roman" w:cs="Times New Roman"/>
          <w:b/>
          <w:sz w:val="24"/>
          <w:szCs w:val="24"/>
        </w:rPr>
      </w:pPr>
    </w:p>
    <w:p w:rsidR="00207CE4" w:rsidRDefault="00207CE4" w:rsidP="001B2BB3">
      <w:pPr>
        <w:spacing w:after="0" w:line="480" w:lineRule="auto"/>
        <w:jc w:val="center"/>
        <w:rPr>
          <w:rFonts w:ascii="Times New Roman" w:hAnsi="Times New Roman" w:cs="Times New Roman"/>
          <w:b/>
          <w:sz w:val="24"/>
          <w:szCs w:val="24"/>
        </w:rPr>
      </w:pPr>
    </w:p>
    <w:p w:rsidR="00207CE4" w:rsidRDefault="00207CE4" w:rsidP="001B2BB3">
      <w:pPr>
        <w:spacing w:after="0" w:line="480" w:lineRule="auto"/>
        <w:jc w:val="center"/>
        <w:rPr>
          <w:rFonts w:ascii="Times New Roman" w:hAnsi="Times New Roman" w:cs="Times New Roman"/>
          <w:b/>
          <w:sz w:val="24"/>
          <w:szCs w:val="24"/>
        </w:rPr>
      </w:pPr>
    </w:p>
    <w:p w:rsidR="00207CE4" w:rsidRDefault="00207CE4" w:rsidP="001B2BB3">
      <w:pPr>
        <w:spacing w:after="0" w:line="480" w:lineRule="auto"/>
        <w:jc w:val="center"/>
        <w:rPr>
          <w:rFonts w:ascii="Times New Roman" w:hAnsi="Times New Roman" w:cs="Times New Roman"/>
          <w:b/>
          <w:sz w:val="24"/>
          <w:szCs w:val="24"/>
        </w:rPr>
      </w:pPr>
    </w:p>
    <w:p w:rsidR="00207CE4" w:rsidRDefault="00207CE4" w:rsidP="001B2BB3">
      <w:pPr>
        <w:spacing w:after="0" w:line="480" w:lineRule="auto"/>
        <w:jc w:val="center"/>
        <w:rPr>
          <w:rFonts w:ascii="Times New Roman" w:hAnsi="Times New Roman" w:cs="Times New Roman"/>
          <w:b/>
          <w:sz w:val="24"/>
          <w:szCs w:val="24"/>
        </w:rPr>
      </w:pPr>
    </w:p>
    <w:p w:rsidR="00207CE4" w:rsidRDefault="00207CE4" w:rsidP="001B2BB3">
      <w:pPr>
        <w:spacing w:after="0" w:line="480" w:lineRule="auto"/>
        <w:jc w:val="center"/>
        <w:rPr>
          <w:rFonts w:ascii="Times New Roman" w:hAnsi="Times New Roman" w:cs="Times New Roman"/>
          <w:b/>
          <w:sz w:val="24"/>
          <w:szCs w:val="24"/>
        </w:rPr>
      </w:pPr>
    </w:p>
    <w:p w:rsidR="00207CE4" w:rsidRDefault="00207CE4" w:rsidP="001B2BB3">
      <w:pPr>
        <w:spacing w:after="0" w:line="480" w:lineRule="auto"/>
        <w:jc w:val="center"/>
        <w:rPr>
          <w:rFonts w:ascii="Times New Roman" w:hAnsi="Times New Roman" w:cs="Times New Roman"/>
          <w:b/>
          <w:sz w:val="24"/>
          <w:szCs w:val="24"/>
        </w:rPr>
      </w:pPr>
    </w:p>
    <w:p w:rsidR="00207CE4" w:rsidRDefault="00207CE4" w:rsidP="001B2BB3">
      <w:pPr>
        <w:spacing w:after="0" w:line="480" w:lineRule="auto"/>
        <w:jc w:val="center"/>
        <w:rPr>
          <w:rFonts w:ascii="Times New Roman" w:hAnsi="Times New Roman" w:cs="Times New Roman"/>
          <w:b/>
          <w:sz w:val="24"/>
          <w:szCs w:val="24"/>
        </w:rPr>
      </w:pPr>
    </w:p>
    <w:p w:rsidR="00207CE4" w:rsidRDefault="00207CE4" w:rsidP="001B2BB3">
      <w:pPr>
        <w:spacing w:after="0" w:line="480" w:lineRule="auto"/>
        <w:jc w:val="center"/>
        <w:rPr>
          <w:rFonts w:ascii="Times New Roman" w:hAnsi="Times New Roman" w:cs="Times New Roman"/>
          <w:b/>
          <w:sz w:val="24"/>
          <w:szCs w:val="24"/>
        </w:rPr>
      </w:pPr>
    </w:p>
    <w:p w:rsidR="00207CE4" w:rsidRDefault="00207CE4" w:rsidP="001B2BB3">
      <w:pPr>
        <w:spacing w:after="0" w:line="480" w:lineRule="auto"/>
        <w:jc w:val="center"/>
        <w:rPr>
          <w:rFonts w:ascii="Times New Roman" w:hAnsi="Times New Roman" w:cs="Times New Roman"/>
          <w:b/>
          <w:sz w:val="24"/>
          <w:szCs w:val="24"/>
        </w:rPr>
      </w:pPr>
    </w:p>
    <w:p w:rsidR="0037735E" w:rsidRDefault="0037735E" w:rsidP="001B2BB3">
      <w:pPr>
        <w:spacing w:after="0" w:line="480" w:lineRule="auto"/>
        <w:jc w:val="center"/>
        <w:rPr>
          <w:rFonts w:ascii="Times New Roman" w:hAnsi="Times New Roman" w:cs="Times New Roman"/>
          <w:b/>
          <w:sz w:val="24"/>
          <w:szCs w:val="24"/>
        </w:rPr>
      </w:pPr>
    </w:p>
    <w:p w:rsidR="0037735E" w:rsidRDefault="0037735E" w:rsidP="001B2BB3">
      <w:pPr>
        <w:spacing w:after="0" w:line="480" w:lineRule="auto"/>
        <w:jc w:val="center"/>
        <w:rPr>
          <w:rFonts w:ascii="Times New Roman" w:hAnsi="Times New Roman" w:cs="Times New Roman"/>
          <w:b/>
          <w:sz w:val="24"/>
          <w:szCs w:val="24"/>
        </w:rPr>
      </w:pPr>
    </w:p>
    <w:p w:rsidR="0037735E" w:rsidRDefault="0037735E" w:rsidP="001B2BB3">
      <w:pPr>
        <w:spacing w:after="0" w:line="480" w:lineRule="auto"/>
        <w:jc w:val="center"/>
        <w:rPr>
          <w:rFonts w:ascii="Times New Roman" w:hAnsi="Times New Roman" w:cs="Times New Roman"/>
          <w:b/>
          <w:sz w:val="24"/>
          <w:szCs w:val="24"/>
        </w:rPr>
      </w:pPr>
    </w:p>
    <w:p w:rsidR="0037735E" w:rsidRDefault="0037735E" w:rsidP="001B2BB3">
      <w:pPr>
        <w:spacing w:after="0" w:line="480" w:lineRule="auto"/>
        <w:jc w:val="center"/>
        <w:rPr>
          <w:rFonts w:ascii="Times New Roman" w:hAnsi="Times New Roman" w:cs="Times New Roman"/>
          <w:b/>
          <w:sz w:val="24"/>
          <w:szCs w:val="24"/>
        </w:rPr>
      </w:pPr>
    </w:p>
    <w:p w:rsidR="0037735E" w:rsidRDefault="0037735E" w:rsidP="001B2BB3">
      <w:pPr>
        <w:spacing w:after="0" w:line="480" w:lineRule="auto"/>
        <w:jc w:val="center"/>
        <w:rPr>
          <w:rFonts w:ascii="Times New Roman" w:hAnsi="Times New Roman" w:cs="Times New Roman"/>
          <w:b/>
          <w:sz w:val="24"/>
          <w:szCs w:val="24"/>
        </w:rPr>
      </w:pPr>
    </w:p>
    <w:p w:rsidR="00145EE3" w:rsidRDefault="00145EE3" w:rsidP="001B2BB3">
      <w:pPr>
        <w:spacing w:after="0" w:line="480" w:lineRule="auto"/>
        <w:jc w:val="center"/>
        <w:rPr>
          <w:rFonts w:ascii="Times New Roman" w:hAnsi="Times New Roman" w:cs="Times New Roman"/>
          <w:b/>
          <w:sz w:val="24"/>
          <w:szCs w:val="24"/>
        </w:rPr>
      </w:pPr>
    </w:p>
    <w:p w:rsidR="001B2BB3" w:rsidRPr="00B15E44" w:rsidRDefault="001B2BB3" w:rsidP="001B2BB3">
      <w:pPr>
        <w:spacing w:after="0" w:line="480" w:lineRule="auto"/>
        <w:jc w:val="center"/>
        <w:rPr>
          <w:rFonts w:ascii="Times New Roman" w:hAnsi="Times New Roman" w:cs="Times New Roman"/>
          <w:b/>
          <w:sz w:val="24"/>
          <w:szCs w:val="24"/>
        </w:rPr>
      </w:pPr>
      <w:r w:rsidRPr="00B15E44">
        <w:rPr>
          <w:rFonts w:ascii="Times New Roman" w:hAnsi="Times New Roman" w:cs="Times New Roman"/>
          <w:b/>
          <w:sz w:val="24"/>
          <w:szCs w:val="24"/>
        </w:rPr>
        <w:lastRenderedPageBreak/>
        <w:t>CHAPTER ONE</w:t>
      </w:r>
    </w:p>
    <w:p w:rsidR="001B2BB3" w:rsidRPr="00B15E44" w:rsidRDefault="00145EE3" w:rsidP="00145EE3">
      <w:pPr>
        <w:spacing w:after="0" w:line="480" w:lineRule="auto"/>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r>
      <w:r w:rsidR="001B2BB3" w:rsidRPr="00B15E44">
        <w:rPr>
          <w:rFonts w:ascii="Times New Roman" w:hAnsi="Times New Roman" w:cs="Times New Roman"/>
          <w:b/>
          <w:sz w:val="24"/>
          <w:szCs w:val="24"/>
        </w:rPr>
        <w:t>INTRODUCTION</w:t>
      </w:r>
    </w:p>
    <w:p w:rsidR="001B2BB3" w:rsidRPr="00B15E44" w:rsidRDefault="001B2BB3" w:rsidP="001B2BB3">
      <w:pPr>
        <w:spacing w:after="0" w:line="480" w:lineRule="auto"/>
        <w:jc w:val="both"/>
        <w:rPr>
          <w:rFonts w:ascii="Times New Roman" w:hAnsi="Times New Roman" w:cs="Times New Roman"/>
          <w:b/>
          <w:sz w:val="24"/>
          <w:szCs w:val="24"/>
        </w:rPr>
      </w:pPr>
      <w:r w:rsidRPr="00B15E44">
        <w:rPr>
          <w:rFonts w:ascii="Times New Roman" w:hAnsi="Times New Roman" w:cs="Times New Roman"/>
          <w:b/>
          <w:sz w:val="24"/>
          <w:szCs w:val="24"/>
        </w:rPr>
        <w:t>1.1</w:t>
      </w:r>
      <w:r w:rsidRPr="00B15E44">
        <w:rPr>
          <w:rFonts w:ascii="Times New Roman" w:hAnsi="Times New Roman" w:cs="Times New Roman"/>
          <w:b/>
          <w:sz w:val="24"/>
          <w:szCs w:val="24"/>
        </w:rPr>
        <w:tab/>
        <w:t>BACKGROUND OF THE STUDY</w:t>
      </w:r>
    </w:p>
    <w:p w:rsidR="001B2BB3" w:rsidRPr="00B15E44" w:rsidRDefault="001B2BB3" w:rsidP="001B2BB3">
      <w:p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 xml:space="preserve">Generally groundwater plays a number of very important roles in our environment and socio- economic development of any society. It is a valuable natural resource providing primary sources of water for domestic agriculture and industrial uses throughout the world </w:t>
      </w:r>
      <w:r w:rsidRPr="00145EE3">
        <w:rPr>
          <w:rFonts w:ascii="Times New Roman" w:hAnsi="Times New Roman" w:cs="Times New Roman"/>
          <w:i/>
          <w:sz w:val="24"/>
          <w:szCs w:val="24"/>
        </w:rPr>
        <w:t>(</w:t>
      </w:r>
      <w:proofErr w:type="spellStart"/>
      <w:r w:rsidRPr="00145EE3">
        <w:rPr>
          <w:rFonts w:ascii="Times New Roman" w:hAnsi="Times New Roman" w:cs="Times New Roman"/>
          <w:i/>
          <w:sz w:val="24"/>
          <w:szCs w:val="24"/>
        </w:rPr>
        <w:t>Tijani</w:t>
      </w:r>
      <w:proofErr w:type="spellEnd"/>
      <w:r w:rsidRPr="00145EE3">
        <w:rPr>
          <w:rFonts w:ascii="Times New Roman" w:hAnsi="Times New Roman" w:cs="Times New Roman"/>
          <w:i/>
          <w:sz w:val="24"/>
          <w:szCs w:val="24"/>
        </w:rPr>
        <w:t>, 2016)</w:t>
      </w:r>
      <w:r w:rsidR="00145EE3">
        <w:rPr>
          <w:rFonts w:ascii="Times New Roman" w:hAnsi="Times New Roman" w:cs="Times New Roman"/>
          <w:i/>
          <w:sz w:val="24"/>
          <w:szCs w:val="24"/>
        </w:rPr>
        <w:t>.</w:t>
      </w:r>
    </w:p>
    <w:p w:rsidR="001B2BB3" w:rsidRPr="00B15E44" w:rsidRDefault="001B2BB3" w:rsidP="001B2BB3">
      <w:p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Usually surface water is prone to pollution and contamination from domestic sewage and industrial wastes and therefore there is need for water quality monitoring nonetheless monitoring the quality of water can be expensive the cost of exploitation of surface water and management (construction of dens) is light things has led to the increasing exploitation and development of groundwater. Groundwater is generally believed to be relatively protected sewage groundwater is held within purely space, fracture and weathered regolith depending on the geology settling which makes it widely end generally free from sediment and biological in purities.</w:t>
      </w:r>
    </w:p>
    <w:p w:rsidR="001B2BB3" w:rsidRPr="00B15E44" w:rsidRDefault="001B2BB3" w:rsidP="001B2BB3">
      <w:p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 xml:space="preserve">Over the past decade there has been increased research on the evaluation  exploitation and quality assessment of groundwater in the basement complex of Nigeria especially in the south western part of the counting </w:t>
      </w:r>
      <w:r w:rsidRPr="00145EE3">
        <w:rPr>
          <w:rFonts w:ascii="Times New Roman" w:hAnsi="Times New Roman" w:cs="Times New Roman"/>
          <w:i/>
          <w:sz w:val="24"/>
          <w:szCs w:val="24"/>
        </w:rPr>
        <w:t>(</w:t>
      </w:r>
      <w:proofErr w:type="spellStart"/>
      <w:r w:rsidRPr="00145EE3">
        <w:rPr>
          <w:rFonts w:ascii="Times New Roman" w:hAnsi="Times New Roman" w:cs="Times New Roman"/>
          <w:i/>
          <w:sz w:val="24"/>
          <w:szCs w:val="24"/>
        </w:rPr>
        <w:t>Idowu</w:t>
      </w:r>
      <w:proofErr w:type="spellEnd"/>
      <w:r w:rsidRPr="00145EE3">
        <w:rPr>
          <w:rFonts w:ascii="Times New Roman" w:hAnsi="Times New Roman" w:cs="Times New Roman"/>
          <w:i/>
          <w:sz w:val="24"/>
          <w:szCs w:val="24"/>
        </w:rPr>
        <w:t xml:space="preserve"> </w:t>
      </w:r>
      <w:proofErr w:type="spellStart"/>
      <w:r w:rsidRPr="00145EE3">
        <w:rPr>
          <w:rFonts w:ascii="Times New Roman" w:hAnsi="Times New Roman" w:cs="Times New Roman"/>
          <w:i/>
          <w:sz w:val="24"/>
          <w:szCs w:val="24"/>
        </w:rPr>
        <w:t>et,al</w:t>
      </w:r>
      <w:proofErr w:type="spellEnd"/>
      <w:r w:rsidRPr="00145EE3">
        <w:rPr>
          <w:rFonts w:ascii="Times New Roman" w:hAnsi="Times New Roman" w:cs="Times New Roman"/>
          <w:i/>
          <w:sz w:val="24"/>
          <w:szCs w:val="24"/>
        </w:rPr>
        <w:t xml:space="preserve">, 2007, </w:t>
      </w:r>
      <w:proofErr w:type="spellStart"/>
      <w:r w:rsidRPr="00145EE3">
        <w:rPr>
          <w:rFonts w:ascii="Times New Roman" w:hAnsi="Times New Roman" w:cs="Times New Roman"/>
          <w:i/>
          <w:sz w:val="24"/>
          <w:szCs w:val="24"/>
        </w:rPr>
        <w:t>Ako</w:t>
      </w:r>
      <w:proofErr w:type="spellEnd"/>
      <w:r w:rsidRPr="00145EE3">
        <w:rPr>
          <w:rFonts w:ascii="Times New Roman" w:hAnsi="Times New Roman" w:cs="Times New Roman"/>
          <w:i/>
          <w:sz w:val="24"/>
          <w:szCs w:val="24"/>
        </w:rPr>
        <w:t xml:space="preserve"> i970, </w:t>
      </w:r>
      <w:proofErr w:type="spellStart"/>
      <w:r w:rsidRPr="00145EE3">
        <w:rPr>
          <w:rFonts w:ascii="Times New Roman" w:hAnsi="Times New Roman" w:cs="Times New Roman"/>
          <w:i/>
          <w:sz w:val="24"/>
          <w:szCs w:val="24"/>
        </w:rPr>
        <w:t>Ajadi</w:t>
      </w:r>
      <w:proofErr w:type="spellEnd"/>
      <w:r w:rsidRPr="00145EE3">
        <w:rPr>
          <w:rFonts w:ascii="Times New Roman" w:hAnsi="Times New Roman" w:cs="Times New Roman"/>
          <w:i/>
          <w:sz w:val="24"/>
          <w:szCs w:val="24"/>
        </w:rPr>
        <w:t xml:space="preserve"> 2018)</w:t>
      </w:r>
      <w:r w:rsidRPr="00B15E44">
        <w:rPr>
          <w:rFonts w:ascii="Times New Roman" w:hAnsi="Times New Roman" w:cs="Times New Roman"/>
          <w:sz w:val="24"/>
          <w:szCs w:val="24"/>
        </w:rPr>
        <w:t>. However, the present work only serves as means of providing additional information on the hydrological and hydro chemical investigations that have been carried out in study area.</w:t>
      </w:r>
    </w:p>
    <w:p w:rsidR="001B2BB3" w:rsidRPr="00B15E44" w:rsidRDefault="001B2BB3" w:rsidP="001B2BB3">
      <w:p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 xml:space="preserve">The study areas, Ilorin lies within the basement complex of southwestern Nigeria </w:t>
      </w:r>
      <w:r w:rsidR="00145EE3" w:rsidRPr="00145EE3">
        <w:rPr>
          <w:rFonts w:ascii="Times New Roman" w:hAnsi="Times New Roman" w:cs="Times New Roman"/>
          <w:i/>
          <w:sz w:val="24"/>
          <w:szCs w:val="24"/>
        </w:rPr>
        <w:t>(</w:t>
      </w:r>
      <w:proofErr w:type="spellStart"/>
      <w:r w:rsidR="00145EE3" w:rsidRPr="00145EE3">
        <w:rPr>
          <w:rFonts w:ascii="Times New Roman" w:hAnsi="Times New Roman" w:cs="Times New Roman"/>
          <w:i/>
          <w:sz w:val="24"/>
          <w:szCs w:val="24"/>
        </w:rPr>
        <w:t>O</w:t>
      </w:r>
      <w:r w:rsidRPr="00145EE3">
        <w:rPr>
          <w:rFonts w:ascii="Times New Roman" w:hAnsi="Times New Roman" w:cs="Times New Roman"/>
          <w:i/>
          <w:sz w:val="24"/>
          <w:szCs w:val="24"/>
        </w:rPr>
        <w:t>yawage</w:t>
      </w:r>
      <w:proofErr w:type="spellEnd"/>
      <w:r w:rsidRPr="00145EE3">
        <w:rPr>
          <w:rFonts w:ascii="Times New Roman" w:hAnsi="Times New Roman" w:cs="Times New Roman"/>
          <w:i/>
          <w:sz w:val="24"/>
          <w:szCs w:val="24"/>
        </w:rPr>
        <w:t>,</w:t>
      </w:r>
      <w:r w:rsidR="00145EE3" w:rsidRPr="00145EE3">
        <w:rPr>
          <w:rFonts w:ascii="Times New Roman" w:hAnsi="Times New Roman" w:cs="Times New Roman"/>
          <w:i/>
          <w:sz w:val="24"/>
          <w:szCs w:val="24"/>
        </w:rPr>
        <w:t xml:space="preserve"> </w:t>
      </w:r>
      <w:r w:rsidRPr="00145EE3">
        <w:rPr>
          <w:rFonts w:ascii="Times New Roman" w:hAnsi="Times New Roman" w:cs="Times New Roman"/>
          <w:i/>
          <w:sz w:val="24"/>
          <w:szCs w:val="24"/>
        </w:rPr>
        <w:t>1972)</w:t>
      </w:r>
      <w:r w:rsidRPr="00B15E44">
        <w:rPr>
          <w:rFonts w:ascii="Times New Roman" w:hAnsi="Times New Roman" w:cs="Times New Roman"/>
          <w:sz w:val="24"/>
          <w:szCs w:val="24"/>
        </w:rPr>
        <w:t xml:space="preserve"> the predominant rock types in the study area are granit</w:t>
      </w:r>
      <w:r w:rsidR="00145EE3">
        <w:rPr>
          <w:rFonts w:ascii="Times New Roman" w:hAnsi="Times New Roman" w:cs="Times New Roman"/>
          <w:sz w:val="24"/>
          <w:szCs w:val="24"/>
        </w:rPr>
        <w:t xml:space="preserve">e gneiss and quartzite schist </w:t>
      </w:r>
      <w:r w:rsidR="00145EE3" w:rsidRPr="00145EE3">
        <w:rPr>
          <w:rFonts w:ascii="Times New Roman" w:hAnsi="Times New Roman" w:cs="Times New Roman"/>
          <w:i/>
          <w:sz w:val="24"/>
          <w:szCs w:val="24"/>
        </w:rPr>
        <w:t>(</w:t>
      </w:r>
      <w:proofErr w:type="spellStart"/>
      <w:r w:rsidRPr="00145EE3">
        <w:rPr>
          <w:rFonts w:ascii="Times New Roman" w:hAnsi="Times New Roman" w:cs="Times New Roman"/>
          <w:i/>
          <w:sz w:val="24"/>
          <w:szCs w:val="24"/>
        </w:rPr>
        <w:t>Oluyide</w:t>
      </w:r>
      <w:proofErr w:type="spellEnd"/>
      <w:r w:rsidRPr="00145EE3">
        <w:rPr>
          <w:rFonts w:ascii="Times New Roman" w:hAnsi="Times New Roman" w:cs="Times New Roman"/>
          <w:i/>
          <w:sz w:val="24"/>
          <w:szCs w:val="24"/>
        </w:rPr>
        <w:t xml:space="preserve"> </w:t>
      </w:r>
      <w:proofErr w:type="spellStart"/>
      <w:r w:rsidRPr="00145EE3">
        <w:rPr>
          <w:rFonts w:ascii="Times New Roman" w:hAnsi="Times New Roman" w:cs="Times New Roman"/>
          <w:i/>
          <w:sz w:val="24"/>
          <w:szCs w:val="24"/>
        </w:rPr>
        <w:t>et,al</w:t>
      </w:r>
      <w:proofErr w:type="spellEnd"/>
      <w:r w:rsidRPr="00145EE3">
        <w:rPr>
          <w:rFonts w:ascii="Times New Roman" w:hAnsi="Times New Roman" w:cs="Times New Roman"/>
          <w:i/>
          <w:sz w:val="24"/>
          <w:szCs w:val="24"/>
        </w:rPr>
        <w:t>, 1998)</w:t>
      </w:r>
      <w:r w:rsidRPr="00B15E44">
        <w:rPr>
          <w:rFonts w:ascii="Times New Roman" w:hAnsi="Times New Roman" w:cs="Times New Roman"/>
          <w:sz w:val="24"/>
          <w:szCs w:val="24"/>
        </w:rPr>
        <w:t xml:space="preserve"> these rocks are covered by weathered regolith, the thickness of which varies from place to place basement complex rocks are poor acquits as the complex rock are poor acquits as they are characterized by low parasite and negligible permeability resulting </w:t>
      </w:r>
      <w:r w:rsidRPr="00B15E44">
        <w:rPr>
          <w:rFonts w:ascii="Times New Roman" w:hAnsi="Times New Roman" w:cs="Times New Roman"/>
          <w:sz w:val="24"/>
          <w:szCs w:val="24"/>
        </w:rPr>
        <w:lastRenderedPageBreak/>
        <w:t xml:space="preserve">from this crystalline nature appreciable porosity and permeable may however be developed through weathering and fracturing, depending on the theology and texture of the parent rocks. The availability of groundwater would therefore depend on the presence and extent of the weathered over burden/regolith and the presence of fault and fractures in the underlying bedrock </w:t>
      </w:r>
      <w:r w:rsidRPr="00145EE3">
        <w:rPr>
          <w:rFonts w:ascii="Times New Roman" w:hAnsi="Times New Roman" w:cs="Times New Roman"/>
          <w:i/>
          <w:sz w:val="24"/>
          <w:szCs w:val="24"/>
        </w:rPr>
        <w:t>(</w:t>
      </w:r>
      <w:proofErr w:type="spellStart"/>
      <w:r w:rsidRPr="00145EE3">
        <w:rPr>
          <w:rFonts w:ascii="Times New Roman" w:hAnsi="Times New Roman" w:cs="Times New Roman"/>
          <w:i/>
          <w:sz w:val="24"/>
          <w:szCs w:val="24"/>
        </w:rPr>
        <w:t>Ademilua</w:t>
      </w:r>
      <w:proofErr w:type="spellEnd"/>
      <w:r w:rsidRPr="00145EE3">
        <w:rPr>
          <w:rFonts w:ascii="Times New Roman" w:hAnsi="Times New Roman" w:cs="Times New Roman"/>
          <w:i/>
          <w:sz w:val="24"/>
          <w:szCs w:val="24"/>
        </w:rPr>
        <w:t>, 2020)</w:t>
      </w:r>
      <w:r w:rsidR="00145EE3" w:rsidRPr="00145EE3">
        <w:rPr>
          <w:rFonts w:ascii="Times New Roman" w:hAnsi="Times New Roman" w:cs="Times New Roman"/>
          <w:i/>
          <w:sz w:val="24"/>
          <w:szCs w:val="24"/>
        </w:rPr>
        <w:t>.</w:t>
      </w:r>
    </w:p>
    <w:p w:rsidR="001B2BB3" w:rsidRPr="00B15E44" w:rsidRDefault="001B2BB3" w:rsidP="001B2BB3">
      <w:p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 xml:space="preserve">Nigeria, like many other countries, relies on groundwater to meet its water demands particularly in urban and rural area where access to piped water is limited </w:t>
      </w:r>
      <w:r w:rsidRPr="00145EE3">
        <w:rPr>
          <w:rFonts w:ascii="Times New Roman" w:hAnsi="Times New Roman" w:cs="Times New Roman"/>
          <w:i/>
          <w:sz w:val="24"/>
          <w:szCs w:val="24"/>
        </w:rPr>
        <w:t>(</w:t>
      </w:r>
      <w:proofErr w:type="spellStart"/>
      <w:r w:rsidRPr="00145EE3">
        <w:rPr>
          <w:rFonts w:ascii="Times New Roman" w:hAnsi="Times New Roman" w:cs="Times New Roman"/>
          <w:i/>
          <w:sz w:val="24"/>
          <w:szCs w:val="24"/>
        </w:rPr>
        <w:t>Adelekan</w:t>
      </w:r>
      <w:proofErr w:type="spellEnd"/>
      <w:r w:rsidRPr="00145EE3">
        <w:rPr>
          <w:rFonts w:ascii="Times New Roman" w:hAnsi="Times New Roman" w:cs="Times New Roman"/>
          <w:i/>
          <w:sz w:val="24"/>
          <w:szCs w:val="24"/>
        </w:rPr>
        <w:t>,</w:t>
      </w:r>
      <w:r w:rsidR="00145EE3" w:rsidRPr="00145EE3">
        <w:rPr>
          <w:rFonts w:ascii="Times New Roman" w:hAnsi="Times New Roman" w:cs="Times New Roman"/>
          <w:i/>
          <w:sz w:val="24"/>
          <w:szCs w:val="24"/>
        </w:rPr>
        <w:t xml:space="preserve"> </w:t>
      </w:r>
      <w:r w:rsidRPr="00145EE3">
        <w:rPr>
          <w:rFonts w:ascii="Times New Roman" w:hAnsi="Times New Roman" w:cs="Times New Roman"/>
          <w:i/>
          <w:sz w:val="24"/>
          <w:szCs w:val="24"/>
        </w:rPr>
        <w:t>20</w:t>
      </w:r>
      <w:r w:rsidR="00145EE3" w:rsidRPr="00145EE3">
        <w:rPr>
          <w:rFonts w:ascii="Times New Roman" w:hAnsi="Times New Roman" w:cs="Times New Roman"/>
          <w:i/>
          <w:sz w:val="24"/>
          <w:szCs w:val="24"/>
        </w:rPr>
        <w:t>10)</w:t>
      </w:r>
      <w:r w:rsidR="00145EE3">
        <w:rPr>
          <w:rFonts w:ascii="Times New Roman" w:hAnsi="Times New Roman" w:cs="Times New Roman"/>
          <w:sz w:val="24"/>
          <w:szCs w:val="24"/>
        </w:rPr>
        <w:t xml:space="preserve"> Ilorin the capital city of </w:t>
      </w:r>
      <w:proofErr w:type="spellStart"/>
      <w:r w:rsidR="00145EE3">
        <w:rPr>
          <w:rFonts w:ascii="Times New Roman" w:hAnsi="Times New Roman" w:cs="Times New Roman"/>
          <w:sz w:val="24"/>
          <w:szCs w:val="24"/>
        </w:rPr>
        <w:t>Kwara</w:t>
      </w:r>
      <w:proofErr w:type="spellEnd"/>
      <w:r w:rsidR="00145EE3">
        <w:rPr>
          <w:rFonts w:ascii="Times New Roman" w:hAnsi="Times New Roman" w:cs="Times New Roman"/>
          <w:sz w:val="24"/>
          <w:szCs w:val="24"/>
        </w:rPr>
        <w:t xml:space="preserve"> S</w:t>
      </w:r>
      <w:r w:rsidRPr="00B15E44">
        <w:rPr>
          <w:rFonts w:ascii="Times New Roman" w:hAnsi="Times New Roman" w:cs="Times New Roman"/>
          <w:sz w:val="24"/>
          <w:szCs w:val="24"/>
        </w:rPr>
        <w:t>tate in south western Nigeria is no exception with a significant proportion of its population depending on groundwater for drinking agriculture and industrial activities.</w:t>
      </w:r>
    </w:p>
    <w:p w:rsidR="001B2BB3" w:rsidRPr="00B15E44" w:rsidRDefault="001B2BB3" w:rsidP="001B2BB3">
      <w:p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 xml:space="preserve">The hydro chemical characteristic of groundwater in Ilorin are influenced by various geological is characterized by basement complex rocks which can affect the chemical composition of groundwater </w:t>
      </w:r>
      <w:r w:rsidRPr="00145EE3">
        <w:rPr>
          <w:rFonts w:ascii="Times New Roman" w:hAnsi="Times New Roman" w:cs="Times New Roman"/>
          <w:i/>
          <w:sz w:val="24"/>
          <w:szCs w:val="24"/>
        </w:rPr>
        <w:t>(</w:t>
      </w:r>
      <w:proofErr w:type="spellStart"/>
      <w:r w:rsidRPr="00145EE3">
        <w:rPr>
          <w:rFonts w:ascii="Times New Roman" w:hAnsi="Times New Roman" w:cs="Times New Roman"/>
          <w:i/>
          <w:sz w:val="24"/>
          <w:szCs w:val="24"/>
        </w:rPr>
        <w:t>Rahman</w:t>
      </w:r>
      <w:proofErr w:type="spellEnd"/>
      <w:r w:rsidR="00145EE3" w:rsidRPr="00145EE3">
        <w:rPr>
          <w:rFonts w:ascii="Times New Roman" w:hAnsi="Times New Roman" w:cs="Times New Roman"/>
          <w:i/>
          <w:sz w:val="24"/>
          <w:szCs w:val="24"/>
        </w:rPr>
        <w:t xml:space="preserve">, </w:t>
      </w:r>
      <w:r w:rsidRPr="00145EE3">
        <w:rPr>
          <w:rFonts w:ascii="Times New Roman" w:hAnsi="Times New Roman" w:cs="Times New Roman"/>
          <w:i/>
          <w:sz w:val="24"/>
          <w:szCs w:val="24"/>
        </w:rPr>
        <w:t>2021)</w:t>
      </w:r>
      <w:r w:rsidRPr="00B15E44">
        <w:rPr>
          <w:rFonts w:ascii="Times New Roman" w:hAnsi="Times New Roman" w:cs="Times New Roman"/>
          <w:sz w:val="24"/>
          <w:szCs w:val="24"/>
        </w:rPr>
        <w:t xml:space="preserve"> additionally rapid urbanization industrial activities and agricultural practices in the area can lead to groundwater contamination </w:t>
      </w:r>
      <w:r w:rsidRPr="00145EE3">
        <w:rPr>
          <w:rFonts w:ascii="Times New Roman" w:hAnsi="Times New Roman" w:cs="Times New Roman"/>
          <w:i/>
          <w:sz w:val="24"/>
          <w:szCs w:val="24"/>
        </w:rPr>
        <w:t>(Singh et al, 2013)</w:t>
      </w:r>
      <w:r w:rsidR="00145EE3">
        <w:rPr>
          <w:rFonts w:ascii="Times New Roman" w:hAnsi="Times New Roman" w:cs="Times New Roman"/>
          <w:sz w:val="24"/>
          <w:szCs w:val="24"/>
        </w:rPr>
        <w:t>.</w:t>
      </w:r>
    </w:p>
    <w:p w:rsidR="001B2BB3" w:rsidRPr="00B15E44" w:rsidRDefault="001B2BB3" w:rsidP="001B2BB3">
      <w:p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Understanding the hydro chemical characteristic of groundwater in Ilorin is essential for assessing its quality identifying potential sources of contamination and developing effective management strategies to protect things vital resoluble previous studies have shown that groundwater quality in Nigeria can be compromised by various factors including geological process agricultural activi</w:t>
      </w:r>
      <w:r w:rsidR="00145EE3">
        <w:rPr>
          <w:rFonts w:ascii="Times New Roman" w:hAnsi="Times New Roman" w:cs="Times New Roman"/>
          <w:sz w:val="24"/>
          <w:szCs w:val="24"/>
        </w:rPr>
        <w:t xml:space="preserve">ties and industrial pollution </w:t>
      </w:r>
      <w:r w:rsidR="00145EE3" w:rsidRPr="00145EE3">
        <w:rPr>
          <w:rFonts w:ascii="Times New Roman" w:hAnsi="Times New Roman" w:cs="Times New Roman"/>
          <w:i/>
          <w:sz w:val="24"/>
          <w:szCs w:val="24"/>
        </w:rPr>
        <w:t>(</w:t>
      </w:r>
      <w:proofErr w:type="spellStart"/>
      <w:r w:rsidRPr="00145EE3">
        <w:rPr>
          <w:rFonts w:ascii="Times New Roman" w:hAnsi="Times New Roman" w:cs="Times New Roman"/>
          <w:i/>
          <w:sz w:val="24"/>
          <w:szCs w:val="24"/>
        </w:rPr>
        <w:t>Orebiyi</w:t>
      </w:r>
      <w:proofErr w:type="spellEnd"/>
      <w:r w:rsidRPr="00145EE3">
        <w:rPr>
          <w:rFonts w:ascii="Times New Roman" w:hAnsi="Times New Roman" w:cs="Times New Roman"/>
          <w:i/>
          <w:sz w:val="24"/>
          <w:szCs w:val="24"/>
        </w:rPr>
        <w:t xml:space="preserve"> </w:t>
      </w:r>
      <w:proofErr w:type="gramStart"/>
      <w:r w:rsidRPr="00145EE3">
        <w:rPr>
          <w:rFonts w:ascii="Times New Roman" w:hAnsi="Times New Roman" w:cs="Times New Roman"/>
          <w:i/>
          <w:sz w:val="24"/>
          <w:szCs w:val="24"/>
        </w:rPr>
        <w:t>et</w:t>
      </w:r>
      <w:proofErr w:type="gramEnd"/>
      <w:r w:rsidRPr="00145EE3">
        <w:rPr>
          <w:rFonts w:ascii="Times New Roman" w:hAnsi="Times New Roman" w:cs="Times New Roman"/>
          <w:i/>
          <w:sz w:val="24"/>
          <w:szCs w:val="24"/>
        </w:rPr>
        <w:t>, al, 2010)</w:t>
      </w:r>
      <w:r w:rsidRPr="00B15E44">
        <w:rPr>
          <w:rFonts w:ascii="Times New Roman" w:hAnsi="Times New Roman" w:cs="Times New Roman"/>
          <w:sz w:val="24"/>
          <w:szCs w:val="24"/>
        </w:rPr>
        <w:t>.</w:t>
      </w:r>
    </w:p>
    <w:p w:rsidR="001B2BB3" w:rsidRPr="00B15E44" w:rsidRDefault="001B2BB3" w:rsidP="001B2BB3">
      <w:p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This study aims to investigate the hydro chemical characteristic of groundwater in part of Ilorin south western Nigeria with a view to providing valuable insignificant into it quality and potential implications for human health and environment sustainability.</w:t>
      </w:r>
    </w:p>
    <w:p w:rsidR="001B2BB3" w:rsidRDefault="001B2BB3" w:rsidP="001B2BB3">
      <w:pPr>
        <w:spacing w:after="0" w:line="480" w:lineRule="auto"/>
        <w:jc w:val="both"/>
        <w:rPr>
          <w:rFonts w:ascii="Times New Roman" w:hAnsi="Times New Roman" w:cs="Times New Roman"/>
          <w:b/>
          <w:sz w:val="24"/>
          <w:szCs w:val="24"/>
        </w:rPr>
      </w:pPr>
    </w:p>
    <w:p w:rsidR="001B2BB3" w:rsidRDefault="001B2BB3" w:rsidP="001B2BB3">
      <w:pPr>
        <w:spacing w:after="0" w:line="480" w:lineRule="auto"/>
        <w:jc w:val="both"/>
        <w:rPr>
          <w:rFonts w:ascii="Times New Roman" w:hAnsi="Times New Roman" w:cs="Times New Roman"/>
          <w:b/>
          <w:sz w:val="24"/>
          <w:szCs w:val="24"/>
        </w:rPr>
      </w:pPr>
    </w:p>
    <w:p w:rsidR="001B2BB3" w:rsidRPr="00B15E44" w:rsidRDefault="001B2BB3" w:rsidP="001B2BB3">
      <w:pPr>
        <w:spacing w:after="0" w:line="480" w:lineRule="auto"/>
        <w:jc w:val="both"/>
        <w:rPr>
          <w:rFonts w:ascii="Times New Roman" w:hAnsi="Times New Roman" w:cs="Times New Roman"/>
          <w:b/>
          <w:sz w:val="24"/>
          <w:szCs w:val="24"/>
        </w:rPr>
      </w:pPr>
      <w:r w:rsidRPr="00B15E44">
        <w:rPr>
          <w:rFonts w:ascii="Times New Roman" w:hAnsi="Times New Roman" w:cs="Times New Roman"/>
          <w:b/>
          <w:sz w:val="24"/>
          <w:szCs w:val="24"/>
        </w:rPr>
        <w:lastRenderedPageBreak/>
        <w:t>1.2</w:t>
      </w:r>
      <w:r w:rsidRPr="00B15E44">
        <w:rPr>
          <w:rFonts w:ascii="Times New Roman" w:hAnsi="Times New Roman" w:cs="Times New Roman"/>
          <w:b/>
          <w:sz w:val="24"/>
          <w:szCs w:val="24"/>
        </w:rPr>
        <w:tab/>
        <w:t xml:space="preserve">STATEMENT OF RESULT </w:t>
      </w:r>
    </w:p>
    <w:p w:rsidR="001B2BB3" w:rsidRPr="00B15E44" w:rsidRDefault="001B2BB3" w:rsidP="001B2BB3">
      <w:p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Groundwater in part of Ilorin south western Nigeria is increasingly being threatened by various anthropogenic and natural factors compromising its quality and posing significant risks to human health and environmental sustainability. Despite its importance as a framing source of water for drinking, agriculture and industrial activities there is death of comprehensive date on the hydro chemical characteristic of groundwater in the area this knowledge gap hinds the development of effective strategies for managing groundwater resources protecting public health and ensuring environmental sustainability therefore this study aims to investigate the hydro chemical characteristic of groundwater in parts of Ilorin south western Nigeria.</w:t>
      </w:r>
    </w:p>
    <w:p w:rsidR="001B2BB3" w:rsidRPr="00B15E44" w:rsidRDefault="001B2BB3" w:rsidP="001B2BB3">
      <w:p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Some of the problem associate with poor groundwater quality in the area includes:</w:t>
      </w:r>
    </w:p>
    <w:p w:rsidR="001B2BB3" w:rsidRPr="00B15E44" w:rsidRDefault="001B2BB3" w:rsidP="001B2BB3">
      <w:pPr>
        <w:pStyle w:val="ListParagraph"/>
        <w:numPr>
          <w:ilvl w:val="0"/>
          <w:numId w:val="14"/>
        </w:num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 xml:space="preserve">High level of physicochemical parameters </w:t>
      </w:r>
    </w:p>
    <w:p w:rsidR="001B2BB3" w:rsidRPr="00B15E44" w:rsidRDefault="001B2BB3" w:rsidP="001B2BB3">
      <w:pPr>
        <w:pStyle w:val="ListParagraph"/>
        <w:numPr>
          <w:ilvl w:val="0"/>
          <w:numId w:val="14"/>
        </w:num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 xml:space="preserve">Presence of heavy mental </w:t>
      </w:r>
    </w:p>
    <w:p w:rsidR="001B2BB3" w:rsidRPr="00B15E44" w:rsidRDefault="001B2BB3" w:rsidP="001B2BB3">
      <w:pPr>
        <w:pStyle w:val="ListParagraph"/>
        <w:numPr>
          <w:ilvl w:val="0"/>
          <w:numId w:val="14"/>
        </w:num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Bacterial contamination</w:t>
      </w:r>
    </w:p>
    <w:p w:rsidR="001B2BB3" w:rsidRPr="00B15E44" w:rsidRDefault="001B2BB3" w:rsidP="001B2BB3">
      <w:pPr>
        <w:pStyle w:val="ListParagraph"/>
        <w:numPr>
          <w:ilvl w:val="0"/>
          <w:numId w:val="14"/>
        </w:num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 xml:space="preserve">Impact of geological and anthropogenic activities </w:t>
      </w:r>
    </w:p>
    <w:p w:rsidR="001B2BB3" w:rsidRPr="00B15E44" w:rsidRDefault="001B2BB3" w:rsidP="001B2BB3">
      <w:p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These problem necessity a comprehensive study to assess the hydro chemical characteristic of groundwater in the area and provide valuable sight into its quality and potential implications for human health a</w:t>
      </w:r>
      <w:r w:rsidR="00145EE3">
        <w:rPr>
          <w:rFonts w:ascii="Times New Roman" w:hAnsi="Times New Roman" w:cs="Times New Roman"/>
          <w:sz w:val="24"/>
          <w:szCs w:val="24"/>
        </w:rPr>
        <w:t xml:space="preserve">nd environment sustainability </w:t>
      </w:r>
      <w:r w:rsidR="00145EE3" w:rsidRPr="00145EE3">
        <w:rPr>
          <w:rFonts w:ascii="Times New Roman" w:hAnsi="Times New Roman" w:cs="Times New Roman"/>
          <w:i/>
          <w:sz w:val="24"/>
          <w:szCs w:val="24"/>
        </w:rPr>
        <w:t>(</w:t>
      </w:r>
      <w:proofErr w:type="spellStart"/>
      <w:r w:rsidRPr="00145EE3">
        <w:rPr>
          <w:rFonts w:ascii="Times New Roman" w:hAnsi="Times New Roman" w:cs="Times New Roman"/>
          <w:i/>
          <w:sz w:val="24"/>
          <w:szCs w:val="24"/>
        </w:rPr>
        <w:t>Balogun</w:t>
      </w:r>
      <w:proofErr w:type="spellEnd"/>
      <w:r w:rsidRPr="00145EE3">
        <w:rPr>
          <w:rFonts w:ascii="Times New Roman" w:hAnsi="Times New Roman" w:cs="Times New Roman"/>
          <w:i/>
          <w:sz w:val="24"/>
          <w:szCs w:val="24"/>
        </w:rPr>
        <w:t xml:space="preserve"> </w:t>
      </w:r>
      <w:proofErr w:type="spellStart"/>
      <w:r w:rsidRPr="00145EE3">
        <w:rPr>
          <w:rFonts w:ascii="Times New Roman" w:hAnsi="Times New Roman" w:cs="Times New Roman"/>
          <w:i/>
          <w:sz w:val="24"/>
          <w:szCs w:val="24"/>
        </w:rPr>
        <w:t>et</w:t>
      </w:r>
      <w:proofErr w:type="gramStart"/>
      <w:r w:rsidRPr="00145EE3">
        <w:rPr>
          <w:rFonts w:ascii="Times New Roman" w:hAnsi="Times New Roman" w:cs="Times New Roman"/>
          <w:i/>
          <w:sz w:val="24"/>
          <w:szCs w:val="24"/>
        </w:rPr>
        <w:t>,al</w:t>
      </w:r>
      <w:proofErr w:type="spellEnd"/>
      <w:proofErr w:type="gramEnd"/>
      <w:r w:rsidRPr="00145EE3">
        <w:rPr>
          <w:rFonts w:ascii="Times New Roman" w:hAnsi="Times New Roman" w:cs="Times New Roman"/>
          <w:i/>
          <w:sz w:val="24"/>
          <w:szCs w:val="24"/>
        </w:rPr>
        <w:t xml:space="preserve"> 2010)</w:t>
      </w:r>
      <w:r w:rsidR="00145EE3">
        <w:rPr>
          <w:rFonts w:ascii="Times New Roman" w:hAnsi="Times New Roman" w:cs="Times New Roman"/>
          <w:i/>
          <w:sz w:val="24"/>
          <w:szCs w:val="24"/>
        </w:rPr>
        <w:t>.</w:t>
      </w:r>
    </w:p>
    <w:p w:rsidR="001B2BB3" w:rsidRPr="00B15E44" w:rsidRDefault="001B2BB3" w:rsidP="001B2BB3">
      <w:pPr>
        <w:spacing w:after="0" w:line="480" w:lineRule="auto"/>
        <w:jc w:val="both"/>
        <w:rPr>
          <w:rFonts w:ascii="Times New Roman" w:hAnsi="Times New Roman" w:cs="Times New Roman"/>
          <w:b/>
          <w:sz w:val="24"/>
          <w:szCs w:val="24"/>
        </w:rPr>
      </w:pPr>
      <w:r w:rsidRPr="00B15E44">
        <w:rPr>
          <w:rFonts w:ascii="Times New Roman" w:hAnsi="Times New Roman" w:cs="Times New Roman"/>
          <w:b/>
          <w:sz w:val="24"/>
          <w:szCs w:val="24"/>
        </w:rPr>
        <w:t>1.3</w:t>
      </w:r>
      <w:r w:rsidRPr="00B15E44">
        <w:rPr>
          <w:rFonts w:ascii="Times New Roman" w:hAnsi="Times New Roman" w:cs="Times New Roman"/>
          <w:b/>
          <w:sz w:val="24"/>
          <w:szCs w:val="24"/>
        </w:rPr>
        <w:tab/>
        <w:t>AIMS OF THE STUDY</w:t>
      </w:r>
    </w:p>
    <w:p w:rsidR="001B2BB3" w:rsidRPr="00B15E44" w:rsidRDefault="001B2BB3" w:rsidP="001B2BB3">
      <w:p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 xml:space="preserve">To evaluate the hydro chemical characteristic of groundwater in parts of Ilorin southwestern Nigeria in order to assess its suitability for domestic agricultural and industrial uses and to understand the geochemical process influencing groundwater quality in the area </w:t>
      </w:r>
    </w:p>
    <w:p w:rsidR="001B2BB3" w:rsidRPr="00B15E44" w:rsidRDefault="001B2BB3" w:rsidP="001B2BB3">
      <w:pPr>
        <w:pStyle w:val="NormalWeb"/>
        <w:spacing w:before="0" w:beforeAutospacing="0" w:after="0" w:afterAutospacing="0" w:line="480" w:lineRule="auto"/>
        <w:jc w:val="both"/>
      </w:pPr>
      <w:r w:rsidRPr="00B15E44">
        <w:t>To assess the hydro chemical characteristics of groundwater in parts of Ilorin, Southwestern Nigeria, with a view to determining its quality, suitability for domestic and agricultural uses, and identifying the geochemical processes influencing its composition.</w:t>
      </w:r>
    </w:p>
    <w:p w:rsidR="001B2BB3" w:rsidRPr="00B15E44" w:rsidRDefault="001B2BB3" w:rsidP="001B2BB3">
      <w:pPr>
        <w:spacing w:after="0" w:line="480" w:lineRule="auto"/>
        <w:jc w:val="both"/>
        <w:rPr>
          <w:rFonts w:ascii="Times New Roman" w:hAnsi="Times New Roman" w:cs="Times New Roman"/>
          <w:b/>
          <w:sz w:val="24"/>
          <w:szCs w:val="24"/>
        </w:rPr>
      </w:pPr>
      <w:r w:rsidRPr="00B15E44">
        <w:rPr>
          <w:rFonts w:ascii="Times New Roman" w:hAnsi="Times New Roman" w:cs="Times New Roman"/>
          <w:b/>
          <w:sz w:val="24"/>
          <w:szCs w:val="24"/>
        </w:rPr>
        <w:lastRenderedPageBreak/>
        <w:t>1.4</w:t>
      </w:r>
      <w:r w:rsidRPr="00B15E44">
        <w:rPr>
          <w:rFonts w:ascii="Times New Roman" w:hAnsi="Times New Roman" w:cs="Times New Roman"/>
          <w:b/>
          <w:sz w:val="24"/>
          <w:szCs w:val="24"/>
        </w:rPr>
        <w:tab/>
        <w:t xml:space="preserve">OBJECTIVE OF THE STUDY </w:t>
      </w:r>
    </w:p>
    <w:p w:rsidR="001B2BB3" w:rsidRPr="00B15E44" w:rsidRDefault="001B2BB3" w:rsidP="001B2BB3">
      <w:pPr>
        <w:pStyle w:val="ListParagraph"/>
        <w:numPr>
          <w:ilvl w:val="0"/>
          <w:numId w:val="15"/>
        </w:num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 xml:space="preserve">To determine the physical and chemical properties of groundwater (e.g., </w:t>
      </w:r>
      <w:proofErr w:type="spellStart"/>
      <w:r w:rsidRPr="00B15E44">
        <w:rPr>
          <w:rFonts w:ascii="Times New Roman" w:hAnsi="Times New Roman" w:cs="Times New Roman"/>
          <w:sz w:val="24"/>
          <w:szCs w:val="24"/>
        </w:rPr>
        <w:t>plt</w:t>
      </w:r>
      <w:proofErr w:type="spellEnd"/>
      <w:r w:rsidRPr="00B15E44">
        <w:rPr>
          <w:rFonts w:ascii="Times New Roman" w:hAnsi="Times New Roman" w:cs="Times New Roman"/>
          <w:sz w:val="24"/>
          <w:szCs w:val="24"/>
        </w:rPr>
        <w:t xml:space="preserve">, electrical conductivity, total dissolved solids, labor ions) in selected location without Ilorin </w:t>
      </w:r>
    </w:p>
    <w:p w:rsidR="001B2BB3" w:rsidRPr="00B15E44" w:rsidRDefault="001B2BB3" w:rsidP="001B2BB3">
      <w:pPr>
        <w:pStyle w:val="ListParagraph"/>
        <w:numPr>
          <w:ilvl w:val="0"/>
          <w:numId w:val="15"/>
        </w:num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To assess the suitability of groundwater for domestic and agricultural purpose by comparing the reassured parameters with national and international water quality standards.</w:t>
      </w:r>
    </w:p>
    <w:p w:rsidR="001B2BB3" w:rsidRPr="00B15E44" w:rsidRDefault="001B2BB3" w:rsidP="001B2BB3">
      <w:pPr>
        <w:numPr>
          <w:ilvl w:val="0"/>
          <w:numId w:val="15"/>
        </w:numPr>
        <w:spacing w:before="100" w:beforeAutospacing="1" w:after="0" w:line="480" w:lineRule="auto"/>
        <w:jc w:val="both"/>
        <w:rPr>
          <w:rFonts w:ascii="Times New Roman" w:eastAsia="Times New Roman" w:hAnsi="Times New Roman" w:cs="Times New Roman"/>
          <w:sz w:val="24"/>
          <w:szCs w:val="24"/>
        </w:rPr>
      </w:pPr>
      <w:r w:rsidRPr="00B15E44">
        <w:rPr>
          <w:rFonts w:ascii="Times New Roman" w:eastAsia="Times New Roman" w:hAnsi="Times New Roman" w:cs="Times New Roman"/>
          <w:bCs/>
          <w:sz w:val="24"/>
          <w:szCs w:val="24"/>
        </w:rPr>
        <w:t>To identify and classify the major ions and chemical constituents</w:t>
      </w:r>
      <w:r w:rsidRPr="00B15E44">
        <w:rPr>
          <w:rFonts w:ascii="Times New Roman" w:eastAsia="Times New Roman" w:hAnsi="Times New Roman" w:cs="Times New Roman"/>
          <w:sz w:val="24"/>
          <w:szCs w:val="24"/>
        </w:rPr>
        <w:t xml:space="preserve"> present in groundwater samples collected from the study area.</w:t>
      </w:r>
    </w:p>
    <w:p w:rsidR="001B2BB3" w:rsidRPr="00B15E44" w:rsidRDefault="001B2BB3" w:rsidP="001B2BB3">
      <w:pPr>
        <w:numPr>
          <w:ilvl w:val="0"/>
          <w:numId w:val="15"/>
        </w:numPr>
        <w:spacing w:before="100" w:beforeAutospacing="1" w:after="0" w:line="480" w:lineRule="auto"/>
        <w:jc w:val="both"/>
        <w:rPr>
          <w:rFonts w:ascii="Times New Roman" w:eastAsia="Times New Roman" w:hAnsi="Times New Roman" w:cs="Times New Roman"/>
          <w:sz w:val="24"/>
          <w:szCs w:val="24"/>
        </w:rPr>
      </w:pPr>
      <w:r w:rsidRPr="00B15E44">
        <w:rPr>
          <w:rFonts w:ascii="Times New Roman" w:eastAsia="Times New Roman" w:hAnsi="Times New Roman" w:cs="Times New Roman"/>
          <w:bCs/>
          <w:sz w:val="24"/>
          <w:szCs w:val="24"/>
        </w:rPr>
        <w:t>To determine the spatial distribution and concentration</w:t>
      </w:r>
      <w:r w:rsidRPr="00B15E44">
        <w:rPr>
          <w:rFonts w:ascii="Times New Roman" w:eastAsia="Times New Roman" w:hAnsi="Times New Roman" w:cs="Times New Roman"/>
          <w:sz w:val="24"/>
          <w:szCs w:val="24"/>
        </w:rPr>
        <w:t xml:space="preserve"> of physicochemical parameters such as pH, electrical conductivity (EC), total dissolved solids (TDS), hardness, and major anions/cautions.</w:t>
      </w:r>
    </w:p>
    <w:p w:rsidR="001B2BB3" w:rsidRPr="00B15E44" w:rsidRDefault="001B2BB3" w:rsidP="001B2BB3">
      <w:pPr>
        <w:spacing w:after="0" w:line="480" w:lineRule="auto"/>
        <w:jc w:val="both"/>
        <w:rPr>
          <w:rFonts w:ascii="Times New Roman" w:hAnsi="Times New Roman" w:cs="Times New Roman"/>
          <w:b/>
          <w:sz w:val="24"/>
          <w:szCs w:val="24"/>
        </w:rPr>
      </w:pPr>
      <w:r w:rsidRPr="00B15E44">
        <w:rPr>
          <w:rFonts w:ascii="Times New Roman" w:hAnsi="Times New Roman" w:cs="Times New Roman"/>
          <w:b/>
          <w:sz w:val="24"/>
          <w:szCs w:val="24"/>
        </w:rPr>
        <w:t>1.5</w:t>
      </w:r>
      <w:r w:rsidRPr="00B15E44">
        <w:rPr>
          <w:rFonts w:ascii="Times New Roman" w:hAnsi="Times New Roman" w:cs="Times New Roman"/>
          <w:b/>
          <w:sz w:val="24"/>
          <w:szCs w:val="24"/>
        </w:rPr>
        <w:tab/>
        <w:t>SIGNIFICANT OF THE STUDY</w:t>
      </w:r>
    </w:p>
    <w:p w:rsidR="001B2BB3" w:rsidRPr="00B15E44" w:rsidRDefault="001B2BB3" w:rsidP="001B2BB3">
      <w:p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 xml:space="preserve">The study on the hydro chemical characteristic of ground water of part of Ilorin southwestern Nigeria is significant for several </w:t>
      </w:r>
      <w:proofErr w:type="gramStart"/>
      <w:r w:rsidRPr="00B15E44">
        <w:rPr>
          <w:rFonts w:ascii="Times New Roman" w:hAnsi="Times New Roman" w:cs="Times New Roman"/>
          <w:sz w:val="24"/>
          <w:szCs w:val="24"/>
        </w:rPr>
        <w:t>reason</w:t>
      </w:r>
      <w:proofErr w:type="gramEnd"/>
      <w:r w:rsidRPr="00B15E44">
        <w:rPr>
          <w:rFonts w:ascii="Times New Roman" w:hAnsi="Times New Roman" w:cs="Times New Roman"/>
          <w:sz w:val="24"/>
          <w:szCs w:val="24"/>
        </w:rPr>
        <w:t xml:space="preserve"> </w:t>
      </w:r>
    </w:p>
    <w:p w:rsidR="001B2BB3" w:rsidRPr="00B15E44" w:rsidRDefault="001B2BB3" w:rsidP="001B2BB3">
      <w:pPr>
        <w:pStyle w:val="ListParagraph"/>
        <w:numPr>
          <w:ilvl w:val="0"/>
          <w:numId w:val="16"/>
        </w:num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Understanding groundwater quality: the study will provide valuable insight into the hydro chemical characteristic of groundwater in the study area which is essential for understanding its quality and potential uses.</w:t>
      </w:r>
    </w:p>
    <w:p w:rsidR="001B2BB3" w:rsidRPr="00B15E44" w:rsidRDefault="001B2BB3" w:rsidP="001B2BB3">
      <w:pPr>
        <w:numPr>
          <w:ilvl w:val="0"/>
          <w:numId w:val="16"/>
        </w:numPr>
        <w:spacing w:before="100" w:beforeAutospacing="1" w:after="0" w:line="480" w:lineRule="auto"/>
        <w:jc w:val="both"/>
        <w:rPr>
          <w:rFonts w:ascii="Times New Roman" w:eastAsia="Times New Roman" w:hAnsi="Times New Roman" w:cs="Times New Roman"/>
          <w:sz w:val="24"/>
          <w:szCs w:val="24"/>
        </w:rPr>
      </w:pPr>
      <w:r w:rsidRPr="00B15E44">
        <w:rPr>
          <w:rFonts w:ascii="Times New Roman" w:eastAsia="Times New Roman" w:hAnsi="Times New Roman" w:cs="Times New Roman"/>
          <w:bCs/>
          <w:sz w:val="24"/>
          <w:szCs w:val="24"/>
        </w:rPr>
        <w:t>Environmental Monitoring:</w:t>
      </w:r>
      <w:r>
        <w:rPr>
          <w:rFonts w:ascii="Times New Roman" w:eastAsia="Times New Roman" w:hAnsi="Times New Roman" w:cs="Times New Roman"/>
          <w:sz w:val="24"/>
          <w:szCs w:val="24"/>
        </w:rPr>
        <w:t xml:space="preserve"> </w:t>
      </w:r>
      <w:r w:rsidRPr="00B15E44">
        <w:rPr>
          <w:rFonts w:ascii="Times New Roman" w:eastAsia="Times New Roman" w:hAnsi="Times New Roman" w:cs="Times New Roman"/>
          <w:sz w:val="24"/>
          <w:szCs w:val="24"/>
        </w:rPr>
        <w:t>By understanding the hydro chemical processes and possible contamination sources, the study contributes to environmental protection and pollution control initiatives in the region.</w:t>
      </w:r>
    </w:p>
    <w:p w:rsidR="001B2BB3" w:rsidRPr="00B15E44" w:rsidRDefault="001B2BB3" w:rsidP="001B2BB3">
      <w:pPr>
        <w:numPr>
          <w:ilvl w:val="0"/>
          <w:numId w:val="16"/>
        </w:numPr>
        <w:spacing w:before="100" w:beforeAutospacing="1" w:after="0" w:line="480" w:lineRule="auto"/>
        <w:jc w:val="both"/>
        <w:rPr>
          <w:rFonts w:ascii="Times New Roman" w:eastAsia="Times New Roman" w:hAnsi="Times New Roman" w:cs="Times New Roman"/>
          <w:sz w:val="24"/>
          <w:szCs w:val="24"/>
        </w:rPr>
      </w:pPr>
      <w:r w:rsidRPr="00B15E44">
        <w:rPr>
          <w:rFonts w:ascii="Times New Roman" w:eastAsia="Times New Roman" w:hAnsi="Times New Roman" w:cs="Times New Roman"/>
          <w:bCs/>
          <w:sz w:val="24"/>
          <w:szCs w:val="24"/>
        </w:rPr>
        <w:t>Agricultural Planning:</w:t>
      </w:r>
      <w:r>
        <w:rPr>
          <w:rFonts w:ascii="Times New Roman" w:eastAsia="Times New Roman" w:hAnsi="Times New Roman" w:cs="Times New Roman"/>
          <w:sz w:val="24"/>
          <w:szCs w:val="24"/>
        </w:rPr>
        <w:t xml:space="preserve"> </w:t>
      </w:r>
      <w:r w:rsidRPr="00B15E44">
        <w:rPr>
          <w:rFonts w:ascii="Times New Roman" w:eastAsia="Times New Roman" w:hAnsi="Times New Roman" w:cs="Times New Roman"/>
          <w:sz w:val="24"/>
          <w:szCs w:val="24"/>
        </w:rPr>
        <w:t>Evaluation of groundwater for irrigation suitability will guide local farmers and agricultural authorities in using water sources that do not adversely affect soil health and crop yield.</w:t>
      </w:r>
    </w:p>
    <w:p w:rsidR="001B2BB3" w:rsidRPr="00B15E44" w:rsidRDefault="001B2BB3" w:rsidP="001B2BB3">
      <w:pPr>
        <w:numPr>
          <w:ilvl w:val="0"/>
          <w:numId w:val="16"/>
        </w:numPr>
        <w:spacing w:before="100" w:beforeAutospacing="1" w:after="0" w:line="480" w:lineRule="auto"/>
        <w:jc w:val="both"/>
        <w:rPr>
          <w:rFonts w:ascii="Times New Roman" w:eastAsia="Times New Roman" w:hAnsi="Times New Roman" w:cs="Times New Roman"/>
          <w:sz w:val="24"/>
          <w:szCs w:val="24"/>
        </w:rPr>
      </w:pPr>
      <w:r w:rsidRPr="00B15E44">
        <w:rPr>
          <w:rFonts w:ascii="Times New Roman" w:eastAsia="Times New Roman" w:hAnsi="Times New Roman" w:cs="Times New Roman"/>
          <w:bCs/>
          <w:sz w:val="24"/>
          <w:szCs w:val="24"/>
        </w:rPr>
        <w:lastRenderedPageBreak/>
        <w:t>Scientific Contribution</w:t>
      </w:r>
      <w:r w:rsidRPr="00B15E44">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B15E44">
        <w:rPr>
          <w:rFonts w:ascii="Times New Roman" w:eastAsia="Times New Roman" w:hAnsi="Times New Roman" w:cs="Times New Roman"/>
          <w:sz w:val="24"/>
          <w:szCs w:val="24"/>
        </w:rPr>
        <w:t>The research adds to the body of knowledge on groundwater hydrochemistry in Nigeria, particularly in Ilorin, and can serve as a reference for future hydrological and environmental studies.</w:t>
      </w: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r>
        <w:rPr>
          <w:sz w:val="24"/>
          <w:szCs w:val="24"/>
        </w:rPr>
        <w:lastRenderedPageBreak/>
        <w:t>CHAPTER TWO</w:t>
      </w:r>
    </w:p>
    <w:p w:rsidR="001B2BB3" w:rsidRPr="00486301" w:rsidRDefault="00145EE3" w:rsidP="00145EE3">
      <w:pPr>
        <w:pStyle w:val="Heading2"/>
        <w:spacing w:before="0" w:beforeAutospacing="0" w:after="0" w:afterAutospacing="0" w:line="480" w:lineRule="auto"/>
        <w:rPr>
          <w:sz w:val="24"/>
          <w:szCs w:val="24"/>
        </w:rPr>
      </w:pPr>
      <w:r>
        <w:rPr>
          <w:sz w:val="24"/>
          <w:szCs w:val="24"/>
        </w:rPr>
        <w:t>2.0</w:t>
      </w:r>
      <w:r>
        <w:rPr>
          <w:sz w:val="24"/>
          <w:szCs w:val="24"/>
        </w:rPr>
        <w:tab/>
      </w:r>
      <w:r w:rsidR="001B2BB3" w:rsidRPr="00486301">
        <w:rPr>
          <w:sz w:val="24"/>
          <w:szCs w:val="24"/>
        </w:rPr>
        <w:t>LITERATURE REVIEW</w:t>
      </w:r>
    </w:p>
    <w:p w:rsidR="001B2BB3" w:rsidRPr="00145EE3" w:rsidRDefault="001B2BB3" w:rsidP="001B2BB3">
      <w:pPr>
        <w:pStyle w:val="Heading2"/>
        <w:spacing w:before="0" w:beforeAutospacing="0" w:after="0" w:afterAutospacing="0" w:line="480" w:lineRule="auto"/>
        <w:jc w:val="both"/>
        <w:rPr>
          <w:caps/>
          <w:sz w:val="24"/>
          <w:szCs w:val="24"/>
        </w:rPr>
      </w:pPr>
      <w:r w:rsidRPr="00145EE3">
        <w:rPr>
          <w:caps/>
          <w:sz w:val="24"/>
          <w:szCs w:val="24"/>
        </w:rPr>
        <w:t>2.1</w:t>
      </w:r>
      <w:r w:rsidRPr="00145EE3">
        <w:rPr>
          <w:caps/>
          <w:sz w:val="24"/>
          <w:szCs w:val="24"/>
        </w:rPr>
        <w:tab/>
        <w:t>Groundwater Occurrence and Hydrogeological Setting in Ilorin</w:t>
      </w:r>
    </w:p>
    <w:p w:rsidR="001B2BB3" w:rsidRPr="00486301" w:rsidRDefault="001B2BB3" w:rsidP="001B2BB3">
      <w:pPr>
        <w:pStyle w:val="my-0"/>
        <w:spacing w:before="0" w:beforeAutospacing="0" w:after="0" w:afterAutospacing="0" w:line="480" w:lineRule="auto"/>
        <w:jc w:val="both"/>
      </w:pPr>
      <w:r w:rsidRPr="00486301">
        <w:t xml:space="preserve">Ilorin, located within the Basement Complex geological formation of Southwestern Nigeria, is predominantly underlain by </w:t>
      </w:r>
      <w:proofErr w:type="spellStart"/>
      <w:r w:rsidRPr="00486301">
        <w:t>migmatite</w:t>
      </w:r>
      <w:proofErr w:type="spellEnd"/>
      <w:r w:rsidRPr="00486301">
        <w:t xml:space="preserve">-gneiss, quartzite, and granitic intrusions. These rock types form a complex geological environment that significantly influences groundwater occurrence and distribution </w:t>
      </w:r>
      <w:r w:rsidRPr="00145EE3">
        <w:rPr>
          <w:i/>
        </w:rPr>
        <w:t>(</w:t>
      </w:r>
      <w:proofErr w:type="spellStart"/>
      <w:r w:rsidRPr="00145EE3">
        <w:rPr>
          <w:i/>
        </w:rPr>
        <w:t>Sule</w:t>
      </w:r>
      <w:proofErr w:type="spellEnd"/>
      <w:r w:rsidRPr="00145EE3">
        <w:rPr>
          <w:i/>
        </w:rPr>
        <w:t xml:space="preserve"> et al., 2015; </w:t>
      </w:r>
      <w:proofErr w:type="spellStart"/>
      <w:r w:rsidRPr="00145EE3">
        <w:rPr>
          <w:i/>
        </w:rPr>
        <w:t>Ifabiyi</w:t>
      </w:r>
      <w:proofErr w:type="spellEnd"/>
      <w:r w:rsidRPr="00145EE3">
        <w:rPr>
          <w:i/>
        </w:rPr>
        <w:t xml:space="preserve"> et al., 2016)</w:t>
      </w:r>
      <w:r w:rsidRPr="00486301">
        <w:t xml:space="preserve">. The primary groundwater reservoirs in this region are regolith aquifers, which consist of weathered and fractured basement rocks. The weathered zone, also known as the </w:t>
      </w:r>
      <w:proofErr w:type="spellStart"/>
      <w:r w:rsidRPr="00486301">
        <w:t>saprolite</w:t>
      </w:r>
      <w:proofErr w:type="spellEnd"/>
      <w:r w:rsidRPr="00486301">
        <w:t xml:space="preserve">, varies in thickness from a few meters to over 15 meters across different parts of Ilorin, directly impacting the volume and availability of groundwater </w:t>
      </w:r>
      <w:r w:rsidRPr="00145EE3">
        <w:rPr>
          <w:i/>
        </w:rPr>
        <w:t>(</w:t>
      </w:r>
      <w:proofErr w:type="spellStart"/>
      <w:r w:rsidRPr="00145EE3">
        <w:rPr>
          <w:i/>
        </w:rPr>
        <w:t>Ashaolu</w:t>
      </w:r>
      <w:proofErr w:type="spellEnd"/>
      <w:r w:rsidRPr="00145EE3">
        <w:rPr>
          <w:i/>
        </w:rPr>
        <w:t xml:space="preserve"> &amp; </w:t>
      </w:r>
      <w:proofErr w:type="spellStart"/>
      <w:r w:rsidRPr="00145EE3">
        <w:rPr>
          <w:i/>
        </w:rPr>
        <w:t>Omotosho</w:t>
      </w:r>
      <w:proofErr w:type="spellEnd"/>
      <w:r w:rsidRPr="00145EE3">
        <w:rPr>
          <w:i/>
        </w:rPr>
        <w:t>, 2015)</w:t>
      </w:r>
      <w:r w:rsidRPr="00486301">
        <w:t xml:space="preserve">. This variability in overburden thickness affects the storage capacity and </w:t>
      </w:r>
      <w:proofErr w:type="spellStart"/>
      <w:r w:rsidRPr="00486301">
        <w:t>transmissivity</w:t>
      </w:r>
      <w:proofErr w:type="spellEnd"/>
      <w:r w:rsidRPr="00486301">
        <w:t xml:space="preserve"> of the aquifers, which in turn influences the yield of wells and boreholes.</w:t>
      </w:r>
    </w:p>
    <w:p w:rsidR="001B2BB3" w:rsidRPr="00486301" w:rsidRDefault="001B2BB3" w:rsidP="001B2BB3">
      <w:pPr>
        <w:pStyle w:val="my-0"/>
        <w:spacing w:before="0" w:beforeAutospacing="0" w:after="0" w:afterAutospacing="0" w:line="480" w:lineRule="auto"/>
        <w:jc w:val="both"/>
      </w:pPr>
      <w:r w:rsidRPr="00486301">
        <w:t xml:space="preserve">Shallow wells, such as those utilized in residential areas like Harmony Estate around Sango Axis, typically tap into these weathered zones and fractured basement rocks. These wells are crucial for domestic water supply, especially in areas where surface water resources are inadequate or unreliable due to seasonal fluctuations </w:t>
      </w:r>
      <w:r w:rsidRPr="00145EE3">
        <w:rPr>
          <w:i/>
        </w:rPr>
        <w:t>(</w:t>
      </w:r>
      <w:proofErr w:type="spellStart"/>
      <w:r w:rsidRPr="00145EE3">
        <w:rPr>
          <w:i/>
        </w:rPr>
        <w:t>Ashaolu</w:t>
      </w:r>
      <w:proofErr w:type="spellEnd"/>
      <w:r w:rsidRPr="00145EE3">
        <w:rPr>
          <w:i/>
        </w:rPr>
        <w:t xml:space="preserve"> &amp; </w:t>
      </w:r>
      <w:proofErr w:type="spellStart"/>
      <w:r w:rsidRPr="00145EE3">
        <w:rPr>
          <w:i/>
        </w:rPr>
        <w:t>Omotosho</w:t>
      </w:r>
      <w:proofErr w:type="spellEnd"/>
      <w:r w:rsidRPr="00145EE3">
        <w:rPr>
          <w:i/>
        </w:rPr>
        <w:t>, 2015)</w:t>
      </w:r>
      <w:r w:rsidRPr="00486301">
        <w:t xml:space="preserve">. Hydrogeological investigations have revealed that the </w:t>
      </w:r>
      <w:proofErr w:type="spellStart"/>
      <w:r w:rsidRPr="00486301">
        <w:t>transmissivity</w:t>
      </w:r>
      <w:proofErr w:type="spellEnd"/>
      <w:r w:rsidRPr="00486301">
        <w:t xml:space="preserve"> of these aquifers is moderate, with specific capacities reflecting the degree of fracturing and weathering. Areas with thicker weathered layers tend to have higher groundwater yields, making them more favorable for well development </w:t>
      </w:r>
      <w:r w:rsidRPr="00145EE3">
        <w:rPr>
          <w:i/>
        </w:rPr>
        <w:t>(</w:t>
      </w:r>
      <w:proofErr w:type="spellStart"/>
      <w:r w:rsidRPr="00145EE3">
        <w:rPr>
          <w:i/>
        </w:rPr>
        <w:t>Ifabiyi</w:t>
      </w:r>
      <w:proofErr w:type="spellEnd"/>
      <w:r w:rsidRPr="00145EE3">
        <w:rPr>
          <w:i/>
        </w:rPr>
        <w:t xml:space="preserve"> et al., 2016)</w:t>
      </w:r>
      <w:r w:rsidRPr="00486301">
        <w:t>. However, the spatial heterogeneity of the aquifer properties necessitates localized studies to optimize groundwater extraction and management effectively.</w:t>
      </w:r>
    </w:p>
    <w:p w:rsidR="001B2BB3" w:rsidRPr="00486301" w:rsidRDefault="001B2BB3" w:rsidP="001B2BB3">
      <w:pPr>
        <w:pStyle w:val="my-0"/>
        <w:spacing w:before="0" w:beforeAutospacing="0" w:after="0" w:afterAutospacing="0" w:line="480" w:lineRule="auto"/>
        <w:jc w:val="both"/>
      </w:pPr>
      <w:r w:rsidRPr="00486301">
        <w:lastRenderedPageBreak/>
        <w:t xml:space="preserve">The hydrogeological setting is further complicated by the presence of fractured zones that act as conduits for groundwater flow but also pathways for contaminant migration. This dual role highlights the importance of understanding local geology and fracture networks when assessing groundwater availability and vulnerability. The regolith aquifer system in Ilorin, including Harmony Estate, is thus characterized by a delicate balance between groundwater recharge, storage, and potential contamination risks, which must be carefully managed to ensure sustainable water supply </w:t>
      </w:r>
      <w:r w:rsidRPr="00145EE3">
        <w:rPr>
          <w:i/>
        </w:rPr>
        <w:t>(</w:t>
      </w:r>
      <w:proofErr w:type="spellStart"/>
      <w:r w:rsidRPr="00145EE3">
        <w:rPr>
          <w:i/>
        </w:rPr>
        <w:t>Sule</w:t>
      </w:r>
      <w:proofErr w:type="spellEnd"/>
      <w:r w:rsidRPr="00145EE3">
        <w:rPr>
          <w:i/>
        </w:rPr>
        <w:t xml:space="preserve"> et al., 2015)</w:t>
      </w:r>
      <w:r w:rsidRPr="00486301">
        <w:t>.</w:t>
      </w:r>
    </w:p>
    <w:p w:rsidR="001B2BB3" w:rsidRPr="00145EE3" w:rsidRDefault="001B2BB3" w:rsidP="001B2BB3">
      <w:pPr>
        <w:pStyle w:val="Heading2"/>
        <w:spacing w:before="0" w:beforeAutospacing="0" w:after="0" w:afterAutospacing="0" w:line="480" w:lineRule="auto"/>
        <w:jc w:val="both"/>
        <w:rPr>
          <w:caps/>
          <w:sz w:val="24"/>
          <w:szCs w:val="24"/>
        </w:rPr>
      </w:pPr>
      <w:r w:rsidRPr="00145EE3">
        <w:rPr>
          <w:caps/>
          <w:sz w:val="24"/>
          <w:szCs w:val="24"/>
        </w:rPr>
        <w:t>2.2</w:t>
      </w:r>
      <w:r w:rsidRPr="00145EE3">
        <w:rPr>
          <w:caps/>
          <w:sz w:val="24"/>
          <w:szCs w:val="24"/>
        </w:rPr>
        <w:tab/>
        <w:t>Hydrochemical Characteristics and Contamination Sources</w:t>
      </w:r>
    </w:p>
    <w:p w:rsidR="001B2BB3" w:rsidRPr="00486301" w:rsidRDefault="001B2BB3" w:rsidP="001B2BB3">
      <w:pPr>
        <w:pStyle w:val="my-0"/>
        <w:spacing w:before="0" w:beforeAutospacing="0" w:after="0" w:afterAutospacing="0" w:line="480" w:lineRule="auto"/>
        <w:jc w:val="both"/>
      </w:pPr>
      <w:r w:rsidRPr="00486301">
        <w:t xml:space="preserve">The </w:t>
      </w:r>
      <w:proofErr w:type="spellStart"/>
      <w:r w:rsidRPr="00486301">
        <w:t>hydrochemical</w:t>
      </w:r>
      <w:proofErr w:type="spellEnd"/>
      <w:r w:rsidRPr="00486301">
        <w:t xml:space="preserve"> profile of groundwater in Ilorin is shaped by a combination of natural geochemical processes and human-induced contamination. Natural processes such as mineral dissolution, ion exchange, and weathering of the basement rocks contribute to the baseline chemistry of groundwater. Commonly detected major ions include calcium, magnesium, sodium, potassium, chloride, sulfate, nitrate, and bicarbonate, which reflect the interaction of water with the geological matrix </w:t>
      </w:r>
      <w:r w:rsidRPr="00145EE3">
        <w:rPr>
          <w:i/>
        </w:rPr>
        <w:t>(</w:t>
      </w:r>
      <w:proofErr w:type="spellStart"/>
      <w:r w:rsidRPr="00145EE3">
        <w:rPr>
          <w:i/>
        </w:rPr>
        <w:t>Olasunkanmi</w:t>
      </w:r>
      <w:proofErr w:type="spellEnd"/>
      <w:r w:rsidRPr="00145EE3">
        <w:rPr>
          <w:i/>
        </w:rPr>
        <w:t xml:space="preserve"> et al., 2024; Umar et al., 2023)</w:t>
      </w:r>
      <w:r w:rsidRPr="00486301">
        <w:t>. These ions generally indicate moderate mineralization, consistent with the weathered basement aquifer environment.</w:t>
      </w:r>
    </w:p>
    <w:p w:rsidR="001B2BB3" w:rsidRPr="00486301" w:rsidRDefault="001B2BB3" w:rsidP="001B2BB3">
      <w:pPr>
        <w:pStyle w:val="my-0"/>
        <w:spacing w:before="0" w:beforeAutospacing="0" w:after="0" w:afterAutospacing="0" w:line="480" w:lineRule="auto"/>
        <w:jc w:val="both"/>
      </w:pPr>
      <w:r w:rsidRPr="00486301">
        <w:t xml:space="preserve">However, anthropogenic activities have increasingly altered groundwater quality, particularly in urban and </w:t>
      </w:r>
      <w:proofErr w:type="spellStart"/>
      <w:r w:rsidRPr="00486301">
        <w:t>peri</w:t>
      </w:r>
      <w:proofErr w:type="spellEnd"/>
      <w:r w:rsidRPr="00486301">
        <w:t xml:space="preserve">-urban areas like Harmony Estate. Agricultural practices involving the intensive use of fertilizers have led to elevated nitrate concentrations in shallow groundwater, posing significant health risks </w:t>
      </w:r>
      <w:r w:rsidRPr="00145EE3">
        <w:rPr>
          <w:i/>
        </w:rPr>
        <w:t>(</w:t>
      </w:r>
      <w:proofErr w:type="spellStart"/>
      <w:r w:rsidRPr="00145EE3">
        <w:rPr>
          <w:i/>
        </w:rPr>
        <w:t>Adeyemi</w:t>
      </w:r>
      <w:proofErr w:type="spellEnd"/>
      <w:r w:rsidRPr="00145EE3">
        <w:rPr>
          <w:i/>
        </w:rPr>
        <w:t xml:space="preserve"> et al., 2023)</w:t>
      </w:r>
      <w:r w:rsidRPr="00486301">
        <w:t xml:space="preserve">. Similarly, improper waste disposal and leachate from refuse dumpsites contribute to increased levels of iron and other trace elements, which can degrade water quality and affect its suitability for consumption </w:t>
      </w:r>
      <w:r w:rsidRPr="00145EE3">
        <w:rPr>
          <w:i/>
        </w:rPr>
        <w:t>(</w:t>
      </w:r>
      <w:proofErr w:type="spellStart"/>
      <w:r w:rsidRPr="00145EE3">
        <w:rPr>
          <w:i/>
        </w:rPr>
        <w:t>Adeyemi</w:t>
      </w:r>
      <w:proofErr w:type="spellEnd"/>
      <w:r w:rsidRPr="00145EE3">
        <w:rPr>
          <w:i/>
        </w:rPr>
        <w:t xml:space="preserve"> et al., 2023)</w:t>
      </w:r>
      <w:r w:rsidRPr="00486301">
        <w:t xml:space="preserve">. The vulnerability of shallow wells is exacerbated by the thin protective clay layers and </w:t>
      </w:r>
      <w:r w:rsidRPr="00486301">
        <w:lastRenderedPageBreak/>
        <w:t xml:space="preserve">shallow topsoil prevalent in parts of Ilorin, allowing contaminants to percolate more easily into the aquifer system </w:t>
      </w:r>
      <w:r w:rsidRPr="00145EE3">
        <w:rPr>
          <w:i/>
        </w:rPr>
        <w:t>(</w:t>
      </w:r>
      <w:proofErr w:type="spellStart"/>
      <w:r w:rsidRPr="00145EE3">
        <w:rPr>
          <w:i/>
        </w:rPr>
        <w:t>Ashaolu</w:t>
      </w:r>
      <w:proofErr w:type="spellEnd"/>
      <w:r w:rsidRPr="00145EE3">
        <w:rPr>
          <w:i/>
        </w:rPr>
        <w:t xml:space="preserve"> &amp; </w:t>
      </w:r>
      <w:proofErr w:type="spellStart"/>
      <w:r w:rsidRPr="00145EE3">
        <w:rPr>
          <w:i/>
        </w:rPr>
        <w:t>Omotosho</w:t>
      </w:r>
      <w:proofErr w:type="spellEnd"/>
      <w:r w:rsidRPr="00145EE3">
        <w:rPr>
          <w:i/>
        </w:rPr>
        <w:t>, 2015)</w:t>
      </w:r>
      <w:r w:rsidRPr="00486301">
        <w:t>.</w:t>
      </w:r>
    </w:p>
    <w:p w:rsidR="001B2BB3" w:rsidRPr="00486301" w:rsidRDefault="001B2BB3" w:rsidP="001B2BB3">
      <w:pPr>
        <w:pStyle w:val="my-0"/>
        <w:spacing w:before="0" w:beforeAutospacing="0" w:after="0" w:afterAutospacing="0" w:line="480" w:lineRule="auto"/>
        <w:jc w:val="both"/>
      </w:pPr>
      <w:r w:rsidRPr="00486301">
        <w:t xml:space="preserve">Urbanization and inadequate sanitation infrastructure further compound groundwater contamination risks. Septic tank leakage and surface runoff carrying pollutants from domestic and industrial sources have been identified as significant contributors to groundwater pollution in Ilorin </w:t>
      </w:r>
      <w:r w:rsidRPr="00145EE3">
        <w:rPr>
          <w:i/>
        </w:rPr>
        <w:t>(</w:t>
      </w:r>
      <w:proofErr w:type="spellStart"/>
      <w:r w:rsidRPr="00145EE3">
        <w:rPr>
          <w:i/>
        </w:rPr>
        <w:t>Olasunkanmi</w:t>
      </w:r>
      <w:proofErr w:type="spellEnd"/>
      <w:r w:rsidRPr="00145EE3">
        <w:rPr>
          <w:i/>
        </w:rPr>
        <w:t xml:space="preserve"> et al., 2024)</w:t>
      </w:r>
      <w:r w:rsidRPr="00486301">
        <w:t xml:space="preserve">. These factors necessitate the implementation of effective land use planning and pollution control measures to protect groundwater resources. The </w:t>
      </w:r>
      <w:proofErr w:type="spellStart"/>
      <w:r w:rsidRPr="00486301">
        <w:t>hydrochemical</w:t>
      </w:r>
      <w:proofErr w:type="spellEnd"/>
      <w:r w:rsidRPr="00486301">
        <w:t xml:space="preserve"> variability observed across Ilorin underscores the importance of site-specific investigations, such as those focused on Harmony Estate, to identify contamination hotspots and develop targeted mitigation strategies.</w:t>
      </w:r>
    </w:p>
    <w:p w:rsidR="001B2BB3" w:rsidRPr="00145EE3" w:rsidRDefault="001B2BB3" w:rsidP="001B2BB3">
      <w:pPr>
        <w:pStyle w:val="Heading2"/>
        <w:spacing w:before="0" w:beforeAutospacing="0" w:after="0" w:afterAutospacing="0" w:line="480" w:lineRule="auto"/>
        <w:jc w:val="both"/>
        <w:rPr>
          <w:caps/>
          <w:sz w:val="24"/>
          <w:szCs w:val="24"/>
        </w:rPr>
      </w:pPr>
      <w:r w:rsidRPr="00145EE3">
        <w:rPr>
          <w:caps/>
          <w:sz w:val="24"/>
          <w:szCs w:val="24"/>
        </w:rPr>
        <w:t>2.3</w:t>
      </w:r>
      <w:r w:rsidRPr="00145EE3">
        <w:rPr>
          <w:caps/>
          <w:sz w:val="24"/>
          <w:szCs w:val="24"/>
        </w:rPr>
        <w:tab/>
        <w:t>Groundwater Quality Assessment, Health Implications, and Suitability</w:t>
      </w:r>
    </w:p>
    <w:p w:rsidR="001B2BB3" w:rsidRPr="00486301" w:rsidRDefault="001B2BB3" w:rsidP="001B2BB3">
      <w:pPr>
        <w:pStyle w:val="my-0"/>
        <w:spacing w:before="0" w:beforeAutospacing="0" w:after="0" w:afterAutospacing="0" w:line="480" w:lineRule="auto"/>
        <w:jc w:val="both"/>
      </w:pPr>
      <w:r w:rsidRPr="00486301">
        <w:t xml:space="preserve">Groundwater quality assessment in Ilorin involves systematic sampling and laboratory analysis of </w:t>
      </w:r>
      <w:proofErr w:type="spellStart"/>
      <w:r w:rsidRPr="00486301">
        <w:t>physico</w:t>
      </w:r>
      <w:proofErr w:type="spellEnd"/>
      <w:r w:rsidRPr="00486301">
        <w:t xml:space="preserve">-chemical parameters to determine the suitability of water for domestic and agricultural uses. Parameters such as pH, electrical conductivity, total dissolved solids, and concentrations of major </w:t>
      </w:r>
      <w:proofErr w:type="spellStart"/>
      <w:r w:rsidRPr="00486301">
        <w:t>cations</w:t>
      </w:r>
      <w:proofErr w:type="spellEnd"/>
      <w:r w:rsidRPr="00486301">
        <w:t xml:space="preserve"> and anions are routinely measured and compared against national and international standards, including those set by the World Health Organization (WHO) </w:t>
      </w:r>
      <w:r w:rsidRPr="00145EE3">
        <w:rPr>
          <w:i/>
        </w:rPr>
        <w:t>(</w:t>
      </w:r>
      <w:proofErr w:type="spellStart"/>
      <w:r w:rsidRPr="00145EE3">
        <w:rPr>
          <w:i/>
        </w:rPr>
        <w:t>Olasunkanmi</w:t>
      </w:r>
      <w:proofErr w:type="spellEnd"/>
      <w:r w:rsidRPr="00145EE3">
        <w:rPr>
          <w:i/>
        </w:rPr>
        <w:t xml:space="preserve"> et al., 2024; Umar et al., 2023)</w:t>
      </w:r>
      <w:r w:rsidRPr="00486301">
        <w:t>. This approach provides a comprehensive understanding of groundwater quality status and identifies areas where contamination may pose risks.</w:t>
      </w:r>
    </w:p>
    <w:p w:rsidR="001B2BB3" w:rsidRPr="00486301" w:rsidRDefault="001B2BB3" w:rsidP="001B2BB3">
      <w:pPr>
        <w:pStyle w:val="my-0"/>
        <w:spacing w:before="0" w:beforeAutospacing="0" w:after="0" w:afterAutospacing="0" w:line="480" w:lineRule="auto"/>
        <w:jc w:val="both"/>
      </w:pPr>
      <w:r w:rsidRPr="00486301">
        <w:t xml:space="preserve">Health risk assessments have highlighted elevated nitrate and iron concentrations as primary concerns in Ilorin’s groundwater. High nitrate levels are linked to </w:t>
      </w:r>
      <w:proofErr w:type="spellStart"/>
      <w:r w:rsidRPr="00486301">
        <w:t>methemoglobinemia</w:t>
      </w:r>
      <w:proofErr w:type="spellEnd"/>
      <w:r w:rsidRPr="00486301">
        <w:t xml:space="preserve">, especially in infants, while excessive iron can cause undesirable taste, staining, and gastrointestinal discomfort </w:t>
      </w:r>
      <w:r w:rsidRPr="00145EE3">
        <w:rPr>
          <w:i/>
        </w:rPr>
        <w:t>(Ibrahim et al., 2023)</w:t>
      </w:r>
      <w:r w:rsidRPr="00486301">
        <w:t xml:space="preserve">. Fortunately, concentrations of heavy metals such as lead and cadmium are generally below harmful thresholds in the region, indicating a </w:t>
      </w:r>
      <w:r w:rsidRPr="00486301">
        <w:lastRenderedPageBreak/>
        <w:t xml:space="preserve">low risk of chronic heavy metal toxicity </w:t>
      </w:r>
      <w:r w:rsidRPr="00145EE3">
        <w:rPr>
          <w:i/>
        </w:rPr>
        <w:t>(Ibrahim et al., 2023)</w:t>
      </w:r>
      <w:r w:rsidRPr="00486301">
        <w:t>. Nonetheless, continuous monitoring is essential to detect any emerging contamination trends.</w:t>
      </w:r>
    </w:p>
    <w:p w:rsidR="001B2BB3" w:rsidRPr="00486301" w:rsidRDefault="001B2BB3" w:rsidP="001B2BB3">
      <w:pPr>
        <w:pStyle w:val="my-0"/>
        <w:spacing w:before="0" w:beforeAutospacing="0" w:after="0" w:afterAutospacing="0" w:line="480" w:lineRule="auto"/>
        <w:jc w:val="both"/>
      </w:pPr>
      <w:r w:rsidRPr="00486301">
        <w:t xml:space="preserve">The overall groundwater quality in residential areas like Harmony Estate is largely suitable for domestic consumption and irrigation purposes when assessed against established water quality guidelines </w:t>
      </w:r>
      <w:r w:rsidRPr="00145EE3">
        <w:rPr>
          <w:i/>
        </w:rPr>
        <w:t>(</w:t>
      </w:r>
      <w:proofErr w:type="spellStart"/>
      <w:r w:rsidRPr="00145EE3">
        <w:rPr>
          <w:i/>
        </w:rPr>
        <w:t>Ogunleye</w:t>
      </w:r>
      <w:proofErr w:type="spellEnd"/>
      <w:r w:rsidRPr="00145EE3">
        <w:rPr>
          <w:i/>
        </w:rPr>
        <w:t xml:space="preserve"> et al., 2025)</w:t>
      </w:r>
      <w:r w:rsidRPr="00486301">
        <w:t>. However, localized contamination requires proactive management to prevent adverse health outcomes and ensure sustainable water use. The integration of water quality indices and risk assessment tools enhances the ability of water resource managers and policymakers to prioritize interventions and safeguard public health.</w:t>
      </w:r>
    </w:p>
    <w:p w:rsidR="001B2BB3" w:rsidRPr="00486301" w:rsidRDefault="001B2BB3" w:rsidP="001B2BB3">
      <w:pPr>
        <w:pStyle w:val="Heading2"/>
        <w:spacing w:before="0" w:beforeAutospacing="0" w:after="0" w:afterAutospacing="0" w:line="480" w:lineRule="auto"/>
        <w:jc w:val="both"/>
        <w:rPr>
          <w:sz w:val="24"/>
          <w:szCs w:val="24"/>
        </w:rPr>
      </w:pPr>
      <w:r>
        <w:rPr>
          <w:sz w:val="24"/>
          <w:szCs w:val="24"/>
        </w:rPr>
        <w:t>2.4</w:t>
      </w:r>
      <w:r>
        <w:rPr>
          <w:sz w:val="24"/>
          <w:szCs w:val="24"/>
        </w:rPr>
        <w:tab/>
      </w:r>
      <w:r w:rsidRPr="00486301">
        <w:rPr>
          <w:sz w:val="24"/>
          <w:szCs w:val="24"/>
        </w:rPr>
        <w:t>Previous Studies</w:t>
      </w:r>
    </w:p>
    <w:p w:rsidR="001B2BB3" w:rsidRPr="00486301" w:rsidRDefault="001B2BB3" w:rsidP="001B2BB3">
      <w:pPr>
        <w:pStyle w:val="my-0"/>
        <w:spacing w:before="0" w:beforeAutospacing="0" w:after="0" w:afterAutospacing="0" w:line="480" w:lineRule="auto"/>
        <w:jc w:val="both"/>
      </w:pPr>
      <w:r w:rsidRPr="00486301">
        <w:t xml:space="preserve">A substantial body of research has been conducted on the hydrogeology and groundwater quality of Ilorin and its environs, offering valuable insights into aquifer characteristics, groundwater potential, and contamination patterns. </w:t>
      </w:r>
      <w:proofErr w:type="spellStart"/>
      <w:r w:rsidRPr="00486301">
        <w:t>Hydrogeophysical</w:t>
      </w:r>
      <w:proofErr w:type="spellEnd"/>
      <w:r w:rsidRPr="00486301">
        <w:t xml:space="preserve"> investigations using electrical resistivity and other geophysical methods have been instrumental in delineating aquifer thickness, identifying groundwater potential zones, and guiding well siting decisions </w:t>
      </w:r>
      <w:r w:rsidRPr="00145EE3">
        <w:rPr>
          <w:i/>
        </w:rPr>
        <w:t>(</w:t>
      </w:r>
      <w:proofErr w:type="spellStart"/>
      <w:r w:rsidRPr="00145EE3">
        <w:rPr>
          <w:i/>
        </w:rPr>
        <w:t>Ige</w:t>
      </w:r>
      <w:proofErr w:type="spellEnd"/>
      <w:r w:rsidRPr="00145EE3">
        <w:rPr>
          <w:i/>
        </w:rPr>
        <w:t xml:space="preserve"> &amp; </w:t>
      </w:r>
      <w:proofErr w:type="spellStart"/>
      <w:r w:rsidRPr="00145EE3">
        <w:rPr>
          <w:i/>
        </w:rPr>
        <w:t>Ajiboye</w:t>
      </w:r>
      <w:proofErr w:type="spellEnd"/>
      <w:r w:rsidRPr="00145EE3">
        <w:rPr>
          <w:i/>
        </w:rPr>
        <w:t>, 2016; Malaysian Journal of Geosciences, 2023)</w:t>
      </w:r>
      <w:r w:rsidRPr="00486301">
        <w:t>. These studies have revealed the heterogeneous nature of the regolith aquifers and the influence of geological structures on groundwater distribution.</w:t>
      </w:r>
    </w:p>
    <w:p w:rsidR="001B2BB3" w:rsidRPr="00486301" w:rsidRDefault="001B2BB3" w:rsidP="001B2BB3">
      <w:pPr>
        <w:pStyle w:val="my-0"/>
        <w:spacing w:before="0" w:beforeAutospacing="0" w:after="0" w:afterAutospacing="0" w:line="480" w:lineRule="auto"/>
        <w:jc w:val="both"/>
      </w:pPr>
      <w:r w:rsidRPr="00486301">
        <w:t xml:space="preserve">Integrated assessments employing Geographic Information Systems (GIS) and remote sensing techniques have further enhanced the understanding of spatial variability in groundwater availability and quality across Ilorin metropolis </w:t>
      </w:r>
      <w:r w:rsidRPr="00145EE3">
        <w:rPr>
          <w:i/>
        </w:rPr>
        <w:t>(</w:t>
      </w:r>
      <w:proofErr w:type="spellStart"/>
      <w:r w:rsidRPr="00145EE3">
        <w:rPr>
          <w:i/>
        </w:rPr>
        <w:t>Ijtrd</w:t>
      </w:r>
      <w:proofErr w:type="spellEnd"/>
      <w:r w:rsidRPr="00145EE3">
        <w:rPr>
          <w:i/>
        </w:rPr>
        <w:t>, 2021)</w:t>
      </w:r>
      <w:r w:rsidRPr="00486301">
        <w:t>. Such approaches facilitate the identification of areas vulnerable to contamination and support sustainable groundwater management planning.</w:t>
      </w:r>
    </w:p>
    <w:p w:rsidR="001B2BB3" w:rsidRPr="00FA26B6" w:rsidRDefault="001B2BB3" w:rsidP="001B2BB3">
      <w:pPr>
        <w:pStyle w:val="my-0"/>
        <w:spacing w:before="0" w:beforeAutospacing="0" w:after="0" w:afterAutospacing="0" w:line="480" w:lineRule="auto"/>
        <w:jc w:val="both"/>
      </w:pPr>
      <w:r w:rsidRPr="00486301">
        <w:t xml:space="preserve">Chemical analyses from various studies consistently indicate moderate mineralization of groundwater with occasional contamination hotspots, often linked to urban waste disposal </w:t>
      </w:r>
      <w:r w:rsidRPr="00486301">
        <w:lastRenderedPageBreak/>
        <w:t xml:space="preserve">and agricultural activities </w:t>
      </w:r>
      <w:r w:rsidRPr="00145EE3">
        <w:rPr>
          <w:i/>
        </w:rPr>
        <w:t>(</w:t>
      </w:r>
      <w:proofErr w:type="spellStart"/>
      <w:r w:rsidRPr="00145EE3">
        <w:rPr>
          <w:i/>
        </w:rPr>
        <w:t>Olasunkanmi</w:t>
      </w:r>
      <w:proofErr w:type="spellEnd"/>
      <w:r w:rsidRPr="00145EE3">
        <w:rPr>
          <w:i/>
        </w:rPr>
        <w:t xml:space="preserve"> et al., 2024; Umar et al., 2023)</w:t>
      </w:r>
      <w:r w:rsidRPr="00486301">
        <w:t>. Despite these advances, there remains a paucity of localized studies focusing specifically on well water quality within residential estates such as Harmony Estate. This gap highlights the need for targeted research to inform effective groundwater protection and management strategies tailored to community-level contexts.</w:t>
      </w:r>
    </w:p>
    <w:p w:rsidR="001B2BB3" w:rsidRDefault="001B2BB3" w:rsidP="001B2BB3">
      <w:pPr>
        <w:spacing w:line="480" w:lineRule="auto"/>
        <w:jc w:val="both"/>
        <w:rPr>
          <w:rFonts w:ascii="Times New Roman" w:hAnsi="Times New Roman" w:cs="Times New Roman"/>
          <w:sz w:val="24"/>
          <w:szCs w:val="24"/>
        </w:rPr>
      </w:pPr>
      <w:r w:rsidRPr="00FA26B6">
        <w:rPr>
          <w:rFonts w:ascii="Times New Roman" w:hAnsi="Times New Roman" w:cs="Times New Roman"/>
          <w:sz w:val="24"/>
          <w:szCs w:val="24"/>
        </w:rPr>
        <w:t xml:space="preserve">In conclusion, the groundwater resources at Harmony Estate, Sango Axis, exemplify the broader hydrogeological and </w:t>
      </w:r>
      <w:proofErr w:type="spellStart"/>
      <w:r w:rsidRPr="00FA26B6">
        <w:rPr>
          <w:rFonts w:ascii="Times New Roman" w:hAnsi="Times New Roman" w:cs="Times New Roman"/>
          <w:sz w:val="24"/>
          <w:szCs w:val="24"/>
        </w:rPr>
        <w:t>hydrochemical</w:t>
      </w:r>
      <w:proofErr w:type="spellEnd"/>
      <w:r w:rsidRPr="00FA26B6">
        <w:rPr>
          <w:rFonts w:ascii="Times New Roman" w:hAnsi="Times New Roman" w:cs="Times New Roman"/>
          <w:sz w:val="24"/>
          <w:szCs w:val="24"/>
        </w:rPr>
        <w:t xml:space="preserve"> characteristics of Ilorin’s Basement Complex aquifers. While generally adequate for domestic use, the shallow wells in these areas are vulnerable to contamination from anthropogenic sources. Therefore, comprehensive water quality monitoring and management strategies are essential to safeguard public health and ensure the sustainable utilization of groundwater resources.</w:t>
      </w:r>
    </w:p>
    <w:p w:rsidR="001B2BB3" w:rsidRDefault="001B2BB3" w:rsidP="001B2BB3">
      <w:pPr>
        <w:spacing w:line="480" w:lineRule="auto"/>
        <w:jc w:val="both"/>
        <w:rPr>
          <w:rFonts w:ascii="Times New Roman" w:hAnsi="Times New Roman" w:cs="Times New Roman"/>
          <w:sz w:val="24"/>
          <w:szCs w:val="24"/>
        </w:rPr>
      </w:pPr>
    </w:p>
    <w:p w:rsidR="001B2BB3" w:rsidRDefault="001B2BB3" w:rsidP="001B2BB3">
      <w:pPr>
        <w:spacing w:line="480" w:lineRule="auto"/>
        <w:jc w:val="both"/>
        <w:rPr>
          <w:rFonts w:ascii="Times New Roman" w:hAnsi="Times New Roman" w:cs="Times New Roman"/>
          <w:sz w:val="24"/>
          <w:szCs w:val="24"/>
        </w:rPr>
      </w:pPr>
    </w:p>
    <w:p w:rsidR="001B2BB3" w:rsidRDefault="001B2BB3" w:rsidP="001B2BB3">
      <w:pPr>
        <w:spacing w:line="480" w:lineRule="auto"/>
        <w:jc w:val="both"/>
        <w:rPr>
          <w:rFonts w:ascii="Times New Roman" w:hAnsi="Times New Roman" w:cs="Times New Roman"/>
          <w:sz w:val="24"/>
          <w:szCs w:val="24"/>
        </w:rPr>
      </w:pPr>
    </w:p>
    <w:p w:rsidR="001B2BB3" w:rsidRDefault="001B2BB3" w:rsidP="001B2BB3">
      <w:pPr>
        <w:spacing w:line="480" w:lineRule="auto"/>
        <w:jc w:val="both"/>
        <w:rPr>
          <w:rFonts w:ascii="Times New Roman" w:hAnsi="Times New Roman" w:cs="Times New Roman"/>
          <w:sz w:val="24"/>
          <w:szCs w:val="24"/>
        </w:rPr>
      </w:pPr>
    </w:p>
    <w:p w:rsidR="001B2BB3" w:rsidRDefault="001B2BB3" w:rsidP="001B2BB3">
      <w:pPr>
        <w:spacing w:line="480" w:lineRule="auto"/>
        <w:jc w:val="both"/>
        <w:rPr>
          <w:rFonts w:ascii="Times New Roman" w:hAnsi="Times New Roman" w:cs="Times New Roman"/>
          <w:sz w:val="24"/>
          <w:szCs w:val="24"/>
        </w:rPr>
      </w:pPr>
    </w:p>
    <w:p w:rsidR="001B2BB3" w:rsidRDefault="001B2BB3" w:rsidP="001B2BB3">
      <w:pPr>
        <w:spacing w:line="480" w:lineRule="auto"/>
        <w:jc w:val="both"/>
        <w:rPr>
          <w:rFonts w:ascii="Times New Roman" w:hAnsi="Times New Roman" w:cs="Times New Roman"/>
          <w:sz w:val="24"/>
          <w:szCs w:val="24"/>
        </w:rPr>
      </w:pPr>
    </w:p>
    <w:p w:rsidR="001B2BB3" w:rsidRDefault="001B2BB3" w:rsidP="001B2BB3">
      <w:pPr>
        <w:spacing w:line="480" w:lineRule="auto"/>
        <w:jc w:val="both"/>
        <w:rPr>
          <w:rFonts w:ascii="Times New Roman" w:hAnsi="Times New Roman" w:cs="Times New Roman"/>
          <w:sz w:val="24"/>
          <w:szCs w:val="24"/>
        </w:rPr>
      </w:pPr>
    </w:p>
    <w:p w:rsidR="001B2BB3" w:rsidRDefault="001B2BB3" w:rsidP="001B2BB3">
      <w:pPr>
        <w:spacing w:line="480" w:lineRule="auto"/>
        <w:jc w:val="both"/>
        <w:rPr>
          <w:rFonts w:ascii="Times New Roman" w:hAnsi="Times New Roman" w:cs="Times New Roman"/>
          <w:sz w:val="24"/>
          <w:szCs w:val="24"/>
        </w:rPr>
      </w:pPr>
    </w:p>
    <w:p w:rsidR="001B2BB3" w:rsidRDefault="001B2BB3" w:rsidP="001B2BB3">
      <w:pPr>
        <w:spacing w:line="480" w:lineRule="auto"/>
        <w:jc w:val="both"/>
        <w:rPr>
          <w:rFonts w:ascii="Times New Roman" w:hAnsi="Times New Roman" w:cs="Times New Roman"/>
          <w:sz w:val="24"/>
          <w:szCs w:val="24"/>
        </w:rPr>
      </w:pPr>
    </w:p>
    <w:p w:rsidR="001B2BB3" w:rsidRDefault="001B2BB3" w:rsidP="001B2BB3">
      <w:pPr>
        <w:spacing w:line="480" w:lineRule="auto"/>
        <w:jc w:val="both"/>
        <w:rPr>
          <w:rFonts w:ascii="Times New Roman" w:hAnsi="Times New Roman" w:cs="Times New Roman"/>
          <w:sz w:val="24"/>
          <w:szCs w:val="24"/>
        </w:rPr>
      </w:pPr>
    </w:p>
    <w:p w:rsidR="00933052" w:rsidRPr="00EF229A" w:rsidRDefault="00933052" w:rsidP="00933052">
      <w:pPr>
        <w:spacing w:after="0" w:line="480" w:lineRule="auto"/>
        <w:jc w:val="center"/>
        <w:rPr>
          <w:rFonts w:ascii="Times New Roman" w:hAnsi="Times New Roman" w:cs="Times New Roman"/>
          <w:b/>
          <w:sz w:val="24"/>
          <w:szCs w:val="24"/>
        </w:rPr>
      </w:pPr>
      <w:r w:rsidRPr="00EF229A">
        <w:rPr>
          <w:rFonts w:ascii="Times New Roman" w:hAnsi="Times New Roman" w:cs="Times New Roman"/>
          <w:b/>
          <w:sz w:val="24"/>
          <w:szCs w:val="24"/>
        </w:rPr>
        <w:lastRenderedPageBreak/>
        <w:t>CHAPTER THREE</w:t>
      </w:r>
    </w:p>
    <w:p w:rsidR="00933052" w:rsidRPr="00EF229A" w:rsidRDefault="003B54B9" w:rsidP="003B54B9">
      <w:pPr>
        <w:spacing w:after="0" w:line="480" w:lineRule="auto"/>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r>
      <w:r w:rsidR="00933052" w:rsidRPr="00EF229A">
        <w:rPr>
          <w:rFonts w:ascii="Times New Roman" w:hAnsi="Times New Roman" w:cs="Times New Roman"/>
          <w:b/>
          <w:sz w:val="24"/>
          <w:szCs w:val="24"/>
        </w:rPr>
        <w:t>METHODOLOGY</w:t>
      </w:r>
    </w:p>
    <w:p w:rsidR="00933052" w:rsidRPr="00EF229A" w:rsidRDefault="00933052" w:rsidP="00933052">
      <w:pPr>
        <w:spacing w:after="0" w:line="480" w:lineRule="auto"/>
        <w:rPr>
          <w:rFonts w:ascii="Times New Roman" w:hAnsi="Times New Roman" w:cs="Times New Roman"/>
          <w:b/>
          <w:sz w:val="24"/>
          <w:szCs w:val="24"/>
        </w:rPr>
      </w:pPr>
      <w:r w:rsidRPr="00EF229A">
        <w:rPr>
          <w:rFonts w:ascii="Times New Roman" w:hAnsi="Times New Roman" w:cs="Times New Roman"/>
          <w:b/>
          <w:sz w:val="24"/>
          <w:szCs w:val="24"/>
        </w:rPr>
        <w:t>3.1</w:t>
      </w:r>
      <w:r w:rsidRPr="00EF229A">
        <w:rPr>
          <w:rFonts w:ascii="Times New Roman" w:hAnsi="Times New Roman" w:cs="Times New Roman"/>
          <w:b/>
          <w:sz w:val="24"/>
          <w:szCs w:val="24"/>
        </w:rPr>
        <w:tab/>
        <w:t>DESK STUDY</w:t>
      </w:r>
    </w:p>
    <w:p w:rsidR="00933052" w:rsidRPr="00EF229A" w:rsidRDefault="00933052" w:rsidP="00933052">
      <w:pPr>
        <w:spacing w:after="0" w:line="480" w:lineRule="auto"/>
        <w:jc w:val="both"/>
        <w:rPr>
          <w:rFonts w:ascii="Times New Roman" w:hAnsi="Times New Roman" w:cs="Times New Roman"/>
          <w:sz w:val="24"/>
          <w:szCs w:val="24"/>
        </w:rPr>
      </w:pPr>
      <w:r w:rsidRPr="00EF229A">
        <w:rPr>
          <w:rFonts w:ascii="Times New Roman" w:eastAsia="Times New Roman" w:hAnsi="Times New Roman" w:cs="Times New Roman"/>
          <w:sz w:val="24"/>
          <w:szCs w:val="24"/>
        </w:rPr>
        <w:t>The desk study phase involved a comprehensive review of existing literature</w:t>
      </w:r>
      <w:r w:rsidRPr="00EF229A">
        <w:rPr>
          <w:rFonts w:ascii="Times New Roman" w:hAnsi="Times New Roman" w:cs="Times New Roman"/>
          <w:sz w:val="24"/>
          <w:szCs w:val="24"/>
        </w:rPr>
        <w:t xml:space="preserve"> evaluate the </w:t>
      </w:r>
      <w:proofErr w:type="spellStart"/>
      <w:r w:rsidRPr="00EF229A">
        <w:rPr>
          <w:rFonts w:ascii="Times New Roman" w:hAnsi="Times New Roman" w:cs="Times New Roman"/>
          <w:sz w:val="24"/>
          <w:szCs w:val="24"/>
        </w:rPr>
        <w:t>hydrochemical</w:t>
      </w:r>
      <w:proofErr w:type="spellEnd"/>
      <w:r w:rsidRPr="00EF229A">
        <w:rPr>
          <w:rFonts w:ascii="Times New Roman" w:hAnsi="Times New Roman" w:cs="Times New Roman"/>
          <w:sz w:val="24"/>
          <w:szCs w:val="24"/>
        </w:rPr>
        <w:t xml:space="preserve"> characteristics and gr</w:t>
      </w:r>
      <w:r>
        <w:rPr>
          <w:rFonts w:ascii="Times New Roman" w:hAnsi="Times New Roman" w:cs="Times New Roman"/>
          <w:sz w:val="24"/>
          <w:szCs w:val="24"/>
        </w:rPr>
        <w:t>oundwater in selected parts of I</w:t>
      </w:r>
      <w:r w:rsidRPr="00EF229A">
        <w:rPr>
          <w:rFonts w:ascii="Times New Roman" w:hAnsi="Times New Roman" w:cs="Times New Roman"/>
          <w:sz w:val="24"/>
          <w:szCs w:val="24"/>
        </w:rPr>
        <w:t xml:space="preserve">lorin, southwestern/Nigeria. The methodology is central to achieving the objectives of this study, as it outlines the step-by-step procedures involved in the collection, analysis, and interpretation of groundwater data. The reliability and validity of the research findings largely depend on the appropriateness and scientific rigor of the chosen methods </w:t>
      </w:r>
    </w:p>
    <w:p w:rsidR="00933052" w:rsidRPr="00EF229A" w:rsidRDefault="00933052" w:rsidP="0093305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Groundwater</w:t>
      </w:r>
      <w:r w:rsidRPr="00EF229A">
        <w:rPr>
          <w:rFonts w:ascii="Times New Roman" w:hAnsi="Times New Roman" w:cs="Times New Roman"/>
          <w:sz w:val="24"/>
          <w:szCs w:val="24"/>
        </w:rPr>
        <w:t xml:space="preserve"> being a vital source of water supply for domestic, agricultural, and industrial purposes in </w:t>
      </w:r>
      <w:proofErr w:type="gramStart"/>
      <w:r w:rsidRPr="00EF229A">
        <w:rPr>
          <w:rFonts w:ascii="Times New Roman" w:hAnsi="Times New Roman" w:cs="Times New Roman"/>
          <w:sz w:val="24"/>
          <w:szCs w:val="24"/>
        </w:rPr>
        <w:t>Ilorin,</w:t>
      </w:r>
      <w:proofErr w:type="gramEnd"/>
      <w:r w:rsidRPr="00EF229A">
        <w:rPr>
          <w:rFonts w:ascii="Times New Roman" w:hAnsi="Times New Roman" w:cs="Times New Roman"/>
          <w:sz w:val="24"/>
          <w:szCs w:val="24"/>
        </w:rPr>
        <w:t xml:space="preserve"> requires regular monitoring and assessment to ensure its quality and sustainability. </w:t>
      </w:r>
      <w:proofErr w:type="gramStart"/>
      <w:r w:rsidRPr="00EF229A">
        <w:rPr>
          <w:rFonts w:ascii="Times New Roman" w:hAnsi="Times New Roman" w:cs="Times New Roman"/>
          <w:sz w:val="24"/>
          <w:szCs w:val="24"/>
        </w:rPr>
        <w:t>Given the increasing pressure on water resources due to population growth.</w:t>
      </w:r>
      <w:proofErr w:type="gramEnd"/>
      <w:r w:rsidRPr="00EF229A">
        <w:rPr>
          <w:rFonts w:ascii="Times New Roman" w:hAnsi="Times New Roman" w:cs="Times New Roman"/>
          <w:sz w:val="24"/>
          <w:szCs w:val="24"/>
        </w:rPr>
        <w:t xml:space="preserve"> </w:t>
      </w:r>
      <w:proofErr w:type="gramStart"/>
      <w:r w:rsidRPr="00EF229A">
        <w:rPr>
          <w:rFonts w:ascii="Times New Roman" w:hAnsi="Times New Roman" w:cs="Times New Roman"/>
          <w:sz w:val="24"/>
          <w:szCs w:val="24"/>
        </w:rPr>
        <w:t>urbanization</w:t>
      </w:r>
      <w:proofErr w:type="gramEnd"/>
      <w:r w:rsidRPr="00EF229A">
        <w:rPr>
          <w:rFonts w:ascii="Times New Roman" w:hAnsi="Times New Roman" w:cs="Times New Roman"/>
          <w:sz w:val="24"/>
          <w:szCs w:val="24"/>
        </w:rPr>
        <w:t xml:space="preserve"> and anthropogenic activities, understanding/ the </w:t>
      </w:r>
      <w:proofErr w:type="spellStart"/>
      <w:r w:rsidRPr="00EF229A">
        <w:rPr>
          <w:rFonts w:ascii="Times New Roman" w:hAnsi="Times New Roman" w:cs="Times New Roman"/>
          <w:sz w:val="24"/>
          <w:szCs w:val="24"/>
        </w:rPr>
        <w:t>hydrochemical</w:t>
      </w:r>
      <w:proofErr w:type="spellEnd"/>
      <w:r w:rsidRPr="00EF229A">
        <w:rPr>
          <w:rFonts w:ascii="Times New Roman" w:hAnsi="Times New Roman" w:cs="Times New Roman"/>
          <w:sz w:val="24"/>
          <w:szCs w:val="24"/>
        </w:rPr>
        <w:t xml:space="preserve"> processes and potential sources of contamination has become more important than ever. This study, therefore adopts a comprehensive and systematic approach to investigate the water quality of selected wells and boreholes in different parts of Ilorin. </w:t>
      </w:r>
    </w:p>
    <w:p w:rsidR="00933052" w:rsidRPr="00EF229A" w:rsidRDefault="00933052" w:rsidP="00933052">
      <w:pPr>
        <w:spacing w:after="0" w:line="480" w:lineRule="auto"/>
        <w:jc w:val="both"/>
        <w:rPr>
          <w:rFonts w:ascii="Times New Roman" w:hAnsi="Times New Roman" w:cs="Times New Roman"/>
          <w:sz w:val="24"/>
          <w:szCs w:val="24"/>
        </w:rPr>
      </w:pPr>
      <w:r w:rsidRPr="00EF229A">
        <w:rPr>
          <w:rFonts w:ascii="Times New Roman" w:hAnsi="Times New Roman" w:cs="Times New Roman"/>
          <w:sz w:val="24"/>
          <w:szCs w:val="24"/>
        </w:rPr>
        <w:t xml:space="preserve">The chapter begins by describing the overall research design, which includes both field investigation and laboratory analysis. This is followed by the reconnaissance survey, which helped to determine suitable sampling locations based on factors such as land use population density, and proximity to potential sources of pollution. It then outlines the sampling strategy. </w:t>
      </w:r>
      <w:proofErr w:type="gramStart"/>
      <w:r w:rsidRPr="00EF229A">
        <w:rPr>
          <w:rFonts w:ascii="Times New Roman" w:hAnsi="Times New Roman" w:cs="Times New Roman"/>
          <w:sz w:val="24"/>
          <w:szCs w:val="24"/>
        </w:rPr>
        <w:t>including</w:t>
      </w:r>
      <w:proofErr w:type="gramEnd"/>
      <w:r w:rsidRPr="00EF229A">
        <w:rPr>
          <w:rFonts w:ascii="Times New Roman" w:hAnsi="Times New Roman" w:cs="Times New Roman"/>
          <w:sz w:val="24"/>
          <w:szCs w:val="24"/>
        </w:rPr>
        <w:t xml:space="preserve"> the selection of wells and boreholes, the collection and preservation of water samples and the in-situ measurements of </w:t>
      </w:r>
      <w:proofErr w:type="spellStart"/>
      <w:r w:rsidRPr="00EF229A">
        <w:rPr>
          <w:rFonts w:ascii="Times New Roman" w:hAnsi="Times New Roman" w:cs="Times New Roman"/>
          <w:sz w:val="24"/>
          <w:szCs w:val="24"/>
        </w:rPr>
        <w:t>physico</w:t>
      </w:r>
      <w:proofErr w:type="spellEnd"/>
      <w:r w:rsidRPr="00EF229A">
        <w:rPr>
          <w:rFonts w:ascii="Times New Roman" w:hAnsi="Times New Roman" w:cs="Times New Roman"/>
          <w:sz w:val="24"/>
          <w:szCs w:val="24"/>
        </w:rPr>
        <w:t xml:space="preserve">-chemical parameters. </w:t>
      </w:r>
    </w:p>
    <w:p w:rsidR="00933052" w:rsidRPr="00EF229A" w:rsidRDefault="00933052" w:rsidP="00933052">
      <w:pPr>
        <w:spacing w:after="0" w:line="480" w:lineRule="auto"/>
        <w:jc w:val="both"/>
        <w:rPr>
          <w:rFonts w:ascii="Times New Roman" w:hAnsi="Times New Roman" w:cs="Times New Roman"/>
          <w:sz w:val="24"/>
          <w:szCs w:val="24"/>
        </w:rPr>
      </w:pPr>
      <w:r w:rsidRPr="00EF229A">
        <w:rPr>
          <w:rFonts w:ascii="Times New Roman" w:hAnsi="Times New Roman" w:cs="Times New Roman"/>
          <w:sz w:val="24"/>
          <w:szCs w:val="24"/>
        </w:rPr>
        <w:t xml:space="preserve">Subsequently, the chapter explains the analytical techniques used in the laboratory to de the concentrations of major ions and other water quality indicators, Standardized methods prescribed by authoritative organizations such as the American Public Health Association </w:t>
      </w:r>
      <w:r w:rsidRPr="00EF229A">
        <w:rPr>
          <w:rFonts w:ascii="Times New Roman" w:hAnsi="Times New Roman" w:cs="Times New Roman"/>
          <w:sz w:val="24"/>
          <w:szCs w:val="24"/>
        </w:rPr>
        <w:lastRenderedPageBreak/>
        <w:t xml:space="preserve">(APHA) were followed to ensure accuracy and comparability of results. The final part of the chapter describes the data analysis techniques, including the use of statistical tools, </w:t>
      </w:r>
      <w:proofErr w:type="spellStart"/>
      <w:r w:rsidRPr="00EF229A">
        <w:rPr>
          <w:rFonts w:ascii="Times New Roman" w:hAnsi="Times New Roman" w:cs="Times New Roman"/>
          <w:sz w:val="24"/>
          <w:szCs w:val="24"/>
        </w:rPr>
        <w:t>hydrochemical</w:t>
      </w:r>
      <w:proofErr w:type="spellEnd"/>
      <w:r w:rsidRPr="00EF229A">
        <w:rPr>
          <w:rFonts w:ascii="Times New Roman" w:hAnsi="Times New Roman" w:cs="Times New Roman"/>
          <w:sz w:val="24"/>
          <w:szCs w:val="24"/>
        </w:rPr>
        <w:t xml:space="preserve"> diagrams such as Piper plots, and comparison with national and international water quality standards.</w:t>
      </w:r>
    </w:p>
    <w:p w:rsidR="00933052" w:rsidRPr="00EF229A" w:rsidRDefault="00933052" w:rsidP="00933052">
      <w:pPr>
        <w:spacing w:after="0" w:line="480" w:lineRule="auto"/>
        <w:jc w:val="both"/>
        <w:rPr>
          <w:rFonts w:ascii="Times New Roman" w:hAnsi="Times New Roman" w:cs="Times New Roman"/>
          <w:b/>
          <w:caps/>
          <w:sz w:val="24"/>
          <w:szCs w:val="24"/>
        </w:rPr>
      </w:pPr>
      <w:r w:rsidRPr="00EF229A">
        <w:rPr>
          <w:rFonts w:ascii="Times New Roman" w:hAnsi="Times New Roman" w:cs="Times New Roman"/>
          <w:b/>
          <w:caps/>
          <w:sz w:val="24"/>
          <w:szCs w:val="24"/>
        </w:rPr>
        <w:t>3.2</w:t>
      </w:r>
      <w:r w:rsidRPr="00EF229A">
        <w:rPr>
          <w:rFonts w:ascii="Times New Roman" w:hAnsi="Times New Roman" w:cs="Times New Roman"/>
          <w:b/>
          <w:caps/>
          <w:sz w:val="24"/>
          <w:szCs w:val="24"/>
        </w:rPr>
        <w:tab/>
        <w:t>Research Design</w:t>
      </w:r>
    </w:p>
    <w:p w:rsidR="00933052" w:rsidRPr="00EF229A" w:rsidRDefault="00933052" w:rsidP="00933052">
      <w:pPr>
        <w:spacing w:after="0" w:line="480" w:lineRule="auto"/>
        <w:jc w:val="both"/>
        <w:rPr>
          <w:rFonts w:ascii="Times New Roman" w:hAnsi="Times New Roman" w:cs="Times New Roman"/>
          <w:sz w:val="24"/>
          <w:szCs w:val="24"/>
        </w:rPr>
      </w:pPr>
      <w:r w:rsidRPr="00EF229A">
        <w:rPr>
          <w:rFonts w:ascii="Times New Roman" w:hAnsi="Times New Roman" w:cs="Times New Roman"/>
          <w:sz w:val="24"/>
          <w:szCs w:val="24"/>
        </w:rPr>
        <w:t xml:space="preserve">The research adopted a descriptive survey and analytical design, which is well-suited for environmental and water quality studies that involve the collection of primary data from natural settings. This design was chosen to enable a thorough assessment of the </w:t>
      </w:r>
      <w:proofErr w:type="spellStart"/>
      <w:r w:rsidRPr="00EF229A">
        <w:rPr>
          <w:rFonts w:ascii="Times New Roman" w:hAnsi="Times New Roman" w:cs="Times New Roman"/>
          <w:sz w:val="24"/>
          <w:szCs w:val="24"/>
        </w:rPr>
        <w:t>hydrochemical</w:t>
      </w:r>
      <w:proofErr w:type="spellEnd"/>
      <w:r w:rsidRPr="00EF229A">
        <w:rPr>
          <w:rFonts w:ascii="Times New Roman" w:hAnsi="Times New Roman" w:cs="Times New Roman"/>
          <w:sz w:val="24"/>
          <w:szCs w:val="24"/>
        </w:rPr>
        <w:t xml:space="preserve"> characteristics of groundwater in selected areas of Ilorin, where groundwater serves as a major source of water for domestic and agricultural purposes. The descriptive aspect of the design involved observing and recording the existing condition of groundwater sources, such as their locations, usage patterns, surrounding land use, and pot contamination sources like dumpsites, septic tanks, and farmlands. These observations provided context for understanding the human and environmental factors influencing water quality. The analytical component focused on the systematic collection of water samples, followed by laboratory analysis of </w:t>
      </w:r>
      <w:proofErr w:type="spellStart"/>
      <w:r w:rsidRPr="00EF229A">
        <w:rPr>
          <w:rFonts w:ascii="Times New Roman" w:hAnsi="Times New Roman" w:cs="Times New Roman"/>
          <w:sz w:val="24"/>
          <w:szCs w:val="24"/>
        </w:rPr>
        <w:t>physico</w:t>
      </w:r>
      <w:proofErr w:type="spellEnd"/>
      <w:r w:rsidRPr="00EF229A">
        <w:rPr>
          <w:rFonts w:ascii="Times New Roman" w:hAnsi="Times New Roman" w:cs="Times New Roman"/>
          <w:sz w:val="24"/>
          <w:szCs w:val="24"/>
        </w:rPr>
        <w:t xml:space="preserve">-chemical parameters, including pH, electrical conductivity. </w:t>
      </w:r>
      <w:proofErr w:type="gramStart"/>
      <w:r w:rsidRPr="00EF229A">
        <w:rPr>
          <w:rFonts w:ascii="Times New Roman" w:hAnsi="Times New Roman" w:cs="Times New Roman"/>
          <w:sz w:val="24"/>
          <w:szCs w:val="24"/>
        </w:rPr>
        <w:t>total</w:t>
      </w:r>
      <w:proofErr w:type="gramEnd"/>
      <w:r w:rsidRPr="00EF229A">
        <w:rPr>
          <w:rFonts w:ascii="Times New Roman" w:hAnsi="Times New Roman" w:cs="Times New Roman"/>
          <w:sz w:val="24"/>
          <w:szCs w:val="24"/>
        </w:rPr>
        <w:t xml:space="preserve"> dissolved solids, major cautions and anions, and selected heavy metals. </w:t>
      </w:r>
    </w:p>
    <w:p w:rsidR="00933052" w:rsidRPr="00EF229A" w:rsidRDefault="00933052" w:rsidP="00933052">
      <w:pPr>
        <w:spacing w:after="0" w:line="480" w:lineRule="auto"/>
        <w:jc w:val="both"/>
        <w:rPr>
          <w:rFonts w:ascii="Times New Roman" w:hAnsi="Times New Roman" w:cs="Times New Roman"/>
          <w:b/>
          <w:caps/>
          <w:sz w:val="24"/>
          <w:szCs w:val="24"/>
        </w:rPr>
      </w:pPr>
      <w:r w:rsidRPr="00EF229A">
        <w:rPr>
          <w:rFonts w:ascii="Times New Roman" w:hAnsi="Times New Roman" w:cs="Times New Roman"/>
          <w:b/>
          <w:caps/>
          <w:sz w:val="24"/>
          <w:szCs w:val="24"/>
        </w:rPr>
        <w:t>3.3</w:t>
      </w:r>
      <w:r w:rsidRPr="00EF229A">
        <w:rPr>
          <w:rFonts w:ascii="Times New Roman" w:hAnsi="Times New Roman" w:cs="Times New Roman"/>
          <w:b/>
          <w:caps/>
          <w:sz w:val="24"/>
          <w:szCs w:val="24"/>
        </w:rPr>
        <w:tab/>
        <w:t xml:space="preserve">Reconnaissance Survey </w:t>
      </w:r>
    </w:p>
    <w:p w:rsidR="00933052" w:rsidRPr="00EF229A" w:rsidRDefault="00933052" w:rsidP="00933052">
      <w:pPr>
        <w:spacing w:after="0" w:line="480" w:lineRule="auto"/>
        <w:jc w:val="both"/>
        <w:rPr>
          <w:rFonts w:ascii="Times New Roman" w:hAnsi="Times New Roman" w:cs="Times New Roman"/>
          <w:sz w:val="24"/>
          <w:szCs w:val="24"/>
        </w:rPr>
      </w:pPr>
      <w:r w:rsidRPr="00EF229A">
        <w:rPr>
          <w:rFonts w:ascii="Times New Roman" w:hAnsi="Times New Roman" w:cs="Times New Roman"/>
          <w:sz w:val="24"/>
          <w:szCs w:val="24"/>
        </w:rPr>
        <w:t xml:space="preserve">A preliminary reconnaissance survey was carried out as an essential preparatory phase of the research to facilitate effective planning and implementation of the main fieldwork. This survey was conducted across various parts of florin, particularly in densely populated neighborhoods and </w:t>
      </w:r>
      <w:proofErr w:type="spellStart"/>
      <w:r w:rsidRPr="00EF229A">
        <w:rPr>
          <w:rFonts w:ascii="Times New Roman" w:hAnsi="Times New Roman" w:cs="Times New Roman"/>
          <w:sz w:val="24"/>
          <w:szCs w:val="24"/>
        </w:rPr>
        <w:t>peri</w:t>
      </w:r>
      <w:proofErr w:type="spellEnd"/>
      <w:r w:rsidRPr="00EF229A">
        <w:rPr>
          <w:rFonts w:ascii="Times New Roman" w:hAnsi="Times New Roman" w:cs="Times New Roman"/>
          <w:sz w:val="24"/>
          <w:szCs w:val="24"/>
        </w:rPr>
        <w:t>-urban areas where groundwater is heavily relied upon for domestic use. The purpose of the reconnaissance was to gain a contextual understanding of the area, identify potential sampling locations, and assess environmental factors that could influence groundwater quality. During the reconnaissance, various groundwater sources such as hand-</w:t>
      </w:r>
      <w:r w:rsidRPr="00EF229A">
        <w:rPr>
          <w:rFonts w:ascii="Times New Roman" w:hAnsi="Times New Roman" w:cs="Times New Roman"/>
          <w:sz w:val="24"/>
          <w:szCs w:val="24"/>
        </w:rPr>
        <w:lastRenderedPageBreak/>
        <w:t xml:space="preserve">dug wells and motorized boreholes were identified and mapped using a handheld GPS device. The locations of these water sources were recorded alongside notes on their physical characteristics, usage frequency, and proximity to potential contamination sources. The survey also involved visual inspections and informal discussions with residents, which helped identify human activities that may affect water quality, such as open refuse dumping, agricultural practices involving the use of fertilizers and pesticides, and the presence of septic tanks or pit latrines. In addition, the survey evaluated accessibility and safety of each location to ensure field teams could collect samples without undue difficulty or risk. Observations from the survey helped classify the sites based on land use residential, agricultural, mixed-use, or industrial and guided the selection of representative sampling points. </w:t>
      </w:r>
    </w:p>
    <w:p w:rsidR="00933052" w:rsidRPr="00EF229A" w:rsidRDefault="00933052" w:rsidP="00933052">
      <w:pPr>
        <w:spacing w:after="0" w:line="480" w:lineRule="auto"/>
        <w:jc w:val="both"/>
        <w:rPr>
          <w:rFonts w:ascii="Times New Roman" w:hAnsi="Times New Roman" w:cs="Times New Roman"/>
          <w:b/>
          <w:caps/>
          <w:sz w:val="24"/>
          <w:szCs w:val="24"/>
        </w:rPr>
      </w:pPr>
      <w:r w:rsidRPr="00EF229A">
        <w:rPr>
          <w:rFonts w:ascii="Times New Roman" w:hAnsi="Times New Roman" w:cs="Times New Roman"/>
          <w:b/>
          <w:caps/>
          <w:sz w:val="24"/>
          <w:szCs w:val="24"/>
        </w:rPr>
        <w:t>3.4</w:t>
      </w:r>
      <w:r w:rsidRPr="00EF229A">
        <w:rPr>
          <w:rFonts w:ascii="Times New Roman" w:hAnsi="Times New Roman" w:cs="Times New Roman"/>
          <w:b/>
          <w:caps/>
          <w:sz w:val="24"/>
          <w:szCs w:val="24"/>
        </w:rPr>
        <w:tab/>
        <w:t xml:space="preserve">Sampling Locations </w:t>
      </w:r>
    </w:p>
    <w:p w:rsidR="00933052" w:rsidRPr="00EF229A" w:rsidRDefault="00933052" w:rsidP="00933052">
      <w:pPr>
        <w:spacing w:after="0" w:line="480" w:lineRule="auto"/>
        <w:jc w:val="both"/>
        <w:rPr>
          <w:rFonts w:ascii="Times New Roman" w:hAnsi="Times New Roman" w:cs="Times New Roman"/>
          <w:sz w:val="24"/>
          <w:szCs w:val="24"/>
        </w:rPr>
      </w:pPr>
      <w:r w:rsidRPr="00EF229A">
        <w:rPr>
          <w:rFonts w:ascii="Times New Roman" w:hAnsi="Times New Roman" w:cs="Times New Roman"/>
          <w:sz w:val="24"/>
          <w:szCs w:val="24"/>
        </w:rPr>
        <w:t xml:space="preserve">Groundwater samples were collected from hand-dug wells and boreholes located in selected </w:t>
      </w:r>
      <w:proofErr w:type="spellStart"/>
      <w:r w:rsidRPr="00EF229A">
        <w:rPr>
          <w:rFonts w:ascii="Times New Roman" w:hAnsi="Times New Roman" w:cs="Times New Roman"/>
          <w:sz w:val="24"/>
          <w:szCs w:val="24"/>
        </w:rPr>
        <w:t>eas</w:t>
      </w:r>
      <w:proofErr w:type="spellEnd"/>
      <w:r w:rsidRPr="00EF229A">
        <w:rPr>
          <w:rFonts w:ascii="Times New Roman" w:hAnsi="Times New Roman" w:cs="Times New Roman"/>
          <w:sz w:val="24"/>
          <w:szCs w:val="24"/>
        </w:rPr>
        <w:t xml:space="preserve"> such as </w:t>
      </w:r>
      <w:proofErr w:type="spellStart"/>
      <w:r w:rsidRPr="00EF229A">
        <w:rPr>
          <w:rFonts w:ascii="Times New Roman" w:hAnsi="Times New Roman" w:cs="Times New Roman"/>
          <w:sz w:val="24"/>
          <w:szCs w:val="24"/>
        </w:rPr>
        <w:t>Tanke</w:t>
      </w:r>
      <w:proofErr w:type="spellEnd"/>
      <w:r w:rsidRPr="00EF229A">
        <w:rPr>
          <w:rFonts w:ascii="Times New Roman" w:hAnsi="Times New Roman" w:cs="Times New Roman"/>
          <w:sz w:val="24"/>
          <w:szCs w:val="24"/>
        </w:rPr>
        <w:t xml:space="preserve">. </w:t>
      </w:r>
      <w:proofErr w:type="spellStart"/>
      <w:proofErr w:type="gramStart"/>
      <w:r w:rsidRPr="00EF229A">
        <w:rPr>
          <w:rFonts w:ascii="Times New Roman" w:hAnsi="Times New Roman" w:cs="Times New Roman"/>
          <w:sz w:val="24"/>
          <w:szCs w:val="24"/>
        </w:rPr>
        <w:t>Oke-Odo</w:t>
      </w:r>
      <w:proofErr w:type="spellEnd"/>
      <w:r w:rsidRPr="00EF229A">
        <w:rPr>
          <w:rFonts w:ascii="Times New Roman" w:hAnsi="Times New Roman" w:cs="Times New Roman"/>
          <w:sz w:val="24"/>
          <w:szCs w:val="24"/>
        </w:rPr>
        <w:t xml:space="preserve">, </w:t>
      </w:r>
      <w:proofErr w:type="spellStart"/>
      <w:r w:rsidRPr="00EF229A">
        <w:rPr>
          <w:rFonts w:ascii="Times New Roman" w:hAnsi="Times New Roman" w:cs="Times New Roman"/>
          <w:sz w:val="24"/>
          <w:szCs w:val="24"/>
        </w:rPr>
        <w:t>Agbo</w:t>
      </w:r>
      <w:proofErr w:type="spellEnd"/>
      <w:r w:rsidRPr="00EF229A">
        <w:rPr>
          <w:rFonts w:ascii="Times New Roman" w:hAnsi="Times New Roman" w:cs="Times New Roman"/>
          <w:sz w:val="24"/>
          <w:szCs w:val="24"/>
        </w:rPr>
        <w:t xml:space="preserve">-Oba, </w:t>
      </w:r>
      <w:proofErr w:type="spellStart"/>
      <w:r w:rsidRPr="00EF229A">
        <w:rPr>
          <w:rFonts w:ascii="Times New Roman" w:hAnsi="Times New Roman" w:cs="Times New Roman"/>
          <w:sz w:val="24"/>
          <w:szCs w:val="24"/>
        </w:rPr>
        <w:t>Oja</w:t>
      </w:r>
      <w:proofErr w:type="spellEnd"/>
      <w:r w:rsidRPr="00EF229A">
        <w:rPr>
          <w:rFonts w:ascii="Times New Roman" w:hAnsi="Times New Roman" w:cs="Times New Roman"/>
          <w:sz w:val="24"/>
          <w:szCs w:val="24"/>
        </w:rPr>
        <w:t xml:space="preserve">-Oba, </w:t>
      </w:r>
      <w:proofErr w:type="spellStart"/>
      <w:r w:rsidRPr="00EF229A">
        <w:rPr>
          <w:rFonts w:ascii="Times New Roman" w:hAnsi="Times New Roman" w:cs="Times New Roman"/>
          <w:sz w:val="24"/>
          <w:szCs w:val="24"/>
        </w:rPr>
        <w:t>Gaa-Akanbi</w:t>
      </w:r>
      <w:proofErr w:type="spellEnd"/>
      <w:r w:rsidRPr="00EF229A">
        <w:rPr>
          <w:rFonts w:ascii="Times New Roman" w:hAnsi="Times New Roman" w:cs="Times New Roman"/>
          <w:sz w:val="24"/>
          <w:szCs w:val="24"/>
        </w:rPr>
        <w:t>, and Sango.</w:t>
      </w:r>
      <w:proofErr w:type="gramEnd"/>
      <w:r w:rsidRPr="00EF229A">
        <w:rPr>
          <w:rFonts w:ascii="Times New Roman" w:hAnsi="Times New Roman" w:cs="Times New Roman"/>
          <w:sz w:val="24"/>
          <w:szCs w:val="24"/>
        </w:rPr>
        <w:t xml:space="preserve"> These areas were </w:t>
      </w:r>
      <w:r w:rsidR="00BA0A37">
        <w:rPr>
          <w:rFonts w:ascii="Times New Roman" w:hAnsi="Times New Roman" w:cs="Times New Roman"/>
          <w:sz w:val="24"/>
          <w:szCs w:val="24"/>
        </w:rPr>
        <w:t>ch</w:t>
      </w:r>
      <w:r w:rsidRPr="00EF229A">
        <w:rPr>
          <w:rFonts w:ascii="Times New Roman" w:hAnsi="Times New Roman" w:cs="Times New Roman"/>
          <w:sz w:val="24"/>
          <w:szCs w:val="24"/>
        </w:rPr>
        <w:t xml:space="preserve">osen based on the following criteria: </w:t>
      </w:r>
    </w:p>
    <w:p w:rsidR="00933052" w:rsidRPr="00EF229A" w:rsidRDefault="00933052" w:rsidP="00933052">
      <w:pPr>
        <w:pStyle w:val="ListParagraph"/>
        <w:numPr>
          <w:ilvl w:val="0"/>
          <w:numId w:val="22"/>
        </w:numPr>
        <w:spacing w:after="0" w:line="480" w:lineRule="auto"/>
        <w:jc w:val="both"/>
        <w:rPr>
          <w:rFonts w:ascii="Times New Roman" w:hAnsi="Times New Roman" w:cs="Times New Roman"/>
          <w:sz w:val="24"/>
          <w:szCs w:val="24"/>
        </w:rPr>
      </w:pPr>
      <w:r w:rsidRPr="00EF229A">
        <w:rPr>
          <w:rFonts w:ascii="Times New Roman" w:hAnsi="Times New Roman" w:cs="Times New Roman"/>
          <w:sz w:val="24"/>
          <w:szCs w:val="24"/>
        </w:rPr>
        <w:t xml:space="preserve">High reliance on groundwater for domestic use: </w:t>
      </w:r>
    </w:p>
    <w:p w:rsidR="00933052" w:rsidRPr="00EF229A" w:rsidRDefault="00933052" w:rsidP="00933052">
      <w:pPr>
        <w:pStyle w:val="ListParagraph"/>
        <w:numPr>
          <w:ilvl w:val="0"/>
          <w:numId w:val="22"/>
        </w:numPr>
        <w:spacing w:after="0" w:line="480" w:lineRule="auto"/>
        <w:jc w:val="both"/>
        <w:rPr>
          <w:rFonts w:ascii="Times New Roman" w:hAnsi="Times New Roman" w:cs="Times New Roman"/>
          <w:sz w:val="24"/>
          <w:szCs w:val="24"/>
        </w:rPr>
      </w:pPr>
      <w:r w:rsidRPr="00EF229A">
        <w:rPr>
          <w:rFonts w:ascii="Times New Roman" w:hAnsi="Times New Roman" w:cs="Times New Roman"/>
          <w:sz w:val="24"/>
          <w:szCs w:val="24"/>
        </w:rPr>
        <w:t xml:space="preserve">Diverse population densities; </w:t>
      </w:r>
    </w:p>
    <w:p w:rsidR="00933052" w:rsidRPr="00EF229A" w:rsidRDefault="00933052" w:rsidP="00933052">
      <w:pPr>
        <w:pStyle w:val="ListParagraph"/>
        <w:numPr>
          <w:ilvl w:val="0"/>
          <w:numId w:val="22"/>
        </w:numPr>
        <w:spacing w:after="0" w:line="480" w:lineRule="auto"/>
        <w:jc w:val="both"/>
        <w:rPr>
          <w:rFonts w:ascii="Times New Roman" w:hAnsi="Times New Roman" w:cs="Times New Roman"/>
          <w:sz w:val="24"/>
          <w:szCs w:val="24"/>
        </w:rPr>
      </w:pPr>
      <w:r w:rsidRPr="00EF229A">
        <w:rPr>
          <w:rFonts w:ascii="Times New Roman" w:hAnsi="Times New Roman" w:cs="Times New Roman"/>
          <w:sz w:val="24"/>
          <w:szCs w:val="24"/>
        </w:rPr>
        <w:t xml:space="preserve">Evidence of anthropogenic activities (e.g., waste disposal, farming, construction); </w:t>
      </w:r>
    </w:p>
    <w:p w:rsidR="00933052" w:rsidRPr="00EF229A" w:rsidRDefault="00933052" w:rsidP="00933052">
      <w:pPr>
        <w:pStyle w:val="ListParagraph"/>
        <w:numPr>
          <w:ilvl w:val="0"/>
          <w:numId w:val="22"/>
        </w:numPr>
        <w:spacing w:after="0" w:line="480" w:lineRule="auto"/>
        <w:jc w:val="both"/>
        <w:rPr>
          <w:rFonts w:ascii="Times New Roman" w:hAnsi="Times New Roman" w:cs="Times New Roman"/>
          <w:sz w:val="24"/>
          <w:szCs w:val="24"/>
        </w:rPr>
      </w:pPr>
      <w:r w:rsidRPr="00EF229A">
        <w:rPr>
          <w:rFonts w:ascii="Times New Roman" w:hAnsi="Times New Roman" w:cs="Times New Roman"/>
          <w:sz w:val="24"/>
          <w:szCs w:val="24"/>
        </w:rPr>
        <w:t>Accessibility and safety for fieldwork.</w:t>
      </w:r>
    </w:p>
    <w:p w:rsidR="0037735E" w:rsidRDefault="0037735E" w:rsidP="00384B4A">
      <w:pPr>
        <w:spacing w:after="0" w:line="480" w:lineRule="auto"/>
        <w:jc w:val="both"/>
        <w:rPr>
          <w:rFonts w:ascii="Times New Roman" w:hAnsi="Times New Roman" w:cs="Times New Roman"/>
          <w:b/>
          <w:caps/>
          <w:sz w:val="24"/>
          <w:szCs w:val="24"/>
        </w:rPr>
      </w:pPr>
    </w:p>
    <w:p w:rsidR="0037735E" w:rsidRDefault="0037735E" w:rsidP="00384B4A">
      <w:pPr>
        <w:spacing w:after="0" w:line="480" w:lineRule="auto"/>
        <w:jc w:val="both"/>
        <w:rPr>
          <w:rFonts w:ascii="Times New Roman" w:hAnsi="Times New Roman" w:cs="Times New Roman"/>
          <w:b/>
          <w:caps/>
          <w:sz w:val="24"/>
          <w:szCs w:val="24"/>
        </w:rPr>
      </w:pPr>
    </w:p>
    <w:p w:rsidR="0037735E" w:rsidRDefault="0037735E" w:rsidP="00384B4A">
      <w:pPr>
        <w:spacing w:after="0" w:line="480" w:lineRule="auto"/>
        <w:jc w:val="both"/>
        <w:rPr>
          <w:rFonts w:ascii="Times New Roman" w:hAnsi="Times New Roman" w:cs="Times New Roman"/>
          <w:b/>
          <w:caps/>
          <w:sz w:val="24"/>
          <w:szCs w:val="24"/>
        </w:rPr>
      </w:pPr>
    </w:p>
    <w:p w:rsidR="0037735E" w:rsidRDefault="0037735E" w:rsidP="00384B4A">
      <w:pPr>
        <w:spacing w:after="0" w:line="480" w:lineRule="auto"/>
        <w:jc w:val="both"/>
        <w:rPr>
          <w:rFonts w:ascii="Times New Roman" w:hAnsi="Times New Roman" w:cs="Times New Roman"/>
          <w:b/>
          <w:caps/>
          <w:sz w:val="24"/>
          <w:szCs w:val="24"/>
        </w:rPr>
      </w:pPr>
    </w:p>
    <w:p w:rsidR="0037735E" w:rsidRDefault="0037735E" w:rsidP="00384B4A">
      <w:pPr>
        <w:spacing w:after="0" w:line="480" w:lineRule="auto"/>
        <w:jc w:val="both"/>
        <w:rPr>
          <w:rFonts w:ascii="Times New Roman" w:hAnsi="Times New Roman" w:cs="Times New Roman"/>
          <w:b/>
          <w:caps/>
          <w:sz w:val="24"/>
          <w:szCs w:val="24"/>
        </w:rPr>
      </w:pPr>
    </w:p>
    <w:p w:rsidR="0037735E" w:rsidRDefault="0037735E" w:rsidP="00384B4A">
      <w:pPr>
        <w:spacing w:after="0" w:line="480" w:lineRule="auto"/>
        <w:jc w:val="both"/>
        <w:rPr>
          <w:rFonts w:ascii="Times New Roman" w:hAnsi="Times New Roman" w:cs="Times New Roman"/>
          <w:b/>
          <w:caps/>
          <w:sz w:val="24"/>
          <w:szCs w:val="24"/>
        </w:rPr>
      </w:pPr>
    </w:p>
    <w:p w:rsidR="0037735E" w:rsidRDefault="0037735E" w:rsidP="00384B4A">
      <w:pPr>
        <w:spacing w:after="0" w:line="480" w:lineRule="auto"/>
        <w:jc w:val="both"/>
        <w:rPr>
          <w:rFonts w:ascii="Times New Roman" w:hAnsi="Times New Roman" w:cs="Times New Roman"/>
          <w:b/>
          <w:caps/>
          <w:sz w:val="24"/>
          <w:szCs w:val="24"/>
        </w:rPr>
      </w:pPr>
    </w:p>
    <w:p w:rsidR="00933052" w:rsidRPr="00EF229A" w:rsidRDefault="00933052" w:rsidP="00384B4A">
      <w:pPr>
        <w:spacing w:after="0" w:line="480" w:lineRule="auto"/>
        <w:jc w:val="both"/>
        <w:rPr>
          <w:rFonts w:ascii="Times New Roman" w:hAnsi="Times New Roman" w:cs="Times New Roman"/>
          <w:b/>
          <w:caps/>
          <w:sz w:val="24"/>
          <w:szCs w:val="24"/>
        </w:rPr>
      </w:pPr>
      <w:r w:rsidRPr="00EF229A">
        <w:rPr>
          <w:rFonts w:ascii="Times New Roman" w:hAnsi="Times New Roman" w:cs="Times New Roman"/>
          <w:b/>
          <w:caps/>
          <w:sz w:val="24"/>
          <w:szCs w:val="24"/>
        </w:rPr>
        <w:lastRenderedPageBreak/>
        <w:t>3.5</w:t>
      </w:r>
      <w:r w:rsidRPr="00EF229A">
        <w:rPr>
          <w:rFonts w:ascii="Times New Roman" w:hAnsi="Times New Roman" w:cs="Times New Roman"/>
          <w:b/>
          <w:caps/>
          <w:sz w:val="24"/>
          <w:szCs w:val="24"/>
        </w:rPr>
        <w:tab/>
        <w:t xml:space="preserve">Sample Collection and Preservation </w:t>
      </w:r>
    </w:p>
    <w:p w:rsidR="00933052" w:rsidRPr="00EF229A" w:rsidRDefault="00933052" w:rsidP="00384B4A">
      <w:pPr>
        <w:spacing w:after="0" w:line="480" w:lineRule="auto"/>
        <w:jc w:val="both"/>
        <w:rPr>
          <w:rFonts w:ascii="Times New Roman" w:hAnsi="Times New Roman" w:cs="Times New Roman"/>
          <w:sz w:val="24"/>
          <w:szCs w:val="24"/>
        </w:rPr>
      </w:pPr>
      <w:r w:rsidRPr="00EF229A">
        <w:rPr>
          <w:rFonts w:ascii="Times New Roman" w:hAnsi="Times New Roman" w:cs="Times New Roman"/>
          <w:sz w:val="24"/>
          <w:szCs w:val="24"/>
        </w:rPr>
        <w:t>Standard protocols for water sample collection were followed. In line with APHA (2017) guidelines:</w:t>
      </w:r>
    </w:p>
    <w:p w:rsidR="00933052" w:rsidRPr="00EF229A" w:rsidRDefault="00933052" w:rsidP="00384B4A">
      <w:pPr>
        <w:pStyle w:val="ListParagraph"/>
        <w:numPr>
          <w:ilvl w:val="0"/>
          <w:numId w:val="23"/>
        </w:numPr>
        <w:spacing w:after="0" w:line="480" w:lineRule="auto"/>
        <w:jc w:val="both"/>
        <w:rPr>
          <w:rFonts w:ascii="Times New Roman" w:hAnsi="Times New Roman" w:cs="Times New Roman"/>
          <w:sz w:val="24"/>
          <w:szCs w:val="24"/>
        </w:rPr>
      </w:pPr>
      <w:r w:rsidRPr="00EF229A">
        <w:rPr>
          <w:rFonts w:ascii="Times New Roman" w:hAnsi="Times New Roman" w:cs="Times New Roman"/>
          <w:sz w:val="24"/>
          <w:szCs w:val="24"/>
        </w:rPr>
        <w:t xml:space="preserve">All containers were pre-washed with distilled water and rinsed with the sample water before final collection. </w:t>
      </w:r>
    </w:p>
    <w:p w:rsidR="00933052" w:rsidRPr="00EF229A" w:rsidRDefault="00933052" w:rsidP="00384B4A">
      <w:pPr>
        <w:pStyle w:val="ListParagraph"/>
        <w:numPr>
          <w:ilvl w:val="0"/>
          <w:numId w:val="23"/>
        </w:numPr>
        <w:spacing w:after="0" w:line="480" w:lineRule="auto"/>
        <w:jc w:val="both"/>
        <w:rPr>
          <w:rFonts w:ascii="Times New Roman" w:hAnsi="Times New Roman" w:cs="Times New Roman"/>
          <w:sz w:val="24"/>
          <w:szCs w:val="24"/>
        </w:rPr>
      </w:pPr>
      <w:proofErr w:type="spellStart"/>
      <w:r w:rsidRPr="00EF229A">
        <w:rPr>
          <w:rFonts w:ascii="Times New Roman" w:hAnsi="Times New Roman" w:cs="Times New Roman"/>
          <w:b/>
          <w:sz w:val="24"/>
          <w:szCs w:val="24"/>
        </w:rPr>
        <w:t>Physico</w:t>
      </w:r>
      <w:proofErr w:type="spellEnd"/>
      <w:r w:rsidRPr="00EF229A">
        <w:rPr>
          <w:rFonts w:ascii="Times New Roman" w:hAnsi="Times New Roman" w:cs="Times New Roman"/>
          <w:b/>
          <w:sz w:val="24"/>
          <w:szCs w:val="24"/>
        </w:rPr>
        <w:t>-chemical parameters</w:t>
      </w:r>
      <w:r w:rsidRPr="00EF229A">
        <w:rPr>
          <w:rFonts w:ascii="Times New Roman" w:hAnsi="Times New Roman" w:cs="Times New Roman"/>
          <w:sz w:val="24"/>
          <w:szCs w:val="24"/>
        </w:rPr>
        <w:t xml:space="preserve"> such as temperature, pH, electrical conductivity (EC), and total dissolved solid (TDS) were measured </w:t>
      </w:r>
      <w:r w:rsidRPr="00EF229A">
        <w:rPr>
          <w:rFonts w:ascii="Times New Roman" w:hAnsi="Times New Roman" w:cs="Times New Roman"/>
          <w:b/>
          <w:sz w:val="24"/>
          <w:szCs w:val="24"/>
        </w:rPr>
        <w:t>in situ</w:t>
      </w:r>
      <w:r w:rsidRPr="00EF229A">
        <w:rPr>
          <w:rFonts w:ascii="Times New Roman" w:hAnsi="Times New Roman" w:cs="Times New Roman"/>
          <w:sz w:val="24"/>
          <w:szCs w:val="24"/>
        </w:rPr>
        <w:t xml:space="preserve"> using portable meters. </w:t>
      </w:r>
    </w:p>
    <w:p w:rsidR="00933052" w:rsidRPr="00EF229A" w:rsidRDefault="00933052" w:rsidP="00384B4A">
      <w:pPr>
        <w:pStyle w:val="ListParagraph"/>
        <w:numPr>
          <w:ilvl w:val="0"/>
          <w:numId w:val="23"/>
        </w:numPr>
        <w:spacing w:after="0" w:line="480" w:lineRule="auto"/>
        <w:jc w:val="both"/>
        <w:rPr>
          <w:rFonts w:ascii="Times New Roman" w:hAnsi="Times New Roman" w:cs="Times New Roman"/>
          <w:sz w:val="24"/>
          <w:szCs w:val="24"/>
        </w:rPr>
      </w:pPr>
      <w:r w:rsidRPr="00EF229A">
        <w:rPr>
          <w:rFonts w:ascii="Times New Roman" w:hAnsi="Times New Roman" w:cs="Times New Roman"/>
          <w:sz w:val="24"/>
          <w:szCs w:val="24"/>
        </w:rPr>
        <w:t>Samples for caution (e.g</w:t>
      </w:r>
      <w:proofErr w:type="gramStart"/>
      <w:r w:rsidRPr="00EF229A">
        <w:rPr>
          <w:rFonts w:ascii="Times New Roman" w:hAnsi="Times New Roman" w:cs="Times New Roman"/>
          <w:sz w:val="24"/>
          <w:szCs w:val="24"/>
        </w:rPr>
        <w:t xml:space="preserve">. </w:t>
      </w:r>
      <w:proofErr w:type="gramEnd"/>
      <m:oMath>
        <m:sSup>
          <m:sSupPr>
            <m:ctrlPr>
              <w:rPr>
                <w:rFonts w:ascii="Cambria Math" w:hAnsi="Cambria Math" w:cs="Times New Roman"/>
                <w:i/>
                <w:sz w:val="24"/>
                <w:szCs w:val="24"/>
              </w:rPr>
            </m:ctrlPr>
          </m:sSupPr>
          <m:e>
            <m:r>
              <w:rPr>
                <w:rFonts w:ascii="Cambria Math" w:hAnsi="Cambria Math" w:cs="Times New Roman"/>
                <w:sz w:val="24"/>
                <w:szCs w:val="24"/>
              </w:rPr>
              <m:t>Ca</m:t>
            </m:r>
          </m:e>
          <m:sup>
            <m:r>
              <w:rPr>
                <w:rFonts w:ascii="Cambria Math" w:hAnsi="Cambria Math" w:cs="Times New Roman"/>
                <w:sz w:val="24"/>
                <w:szCs w:val="24"/>
              </w:rPr>
              <m:t>2</m:t>
            </m:r>
          </m:sup>
        </m:sSup>
      </m:oMath>
      <w:r w:rsidRPr="00EF229A">
        <w:rPr>
          <w:rFonts w:ascii="Times New Roman" w:eastAsiaTheme="minorEastAsia"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Mg</m:t>
            </m:r>
          </m:e>
          <m:sup>
            <m:r>
              <w:rPr>
                <w:rFonts w:ascii="Cambria Math" w:hAnsi="Cambria Math" w:cs="Times New Roman"/>
                <w:sz w:val="24"/>
                <w:szCs w:val="24"/>
              </w:rPr>
              <m:t>2</m:t>
            </m:r>
          </m:sup>
        </m:sSup>
      </m:oMath>
      <w:r w:rsidRPr="00EF229A">
        <w:rPr>
          <w:rFonts w:ascii="Times New Roman" w:eastAsiaTheme="minorEastAsia"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Na</m:t>
            </m:r>
          </m:e>
          <m:sup>
            <m:r>
              <w:rPr>
                <w:rFonts w:ascii="Cambria Math" w:hAnsi="Cambria Math" w:cs="Times New Roman"/>
                <w:sz w:val="24"/>
                <w:szCs w:val="24"/>
              </w:rPr>
              <m:t>+</m:t>
            </m:r>
          </m:sup>
        </m:sSup>
      </m:oMath>
      <w:r w:rsidRPr="00EF229A">
        <w:rPr>
          <w:rFonts w:ascii="Times New Roman" w:eastAsiaTheme="minorEastAsia"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K</m:t>
            </m:r>
          </m:e>
          <m:sup>
            <m:r>
              <w:rPr>
                <w:rFonts w:ascii="Cambria Math" w:hAnsi="Cambria Math" w:cs="Times New Roman"/>
                <w:sz w:val="24"/>
                <w:szCs w:val="24"/>
              </w:rPr>
              <m:t>+</m:t>
            </m:r>
          </m:sup>
        </m:sSup>
      </m:oMath>
      <w:r w:rsidRPr="00EF229A">
        <w:rPr>
          <w:rFonts w:ascii="Times New Roman" w:eastAsiaTheme="minorEastAsia" w:hAnsi="Times New Roman" w:cs="Times New Roman"/>
          <w:sz w:val="24"/>
          <w:szCs w:val="24"/>
        </w:rPr>
        <w:t>) and anion (e.g.HCO</w:t>
      </w:r>
      <w:r w:rsidRPr="00EF229A">
        <w:rPr>
          <w:rFonts w:ascii="Times New Roman" w:eastAsiaTheme="minorEastAsia" w:hAnsi="Times New Roman" w:cs="Times New Roman"/>
          <w:sz w:val="24"/>
          <w:szCs w:val="24"/>
          <w:vertAlign w:val="subscript"/>
        </w:rPr>
        <w:t>3</w:t>
      </w:r>
      <w:r w:rsidRPr="00EF229A">
        <w:rPr>
          <w:rFonts w:ascii="Times New Roman" w:eastAsiaTheme="minorEastAsia" w:hAnsi="Times New Roman" w:cs="Times New Roman"/>
          <w:sz w:val="24"/>
          <w:szCs w:val="24"/>
        </w:rPr>
        <w:t>, SO</w:t>
      </w:r>
      <w:r w:rsidRPr="00EF229A">
        <w:rPr>
          <w:rFonts w:ascii="Times New Roman" w:eastAsiaTheme="minorEastAsia" w:hAnsi="Times New Roman" w:cs="Times New Roman"/>
          <w:sz w:val="24"/>
          <w:szCs w:val="24"/>
          <w:vertAlign w:val="subscript"/>
        </w:rPr>
        <w:t>4</w:t>
      </w:r>
      <w:r w:rsidRPr="00EF229A">
        <w:rPr>
          <w:rFonts w:ascii="Times New Roman" w:eastAsiaTheme="minorEastAsia" w:hAnsi="Times New Roman" w:cs="Times New Roman"/>
          <w:sz w:val="24"/>
          <w:szCs w:val="24"/>
          <w:vertAlign w:val="superscript"/>
        </w:rPr>
        <w:t>2-</w:t>
      </w:r>
      <w:r w:rsidRPr="00EF229A">
        <w:rPr>
          <w:rFonts w:ascii="Times New Roman" w:eastAsiaTheme="minorEastAsia" w:hAnsi="Times New Roman" w:cs="Times New Roman"/>
          <w:sz w:val="24"/>
          <w:szCs w:val="24"/>
        </w:rPr>
        <w:t xml:space="preserve"> , </w:t>
      </w:r>
      <w:proofErr w:type="spellStart"/>
      <w:r w:rsidRPr="00EF229A">
        <w:rPr>
          <w:rFonts w:ascii="Times New Roman" w:eastAsiaTheme="minorEastAsia" w:hAnsi="Times New Roman" w:cs="Times New Roman"/>
          <w:sz w:val="24"/>
          <w:szCs w:val="24"/>
        </w:rPr>
        <w:t>Cl</w:t>
      </w:r>
      <w:proofErr w:type="spellEnd"/>
      <w:r w:rsidRPr="00EF229A">
        <w:rPr>
          <w:rFonts w:ascii="Times New Roman" w:eastAsiaTheme="minorEastAsia" w:hAnsi="Times New Roman" w:cs="Times New Roman"/>
          <w:sz w:val="24"/>
          <w:szCs w:val="24"/>
        </w:rPr>
        <w:t>, NO</w:t>
      </w:r>
      <w:r w:rsidRPr="00EF229A">
        <w:rPr>
          <w:rFonts w:ascii="Times New Roman" w:eastAsiaTheme="minorEastAsia" w:hAnsi="Times New Roman" w:cs="Times New Roman"/>
          <w:sz w:val="24"/>
          <w:szCs w:val="24"/>
          <w:vertAlign w:val="subscript"/>
        </w:rPr>
        <w:t>3</w:t>
      </w:r>
      <w:r w:rsidRPr="00EF229A">
        <w:rPr>
          <w:rFonts w:ascii="Times New Roman" w:eastAsiaTheme="minorEastAsia" w:hAnsi="Times New Roman" w:cs="Times New Roman"/>
          <w:sz w:val="24"/>
          <w:szCs w:val="24"/>
          <w:vertAlign w:val="superscript"/>
        </w:rPr>
        <w:t>-</w:t>
      </w:r>
      <w:r w:rsidRPr="00EF229A">
        <w:rPr>
          <w:rFonts w:ascii="Times New Roman" w:eastAsiaTheme="minorEastAsia" w:hAnsi="Times New Roman" w:cs="Times New Roman"/>
          <w:sz w:val="24"/>
          <w:szCs w:val="24"/>
        </w:rPr>
        <w:t xml:space="preserve">) analysis were stored in clean 500ml polyethylene bottle. </w:t>
      </w:r>
    </w:p>
    <w:p w:rsidR="00933052" w:rsidRPr="00EF229A" w:rsidRDefault="00933052" w:rsidP="00384B4A">
      <w:pPr>
        <w:pStyle w:val="ListParagraph"/>
        <w:numPr>
          <w:ilvl w:val="0"/>
          <w:numId w:val="23"/>
        </w:numPr>
        <w:spacing w:after="0" w:line="480" w:lineRule="auto"/>
        <w:jc w:val="both"/>
        <w:rPr>
          <w:rFonts w:ascii="Times New Roman" w:hAnsi="Times New Roman" w:cs="Times New Roman"/>
          <w:sz w:val="24"/>
          <w:szCs w:val="24"/>
        </w:rPr>
      </w:pPr>
      <w:r w:rsidRPr="00EF229A">
        <w:rPr>
          <w:rFonts w:ascii="Times New Roman" w:eastAsiaTheme="minorEastAsia" w:hAnsi="Times New Roman" w:cs="Times New Roman"/>
          <w:sz w:val="24"/>
          <w:szCs w:val="24"/>
        </w:rPr>
        <w:t xml:space="preserve">For heavy metal analysis. Sample were acidified to </w:t>
      </w:r>
      <w:proofErr w:type="spellStart"/>
      <w:r w:rsidRPr="00EF229A">
        <w:rPr>
          <w:rFonts w:ascii="Times New Roman" w:eastAsiaTheme="minorEastAsia" w:hAnsi="Times New Roman" w:cs="Times New Roman"/>
          <w:sz w:val="24"/>
          <w:szCs w:val="24"/>
        </w:rPr>
        <w:t>Ph</w:t>
      </w:r>
      <w:proofErr w:type="spellEnd"/>
      <w:r w:rsidRPr="00EF229A">
        <w:rPr>
          <w:rFonts w:ascii="Times New Roman" w:eastAsiaTheme="minorEastAsia" w:hAnsi="Times New Roman" w:cs="Times New Roman"/>
          <w:sz w:val="24"/>
          <w:szCs w:val="24"/>
        </w:rPr>
        <w:t xml:space="preserve"> &lt;2 with nitric acid to prevent precipitation and </w:t>
      </w:r>
      <w:r w:rsidRPr="00EF229A">
        <w:rPr>
          <w:rFonts w:ascii="Times New Roman" w:hAnsi="Times New Roman" w:cs="Times New Roman"/>
          <w:sz w:val="24"/>
          <w:szCs w:val="24"/>
        </w:rPr>
        <w:t>microbial</w:t>
      </w:r>
      <w:r w:rsidRPr="00EF229A">
        <w:rPr>
          <w:rFonts w:ascii="Times New Roman" w:eastAsiaTheme="minorEastAsia" w:hAnsi="Times New Roman" w:cs="Times New Roman"/>
          <w:sz w:val="24"/>
          <w:szCs w:val="24"/>
        </w:rPr>
        <w:t xml:space="preserve"> activity. </w:t>
      </w:r>
    </w:p>
    <w:p w:rsidR="00933052" w:rsidRPr="00EF229A" w:rsidRDefault="00933052" w:rsidP="00384B4A">
      <w:pPr>
        <w:pStyle w:val="ListParagraph"/>
        <w:numPr>
          <w:ilvl w:val="0"/>
          <w:numId w:val="23"/>
        </w:numPr>
        <w:spacing w:after="0" w:line="480" w:lineRule="auto"/>
        <w:jc w:val="both"/>
        <w:rPr>
          <w:rFonts w:ascii="Times New Roman" w:hAnsi="Times New Roman" w:cs="Times New Roman"/>
          <w:sz w:val="24"/>
          <w:szCs w:val="24"/>
        </w:rPr>
      </w:pPr>
      <w:r w:rsidRPr="00EF229A">
        <w:rPr>
          <w:rFonts w:ascii="Times New Roman" w:eastAsiaTheme="minorEastAsia" w:hAnsi="Times New Roman" w:cs="Times New Roman"/>
          <w:sz w:val="24"/>
          <w:szCs w:val="24"/>
        </w:rPr>
        <w:t xml:space="preserve">Samples were preserved in ice-preserved in ice-packed coolers and transported to the laboratory within 24 hours for analysis. </w:t>
      </w:r>
    </w:p>
    <w:p w:rsidR="00933052" w:rsidRPr="00933052" w:rsidRDefault="00933052" w:rsidP="00384B4A">
      <w:pPr>
        <w:spacing w:after="0" w:line="480" w:lineRule="auto"/>
        <w:jc w:val="both"/>
        <w:rPr>
          <w:rFonts w:ascii="Times New Roman" w:hAnsi="Times New Roman" w:cs="Times New Roman"/>
          <w:b/>
          <w:caps/>
          <w:color w:val="000000" w:themeColor="text1"/>
          <w:sz w:val="24"/>
          <w:szCs w:val="24"/>
        </w:rPr>
      </w:pPr>
      <w:r w:rsidRPr="00933052">
        <w:rPr>
          <w:rFonts w:ascii="Times New Roman" w:hAnsi="Times New Roman" w:cs="Times New Roman"/>
          <w:b/>
          <w:caps/>
          <w:color w:val="000000" w:themeColor="text1"/>
          <w:sz w:val="24"/>
          <w:szCs w:val="24"/>
        </w:rPr>
        <w:t>3.6</w:t>
      </w:r>
      <w:r w:rsidRPr="00933052">
        <w:rPr>
          <w:rFonts w:ascii="Times New Roman" w:hAnsi="Times New Roman" w:cs="Times New Roman"/>
          <w:b/>
          <w:caps/>
          <w:color w:val="000000" w:themeColor="text1"/>
          <w:sz w:val="24"/>
          <w:szCs w:val="24"/>
        </w:rPr>
        <w:tab/>
        <w:t xml:space="preserve">Laboratory Analytical Procedure </w:t>
      </w:r>
    </w:p>
    <w:p w:rsidR="00933052" w:rsidRPr="00933052" w:rsidRDefault="00933052" w:rsidP="00384B4A">
      <w:pPr>
        <w:spacing w:after="0" w:line="480" w:lineRule="auto"/>
        <w:jc w:val="both"/>
        <w:rPr>
          <w:rFonts w:ascii="Times New Roman" w:hAnsi="Times New Roman" w:cs="Times New Roman"/>
          <w:color w:val="000000" w:themeColor="text1"/>
          <w:sz w:val="24"/>
          <w:szCs w:val="24"/>
        </w:rPr>
      </w:pPr>
      <w:r w:rsidRPr="00933052">
        <w:rPr>
          <w:rFonts w:ascii="Times New Roman" w:hAnsi="Times New Roman" w:cs="Times New Roman"/>
          <w:color w:val="000000" w:themeColor="text1"/>
          <w:sz w:val="24"/>
          <w:szCs w:val="24"/>
        </w:rPr>
        <w:t xml:space="preserve">Water sample were analyzed in a certified water quality laboratory using standard analytical methods as outlined by the American Public Health Association </w:t>
      </w:r>
      <w:r w:rsidRPr="00933052">
        <w:rPr>
          <w:rFonts w:ascii="Times New Roman" w:hAnsi="Times New Roman" w:cs="Times New Roman"/>
          <w:b/>
          <w:color w:val="000000" w:themeColor="text1"/>
          <w:sz w:val="24"/>
          <w:szCs w:val="24"/>
        </w:rPr>
        <w:t>(APHA, 2017)</w:t>
      </w:r>
    </w:p>
    <w:p w:rsidR="00933052" w:rsidRPr="00933052" w:rsidRDefault="00933052" w:rsidP="00384B4A">
      <w:pPr>
        <w:spacing w:after="0" w:line="480" w:lineRule="auto"/>
        <w:jc w:val="both"/>
        <w:rPr>
          <w:rFonts w:ascii="Times New Roman" w:hAnsi="Times New Roman" w:cs="Times New Roman"/>
          <w:b/>
          <w:color w:val="000000" w:themeColor="text1"/>
          <w:sz w:val="24"/>
          <w:szCs w:val="24"/>
        </w:rPr>
      </w:pPr>
      <w:r w:rsidRPr="00933052">
        <w:rPr>
          <w:rFonts w:ascii="Times New Roman" w:hAnsi="Times New Roman" w:cs="Times New Roman"/>
          <w:b/>
          <w:color w:val="000000" w:themeColor="text1"/>
          <w:sz w:val="24"/>
          <w:szCs w:val="24"/>
        </w:rPr>
        <w:t>3.6.1</w:t>
      </w:r>
      <w:r w:rsidRPr="00933052">
        <w:rPr>
          <w:rFonts w:ascii="Times New Roman" w:hAnsi="Times New Roman" w:cs="Times New Roman"/>
          <w:b/>
          <w:color w:val="000000" w:themeColor="text1"/>
          <w:sz w:val="24"/>
          <w:szCs w:val="24"/>
        </w:rPr>
        <w:tab/>
        <w:t xml:space="preserve">Physical Parameters </w:t>
      </w:r>
    </w:p>
    <w:p w:rsidR="00933052" w:rsidRPr="00933052" w:rsidRDefault="00933052" w:rsidP="00384B4A">
      <w:pPr>
        <w:spacing w:after="0" w:line="480" w:lineRule="auto"/>
        <w:jc w:val="both"/>
        <w:rPr>
          <w:rFonts w:ascii="Times New Roman" w:hAnsi="Times New Roman" w:cs="Times New Roman"/>
          <w:color w:val="000000" w:themeColor="text1"/>
          <w:sz w:val="24"/>
          <w:szCs w:val="24"/>
        </w:rPr>
      </w:pPr>
      <w:r w:rsidRPr="00933052">
        <w:rPr>
          <w:rFonts w:ascii="Times New Roman" w:hAnsi="Times New Roman" w:cs="Times New Roman"/>
          <w:b/>
          <w:color w:val="000000" w:themeColor="text1"/>
          <w:sz w:val="24"/>
          <w:szCs w:val="24"/>
        </w:rPr>
        <w:t xml:space="preserve">Temperature and </w:t>
      </w:r>
      <w:proofErr w:type="spellStart"/>
      <w:r w:rsidRPr="00933052">
        <w:rPr>
          <w:rFonts w:ascii="Times New Roman" w:hAnsi="Times New Roman" w:cs="Times New Roman"/>
          <w:b/>
          <w:color w:val="000000" w:themeColor="text1"/>
          <w:sz w:val="24"/>
          <w:szCs w:val="24"/>
        </w:rPr>
        <w:t>Ph</w:t>
      </w:r>
      <w:proofErr w:type="spellEnd"/>
      <w:r w:rsidRPr="00933052">
        <w:rPr>
          <w:rFonts w:ascii="Times New Roman" w:hAnsi="Times New Roman" w:cs="Times New Roman"/>
          <w:color w:val="000000" w:themeColor="text1"/>
          <w:sz w:val="24"/>
          <w:szCs w:val="24"/>
        </w:rPr>
        <w:t>: Measured on-site using digital pH/temperature meters.</w:t>
      </w:r>
    </w:p>
    <w:p w:rsidR="00933052" w:rsidRPr="00933052" w:rsidRDefault="00933052" w:rsidP="00384B4A">
      <w:pPr>
        <w:spacing w:after="0" w:line="480" w:lineRule="auto"/>
        <w:jc w:val="both"/>
        <w:rPr>
          <w:rFonts w:ascii="Times New Roman" w:hAnsi="Times New Roman" w:cs="Times New Roman"/>
          <w:color w:val="000000" w:themeColor="text1"/>
          <w:sz w:val="24"/>
          <w:szCs w:val="24"/>
        </w:rPr>
      </w:pPr>
      <w:proofErr w:type="gramStart"/>
      <w:r w:rsidRPr="00933052">
        <w:rPr>
          <w:rFonts w:ascii="Times New Roman" w:hAnsi="Times New Roman" w:cs="Times New Roman"/>
          <w:b/>
          <w:color w:val="000000" w:themeColor="text1"/>
          <w:sz w:val="24"/>
          <w:szCs w:val="24"/>
        </w:rPr>
        <w:t>Electrical Conductivity (EC)</w:t>
      </w:r>
      <w:r w:rsidRPr="00933052">
        <w:rPr>
          <w:rFonts w:ascii="Times New Roman" w:hAnsi="Times New Roman" w:cs="Times New Roman"/>
          <w:color w:val="000000" w:themeColor="text1"/>
          <w:sz w:val="24"/>
          <w:szCs w:val="24"/>
        </w:rPr>
        <w:t xml:space="preserve"> and </w:t>
      </w:r>
      <w:r w:rsidRPr="00933052">
        <w:rPr>
          <w:rFonts w:ascii="Times New Roman" w:hAnsi="Times New Roman" w:cs="Times New Roman"/>
          <w:b/>
          <w:color w:val="000000" w:themeColor="text1"/>
          <w:sz w:val="24"/>
          <w:szCs w:val="24"/>
        </w:rPr>
        <w:t>Total Dissolved Solid (TDS);</w:t>
      </w:r>
      <w:r w:rsidRPr="00933052">
        <w:rPr>
          <w:rFonts w:ascii="Times New Roman" w:hAnsi="Times New Roman" w:cs="Times New Roman"/>
          <w:color w:val="000000" w:themeColor="text1"/>
          <w:sz w:val="24"/>
          <w:szCs w:val="24"/>
        </w:rPr>
        <w:t xml:space="preserve"> Determined using a portable EC/TDS meter.</w:t>
      </w:r>
      <w:proofErr w:type="gramEnd"/>
      <w:r w:rsidRPr="00933052">
        <w:rPr>
          <w:rFonts w:ascii="Times New Roman" w:hAnsi="Times New Roman" w:cs="Times New Roman"/>
          <w:color w:val="000000" w:themeColor="text1"/>
          <w:sz w:val="24"/>
          <w:szCs w:val="24"/>
        </w:rPr>
        <w:t xml:space="preserve"> </w:t>
      </w:r>
    </w:p>
    <w:p w:rsidR="00933052" w:rsidRPr="00933052" w:rsidRDefault="00933052" w:rsidP="00384B4A">
      <w:pPr>
        <w:spacing w:after="0" w:line="480" w:lineRule="auto"/>
        <w:jc w:val="both"/>
        <w:rPr>
          <w:rFonts w:ascii="Times New Roman" w:hAnsi="Times New Roman" w:cs="Times New Roman"/>
          <w:b/>
          <w:color w:val="000000" w:themeColor="text1"/>
          <w:sz w:val="24"/>
          <w:szCs w:val="24"/>
        </w:rPr>
      </w:pPr>
      <w:r w:rsidRPr="00933052">
        <w:rPr>
          <w:rFonts w:ascii="Times New Roman" w:hAnsi="Times New Roman" w:cs="Times New Roman"/>
          <w:b/>
          <w:color w:val="000000" w:themeColor="text1"/>
          <w:sz w:val="24"/>
          <w:szCs w:val="24"/>
        </w:rPr>
        <w:t>3.6.2</w:t>
      </w:r>
      <w:r w:rsidRPr="00933052">
        <w:rPr>
          <w:rFonts w:ascii="Times New Roman" w:hAnsi="Times New Roman" w:cs="Times New Roman"/>
          <w:b/>
          <w:color w:val="000000" w:themeColor="text1"/>
          <w:sz w:val="24"/>
          <w:szCs w:val="24"/>
        </w:rPr>
        <w:tab/>
        <w:t xml:space="preserve">Major </w:t>
      </w:r>
      <w:proofErr w:type="spellStart"/>
      <w:r w:rsidRPr="00933052">
        <w:rPr>
          <w:rFonts w:ascii="Times New Roman" w:hAnsi="Times New Roman" w:cs="Times New Roman"/>
          <w:b/>
          <w:color w:val="000000" w:themeColor="text1"/>
          <w:sz w:val="24"/>
          <w:szCs w:val="24"/>
        </w:rPr>
        <w:t>Cations</w:t>
      </w:r>
      <w:proofErr w:type="spellEnd"/>
      <w:r w:rsidRPr="00933052">
        <w:rPr>
          <w:rFonts w:ascii="Times New Roman" w:hAnsi="Times New Roman" w:cs="Times New Roman"/>
          <w:b/>
          <w:color w:val="000000" w:themeColor="text1"/>
          <w:sz w:val="24"/>
          <w:szCs w:val="24"/>
        </w:rPr>
        <w:t xml:space="preserve"> </w:t>
      </w:r>
    </w:p>
    <w:p w:rsidR="00933052" w:rsidRPr="00933052" w:rsidRDefault="00933052" w:rsidP="00384B4A">
      <w:pPr>
        <w:spacing w:after="0" w:line="480" w:lineRule="auto"/>
        <w:jc w:val="both"/>
        <w:rPr>
          <w:rFonts w:ascii="Times New Roman" w:hAnsi="Times New Roman" w:cs="Times New Roman"/>
          <w:color w:val="000000" w:themeColor="text1"/>
          <w:sz w:val="24"/>
          <w:szCs w:val="24"/>
        </w:rPr>
      </w:pPr>
      <w:r w:rsidRPr="00933052">
        <w:rPr>
          <w:rFonts w:ascii="Times New Roman" w:hAnsi="Times New Roman" w:cs="Times New Roman"/>
          <w:b/>
          <w:color w:val="000000" w:themeColor="text1"/>
          <w:sz w:val="24"/>
          <w:szCs w:val="24"/>
        </w:rPr>
        <w:t>Calcium (Ca</w:t>
      </w:r>
      <w:r w:rsidRPr="00933052">
        <w:rPr>
          <w:rFonts w:ascii="Times New Roman" w:hAnsi="Times New Roman" w:cs="Times New Roman"/>
          <w:b/>
          <w:color w:val="000000" w:themeColor="text1"/>
          <w:sz w:val="24"/>
          <w:szCs w:val="24"/>
          <w:vertAlign w:val="superscript"/>
        </w:rPr>
        <w:t xml:space="preserve">2+) </w:t>
      </w:r>
      <w:r w:rsidRPr="00933052">
        <w:rPr>
          <w:rFonts w:ascii="Times New Roman" w:hAnsi="Times New Roman" w:cs="Times New Roman"/>
          <w:color w:val="000000" w:themeColor="text1"/>
          <w:sz w:val="24"/>
          <w:szCs w:val="24"/>
        </w:rPr>
        <w:t>and</w:t>
      </w:r>
      <w:r w:rsidRPr="00933052">
        <w:rPr>
          <w:rFonts w:ascii="Times New Roman" w:hAnsi="Times New Roman" w:cs="Times New Roman"/>
          <w:b/>
          <w:color w:val="000000" w:themeColor="text1"/>
          <w:sz w:val="24"/>
          <w:szCs w:val="24"/>
        </w:rPr>
        <w:t xml:space="preserve"> Magnesium (Mg</w:t>
      </w:r>
      <w:r w:rsidRPr="00933052">
        <w:rPr>
          <w:rFonts w:ascii="Times New Roman" w:hAnsi="Times New Roman" w:cs="Times New Roman"/>
          <w:b/>
          <w:color w:val="000000" w:themeColor="text1"/>
          <w:sz w:val="24"/>
          <w:szCs w:val="24"/>
          <w:vertAlign w:val="superscript"/>
        </w:rPr>
        <w:t>2+</w:t>
      </w:r>
      <w:r w:rsidRPr="00933052">
        <w:rPr>
          <w:rFonts w:ascii="Times New Roman" w:hAnsi="Times New Roman" w:cs="Times New Roman"/>
          <w:b/>
          <w:color w:val="000000" w:themeColor="text1"/>
          <w:sz w:val="24"/>
          <w:szCs w:val="24"/>
        </w:rPr>
        <w:t xml:space="preserve">): </w:t>
      </w:r>
      <w:r w:rsidRPr="00933052">
        <w:rPr>
          <w:rFonts w:ascii="Times New Roman" w:hAnsi="Times New Roman" w:cs="Times New Roman"/>
          <w:color w:val="000000" w:themeColor="text1"/>
          <w:sz w:val="24"/>
          <w:szCs w:val="24"/>
        </w:rPr>
        <w:t xml:space="preserve">Measured via EDTA titration method. </w:t>
      </w:r>
    </w:p>
    <w:p w:rsidR="00933052" w:rsidRPr="00933052" w:rsidRDefault="00933052" w:rsidP="00384B4A">
      <w:pPr>
        <w:spacing w:after="0" w:line="480" w:lineRule="auto"/>
        <w:jc w:val="both"/>
        <w:rPr>
          <w:rFonts w:ascii="Times New Roman" w:hAnsi="Times New Roman" w:cs="Times New Roman"/>
          <w:color w:val="000000" w:themeColor="text1"/>
          <w:sz w:val="24"/>
          <w:szCs w:val="24"/>
        </w:rPr>
      </w:pPr>
      <w:r w:rsidRPr="00933052">
        <w:rPr>
          <w:rFonts w:ascii="Times New Roman" w:hAnsi="Times New Roman" w:cs="Times New Roman"/>
          <w:b/>
          <w:color w:val="000000" w:themeColor="text1"/>
          <w:sz w:val="24"/>
          <w:szCs w:val="24"/>
        </w:rPr>
        <w:t>Sodium (Na</w:t>
      </w:r>
      <w:r w:rsidRPr="00933052">
        <w:rPr>
          <w:rFonts w:ascii="Times New Roman" w:hAnsi="Times New Roman" w:cs="Times New Roman"/>
          <w:b/>
          <w:color w:val="000000" w:themeColor="text1"/>
          <w:sz w:val="24"/>
          <w:szCs w:val="24"/>
          <w:vertAlign w:val="superscript"/>
        </w:rPr>
        <w:t>+</w:t>
      </w:r>
      <w:r w:rsidRPr="00933052">
        <w:rPr>
          <w:rFonts w:ascii="Times New Roman" w:hAnsi="Times New Roman" w:cs="Times New Roman"/>
          <w:b/>
          <w:color w:val="000000" w:themeColor="text1"/>
          <w:sz w:val="24"/>
          <w:szCs w:val="24"/>
        </w:rPr>
        <w:t>)</w:t>
      </w:r>
      <w:r w:rsidRPr="00933052">
        <w:rPr>
          <w:rFonts w:ascii="Times New Roman" w:hAnsi="Times New Roman" w:cs="Times New Roman"/>
          <w:color w:val="000000" w:themeColor="text1"/>
          <w:sz w:val="24"/>
          <w:szCs w:val="24"/>
        </w:rPr>
        <w:t xml:space="preserve"> and </w:t>
      </w:r>
      <w:r w:rsidRPr="00933052">
        <w:rPr>
          <w:rFonts w:ascii="Times New Roman" w:hAnsi="Times New Roman" w:cs="Times New Roman"/>
          <w:b/>
          <w:color w:val="000000" w:themeColor="text1"/>
          <w:sz w:val="24"/>
          <w:szCs w:val="24"/>
        </w:rPr>
        <w:t>Potassium (K</w:t>
      </w:r>
      <w:r w:rsidRPr="00933052">
        <w:rPr>
          <w:rFonts w:ascii="Times New Roman" w:hAnsi="Times New Roman" w:cs="Times New Roman"/>
          <w:b/>
          <w:color w:val="000000" w:themeColor="text1"/>
          <w:sz w:val="24"/>
          <w:szCs w:val="24"/>
          <w:vertAlign w:val="superscript"/>
        </w:rPr>
        <w:t>+</w:t>
      </w:r>
      <w:r w:rsidRPr="00933052">
        <w:rPr>
          <w:rFonts w:ascii="Times New Roman" w:hAnsi="Times New Roman" w:cs="Times New Roman"/>
          <w:b/>
          <w:color w:val="000000" w:themeColor="text1"/>
          <w:sz w:val="24"/>
          <w:szCs w:val="24"/>
        </w:rPr>
        <w:t>):</w:t>
      </w:r>
      <w:r w:rsidRPr="00933052">
        <w:rPr>
          <w:rFonts w:ascii="Times New Roman" w:hAnsi="Times New Roman" w:cs="Times New Roman"/>
          <w:color w:val="000000" w:themeColor="text1"/>
          <w:sz w:val="24"/>
          <w:szCs w:val="24"/>
        </w:rPr>
        <w:t xml:space="preserve"> Analyzed using flame photometry.</w:t>
      </w:r>
    </w:p>
    <w:p w:rsidR="00933052" w:rsidRPr="00933052" w:rsidRDefault="00933052" w:rsidP="00384B4A">
      <w:pPr>
        <w:spacing w:after="0" w:line="480" w:lineRule="auto"/>
        <w:jc w:val="both"/>
        <w:rPr>
          <w:rFonts w:ascii="Times New Roman" w:hAnsi="Times New Roman" w:cs="Times New Roman"/>
          <w:b/>
          <w:color w:val="000000" w:themeColor="text1"/>
          <w:sz w:val="24"/>
          <w:szCs w:val="24"/>
        </w:rPr>
      </w:pPr>
      <w:r w:rsidRPr="00933052">
        <w:rPr>
          <w:rFonts w:ascii="Times New Roman" w:hAnsi="Times New Roman" w:cs="Times New Roman"/>
          <w:b/>
          <w:color w:val="000000" w:themeColor="text1"/>
          <w:sz w:val="24"/>
          <w:szCs w:val="24"/>
        </w:rPr>
        <w:t>3.6.3</w:t>
      </w:r>
      <w:r w:rsidRPr="00933052">
        <w:rPr>
          <w:rFonts w:ascii="Times New Roman" w:hAnsi="Times New Roman" w:cs="Times New Roman"/>
          <w:b/>
          <w:color w:val="000000" w:themeColor="text1"/>
          <w:sz w:val="24"/>
          <w:szCs w:val="24"/>
        </w:rPr>
        <w:tab/>
        <w:t xml:space="preserve">Major Anions </w:t>
      </w:r>
    </w:p>
    <w:p w:rsidR="00933052" w:rsidRPr="00933052" w:rsidRDefault="00933052" w:rsidP="00384B4A">
      <w:pPr>
        <w:spacing w:after="0" w:line="480" w:lineRule="auto"/>
        <w:jc w:val="both"/>
        <w:rPr>
          <w:rFonts w:ascii="Times New Roman" w:hAnsi="Times New Roman" w:cs="Times New Roman"/>
          <w:color w:val="000000" w:themeColor="text1"/>
          <w:sz w:val="24"/>
          <w:szCs w:val="24"/>
        </w:rPr>
      </w:pPr>
      <w:r w:rsidRPr="00933052">
        <w:rPr>
          <w:rFonts w:ascii="Times New Roman" w:hAnsi="Times New Roman" w:cs="Times New Roman"/>
          <w:b/>
          <w:color w:val="000000" w:themeColor="text1"/>
          <w:sz w:val="24"/>
          <w:szCs w:val="24"/>
        </w:rPr>
        <w:t>Bicarbonate (HCO</w:t>
      </w:r>
      <w:r w:rsidRPr="00933052">
        <w:rPr>
          <w:rFonts w:ascii="Times New Roman" w:hAnsi="Times New Roman" w:cs="Times New Roman"/>
          <w:b/>
          <w:color w:val="000000" w:themeColor="text1"/>
          <w:sz w:val="24"/>
          <w:szCs w:val="24"/>
          <w:vertAlign w:val="subscript"/>
        </w:rPr>
        <w:t>3</w:t>
      </w:r>
      <w:r w:rsidRPr="00933052">
        <w:rPr>
          <w:rFonts w:ascii="Times New Roman" w:hAnsi="Times New Roman" w:cs="Times New Roman"/>
          <w:b/>
          <w:color w:val="000000" w:themeColor="text1"/>
          <w:sz w:val="24"/>
          <w:szCs w:val="24"/>
        </w:rPr>
        <w:t>):</w:t>
      </w:r>
      <w:r w:rsidRPr="00933052">
        <w:rPr>
          <w:rFonts w:ascii="Times New Roman" w:hAnsi="Times New Roman" w:cs="Times New Roman"/>
          <w:color w:val="000000" w:themeColor="text1"/>
          <w:sz w:val="24"/>
          <w:szCs w:val="24"/>
        </w:rPr>
        <w:t xml:space="preserve"> Determined using acid titration. </w:t>
      </w:r>
    </w:p>
    <w:p w:rsidR="00933052" w:rsidRPr="00933052" w:rsidRDefault="00933052" w:rsidP="00384B4A">
      <w:pPr>
        <w:spacing w:after="0" w:line="480" w:lineRule="auto"/>
        <w:jc w:val="both"/>
        <w:rPr>
          <w:rFonts w:ascii="Times New Roman" w:hAnsi="Times New Roman" w:cs="Times New Roman"/>
          <w:color w:val="000000" w:themeColor="text1"/>
          <w:sz w:val="24"/>
          <w:szCs w:val="24"/>
        </w:rPr>
      </w:pPr>
      <w:r w:rsidRPr="00933052">
        <w:rPr>
          <w:rFonts w:ascii="Times New Roman" w:hAnsi="Times New Roman" w:cs="Times New Roman"/>
          <w:b/>
          <w:color w:val="000000" w:themeColor="text1"/>
          <w:sz w:val="24"/>
          <w:szCs w:val="24"/>
        </w:rPr>
        <w:lastRenderedPageBreak/>
        <w:t>Chloride (</w:t>
      </w:r>
      <w:proofErr w:type="spellStart"/>
      <w:r w:rsidRPr="00933052">
        <w:rPr>
          <w:rFonts w:ascii="Times New Roman" w:hAnsi="Times New Roman" w:cs="Times New Roman"/>
          <w:b/>
          <w:color w:val="000000" w:themeColor="text1"/>
          <w:sz w:val="24"/>
          <w:szCs w:val="24"/>
        </w:rPr>
        <w:t>Cl</w:t>
      </w:r>
      <w:proofErr w:type="spellEnd"/>
      <w:r w:rsidRPr="00933052">
        <w:rPr>
          <w:rFonts w:ascii="Times New Roman" w:hAnsi="Times New Roman" w:cs="Times New Roman"/>
          <w:b/>
          <w:color w:val="000000" w:themeColor="text1"/>
          <w:sz w:val="24"/>
          <w:szCs w:val="24"/>
        </w:rPr>
        <w:t>):</w:t>
      </w:r>
      <w:r w:rsidRPr="00933052">
        <w:rPr>
          <w:rFonts w:ascii="Times New Roman" w:hAnsi="Times New Roman" w:cs="Times New Roman"/>
          <w:color w:val="000000" w:themeColor="text1"/>
          <w:sz w:val="24"/>
          <w:szCs w:val="24"/>
        </w:rPr>
        <w:t xml:space="preserve"> Measured by </w:t>
      </w:r>
      <w:proofErr w:type="spellStart"/>
      <w:r w:rsidRPr="00933052">
        <w:rPr>
          <w:rFonts w:ascii="Times New Roman" w:hAnsi="Times New Roman" w:cs="Times New Roman"/>
          <w:color w:val="000000" w:themeColor="text1"/>
          <w:sz w:val="24"/>
          <w:szCs w:val="24"/>
        </w:rPr>
        <w:t>argentometric</w:t>
      </w:r>
      <w:proofErr w:type="spellEnd"/>
      <w:r w:rsidRPr="00933052">
        <w:rPr>
          <w:rFonts w:ascii="Times New Roman" w:hAnsi="Times New Roman" w:cs="Times New Roman"/>
          <w:color w:val="000000" w:themeColor="text1"/>
          <w:sz w:val="24"/>
          <w:szCs w:val="24"/>
        </w:rPr>
        <w:t xml:space="preserve"> titration method </w:t>
      </w:r>
    </w:p>
    <w:p w:rsidR="00933052" w:rsidRPr="00933052" w:rsidRDefault="00933052" w:rsidP="00384B4A">
      <w:pPr>
        <w:spacing w:after="0" w:line="480" w:lineRule="auto"/>
        <w:jc w:val="both"/>
        <w:rPr>
          <w:rFonts w:ascii="Times New Roman" w:hAnsi="Times New Roman" w:cs="Times New Roman"/>
          <w:color w:val="000000" w:themeColor="text1"/>
          <w:sz w:val="24"/>
          <w:szCs w:val="24"/>
        </w:rPr>
      </w:pPr>
      <w:r w:rsidRPr="00933052">
        <w:rPr>
          <w:rFonts w:ascii="Times New Roman" w:hAnsi="Times New Roman" w:cs="Times New Roman"/>
          <w:b/>
          <w:color w:val="000000" w:themeColor="text1"/>
          <w:sz w:val="24"/>
          <w:szCs w:val="24"/>
        </w:rPr>
        <w:t>Nitrate (NO</w:t>
      </w:r>
      <w:r w:rsidRPr="00933052">
        <w:rPr>
          <w:rFonts w:ascii="Times New Roman" w:hAnsi="Times New Roman" w:cs="Times New Roman"/>
          <w:b/>
          <w:color w:val="000000" w:themeColor="text1"/>
          <w:sz w:val="24"/>
          <w:szCs w:val="24"/>
          <w:vertAlign w:val="subscript"/>
        </w:rPr>
        <w:t>3</w:t>
      </w:r>
      <w:r w:rsidRPr="00933052">
        <w:rPr>
          <w:rFonts w:ascii="Times New Roman" w:hAnsi="Times New Roman" w:cs="Times New Roman"/>
          <w:b/>
          <w:color w:val="000000" w:themeColor="text1"/>
          <w:sz w:val="24"/>
          <w:szCs w:val="24"/>
        </w:rPr>
        <w:t>)</w:t>
      </w:r>
      <w:r w:rsidRPr="00933052">
        <w:rPr>
          <w:rFonts w:ascii="Times New Roman" w:hAnsi="Times New Roman" w:cs="Times New Roman"/>
          <w:color w:val="000000" w:themeColor="text1"/>
          <w:sz w:val="24"/>
          <w:szCs w:val="24"/>
        </w:rPr>
        <w:t xml:space="preserve"> and </w:t>
      </w:r>
      <w:r w:rsidRPr="00933052">
        <w:rPr>
          <w:rFonts w:ascii="Times New Roman" w:hAnsi="Times New Roman" w:cs="Times New Roman"/>
          <w:b/>
          <w:color w:val="000000" w:themeColor="text1"/>
          <w:sz w:val="24"/>
          <w:szCs w:val="24"/>
        </w:rPr>
        <w:t>Sulfate (SO</w:t>
      </w:r>
      <w:r w:rsidRPr="00933052">
        <w:rPr>
          <w:rFonts w:ascii="Times New Roman" w:hAnsi="Times New Roman" w:cs="Times New Roman"/>
          <w:b/>
          <w:color w:val="000000" w:themeColor="text1"/>
          <w:sz w:val="24"/>
          <w:szCs w:val="24"/>
          <w:vertAlign w:val="subscript"/>
        </w:rPr>
        <w:t>4</w:t>
      </w:r>
      <w:r w:rsidRPr="00933052">
        <w:rPr>
          <w:rFonts w:ascii="Times New Roman" w:hAnsi="Times New Roman" w:cs="Times New Roman"/>
          <w:b/>
          <w:color w:val="000000" w:themeColor="text1"/>
          <w:sz w:val="24"/>
          <w:szCs w:val="24"/>
          <w:vertAlign w:val="superscript"/>
        </w:rPr>
        <w:t>2-</w:t>
      </w:r>
      <w:r w:rsidRPr="00933052">
        <w:rPr>
          <w:rFonts w:ascii="Times New Roman" w:hAnsi="Times New Roman" w:cs="Times New Roman"/>
          <w:b/>
          <w:color w:val="000000" w:themeColor="text1"/>
          <w:sz w:val="24"/>
          <w:szCs w:val="24"/>
        </w:rPr>
        <w:t>):</w:t>
      </w:r>
      <w:r w:rsidRPr="00933052">
        <w:rPr>
          <w:rFonts w:ascii="Times New Roman" w:hAnsi="Times New Roman" w:cs="Times New Roman"/>
          <w:color w:val="000000" w:themeColor="text1"/>
          <w:sz w:val="24"/>
          <w:szCs w:val="24"/>
        </w:rPr>
        <w:t xml:space="preserve"> Determined using UV spectrophotometry and </w:t>
      </w:r>
      <w:proofErr w:type="spellStart"/>
      <w:r w:rsidRPr="00933052">
        <w:rPr>
          <w:rFonts w:ascii="Times New Roman" w:hAnsi="Times New Roman" w:cs="Times New Roman"/>
          <w:color w:val="000000" w:themeColor="text1"/>
          <w:sz w:val="24"/>
          <w:szCs w:val="24"/>
        </w:rPr>
        <w:t>turbidimetric</w:t>
      </w:r>
      <w:proofErr w:type="spellEnd"/>
      <w:r w:rsidRPr="00933052">
        <w:rPr>
          <w:rFonts w:ascii="Times New Roman" w:hAnsi="Times New Roman" w:cs="Times New Roman"/>
          <w:color w:val="000000" w:themeColor="text1"/>
          <w:sz w:val="24"/>
          <w:szCs w:val="24"/>
        </w:rPr>
        <w:t xml:space="preserve"> method respectively </w:t>
      </w:r>
    </w:p>
    <w:p w:rsidR="00933052" w:rsidRPr="00933052" w:rsidRDefault="00933052" w:rsidP="00384B4A">
      <w:pPr>
        <w:spacing w:after="0" w:line="480" w:lineRule="auto"/>
        <w:jc w:val="both"/>
        <w:rPr>
          <w:rFonts w:ascii="Times New Roman" w:hAnsi="Times New Roman" w:cs="Times New Roman"/>
          <w:b/>
          <w:color w:val="000000" w:themeColor="text1"/>
          <w:sz w:val="24"/>
          <w:szCs w:val="24"/>
        </w:rPr>
      </w:pPr>
      <w:r w:rsidRPr="00933052">
        <w:rPr>
          <w:rFonts w:ascii="Times New Roman" w:hAnsi="Times New Roman" w:cs="Times New Roman"/>
          <w:b/>
          <w:color w:val="000000" w:themeColor="text1"/>
          <w:sz w:val="24"/>
          <w:szCs w:val="24"/>
        </w:rPr>
        <w:t>3.6.4</w:t>
      </w:r>
      <w:r w:rsidRPr="00933052">
        <w:rPr>
          <w:rFonts w:ascii="Times New Roman" w:hAnsi="Times New Roman" w:cs="Times New Roman"/>
          <w:b/>
          <w:color w:val="000000" w:themeColor="text1"/>
          <w:sz w:val="24"/>
          <w:szCs w:val="24"/>
        </w:rPr>
        <w:tab/>
        <w:t>Heavy Metals</w:t>
      </w:r>
    </w:p>
    <w:p w:rsidR="00933052" w:rsidRPr="00933052" w:rsidRDefault="00933052" w:rsidP="00384B4A">
      <w:pPr>
        <w:spacing w:after="0" w:line="480" w:lineRule="auto"/>
        <w:jc w:val="both"/>
        <w:rPr>
          <w:rFonts w:ascii="Times New Roman" w:hAnsi="Times New Roman" w:cs="Times New Roman"/>
          <w:color w:val="000000" w:themeColor="text1"/>
          <w:sz w:val="24"/>
          <w:szCs w:val="24"/>
        </w:rPr>
      </w:pPr>
      <w:r w:rsidRPr="00933052">
        <w:rPr>
          <w:rFonts w:ascii="Times New Roman" w:hAnsi="Times New Roman" w:cs="Times New Roman"/>
          <w:color w:val="000000" w:themeColor="text1"/>
          <w:sz w:val="24"/>
          <w:szCs w:val="24"/>
        </w:rPr>
        <w:t>Where applicable, concentration of iron (Fe), Lead (</w:t>
      </w:r>
      <w:proofErr w:type="spellStart"/>
      <w:r w:rsidRPr="00933052">
        <w:rPr>
          <w:rFonts w:ascii="Times New Roman" w:hAnsi="Times New Roman" w:cs="Times New Roman"/>
          <w:color w:val="000000" w:themeColor="text1"/>
          <w:sz w:val="24"/>
          <w:szCs w:val="24"/>
        </w:rPr>
        <w:t>Pb</w:t>
      </w:r>
      <w:proofErr w:type="spellEnd"/>
      <w:r w:rsidRPr="00933052">
        <w:rPr>
          <w:rFonts w:ascii="Times New Roman" w:hAnsi="Times New Roman" w:cs="Times New Roman"/>
          <w:color w:val="000000" w:themeColor="text1"/>
          <w:sz w:val="24"/>
          <w:szCs w:val="24"/>
        </w:rPr>
        <w:t>), and Manganese (</w:t>
      </w:r>
      <w:proofErr w:type="spellStart"/>
      <w:r w:rsidRPr="00933052">
        <w:rPr>
          <w:rFonts w:ascii="Times New Roman" w:hAnsi="Times New Roman" w:cs="Times New Roman"/>
          <w:color w:val="000000" w:themeColor="text1"/>
          <w:sz w:val="24"/>
          <w:szCs w:val="24"/>
        </w:rPr>
        <w:t>Mn</w:t>
      </w:r>
      <w:proofErr w:type="spellEnd"/>
      <w:r w:rsidRPr="00933052">
        <w:rPr>
          <w:rFonts w:ascii="Times New Roman" w:hAnsi="Times New Roman" w:cs="Times New Roman"/>
          <w:color w:val="000000" w:themeColor="text1"/>
          <w:sz w:val="24"/>
          <w:szCs w:val="24"/>
        </w:rPr>
        <w:t xml:space="preserve">) were analyzed using Atomic Absorption Spectrophotometry (AAS)  </w:t>
      </w:r>
    </w:p>
    <w:p w:rsidR="00933052" w:rsidRPr="00933052" w:rsidRDefault="00933052" w:rsidP="00384B4A">
      <w:pPr>
        <w:spacing w:after="0" w:line="480" w:lineRule="auto"/>
        <w:jc w:val="both"/>
        <w:rPr>
          <w:rFonts w:ascii="Times New Roman" w:hAnsi="Times New Roman" w:cs="Times New Roman"/>
          <w:caps/>
          <w:color w:val="000000" w:themeColor="text1"/>
          <w:sz w:val="24"/>
          <w:szCs w:val="24"/>
        </w:rPr>
      </w:pPr>
      <w:r w:rsidRPr="00933052">
        <w:rPr>
          <w:rFonts w:ascii="Times New Roman" w:hAnsi="Times New Roman" w:cs="Times New Roman"/>
          <w:b/>
          <w:caps/>
          <w:color w:val="000000" w:themeColor="text1"/>
          <w:sz w:val="24"/>
          <w:szCs w:val="24"/>
        </w:rPr>
        <w:t>3.7</w:t>
      </w:r>
      <w:r w:rsidRPr="00933052">
        <w:rPr>
          <w:rFonts w:ascii="Times New Roman" w:hAnsi="Times New Roman" w:cs="Times New Roman"/>
          <w:b/>
          <w:caps/>
          <w:color w:val="000000" w:themeColor="text1"/>
          <w:sz w:val="24"/>
          <w:szCs w:val="24"/>
        </w:rPr>
        <w:tab/>
        <w:t xml:space="preserve">Data Quality Control and Assurance </w:t>
      </w:r>
    </w:p>
    <w:p w:rsidR="00933052" w:rsidRPr="00933052" w:rsidRDefault="00933052" w:rsidP="00384B4A">
      <w:pPr>
        <w:spacing w:after="0" w:line="480" w:lineRule="auto"/>
        <w:jc w:val="both"/>
        <w:rPr>
          <w:rFonts w:ascii="Times New Roman" w:hAnsi="Times New Roman" w:cs="Times New Roman"/>
          <w:color w:val="000000" w:themeColor="text1"/>
          <w:sz w:val="24"/>
          <w:szCs w:val="24"/>
        </w:rPr>
      </w:pPr>
      <w:r w:rsidRPr="00933052">
        <w:rPr>
          <w:rFonts w:ascii="Times New Roman" w:hAnsi="Times New Roman" w:cs="Times New Roman"/>
          <w:color w:val="000000" w:themeColor="text1"/>
          <w:sz w:val="24"/>
          <w:szCs w:val="24"/>
        </w:rPr>
        <w:t>To ensure reliability and accuracy of result:</w:t>
      </w:r>
    </w:p>
    <w:p w:rsidR="00933052" w:rsidRPr="00933052" w:rsidRDefault="00933052" w:rsidP="00384B4A">
      <w:pPr>
        <w:spacing w:after="0" w:line="480" w:lineRule="auto"/>
        <w:jc w:val="both"/>
        <w:rPr>
          <w:rFonts w:ascii="Times New Roman" w:hAnsi="Times New Roman" w:cs="Times New Roman"/>
          <w:color w:val="000000" w:themeColor="text1"/>
          <w:sz w:val="24"/>
          <w:szCs w:val="24"/>
        </w:rPr>
      </w:pPr>
      <w:r w:rsidRPr="00933052">
        <w:rPr>
          <w:rFonts w:ascii="Times New Roman" w:hAnsi="Times New Roman" w:cs="Times New Roman"/>
          <w:color w:val="000000" w:themeColor="text1"/>
          <w:sz w:val="24"/>
          <w:szCs w:val="24"/>
        </w:rPr>
        <w:t xml:space="preserve">Duplicate samples were collected at selected sites. </w:t>
      </w:r>
    </w:p>
    <w:p w:rsidR="00933052" w:rsidRPr="00933052" w:rsidRDefault="00933052" w:rsidP="00384B4A">
      <w:pPr>
        <w:spacing w:after="0" w:line="480" w:lineRule="auto"/>
        <w:jc w:val="both"/>
        <w:rPr>
          <w:rFonts w:ascii="Times New Roman" w:hAnsi="Times New Roman" w:cs="Times New Roman"/>
          <w:color w:val="000000" w:themeColor="text1"/>
          <w:sz w:val="24"/>
          <w:szCs w:val="24"/>
        </w:rPr>
      </w:pPr>
      <w:r w:rsidRPr="00933052">
        <w:rPr>
          <w:rFonts w:ascii="Times New Roman" w:hAnsi="Times New Roman" w:cs="Times New Roman"/>
          <w:color w:val="000000" w:themeColor="text1"/>
          <w:sz w:val="24"/>
          <w:szCs w:val="24"/>
        </w:rPr>
        <w:t xml:space="preserve">Blank samples were used to detect contamination during sampling or handling. </w:t>
      </w:r>
    </w:p>
    <w:p w:rsidR="00933052" w:rsidRPr="00933052" w:rsidRDefault="00933052" w:rsidP="00384B4A">
      <w:pPr>
        <w:spacing w:after="0" w:line="480" w:lineRule="auto"/>
        <w:jc w:val="both"/>
        <w:rPr>
          <w:rFonts w:ascii="Times New Roman" w:hAnsi="Times New Roman" w:cs="Times New Roman"/>
          <w:color w:val="000000" w:themeColor="text1"/>
          <w:sz w:val="24"/>
          <w:szCs w:val="24"/>
        </w:rPr>
      </w:pPr>
      <w:r w:rsidRPr="00933052">
        <w:rPr>
          <w:rFonts w:ascii="Times New Roman" w:hAnsi="Times New Roman" w:cs="Times New Roman"/>
          <w:color w:val="000000" w:themeColor="text1"/>
          <w:sz w:val="24"/>
          <w:szCs w:val="24"/>
        </w:rPr>
        <w:t xml:space="preserve">Instrument calibration was performed before each set of measurements. </w:t>
      </w:r>
    </w:p>
    <w:p w:rsidR="00933052" w:rsidRPr="00933052" w:rsidRDefault="00933052" w:rsidP="00384B4A">
      <w:pPr>
        <w:spacing w:after="0" w:line="480" w:lineRule="auto"/>
        <w:jc w:val="both"/>
        <w:rPr>
          <w:rFonts w:ascii="Times New Roman" w:hAnsi="Times New Roman" w:cs="Times New Roman"/>
          <w:color w:val="000000" w:themeColor="text1"/>
          <w:sz w:val="24"/>
          <w:szCs w:val="24"/>
        </w:rPr>
      </w:pPr>
      <w:r w:rsidRPr="00933052">
        <w:rPr>
          <w:rFonts w:ascii="Times New Roman" w:hAnsi="Times New Roman" w:cs="Times New Roman"/>
          <w:color w:val="000000" w:themeColor="text1"/>
          <w:sz w:val="24"/>
          <w:szCs w:val="24"/>
        </w:rPr>
        <w:t xml:space="preserve">Analytical results were cross-checked using ion balance error calculations to verify consistency between caution and anion concentrations. </w:t>
      </w:r>
    </w:p>
    <w:p w:rsidR="00933052" w:rsidRPr="00933052" w:rsidRDefault="00933052" w:rsidP="00933052">
      <w:pPr>
        <w:spacing w:after="0" w:line="480" w:lineRule="auto"/>
        <w:outlineLvl w:val="2"/>
        <w:rPr>
          <w:rFonts w:ascii="Times New Roman" w:eastAsia="Times New Roman" w:hAnsi="Times New Roman" w:cs="Times New Roman"/>
          <w:b/>
          <w:bCs/>
          <w:caps/>
          <w:color w:val="000000" w:themeColor="text1"/>
          <w:sz w:val="24"/>
          <w:szCs w:val="24"/>
        </w:rPr>
      </w:pPr>
      <w:r w:rsidRPr="00933052">
        <w:rPr>
          <w:rFonts w:ascii="Times New Roman" w:eastAsia="Times New Roman" w:hAnsi="Times New Roman" w:cs="Times New Roman"/>
          <w:b/>
          <w:bCs/>
          <w:caps/>
          <w:color w:val="000000" w:themeColor="text1"/>
          <w:sz w:val="24"/>
          <w:szCs w:val="24"/>
        </w:rPr>
        <w:t>3.8</w:t>
      </w:r>
      <w:r w:rsidRPr="00933052">
        <w:rPr>
          <w:rFonts w:ascii="Times New Roman" w:eastAsia="Times New Roman" w:hAnsi="Times New Roman" w:cs="Times New Roman"/>
          <w:b/>
          <w:bCs/>
          <w:caps/>
          <w:color w:val="000000" w:themeColor="text1"/>
          <w:sz w:val="24"/>
          <w:szCs w:val="24"/>
        </w:rPr>
        <w:tab/>
        <w:t>Data Analysis Techniques</w:t>
      </w:r>
    </w:p>
    <w:p w:rsidR="00933052" w:rsidRPr="00933052" w:rsidRDefault="00933052" w:rsidP="00384B4A">
      <w:pPr>
        <w:spacing w:after="0" w:line="480" w:lineRule="auto"/>
        <w:jc w:val="both"/>
        <w:rPr>
          <w:rFonts w:ascii="Times New Roman" w:eastAsia="Times New Roman" w:hAnsi="Times New Roman" w:cs="Times New Roman"/>
          <w:color w:val="000000" w:themeColor="text1"/>
          <w:sz w:val="24"/>
          <w:szCs w:val="24"/>
        </w:rPr>
      </w:pPr>
      <w:r w:rsidRPr="00933052">
        <w:rPr>
          <w:rFonts w:ascii="Times New Roman" w:eastAsia="Times New Roman" w:hAnsi="Times New Roman" w:cs="Times New Roman"/>
          <w:color w:val="000000" w:themeColor="text1"/>
          <w:sz w:val="24"/>
          <w:szCs w:val="24"/>
        </w:rPr>
        <w:t xml:space="preserve">The analysis of </w:t>
      </w:r>
      <w:proofErr w:type="spellStart"/>
      <w:r w:rsidRPr="00933052">
        <w:rPr>
          <w:rFonts w:ascii="Times New Roman" w:eastAsia="Times New Roman" w:hAnsi="Times New Roman" w:cs="Times New Roman"/>
          <w:color w:val="000000" w:themeColor="text1"/>
          <w:sz w:val="24"/>
          <w:szCs w:val="24"/>
        </w:rPr>
        <w:t>hydrochemical</w:t>
      </w:r>
      <w:proofErr w:type="spellEnd"/>
      <w:r w:rsidRPr="00933052">
        <w:rPr>
          <w:rFonts w:ascii="Times New Roman" w:eastAsia="Times New Roman" w:hAnsi="Times New Roman" w:cs="Times New Roman"/>
          <w:color w:val="000000" w:themeColor="text1"/>
          <w:sz w:val="24"/>
          <w:szCs w:val="24"/>
        </w:rPr>
        <w:t xml:space="preserve"> data is crucial for understanding the quality, origin, and potential health implications of groundwater in any given area. In this study, several statistical and graphical techniques were employed to interpret the chemical composition of groundwater samples collected from selected parts of Ilorin. These methods helped in identifying patterns, trends, and anomalies in the dataset and provided insights into the natural and anthropogenic processes influencing water chemistry.</w:t>
      </w:r>
    </w:p>
    <w:p w:rsidR="00933052" w:rsidRPr="00933052" w:rsidRDefault="00933052" w:rsidP="00933052">
      <w:pPr>
        <w:pStyle w:val="Heading3"/>
        <w:spacing w:before="0" w:line="480" w:lineRule="auto"/>
        <w:rPr>
          <w:rFonts w:ascii="Times New Roman" w:hAnsi="Times New Roman" w:cs="Times New Roman"/>
          <w:color w:val="000000" w:themeColor="text1"/>
          <w:sz w:val="24"/>
          <w:szCs w:val="24"/>
        </w:rPr>
      </w:pPr>
      <w:r w:rsidRPr="00933052">
        <w:rPr>
          <w:rStyle w:val="Strong"/>
          <w:rFonts w:ascii="Times New Roman" w:hAnsi="Times New Roman" w:cs="Times New Roman"/>
          <w:b/>
          <w:bCs/>
          <w:color w:val="000000" w:themeColor="text1"/>
          <w:sz w:val="24"/>
          <w:szCs w:val="24"/>
        </w:rPr>
        <w:t>3.8</w:t>
      </w:r>
      <w:r w:rsidRPr="00933052">
        <w:rPr>
          <w:rStyle w:val="Strong"/>
          <w:b/>
          <w:bCs/>
          <w:color w:val="000000" w:themeColor="text1"/>
          <w:sz w:val="24"/>
          <w:szCs w:val="24"/>
        </w:rPr>
        <w:t>.1</w:t>
      </w:r>
      <w:r w:rsidRPr="00933052">
        <w:rPr>
          <w:rStyle w:val="Strong"/>
          <w:b/>
          <w:bCs/>
          <w:color w:val="000000" w:themeColor="text1"/>
          <w:sz w:val="24"/>
          <w:szCs w:val="24"/>
        </w:rPr>
        <w:tab/>
      </w:r>
      <w:r w:rsidRPr="00933052">
        <w:rPr>
          <w:rStyle w:val="Strong"/>
          <w:rFonts w:ascii="Times New Roman" w:hAnsi="Times New Roman" w:cs="Times New Roman"/>
          <w:b/>
          <w:bCs/>
          <w:color w:val="000000" w:themeColor="text1"/>
          <w:sz w:val="24"/>
          <w:szCs w:val="24"/>
        </w:rPr>
        <w:t>Descriptive Statistics</w:t>
      </w:r>
    </w:p>
    <w:p w:rsidR="00933052" w:rsidRPr="00933052" w:rsidRDefault="00933052" w:rsidP="00933052">
      <w:pPr>
        <w:pStyle w:val="NormalWeb"/>
        <w:spacing w:before="0" w:beforeAutospacing="0" w:after="0" w:afterAutospacing="0" w:line="480" w:lineRule="auto"/>
        <w:rPr>
          <w:color w:val="000000" w:themeColor="text1"/>
        </w:rPr>
      </w:pPr>
      <w:r w:rsidRPr="00933052">
        <w:rPr>
          <w:color w:val="000000" w:themeColor="text1"/>
        </w:rPr>
        <w:t>Descriptive statistics were used as the first step in analyzing the water quality parameters. This technique involves summarizing the raw data into key indicators that describe the central tendency and variability of each parameter. The following statistical metrics were computed:</w:t>
      </w:r>
    </w:p>
    <w:p w:rsidR="00933052" w:rsidRPr="00933052" w:rsidRDefault="00933052" w:rsidP="00933052">
      <w:pPr>
        <w:pStyle w:val="NormalWeb"/>
        <w:numPr>
          <w:ilvl w:val="0"/>
          <w:numId w:val="17"/>
        </w:numPr>
        <w:spacing w:before="0" w:beforeAutospacing="0" w:after="0" w:afterAutospacing="0" w:line="480" w:lineRule="auto"/>
        <w:rPr>
          <w:color w:val="000000" w:themeColor="text1"/>
        </w:rPr>
      </w:pPr>
      <w:r w:rsidRPr="00933052">
        <w:rPr>
          <w:rStyle w:val="Strong"/>
          <w:color w:val="000000" w:themeColor="text1"/>
        </w:rPr>
        <w:lastRenderedPageBreak/>
        <w:t>Mean (Average):</w:t>
      </w:r>
      <w:r w:rsidRPr="00933052">
        <w:rPr>
          <w:color w:val="000000" w:themeColor="text1"/>
        </w:rPr>
        <w:t xml:space="preserve"> Represents the central value of a dataset.</w:t>
      </w:r>
    </w:p>
    <w:p w:rsidR="00933052" w:rsidRPr="00933052" w:rsidRDefault="00933052" w:rsidP="00933052">
      <w:pPr>
        <w:pStyle w:val="NormalWeb"/>
        <w:numPr>
          <w:ilvl w:val="0"/>
          <w:numId w:val="17"/>
        </w:numPr>
        <w:spacing w:before="0" w:beforeAutospacing="0" w:after="0" w:afterAutospacing="0" w:line="480" w:lineRule="auto"/>
        <w:rPr>
          <w:color w:val="000000" w:themeColor="text1"/>
        </w:rPr>
      </w:pPr>
      <w:r w:rsidRPr="00933052">
        <w:rPr>
          <w:rStyle w:val="Strong"/>
          <w:color w:val="000000" w:themeColor="text1"/>
        </w:rPr>
        <w:t>Minimum and Maximum:</w:t>
      </w:r>
      <w:r w:rsidRPr="00933052">
        <w:rPr>
          <w:color w:val="000000" w:themeColor="text1"/>
        </w:rPr>
        <w:t xml:space="preserve"> Indicate the range of observed values for each parameter.</w:t>
      </w:r>
    </w:p>
    <w:p w:rsidR="00933052" w:rsidRPr="00933052" w:rsidRDefault="00933052" w:rsidP="00933052">
      <w:pPr>
        <w:pStyle w:val="NormalWeb"/>
        <w:numPr>
          <w:ilvl w:val="0"/>
          <w:numId w:val="17"/>
        </w:numPr>
        <w:spacing w:before="0" w:beforeAutospacing="0" w:after="0" w:afterAutospacing="0" w:line="480" w:lineRule="auto"/>
        <w:rPr>
          <w:color w:val="000000" w:themeColor="text1"/>
        </w:rPr>
      </w:pPr>
      <w:r w:rsidRPr="00933052">
        <w:rPr>
          <w:rStyle w:val="Strong"/>
          <w:color w:val="000000" w:themeColor="text1"/>
        </w:rPr>
        <w:t>Standard Deviation:</w:t>
      </w:r>
      <w:r w:rsidRPr="00933052">
        <w:rPr>
          <w:color w:val="000000" w:themeColor="text1"/>
        </w:rPr>
        <w:t xml:space="preserve"> Measures the spread of values around the mean, indicating how consistent or variable the water quality is.</w:t>
      </w:r>
    </w:p>
    <w:p w:rsidR="00933052" w:rsidRPr="00933052" w:rsidRDefault="00933052" w:rsidP="00933052">
      <w:pPr>
        <w:pStyle w:val="NoSpacing"/>
        <w:spacing w:line="480" w:lineRule="auto"/>
        <w:rPr>
          <w:rFonts w:ascii="Times New Roman" w:hAnsi="Times New Roman" w:cs="Times New Roman"/>
          <w:color w:val="000000" w:themeColor="text1"/>
          <w:sz w:val="24"/>
          <w:szCs w:val="24"/>
        </w:rPr>
      </w:pPr>
      <w:r w:rsidRPr="00933052">
        <w:rPr>
          <w:rStyle w:val="Strong"/>
          <w:rFonts w:ascii="Times New Roman" w:hAnsi="Times New Roman" w:cs="Times New Roman"/>
          <w:bCs w:val="0"/>
          <w:color w:val="000000" w:themeColor="text1"/>
          <w:sz w:val="24"/>
          <w:szCs w:val="24"/>
        </w:rPr>
        <w:t>Sample Calculation (Illustration):</w:t>
      </w:r>
    </w:p>
    <w:p w:rsidR="00933052" w:rsidRPr="00EF229A" w:rsidRDefault="00933052" w:rsidP="00933052">
      <w:pPr>
        <w:pStyle w:val="NormalWeb"/>
        <w:spacing w:before="0" w:beforeAutospacing="0" w:after="0" w:afterAutospacing="0" w:line="480" w:lineRule="auto"/>
      </w:pPr>
      <w:r w:rsidRPr="00933052">
        <w:rPr>
          <w:color w:val="000000" w:themeColor="text1"/>
        </w:rPr>
        <w:t xml:space="preserve">Let’s assume the concentration of Nitrate (NO₃⁻) in five groundwater samples is as follows </w:t>
      </w:r>
      <w:r w:rsidRPr="00EF229A">
        <w:t>(in mg/L):</w:t>
      </w:r>
    </w:p>
    <w:p w:rsidR="00933052" w:rsidRPr="00EF229A" w:rsidRDefault="00933052" w:rsidP="00933052">
      <w:pPr>
        <w:pStyle w:val="NormalWeb"/>
        <w:numPr>
          <w:ilvl w:val="0"/>
          <w:numId w:val="18"/>
        </w:numPr>
        <w:spacing w:after="0" w:afterAutospacing="0" w:line="480" w:lineRule="auto"/>
      </w:pPr>
      <w:r w:rsidRPr="00EF229A">
        <w:rPr>
          <w:noProof/>
        </w:rPr>
        <w:drawing>
          <wp:anchor distT="0" distB="0" distL="114300" distR="114300" simplePos="0" relativeHeight="251659264" behindDoc="0" locked="0" layoutInCell="1" allowOverlap="1" wp14:anchorId="73755271" wp14:editId="76E89D27">
            <wp:simplePos x="0" y="0"/>
            <wp:positionH relativeFrom="column">
              <wp:posOffset>114300</wp:posOffset>
            </wp:positionH>
            <wp:positionV relativeFrom="paragraph">
              <wp:posOffset>193675</wp:posOffset>
            </wp:positionV>
            <wp:extent cx="4137660" cy="659130"/>
            <wp:effectExtent l="19050" t="0" r="0" b="0"/>
            <wp:wrapNone/>
            <wp:docPr id="4" name="Picture 4" descr="C:\Users\USER\AppData\Local\Microsoft\Windows\INetCache\Content.Word\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INetCache\Content.Word\ff.png"/>
                    <pic:cNvPicPr>
                      <a:picLocks noChangeAspect="1" noChangeArrowheads="1"/>
                    </pic:cNvPicPr>
                  </pic:nvPicPr>
                  <pic:blipFill>
                    <a:blip r:embed="rId9"/>
                    <a:srcRect/>
                    <a:stretch>
                      <a:fillRect/>
                    </a:stretch>
                  </pic:blipFill>
                  <pic:spPr bwMode="auto">
                    <a:xfrm>
                      <a:off x="0" y="0"/>
                      <a:ext cx="4137660" cy="659130"/>
                    </a:xfrm>
                    <a:prstGeom prst="rect">
                      <a:avLst/>
                    </a:prstGeom>
                    <a:noFill/>
                    <a:ln w="9525">
                      <a:noFill/>
                      <a:miter lim="800000"/>
                      <a:headEnd/>
                      <a:tailEnd/>
                    </a:ln>
                  </pic:spPr>
                </pic:pic>
              </a:graphicData>
            </a:graphic>
          </wp:anchor>
        </w:drawing>
      </w:r>
      <w:r w:rsidRPr="00EF229A">
        <w:t>n</w:t>
      </w:r>
    </w:p>
    <w:p w:rsidR="00933052" w:rsidRPr="00EF229A" w:rsidRDefault="00933052" w:rsidP="00933052">
      <w:pPr>
        <w:pStyle w:val="NormalWeb"/>
        <w:spacing w:after="0" w:afterAutospacing="0" w:line="480" w:lineRule="auto"/>
        <w:ind w:left="360"/>
      </w:pPr>
    </w:p>
    <w:p w:rsidR="00933052" w:rsidRPr="00EF229A" w:rsidRDefault="00933052" w:rsidP="00933052">
      <w:pPr>
        <w:pStyle w:val="NormalWeb"/>
        <w:numPr>
          <w:ilvl w:val="0"/>
          <w:numId w:val="19"/>
        </w:numPr>
        <w:spacing w:after="0" w:afterAutospacing="0" w:line="480" w:lineRule="auto"/>
      </w:pPr>
      <w:r w:rsidRPr="00EF229A">
        <w:rPr>
          <w:rStyle w:val="Strong"/>
        </w:rPr>
        <w:t>Minimum &amp; Maximum</w:t>
      </w:r>
    </w:p>
    <w:p w:rsidR="00933052" w:rsidRPr="00EF229A" w:rsidRDefault="00933052" w:rsidP="00933052">
      <w:pPr>
        <w:pStyle w:val="NormalWeb"/>
        <w:numPr>
          <w:ilvl w:val="0"/>
          <w:numId w:val="20"/>
        </w:numPr>
        <w:spacing w:after="0" w:afterAutospacing="0" w:line="480" w:lineRule="auto"/>
      </w:pPr>
      <w:r w:rsidRPr="00EF229A">
        <w:t>Minimum = 10 mg/L</w:t>
      </w:r>
    </w:p>
    <w:p w:rsidR="00933052" w:rsidRPr="00EF229A" w:rsidRDefault="00933052" w:rsidP="00933052">
      <w:pPr>
        <w:pStyle w:val="NormalWeb"/>
        <w:numPr>
          <w:ilvl w:val="0"/>
          <w:numId w:val="20"/>
        </w:numPr>
        <w:spacing w:after="0" w:afterAutospacing="0" w:line="480" w:lineRule="auto"/>
      </w:pPr>
      <w:r w:rsidRPr="00EF229A">
        <w:t>Maximum = 20 mg/L</w:t>
      </w:r>
    </w:p>
    <w:p w:rsidR="00933052" w:rsidRPr="00EF229A" w:rsidRDefault="00933052" w:rsidP="00933052">
      <w:pPr>
        <w:pStyle w:val="NormalWeb"/>
        <w:numPr>
          <w:ilvl w:val="0"/>
          <w:numId w:val="21"/>
        </w:numPr>
        <w:spacing w:after="0" w:afterAutospacing="0" w:line="480" w:lineRule="auto"/>
      </w:pPr>
      <w:r w:rsidRPr="00EF229A">
        <w:rPr>
          <w:rStyle w:val="Strong"/>
        </w:rPr>
        <w:t>Standard Deviation (SD)</w:t>
      </w:r>
    </w:p>
    <w:p w:rsidR="00933052" w:rsidRPr="00EF229A" w:rsidRDefault="00933052" w:rsidP="00933052">
      <w:pPr>
        <w:pStyle w:val="NormalWeb"/>
        <w:spacing w:after="0" w:afterAutospacing="0" w:line="480" w:lineRule="auto"/>
        <w:ind w:left="360"/>
      </w:pPr>
      <w:r w:rsidRPr="00EF229A">
        <w:rPr>
          <w:noProof/>
        </w:rPr>
        <w:drawing>
          <wp:anchor distT="0" distB="0" distL="114300" distR="114300" simplePos="0" relativeHeight="251660288" behindDoc="0" locked="0" layoutInCell="1" allowOverlap="1" wp14:anchorId="54E1D4C8" wp14:editId="76ACE0FB">
            <wp:simplePos x="0" y="0"/>
            <wp:positionH relativeFrom="column">
              <wp:posOffset>-44745</wp:posOffset>
            </wp:positionH>
            <wp:positionV relativeFrom="paragraph">
              <wp:posOffset>154792</wp:posOffset>
            </wp:positionV>
            <wp:extent cx="5945815" cy="850605"/>
            <wp:effectExtent l="19050" t="0" r="0" b="0"/>
            <wp:wrapNone/>
            <wp:docPr id="1" name="Picture 1" descr="C:\Users\USER\AppData\Local\Microsoft\Windows\INetCache\Content.Word\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ff.png"/>
                    <pic:cNvPicPr>
                      <a:picLocks noChangeAspect="1" noChangeArrowheads="1"/>
                    </pic:cNvPicPr>
                  </pic:nvPicPr>
                  <pic:blipFill>
                    <a:blip r:embed="rId10"/>
                    <a:srcRect/>
                    <a:stretch>
                      <a:fillRect/>
                    </a:stretch>
                  </pic:blipFill>
                  <pic:spPr bwMode="auto">
                    <a:xfrm>
                      <a:off x="0" y="0"/>
                      <a:ext cx="5945815" cy="850605"/>
                    </a:xfrm>
                    <a:prstGeom prst="rect">
                      <a:avLst/>
                    </a:prstGeom>
                    <a:noFill/>
                    <a:ln w="9525">
                      <a:noFill/>
                      <a:miter lim="800000"/>
                      <a:headEnd/>
                      <a:tailEnd/>
                    </a:ln>
                  </pic:spPr>
                </pic:pic>
              </a:graphicData>
            </a:graphic>
          </wp:anchor>
        </w:drawing>
      </w:r>
    </w:p>
    <w:p w:rsidR="00933052" w:rsidRPr="00EF229A" w:rsidRDefault="00933052" w:rsidP="00933052">
      <w:pPr>
        <w:pStyle w:val="NormalWeb"/>
        <w:spacing w:after="0" w:afterAutospacing="0" w:line="480" w:lineRule="auto"/>
      </w:pPr>
    </w:p>
    <w:p w:rsidR="00933052" w:rsidRPr="00EF229A" w:rsidRDefault="00933052" w:rsidP="00933052">
      <w:pPr>
        <w:pStyle w:val="NormalWeb"/>
        <w:spacing w:after="0" w:afterAutospacing="0" w:line="480" w:lineRule="auto"/>
      </w:pPr>
      <w:r w:rsidRPr="00EF229A">
        <w:t xml:space="preserve">Thus, the </w:t>
      </w:r>
      <w:r w:rsidRPr="00EF229A">
        <w:rPr>
          <w:rStyle w:val="Strong"/>
        </w:rPr>
        <w:t>mean nitrate level</w:t>
      </w:r>
      <w:r w:rsidRPr="00EF229A">
        <w:t xml:space="preserve"> is 15 mg/L, with a </w:t>
      </w:r>
      <w:r w:rsidRPr="00EF229A">
        <w:rPr>
          <w:rStyle w:val="Strong"/>
        </w:rPr>
        <w:t>range of 10–20 mg/L</w:t>
      </w:r>
      <w:r w:rsidRPr="00EF229A">
        <w:t xml:space="preserve">, and a </w:t>
      </w:r>
      <w:r w:rsidRPr="00EF229A">
        <w:rPr>
          <w:rStyle w:val="Strong"/>
        </w:rPr>
        <w:t>standard deviation of ~4.12 mg/L</w:t>
      </w:r>
      <w:r w:rsidRPr="00EF229A">
        <w:t>, indicating moderate variability.</w:t>
      </w:r>
    </w:p>
    <w:p w:rsidR="00933052" w:rsidRPr="00EF229A" w:rsidRDefault="00933052" w:rsidP="00B2439C">
      <w:pPr>
        <w:pStyle w:val="NormalWeb"/>
        <w:spacing w:before="0" w:beforeAutospacing="0" w:after="0" w:afterAutospacing="0" w:line="480" w:lineRule="auto"/>
      </w:pPr>
      <w:r w:rsidRPr="00EF229A">
        <w:t xml:space="preserve">These descriptive statistics were calculated for each parameter such as pH, TDS, EC, Na⁺, </w:t>
      </w:r>
      <w:proofErr w:type="spellStart"/>
      <w:r w:rsidRPr="00EF229A">
        <w:t>Cl</w:t>
      </w:r>
      <w:proofErr w:type="spellEnd"/>
      <w:r w:rsidRPr="00EF229A">
        <w:t xml:space="preserve">⁻, NO₃⁻, Ca²⁺, and others using Microsoft Excel and SPSS software. The results helped in identifying parameters that exceed permissible limits as defined by WHO (2017) and </w:t>
      </w:r>
      <w:r w:rsidRPr="00EF229A">
        <w:lastRenderedPageBreak/>
        <w:t>NSDWQ (2015), thereby guiding further interpretation and classification in subsequent chapters.</w:t>
      </w:r>
    </w:p>
    <w:p w:rsidR="00933052" w:rsidRPr="00EF229A" w:rsidRDefault="00933052" w:rsidP="00933052">
      <w:pPr>
        <w:spacing w:after="0" w:line="480" w:lineRule="auto"/>
        <w:jc w:val="both"/>
        <w:rPr>
          <w:rFonts w:ascii="Times New Roman" w:hAnsi="Times New Roman" w:cs="Times New Roman"/>
          <w:b/>
          <w:sz w:val="24"/>
          <w:szCs w:val="24"/>
        </w:rPr>
      </w:pPr>
      <w:r w:rsidRPr="00EF229A">
        <w:rPr>
          <w:rFonts w:ascii="Times New Roman" w:hAnsi="Times New Roman" w:cs="Times New Roman"/>
          <w:b/>
          <w:sz w:val="24"/>
          <w:szCs w:val="24"/>
        </w:rPr>
        <w:t>3.8.2</w:t>
      </w:r>
      <w:r w:rsidRPr="00EF229A">
        <w:rPr>
          <w:rFonts w:ascii="Times New Roman" w:hAnsi="Times New Roman" w:cs="Times New Roman"/>
          <w:b/>
          <w:sz w:val="24"/>
          <w:szCs w:val="24"/>
        </w:rPr>
        <w:tab/>
        <w:t xml:space="preserve">Comparison with Standards </w:t>
      </w:r>
    </w:p>
    <w:p w:rsidR="00933052" w:rsidRPr="00EF229A" w:rsidRDefault="00933052" w:rsidP="00933052">
      <w:pPr>
        <w:spacing w:after="0" w:line="480" w:lineRule="auto"/>
        <w:jc w:val="both"/>
        <w:rPr>
          <w:rFonts w:ascii="Times New Roman" w:hAnsi="Times New Roman" w:cs="Times New Roman"/>
          <w:sz w:val="24"/>
          <w:szCs w:val="24"/>
        </w:rPr>
      </w:pPr>
      <w:r w:rsidRPr="00EF229A">
        <w:rPr>
          <w:rFonts w:ascii="Times New Roman" w:hAnsi="Times New Roman" w:cs="Times New Roman"/>
          <w:sz w:val="24"/>
          <w:szCs w:val="24"/>
        </w:rPr>
        <w:t xml:space="preserve">Each measured parameter was compared to the </w:t>
      </w:r>
      <w:r w:rsidRPr="00145EE3">
        <w:rPr>
          <w:rFonts w:ascii="Times New Roman" w:hAnsi="Times New Roman" w:cs="Times New Roman"/>
          <w:i/>
          <w:sz w:val="24"/>
          <w:szCs w:val="24"/>
        </w:rPr>
        <w:t>WHO (2017)</w:t>
      </w:r>
      <w:r w:rsidRPr="00EF229A">
        <w:rPr>
          <w:rFonts w:ascii="Times New Roman" w:hAnsi="Times New Roman" w:cs="Times New Roman"/>
          <w:sz w:val="24"/>
          <w:szCs w:val="24"/>
        </w:rPr>
        <w:t xml:space="preserve"> and </w:t>
      </w:r>
      <w:r w:rsidRPr="00145EE3">
        <w:rPr>
          <w:rFonts w:ascii="Times New Roman" w:hAnsi="Times New Roman" w:cs="Times New Roman"/>
          <w:i/>
          <w:sz w:val="24"/>
          <w:szCs w:val="24"/>
        </w:rPr>
        <w:t>NSDWQ (2015)</w:t>
      </w:r>
      <w:r w:rsidRPr="00EF229A">
        <w:rPr>
          <w:rFonts w:ascii="Times New Roman" w:hAnsi="Times New Roman" w:cs="Times New Roman"/>
          <w:sz w:val="24"/>
          <w:szCs w:val="24"/>
        </w:rPr>
        <w:t xml:space="preserve"> standards for drinking water to assess portability and identify contamination.</w:t>
      </w:r>
    </w:p>
    <w:p w:rsidR="00933052" w:rsidRPr="00145EE3" w:rsidRDefault="00933052" w:rsidP="00933052">
      <w:pPr>
        <w:spacing w:after="0" w:line="480" w:lineRule="auto"/>
        <w:jc w:val="both"/>
        <w:rPr>
          <w:rFonts w:ascii="Times New Roman" w:hAnsi="Times New Roman" w:cs="Times New Roman"/>
          <w:b/>
          <w:caps/>
          <w:sz w:val="24"/>
          <w:szCs w:val="24"/>
        </w:rPr>
      </w:pPr>
      <w:r w:rsidRPr="00145EE3">
        <w:rPr>
          <w:rFonts w:ascii="Times New Roman" w:hAnsi="Times New Roman" w:cs="Times New Roman"/>
          <w:b/>
          <w:caps/>
          <w:sz w:val="24"/>
          <w:szCs w:val="24"/>
        </w:rPr>
        <w:t>3.9</w:t>
      </w:r>
      <w:r w:rsidRPr="00145EE3">
        <w:rPr>
          <w:rFonts w:ascii="Times New Roman" w:hAnsi="Times New Roman" w:cs="Times New Roman"/>
          <w:b/>
          <w:caps/>
          <w:sz w:val="24"/>
          <w:szCs w:val="24"/>
        </w:rPr>
        <w:tab/>
        <w:t>Ethical Considerations</w:t>
      </w:r>
    </w:p>
    <w:p w:rsidR="00933052" w:rsidRPr="00EF229A" w:rsidRDefault="00933052" w:rsidP="00933052">
      <w:pPr>
        <w:spacing w:after="0" w:line="480" w:lineRule="auto"/>
        <w:jc w:val="both"/>
        <w:rPr>
          <w:rFonts w:ascii="Times New Roman" w:hAnsi="Times New Roman" w:cs="Times New Roman"/>
          <w:sz w:val="24"/>
          <w:szCs w:val="24"/>
        </w:rPr>
      </w:pPr>
      <w:r w:rsidRPr="00EF229A">
        <w:rPr>
          <w:rFonts w:ascii="Times New Roman" w:hAnsi="Times New Roman" w:cs="Times New Roman"/>
          <w:sz w:val="24"/>
          <w:szCs w:val="24"/>
        </w:rPr>
        <w:t xml:space="preserve">Although the study involved non-invasive sampling, informed consent was obtained from well and borehole owners before sample collection. No personal data were collected, and confidentiality of location identities was maintained during publication and dissemination of findings. </w:t>
      </w:r>
    </w:p>
    <w:p w:rsidR="00933052" w:rsidRPr="00145EE3" w:rsidRDefault="00933052" w:rsidP="00933052">
      <w:pPr>
        <w:spacing w:after="0" w:line="480" w:lineRule="auto"/>
        <w:jc w:val="both"/>
        <w:rPr>
          <w:rFonts w:ascii="Times New Roman" w:hAnsi="Times New Roman" w:cs="Times New Roman"/>
          <w:b/>
          <w:caps/>
          <w:sz w:val="24"/>
          <w:szCs w:val="24"/>
        </w:rPr>
      </w:pPr>
      <w:r w:rsidRPr="00145EE3">
        <w:rPr>
          <w:rFonts w:ascii="Times New Roman" w:hAnsi="Times New Roman" w:cs="Times New Roman"/>
          <w:b/>
          <w:caps/>
          <w:sz w:val="24"/>
          <w:szCs w:val="24"/>
        </w:rPr>
        <w:t>3.10</w:t>
      </w:r>
      <w:r w:rsidRPr="00145EE3">
        <w:rPr>
          <w:rFonts w:ascii="Times New Roman" w:hAnsi="Times New Roman" w:cs="Times New Roman"/>
          <w:b/>
          <w:caps/>
          <w:sz w:val="24"/>
          <w:szCs w:val="24"/>
        </w:rPr>
        <w:tab/>
        <w:t xml:space="preserve">Limitation of the Methodology </w:t>
      </w:r>
    </w:p>
    <w:p w:rsidR="00933052" w:rsidRPr="00EF229A" w:rsidRDefault="00933052" w:rsidP="00933052">
      <w:pPr>
        <w:spacing w:after="0" w:line="480" w:lineRule="auto"/>
        <w:jc w:val="both"/>
        <w:rPr>
          <w:rFonts w:ascii="Times New Roman" w:hAnsi="Times New Roman" w:cs="Times New Roman"/>
          <w:sz w:val="24"/>
          <w:szCs w:val="24"/>
        </w:rPr>
      </w:pPr>
      <w:r w:rsidRPr="00EF229A">
        <w:rPr>
          <w:rFonts w:ascii="Times New Roman" w:hAnsi="Times New Roman" w:cs="Times New Roman"/>
          <w:sz w:val="24"/>
          <w:szCs w:val="24"/>
        </w:rPr>
        <w:t xml:space="preserve">The </w:t>
      </w:r>
      <w:r w:rsidRPr="00EF229A">
        <w:rPr>
          <w:rFonts w:ascii="Times New Roman" w:hAnsi="Times New Roman" w:cs="Times New Roman"/>
          <w:b/>
          <w:sz w:val="24"/>
          <w:szCs w:val="24"/>
        </w:rPr>
        <w:t>study period did not cover seasonal variations</w:t>
      </w:r>
      <w:r w:rsidRPr="00EF229A">
        <w:rPr>
          <w:rFonts w:ascii="Times New Roman" w:hAnsi="Times New Roman" w:cs="Times New Roman"/>
          <w:sz w:val="24"/>
          <w:szCs w:val="24"/>
        </w:rPr>
        <w:t xml:space="preserve">. </w:t>
      </w:r>
      <w:proofErr w:type="gramStart"/>
      <w:r w:rsidRPr="00EF229A">
        <w:rPr>
          <w:rFonts w:ascii="Times New Roman" w:hAnsi="Times New Roman" w:cs="Times New Roman"/>
          <w:sz w:val="24"/>
          <w:szCs w:val="24"/>
        </w:rPr>
        <w:t>Which may affect water quality.</w:t>
      </w:r>
      <w:proofErr w:type="gramEnd"/>
      <w:r w:rsidRPr="00EF229A">
        <w:rPr>
          <w:rFonts w:ascii="Times New Roman" w:hAnsi="Times New Roman" w:cs="Times New Roman"/>
          <w:sz w:val="24"/>
          <w:szCs w:val="24"/>
        </w:rPr>
        <w:t xml:space="preserve"> </w:t>
      </w:r>
    </w:p>
    <w:p w:rsidR="00933052" w:rsidRPr="00EF229A" w:rsidRDefault="00933052" w:rsidP="00933052">
      <w:pPr>
        <w:spacing w:after="0" w:line="480" w:lineRule="auto"/>
        <w:jc w:val="both"/>
        <w:rPr>
          <w:rFonts w:ascii="Times New Roman" w:hAnsi="Times New Roman" w:cs="Times New Roman"/>
          <w:sz w:val="24"/>
          <w:szCs w:val="24"/>
        </w:rPr>
      </w:pPr>
      <w:r w:rsidRPr="00EF229A">
        <w:rPr>
          <w:rFonts w:ascii="Times New Roman" w:hAnsi="Times New Roman" w:cs="Times New Roman"/>
          <w:b/>
          <w:sz w:val="24"/>
          <w:szCs w:val="24"/>
        </w:rPr>
        <w:t>Financial Constraints</w:t>
      </w:r>
      <w:r w:rsidRPr="00EF229A">
        <w:rPr>
          <w:rFonts w:ascii="Times New Roman" w:hAnsi="Times New Roman" w:cs="Times New Roman"/>
          <w:sz w:val="24"/>
          <w:szCs w:val="24"/>
        </w:rPr>
        <w:t xml:space="preserve"> limited the numbers of sampling point and laboratory tests. </w:t>
      </w:r>
    </w:p>
    <w:p w:rsidR="00933052" w:rsidRPr="00EF229A" w:rsidRDefault="00933052" w:rsidP="00933052">
      <w:pPr>
        <w:spacing w:after="0" w:line="480" w:lineRule="auto"/>
        <w:jc w:val="both"/>
        <w:rPr>
          <w:rFonts w:ascii="Times New Roman" w:hAnsi="Times New Roman" w:cs="Times New Roman"/>
          <w:sz w:val="24"/>
          <w:szCs w:val="24"/>
        </w:rPr>
      </w:pPr>
      <w:r w:rsidRPr="00EF229A">
        <w:rPr>
          <w:rFonts w:ascii="Times New Roman" w:hAnsi="Times New Roman" w:cs="Times New Roman"/>
          <w:b/>
          <w:sz w:val="24"/>
          <w:szCs w:val="24"/>
        </w:rPr>
        <w:t>Microbiological testing</w:t>
      </w:r>
      <w:r w:rsidRPr="00EF229A">
        <w:rPr>
          <w:rFonts w:ascii="Times New Roman" w:hAnsi="Times New Roman" w:cs="Times New Roman"/>
          <w:sz w:val="24"/>
          <w:szCs w:val="24"/>
        </w:rPr>
        <w:t xml:space="preserve"> was not conducted, which could provide additional insight into contamination risks. </w:t>
      </w:r>
    </w:p>
    <w:p w:rsidR="00933052" w:rsidRPr="00145EE3" w:rsidRDefault="00933052" w:rsidP="00933052">
      <w:pPr>
        <w:spacing w:after="0" w:line="480" w:lineRule="auto"/>
        <w:jc w:val="both"/>
        <w:rPr>
          <w:rFonts w:ascii="Times New Roman" w:hAnsi="Times New Roman" w:cs="Times New Roman"/>
          <w:b/>
          <w:caps/>
          <w:sz w:val="24"/>
          <w:szCs w:val="24"/>
        </w:rPr>
      </w:pPr>
      <w:r w:rsidRPr="00145EE3">
        <w:rPr>
          <w:rFonts w:ascii="Times New Roman" w:hAnsi="Times New Roman" w:cs="Times New Roman"/>
          <w:b/>
          <w:caps/>
          <w:sz w:val="24"/>
          <w:szCs w:val="24"/>
        </w:rPr>
        <w:t>3.11</w:t>
      </w:r>
      <w:r w:rsidRPr="00145EE3">
        <w:rPr>
          <w:rFonts w:ascii="Times New Roman" w:hAnsi="Times New Roman" w:cs="Times New Roman"/>
          <w:b/>
          <w:caps/>
          <w:sz w:val="24"/>
          <w:szCs w:val="24"/>
        </w:rPr>
        <w:tab/>
        <w:t>Summary</w:t>
      </w:r>
    </w:p>
    <w:p w:rsidR="00933052" w:rsidRPr="00EF229A" w:rsidRDefault="00B2439C" w:rsidP="00933052">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This chapter</w:t>
      </w:r>
      <w:r w:rsidR="00933052" w:rsidRPr="00EF229A">
        <w:rPr>
          <w:rFonts w:ascii="Times New Roman" w:hAnsi="Times New Roman" w:cs="Times New Roman"/>
          <w:sz w:val="24"/>
          <w:szCs w:val="24"/>
        </w:rPr>
        <w:t xml:space="preserve"> presented the methodological framework adopted for the </w:t>
      </w:r>
      <w:proofErr w:type="spellStart"/>
      <w:r w:rsidR="00933052" w:rsidRPr="00EF229A">
        <w:rPr>
          <w:rFonts w:ascii="Times New Roman" w:hAnsi="Times New Roman" w:cs="Times New Roman"/>
          <w:sz w:val="24"/>
          <w:szCs w:val="24"/>
        </w:rPr>
        <w:t>hydrochemical</w:t>
      </w:r>
      <w:proofErr w:type="spellEnd"/>
      <w:r w:rsidR="00933052" w:rsidRPr="00EF229A">
        <w:rPr>
          <w:rFonts w:ascii="Times New Roman" w:hAnsi="Times New Roman" w:cs="Times New Roman"/>
          <w:sz w:val="24"/>
          <w:szCs w:val="24"/>
        </w:rPr>
        <w:t xml:space="preserve"> assessment of groundwater in Ilorin. From sampling design to laboratory analysis and data interpretation, standard procedures were followed to ensure reliability and scientific rigor. The approach is designed to produce </w:t>
      </w:r>
      <w:proofErr w:type="gramStart"/>
      <w:r w:rsidR="00933052" w:rsidRPr="00EF229A">
        <w:rPr>
          <w:rFonts w:ascii="Times New Roman" w:hAnsi="Times New Roman" w:cs="Times New Roman"/>
          <w:sz w:val="24"/>
          <w:szCs w:val="24"/>
        </w:rPr>
        <w:t>result that are</w:t>
      </w:r>
      <w:proofErr w:type="gramEnd"/>
      <w:r w:rsidR="00933052" w:rsidRPr="00EF229A">
        <w:rPr>
          <w:rFonts w:ascii="Times New Roman" w:hAnsi="Times New Roman" w:cs="Times New Roman"/>
          <w:sz w:val="24"/>
          <w:szCs w:val="24"/>
        </w:rPr>
        <w:t xml:space="preserve"> representative, replicable, and relevant for policy formulation and sustainable groundwater management. </w:t>
      </w:r>
      <w:r w:rsidR="00933052" w:rsidRPr="00EF229A">
        <w:rPr>
          <w:rFonts w:ascii="Times New Roman" w:hAnsi="Times New Roman" w:cs="Times New Roman"/>
          <w:b/>
          <w:sz w:val="24"/>
          <w:szCs w:val="24"/>
        </w:rPr>
        <w:t xml:space="preserve"> </w:t>
      </w:r>
    </w:p>
    <w:p w:rsidR="00933052" w:rsidRDefault="00933052" w:rsidP="001B2BB3">
      <w:pPr>
        <w:spacing w:line="480" w:lineRule="auto"/>
        <w:jc w:val="both"/>
        <w:rPr>
          <w:rFonts w:ascii="Times New Roman" w:hAnsi="Times New Roman" w:cs="Times New Roman"/>
          <w:sz w:val="24"/>
          <w:szCs w:val="24"/>
        </w:rPr>
      </w:pPr>
    </w:p>
    <w:p w:rsidR="006471E2" w:rsidRDefault="006471E2" w:rsidP="008C6727">
      <w:pPr>
        <w:spacing w:after="0" w:line="480" w:lineRule="auto"/>
        <w:jc w:val="center"/>
        <w:rPr>
          <w:rFonts w:ascii="Times New Roman" w:hAnsi="Times New Roman" w:cs="Times New Roman"/>
          <w:b/>
          <w:sz w:val="24"/>
          <w:szCs w:val="24"/>
        </w:rPr>
      </w:pPr>
    </w:p>
    <w:p w:rsidR="006471E2" w:rsidRDefault="006471E2" w:rsidP="008C6727">
      <w:pPr>
        <w:spacing w:after="0" w:line="480" w:lineRule="auto"/>
        <w:jc w:val="center"/>
        <w:rPr>
          <w:rFonts w:ascii="Times New Roman" w:hAnsi="Times New Roman" w:cs="Times New Roman"/>
          <w:b/>
          <w:sz w:val="24"/>
          <w:szCs w:val="24"/>
        </w:rPr>
      </w:pPr>
    </w:p>
    <w:p w:rsidR="0037735E" w:rsidRDefault="0037735E" w:rsidP="008C6727">
      <w:pPr>
        <w:spacing w:after="0" w:line="480" w:lineRule="auto"/>
        <w:jc w:val="center"/>
        <w:rPr>
          <w:rFonts w:ascii="Times New Roman" w:hAnsi="Times New Roman" w:cs="Times New Roman"/>
          <w:b/>
          <w:sz w:val="24"/>
          <w:szCs w:val="24"/>
        </w:rPr>
      </w:pPr>
    </w:p>
    <w:p w:rsidR="00BA05CC" w:rsidRDefault="00BA05CC" w:rsidP="00BA05C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BA05CC" w:rsidRPr="00BA05CC" w:rsidRDefault="00145EE3" w:rsidP="00BA05CC">
      <w:pPr>
        <w:spacing w:after="0" w:line="480" w:lineRule="auto"/>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00BA05CC" w:rsidRPr="00BA05CC">
        <w:rPr>
          <w:rFonts w:ascii="Times New Roman" w:hAnsi="Times New Roman" w:cs="Times New Roman"/>
          <w:b/>
          <w:sz w:val="24"/>
          <w:szCs w:val="24"/>
        </w:rPr>
        <w:t>RESULT AND DISCUSSION</w:t>
      </w:r>
    </w:p>
    <w:p w:rsidR="00BA05CC" w:rsidRPr="00BA05CC" w:rsidRDefault="00145EE3" w:rsidP="00BA05CC">
      <w:pPr>
        <w:rPr>
          <w:rFonts w:ascii="Times New Roman" w:hAnsi="Times New Roman" w:cs="Times New Roman"/>
          <w:b/>
          <w:sz w:val="28"/>
          <w:szCs w:val="28"/>
        </w:rPr>
      </w:pPr>
      <w:r>
        <w:rPr>
          <w:rFonts w:ascii="Times New Roman" w:hAnsi="Times New Roman" w:cs="Times New Roman"/>
          <w:b/>
          <w:sz w:val="24"/>
          <w:szCs w:val="24"/>
        </w:rPr>
        <w:t>4.1</w:t>
      </w:r>
      <w:r>
        <w:rPr>
          <w:rFonts w:ascii="Times New Roman" w:hAnsi="Times New Roman" w:cs="Times New Roman"/>
          <w:b/>
          <w:sz w:val="24"/>
          <w:szCs w:val="24"/>
        </w:rPr>
        <w:tab/>
      </w:r>
      <w:r w:rsidR="00BA05CC" w:rsidRPr="00BA05CC">
        <w:rPr>
          <w:rFonts w:ascii="Times New Roman" w:hAnsi="Times New Roman" w:cs="Times New Roman"/>
          <w:b/>
          <w:sz w:val="24"/>
          <w:szCs w:val="24"/>
        </w:rPr>
        <w:t>PHYSICO – CHEMICAL PARAMETERS</w:t>
      </w:r>
    </w:p>
    <w:tbl>
      <w:tblPr>
        <w:tblStyle w:val="TableGrid"/>
        <w:tblW w:w="9882" w:type="dxa"/>
        <w:tblInd w:w="-342" w:type="dxa"/>
        <w:tblLayout w:type="fixed"/>
        <w:tblLook w:val="04A0" w:firstRow="1" w:lastRow="0" w:firstColumn="1" w:lastColumn="0" w:noHBand="0" w:noVBand="1"/>
      </w:tblPr>
      <w:tblGrid>
        <w:gridCol w:w="950"/>
        <w:gridCol w:w="940"/>
        <w:gridCol w:w="990"/>
        <w:gridCol w:w="810"/>
        <w:gridCol w:w="720"/>
        <w:gridCol w:w="720"/>
        <w:gridCol w:w="720"/>
        <w:gridCol w:w="540"/>
        <w:gridCol w:w="720"/>
        <w:gridCol w:w="720"/>
        <w:gridCol w:w="540"/>
        <w:gridCol w:w="751"/>
        <w:gridCol w:w="761"/>
      </w:tblGrid>
      <w:tr w:rsidR="00BA05CC" w:rsidRPr="00BA05CC" w:rsidTr="00BA05CC">
        <w:trPr>
          <w:trHeight w:val="635"/>
        </w:trPr>
        <w:tc>
          <w:tcPr>
            <w:tcW w:w="950" w:type="dxa"/>
          </w:tcPr>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 xml:space="preserve">Sample code </w:t>
            </w:r>
          </w:p>
        </w:tc>
        <w:tc>
          <w:tcPr>
            <w:tcW w:w="940" w:type="dxa"/>
          </w:tcPr>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Total Hardness (mg/lcac03</w:t>
            </w:r>
          </w:p>
        </w:tc>
        <w:tc>
          <w:tcPr>
            <w:tcW w:w="990" w:type="dxa"/>
          </w:tcPr>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 xml:space="preserve">Calcium Hardness (mg/lCaC03 </w:t>
            </w:r>
          </w:p>
        </w:tc>
        <w:tc>
          <w:tcPr>
            <w:tcW w:w="810" w:type="dxa"/>
          </w:tcPr>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Magnesium  Hardness ( mg/l CaC03</w:t>
            </w:r>
          </w:p>
        </w:tc>
        <w:tc>
          <w:tcPr>
            <w:tcW w:w="720" w:type="dxa"/>
          </w:tcPr>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Ca</w:t>
            </w:r>
            <w:r w:rsidRPr="00BA05CC">
              <w:rPr>
                <w:rFonts w:ascii="Times New Roman" w:hAnsi="Times New Roman" w:cs="Times New Roman"/>
                <w:b/>
                <w:sz w:val="20"/>
                <w:szCs w:val="20"/>
                <w:vertAlign w:val="superscript"/>
              </w:rPr>
              <w:t>2</w:t>
            </w:r>
            <w:r w:rsidRPr="00BA05CC">
              <w:rPr>
                <w:rFonts w:ascii="Times New Roman" w:hAnsi="Times New Roman" w:cs="Times New Roman"/>
                <w:b/>
                <w:sz w:val="20"/>
                <w:szCs w:val="20"/>
              </w:rPr>
              <w:t xml:space="preserve"> (ppm)</w:t>
            </w:r>
          </w:p>
        </w:tc>
        <w:tc>
          <w:tcPr>
            <w:tcW w:w="720" w:type="dxa"/>
          </w:tcPr>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Mg</w:t>
            </w:r>
            <w:r w:rsidRPr="00BA05CC">
              <w:rPr>
                <w:rFonts w:ascii="Times New Roman" w:hAnsi="Times New Roman" w:cs="Times New Roman"/>
                <w:b/>
                <w:sz w:val="20"/>
                <w:szCs w:val="20"/>
                <w:vertAlign w:val="superscript"/>
              </w:rPr>
              <w:t>2</w:t>
            </w:r>
            <w:r w:rsidRPr="00BA05CC">
              <w:rPr>
                <w:rFonts w:ascii="Times New Roman" w:hAnsi="Times New Roman" w:cs="Times New Roman"/>
                <w:b/>
                <w:sz w:val="20"/>
                <w:szCs w:val="20"/>
              </w:rPr>
              <w:t xml:space="preserve"> (ppm)</w:t>
            </w:r>
          </w:p>
        </w:tc>
        <w:tc>
          <w:tcPr>
            <w:tcW w:w="720" w:type="dxa"/>
          </w:tcPr>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Hco</w:t>
            </w:r>
            <w:r w:rsidRPr="00BA05CC">
              <w:rPr>
                <w:rFonts w:ascii="Times New Roman" w:hAnsi="Times New Roman" w:cs="Times New Roman"/>
                <w:b/>
                <w:sz w:val="20"/>
                <w:szCs w:val="20"/>
                <w:vertAlign w:val="subscript"/>
              </w:rPr>
              <w:t>3</w:t>
            </w:r>
          </w:p>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 xml:space="preserve">(mg/l) </w:t>
            </w:r>
          </w:p>
        </w:tc>
        <w:tc>
          <w:tcPr>
            <w:tcW w:w="540" w:type="dxa"/>
          </w:tcPr>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So</w:t>
            </w:r>
            <w:r w:rsidRPr="00BA05CC">
              <w:rPr>
                <w:rFonts w:ascii="Times New Roman" w:hAnsi="Times New Roman" w:cs="Times New Roman"/>
                <w:b/>
                <w:sz w:val="20"/>
                <w:szCs w:val="20"/>
                <w:vertAlign w:val="superscript"/>
              </w:rPr>
              <w:t>2</w:t>
            </w:r>
          </w:p>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(mg/l</w:t>
            </w:r>
          </w:p>
        </w:tc>
        <w:tc>
          <w:tcPr>
            <w:tcW w:w="720" w:type="dxa"/>
          </w:tcPr>
          <w:p w:rsidR="00BA05CC" w:rsidRPr="00BA05CC" w:rsidRDefault="00BA05CC" w:rsidP="00D370AD">
            <w:pPr>
              <w:spacing w:line="16" w:lineRule="atLeast"/>
              <w:rPr>
                <w:rFonts w:ascii="Times New Roman" w:hAnsi="Times New Roman" w:cs="Times New Roman"/>
                <w:b/>
                <w:sz w:val="20"/>
                <w:szCs w:val="20"/>
              </w:rPr>
            </w:pPr>
            <w:proofErr w:type="spellStart"/>
            <w:r w:rsidRPr="00BA05CC">
              <w:rPr>
                <w:rFonts w:ascii="Times New Roman" w:hAnsi="Times New Roman" w:cs="Times New Roman"/>
                <w:b/>
                <w:sz w:val="20"/>
                <w:szCs w:val="20"/>
              </w:rPr>
              <w:t>Cl</w:t>
            </w:r>
            <w:proofErr w:type="spellEnd"/>
          </w:p>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(mg/l</w:t>
            </w:r>
          </w:p>
        </w:tc>
        <w:tc>
          <w:tcPr>
            <w:tcW w:w="720" w:type="dxa"/>
          </w:tcPr>
          <w:p w:rsidR="00BA05CC" w:rsidRPr="00BA05CC" w:rsidRDefault="00BA05CC" w:rsidP="00D370AD">
            <w:pPr>
              <w:spacing w:line="16" w:lineRule="atLeast"/>
              <w:rPr>
                <w:rFonts w:ascii="Times New Roman" w:hAnsi="Times New Roman" w:cs="Times New Roman"/>
                <w:b/>
                <w:sz w:val="20"/>
                <w:szCs w:val="20"/>
                <w:vertAlign w:val="superscript"/>
              </w:rPr>
            </w:pPr>
            <w:r w:rsidRPr="00BA05CC">
              <w:rPr>
                <w:rFonts w:ascii="Times New Roman" w:hAnsi="Times New Roman" w:cs="Times New Roman"/>
                <w:b/>
                <w:sz w:val="20"/>
                <w:szCs w:val="20"/>
              </w:rPr>
              <w:t>No</w:t>
            </w:r>
            <w:r w:rsidRPr="00BA05CC">
              <w:rPr>
                <w:rFonts w:ascii="Times New Roman" w:hAnsi="Times New Roman" w:cs="Times New Roman"/>
                <w:b/>
                <w:sz w:val="20"/>
                <w:szCs w:val="20"/>
                <w:vertAlign w:val="superscript"/>
              </w:rPr>
              <w:t>3</w:t>
            </w:r>
          </w:p>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(mg/l</w:t>
            </w:r>
          </w:p>
        </w:tc>
        <w:tc>
          <w:tcPr>
            <w:tcW w:w="540" w:type="dxa"/>
          </w:tcPr>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Co3</w:t>
            </w:r>
            <w:r w:rsidRPr="00BA05CC">
              <w:rPr>
                <w:rFonts w:ascii="Times New Roman" w:hAnsi="Times New Roman" w:cs="Times New Roman"/>
                <w:b/>
                <w:sz w:val="20"/>
                <w:szCs w:val="20"/>
                <w:vertAlign w:val="superscript"/>
              </w:rPr>
              <w:t>2</w:t>
            </w:r>
          </w:p>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(mg/l</w:t>
            </w:r>
          </w:p>
        </w:tc>
        <w:tc>
          <w:tcPr>
            <w:tcW w:w="751" w:type="dxa"/>
          </w:tcPr>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Na</w:t>
            </w:r>
          </w:p>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(ppm)</w:t>
            </w:r>
          </w:p>
        </w:tc>
        <w:tc>
          <w:tcPr>
            <w:tcW w:w="761" w:type="dxa"/>
          </w:tcPr>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K</w:t>
            </w:r>
          </w:p>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(ppm)</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261.31</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119.45</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141.86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47.78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20.16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174</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33.51</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0.74</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12.52</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10.03</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 xml:space="preserve"> 2</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233.20</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106.60</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126.60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42.64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16.18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160</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20.78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1.05</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9.74</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6.49</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 xml:space="preserve">3 </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302.55</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138.30</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164.25</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55.32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21.35</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138</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44.27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4.83</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13.07</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10.48</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 xml:space="preserve">4 </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253.06</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115.68</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137.38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46.27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15.63</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176</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19.45</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1.03</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10.06</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7.45</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231.62</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105.88</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125.74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42.35</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13.61</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162</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12.89</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0.48</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8.28</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5.36</w:t>
            </w:r>
          </w:p>
        </w:tc>
      </w:tr>
      <w:tr w:rsidR="00BA05CC" w:rsidRPr="00BA05CC" w:rsidTr="00BA05CC">
        <w:trPr>
          <w:trHeight w:val="218"/>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6</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318.74</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145.70</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173.04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58.28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24.37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246</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35.07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2.51</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16.68</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12.54</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 xml:space="preserve"> 7</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231.13</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105.65</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125.48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42.26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14.12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156</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23.00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0.67</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9.49</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6.97</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 xml:space="preserve"> 8</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232.60</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106.33</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126.28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42.53</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13.96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154</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22.35</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0.85</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9.42</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6.52</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 xml:space="preserve"> 9</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266.73</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121.93</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144.80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48.77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18.82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164</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35.57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6.36</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11.83</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8.35</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230.69</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105.45</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125.24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42.18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12.13</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142</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20.65</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0.72</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7.27</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4.16</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 xml:space="preserve"> 11</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328.26</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150.05</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178.21</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60.02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27.29</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250</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47.01</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6.63</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17.26</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13.01</w:t>
            </w:r>
          </w:p>
        </w:tc>
      </w:tr>
      <w:tr w:rsidR="00BA05CC" w:rsidRPr="00BA05CC" w:rsidTr="00BA05CC">
        <w:trPr>
          <w:trHeight w:val="218"/>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221.28</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101.15</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120.13</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40.46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13.55</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158</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18.98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1.07</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10.02</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7.16</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13</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298.78</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136.58</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162.20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54.63</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21.73</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186</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43.79</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6.68</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14.62</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11.29</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313.44</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143.28</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170.16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57.31</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22.48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192</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44.47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8.74</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15.53</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11.06</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 xml:space="preserve"> 15</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282.32</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129.05</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153.27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51.62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19.42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188</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32.87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5.49</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13,87</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10.06</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346.25</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158.28</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187.98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63.31</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28.26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226</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54.37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10.81</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18.42</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12.02</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17</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331.26</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151.43</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179.84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60.57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27.34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226</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50.62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6.75</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19.07</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11.73</w:t>
            </w:r>
          </w:p>
        </w:tc>
      </w:tr>
      <w:tr w:rsidR="00BA05CC" w:rsidRPr="00BA05CC" w:rsidTr="00BA05CC">
        <w:trPr>
          <w:trHeight w:val="218"/>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350.46</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160.20</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199.26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64.08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28.92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232</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53.91</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9.73</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19.28</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11.94</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19</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274.88</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125.65</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149.23</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50.26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16.44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186</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27.53</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3.52</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10.46</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8.58</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20</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233.99</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106.95</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127.02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42,78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12.56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160</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18.96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0.74</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9.53</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6.79</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21</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263.99</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120.68</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143.32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48.27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15.73</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180</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28.57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2.73</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12.81</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10.09</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22</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222.76</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101.83</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120.93</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40.73</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15.39</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172</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19.45</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0.98</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10.43</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7.91</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23</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227.02</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103.78</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123.25</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41.51</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14.87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174</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20.38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1.03</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12.21</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9.32</w:t>
            </w:r>
          </w:p>
        </w:tc>
      </w:tr>
      <w:tr w:rsidR="00BA05CC" w:rsidRPr="00BA05CC" w:rsidTr="00BA05CC">
        <w:trPr>
          <w:trHeight w:val="218"/>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 xml:space="preserve"> 24</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229.92</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105.10</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124.82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42.04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16.73</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176</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22.32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0.94</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10.66</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8.91</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25</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226.37</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103.48</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122.89</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41.39</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17.04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174</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22.69</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0.63</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11.17</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8.15</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26</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265.91</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121.55</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144.36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48.62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19.73</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186</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31.79</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3.41</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13.06</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10.04</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27</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273.57</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125.05</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148.52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50.02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19.82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190</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30.97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4.16</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12.38</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9.97</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28</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280.62</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128.28</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152.35</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51.31</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20.05</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194</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31.21</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3.46</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12.31</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10.02</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29</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227.50</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126.85</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150.65</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50.74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19.79</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180</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31.76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3.19</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10.62</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9.82</w:t>
            </w:r>
          </w:p>
        </w:tc>
      </w:tr>
      <w:tr w:rsidR="00BA05CC" w:rsidRPr="00BA05CC" w:rsidTr="00BA05CC">
        <w:trPr>
          <w:trHeight w:val="218"/>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30</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227.68</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104.08</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123.60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41.63</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13.74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174</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16.87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0.75</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9.91</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8.73</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WHO</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180</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180</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300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500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500</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300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250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50</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120</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160</w:t>
            </w:r>
          </w:p>
        </w:tc>
      </w:tr>
    </w:tbl>
    <w:p w:rsidR="00BA05CC" w:rsidRPr="00CF7BEB" w:rsidRDefault="00BA05CC" w:rsidP="00BA05CC"/>
    <w:p w:rsidR="00BA05CC" w:rsidRPr="00CF7BEB" w:rsidRDefault="00BA05CC" w:rsidP="00BA05CC">
      <w:pPr>
        <w:spacing w:line="240" w:lineRule="auto"/>
        <w:rPr>
          <w:sz w:val="20"/>
          <w:szCs w:val="20"/>
        </w:rPr>
      </w:pPr>
    </w:p>
    <w:p w:rsidR="00BA05CC" w:rsidRDefault="00BA05CC" w:rsidP="00BA05CC">
      <w:pPr>
        <w:spacing w:after="0" w:line="480" w:lineRule="auto"/>
        <w:rPr>
          <w:rFonts w:ascii="Times New Roman" w:hAnsi="Times New Roman" w:cs="Times New Roman"/>
          <w:b/>
          <w:sz w:val="24"/>
          <w:szCs w:val="24"/>
        </w:rPr>
      </w:pPr>
    </w:p>
    <w:p w:rsidR="00BA05CC" w:rsidRDefault="00BA05CC" w:rsidP="00BA05CC">
      <w:pPr>
        <w:spacing w:after="0" w:line="480" w:lineRule="auto"/>
        <w:rPr>
          <w:rFonts w:ascii="Times New Roman" w:hAnsi="Times New Roman" w:cs="Times New Roman"/>
          <w:b/>
          <w:sz w:val="24"/>
          <w:szCs w:val="24"/>
        </w:rPr>
      </w:pPr>
    </w:p>
    <w:p w:rsidR="00BA05CC" w:rsidRDefault="00BA05CC" w:rsidP="00BA05CC">
      <w:pPr>
        <w:spacing w:after="0" w:line="480" w:lineRule="auto"/>
        <w:rPr>
          <w:rFonts w:ascii="Times New Roman" w:hAnsi="Times New Roman" w:cs="Times New Roman"/>
          <w:b/>
          <w:sz w:val="24"/>
          <w:szCs w:val="24"/>
        </w:rPr>
      </w:pPr>
    </w:p>
    <w:p w:rsidR="00BA05CC" w:rsidRDefault="00BA05CC" w:rsidP="00BA05CC">
      <w:pPr>
        <w:spacing w:after="0" w:line="480" w:lineRule="auto"/>
        <w:rPr>
          <w:rFonts w:ascii="Times New Roman" w:hAnsi="Times New Roman" w:cs="Times New Roman"/>
          <w:b/>
          <w:sz w:val="24"/>
          <w:szCs w:val="24"/>
        </w:rPr>
      </w:pPr>
    </w:p>
    <w:p w:rsidR="00BA05CC" w:rsidRDefault="00BA05CC" w:rsidP="00BA05CC">
      <w:pPr>
        <w:spacing w:after="0" w:line="480" w:lineRule="auto"/>
        <w:rPr>
          <w:rFonts w:ascii="Times New Roman" w:hAnsi="Times New Roman" w:cs="Times New Roman"/>
          <w:b/>
          <w:sz w:val="24"/>
          <w:szCs w:val="24"/>
        </w:rPr>
      </w:pPr>
    </w:p>
    <w:p w:rsidR="00BA05CC" w:rsidRPr="00AD3D88" w:rsidRDefault="001E30BE" w:rsidP="00BA05CC">
      <w:pPr>
        <w:rPr>
          <w:rFonts w:ascii="Times New Roman" w:hAnsi="Times New Roman" w:cs="Times New Roman"/>
        </w:rPr>
      </w:pPr>
      <w:r>
        <w:rPr>
          <w:rFonts w:ascii="Times New Roman" w:hAnsi="Times New Roman" w:cs="Times New Roman"/>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29pt;margin-top:91.8pt;width:174.75pt;height:16.5pt;rotation:270;z-index:251682816;mso-position-horizontal-relative:text;mso-position-vertical-relative:text" fillcolor="black [3213]" strokecolor="black [3213]">
            <v:shadow color="#868686"/>
            <v:textpath style="font-family:&quot;Arial&quot;;font-size:14pt;v-text-kern:t" trim="t" fitpath="t" string="CONCENTRATION LEVEL"/>
          </v:shape>
        </w:pict>
      </w:r>
      <w:r w:rsidR="00BA05CC" w:rsidRPr="00AD3D88">
        <w:rPr>
          <w:rFonts w:ascii="Times New Roman" w:hAnsi="Times New Roman" w:cs="Times New Roman"/>
          <w:noProof/>
        </w:rPr>
        <w:drawing>
          <wp:anchor distT="0" distB="0" distL="114300" distR="114300" simplePos="0" relativeHeight="251685888" behindDoc="1" locked="0" layoutInCell="1" allowOverlap="1" wp14:anchorId="614005B4" wp14:editId="7027A247">
            <wp:simplePos x="0" y="0"/>
            <wp:positionH relativeFrom="column">
              <wp:posOffset>-224155</wp:posOffset>
            </wp:positionH>
            <wp:positionV relativeFrom="paragraph">
              <wp:posOffset>-90805</wp:posOffset>
            </wp:positionV>
            <wp:extent cx="6772910" cy="2810510"/>
            <wp:effectExtent l="0" t="0" r="27940" b="27940"/>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rsidR="00BA05CC" w:rsidRPr="00AD3D88" w:rsidRDefault="00BA05CC" w:rsidP="00BA05CC">
      <w:pPr>
        <w:rPr>
          <w:rFonts w:ascii="Times New Roman" w:hAnsi="Times New Roman" w:cs="Times New Roman"/>
        </w:rPr>
      </w:pPr>
    </w:p>
    <w:p w:rsidR="00BA05CC" w:rsidRPr="00AD3D88" w:rsidRDefault="00BA05CC" w:rsidP="00BA05CC">
      <w:pPr>
        <w:rPr>
          <w:rFonts w:ascii="Times New Roman" w:hAnsi="Times New Roman" w:cs="Times New Roman"/>
        </w:rPr>
      </w:pPr>
    </w:p>
    <w:p w:rsidR="00BA05CC" w:rsidRPr="00AD3D88" w:rsidRDefault="00BA05CC" w:rsidP="00BA05CC">
      <w:pPr>
        <w:rPr>
          <w:rFonts w:ascii="Times New Roman" w:hAnsi="Times New Roman" w:cs="Times New Roman"/>
        </w:rPr>
      </w:pPr>
    </w:p>
    <w:p w:rsidR="00BA05CC" w:rsidRPr="00AD3D88" w:rsidRDefault="00BA05CC" w:rsidP="00BA05CC">
      <w:pPr>
        <w:rPr>
          <w:rFonts w:ascii="Times New Roman" w:hAnsi="Times New Roman" w:cs="Times New Roman"/>
        </w:rPr>
      </w:pPr>
    </w:p>
    <w:p w:rsidR="00BA05CC" w:rsidRPr="00AD3D88" w:rsidRDefault="00BA05CC" w:rsidP="00BA05CC">
      <w:pPr>
        <w:rPr>
          <w:rFonts w:ascii="Times New Roman" w:hAnsi="Times New Roman" w:cs="Times New Roman"/>
        </w:rPr>
      </w:pPr>
    </w:p>
    <w:p w:rsidR="00BA05CC" w:rsidRPr="00AD3D88" w:rsidRDefault="00BA05CC" w:rsidP="00BA05CC">
      <w:pPr>
        <w:rPr>
          <w:rFonts w:ascii="Times New Roman" w:hAnsi="Times New Roman" w:cs="Times New Roman"/>
        </w:rPr>
      </w:pPr>
    </w:p>
    <w:p w:rsidR="00BA05CC" w:rsidRPr="00AD3D88" w:rsidRDefault="00BA05CC" w:rsidP="00BA05CC">
      <w:pPr>
        <w:rPr>
          <w:rFonts w:ascii="Times New Roman" w:hAnsi="Times New Roman" w:cs="Times New Roman"/>
        </w:rPr>
      </w:pPr>
    </w:p>
    <w:p w:rsidR="00BA05CC" w:rsidRPr="00AD3D88" w:rsidRDefault="00BA05CC" w:rsidP="00BA05CC">
      <w:pPr>
        <w:rPr>
          <w:rFonts w:ascii="Times New Roman" w:hAnsi="Times New Roman" w:cs="Times New Roman"/>
        </w:rPr>
      </w:pPr>
    </w:p>
    <w:p w:rsidR="00BA05CC" w:rsidRPr="00AD3D88" w:rsidRDefault="00BA05CC" w:rsidP="00BA05CC">
      <w:pPr>
        <w:tabs>
          <w:tab w:val="left" w:pos="5610"/>
        </w:tabs>
        <w:jc w:val="center"/>
        <w:rPr>
          <w:rFonts w:ascii="Times New Roman" w:hAnsi="Times New Roman" w:cs="Times New Roman"/>
          <w:b/>
          <w:bCs/>
          <w:sz w:val="32"/>
        </w:rPr>
      </w:pPr>
      <w:r w:rsidRPr="00AD3D88">
        <w:rPr>
          <w:rFonts w:ascii="Times New Roman" w:hAnsi="Times New Roman" w:cs="Times New Roman"/>
          <w:b/>
          <w:bCs/>
          <w:sz w:val="32"/>
        </w:rPr>
        <w:t>LOCATION</w:t>
      </w:r>
    </w:p>
    <w:p w:rsidR="00BA05CC" w:rsidRPr="00AD3D88" w:rsidRDefault="00BA05CC" w:rsidP="00BA05CC">
      <w:pPr>
        <w:tabs>
          <w:tab w:val="left" w:pos="5610"/>
        </w:tabs>
        <w:jc w:val="center"/>
        <w:rPr>
          <w:rFonts w:ascii="Times New Roman" w:hAnsi="Times New Roman" w:cs="Times New Roman"/>
          <w:b/>
          <w:bCs/>
          <w:sz w:val="32"/>
        </w:rPr>
      </w:pPr>
      <w:r w:rsidRPr="00AD3D88">
        <w:rPr>
          <w:rFonts w:ascii="Times New Roman" w:hAnsi="Times New Roman" w:cs="Times New Roman"/>
          <w:b/>
          <w:bCs/>
          <w:sz w:val="32"/>
        </w:rPr>
        <w:t>Fig 4.1: CONCENTRATION OF CALCIUM CARBONATE (CaCO</w:t>
      </w:r>
      <w:r w:rsidRPr="00AD3D88">
        <w:rPr>
          <w:rFonts w:ascii="Times New Roman" w:hAnsi="Times New Roman" w:cs="Times New Roman"/>
          <w:b/>
          <w:bCs/>
          <w:sz w:val="32"/>
          <w:vertAlign w:val="subscript"/>
        </w:rPr>
        <w:t>3</w:t>
      </w:r>
      <w:proofErr w:type="gramStart"/>
      <w:r w:rsidRPr="00AD3D88">
        <w:rPr>
          <w:rFonts w:ascii="Times New Roman" w:hAnsi="Times New Roman" w:cs="Times New Roman"/>
          <w:b/>
          <w:bCs/>
          <w:sz w:val="32"/>
        </w:rPr>
        <w:t>)  PHYSICO</w:t>
      </w:r>
      <w:proofErr w:type="gramEnd"/>
      <w:r w:rsidRPr="00AD3D88">
        <w:rPr>
          <w:rFonts w:ascii="Times New Roman" w:hAnsi="Times New Roman" w:cs="Times New Roman"/>
          <w:b/>
          <w:bCs/>
          <w:sz w:val="32"/>
        </w:rPr>
        <w:t>-CHEMICAL PARAMETERS</w:t>
      </w:r>
    </w:p>
    <w:p w:rsidR="00BA05CC" w:rsidRPr="00AD3D88" w:rsidRDefault="00BA05CC" w:rsidP="00BA05CC">
      <w:pPr>
        <w:spacing w:after="0" w:line="480" w:lineRule="auto"/>
        <w:jc w:val="both"/>
        <w:outlineLvl w:val="1"/>
        <w:rPr>
          <w:rFonts w:ascii="Times New Roman" w:eastAsia="Times New Roman" w:hAnsi="Times New Roman" w:cs="Times New Roman"/>
          <w:b/>
          <w:bCs/>
          <w:sz w:val="24"/>
          <w:szCs w:val="24"/>
        </w:rPr>
      </w:pPr>
      <w:r w:rsidRPr="00AD3D88">
        <w:rPr>
          <w:rFonts w:ascii="Times New Roman" w:eastAsia="Times New Roman" w:hAnsi="Times New Roman" w:cs="Times New Roman"/>
          <w:b/>
          <w:bCs/>
          <w:sz w:val="24"/>
          <w:szCs w:val="24"/>
        </w:rPr>
        <w:t>4.1.1 Calcium Carbonate (</w:t>
      </w:r>
      <w:proofErr w:type="spellStart"/>
      <w:r w:rsidRPr="00AD3D88">
        <w:rPr>
          <w:rFonts w:ascii="Times New Roman" w:eastAsia="Times New Roman" w:hAnsi="Times New Roman" w:cs="Times New Roman"/>
          <w:b/>
          <w:bCs/>
          <w:sz w:val="24"/>
          <w:szCs w:val="24"/>
        </w:rPr>
        <w:t>CaCO</w:t>
      </w:r>
      <w:proofErr w:type="spellEnd"/>
      <w:r w:rsidRPr="00AD3D88">
        <w:rPr>
          <w:rFonts w:ascii="Times New Roman" w:eastAsia="Times New Roman" w:hAnsi="Times New Roman" w:cs="Times New Roman"/>
          <w:b/>
          <w:bCs/>
          <w:sz w:val="24"/>
          <w:szCs w:val="24"/>
        </w:rPr>
        <w:t>₃)</w:t>
      </w:r>
    </w:p>
    <w:p w:rsidR="00BA05CC" w:rsidRPr="00AD3D88" w:rsidRDefault="00BA05CC" w:rsidP="00BA05CC">
      <w:pPr>
        <w:spacing w:after="0" w:line="480" w:lineRule="auto"/>
        <w:jc w:val="both"/>
        <w:rPr>
          <w:rFonts w:ascii="Times New Roman" w:eastAsia="Times New Roman" w:hAnsi="Times New Roman" w:cs="Times New Roman"/>
          <w:sz w:val="24"/>
          <w:szCs w:val="24"/>
        </w:rPr>
      </w:pPr>
      <w:r w:rsidRPr="00AD3D88">
        <w:rPr>
          <w:rFonts w:ascii="Times New Roman" w:eastAsia="Times New Roman" w:hAnsi="Times New Roman" w:cs="Times New Roman"/>
          <w:sz w:val="24"/>
          <w:szCs w:val="24"/>
        </w:rPr>
        <w:t xml:space="preserve">The concentration of calcium carbonate in the study area ranged from </w:t>
      </w:r>
      <w:r w:rsidRPr="00AD3D88">
        <w:rPr>
          <w:rFonts w:ascii="Times New Roman" w:eastAsia="Times New Roman" w:hAnsi="Times New Roman" w:cs="Times New Roman"/>
          <w:b/>
          <w:bCs/>
          <w:sz w:val="24"/>
          <w:szCs w:val="24"/>
        </w:rPr>
        <w:t>180 to 350 mg/L</w:t>
      </w:r>
      <w:r w:rsidRPr="00AD3D88">
        <w:rPr>
          <w:rFonts w:ascii="Times New Roman" w:eastAsia="Times New Roman" w:hAnsi="Times New Roman" w:cs="Times New Roman"/>
          <w:sz w:val="24"/>
          <w:szCs w:val="24"/>
        </w:rPr>
        <w:t xml:space="preserve">. Most sample locations were within the acceptable limit for scaling potential (typically &lt; 200 mg/L). However, locations </w:t>
      </w:r>
      <w:r w:rsidRPr="00AD3D88">
        <w:rPr>
          <w:rFonts w:ascii="Times New Roman" w:eastAsia="Times New Roman" w:hAnsi="Times New Roman" w:cs="Times New Roman"/>
          <w:b/>
          <w:bCs/>
          <w:sz w:val="24"/>
          <w:szCs w:val="24"/>
        </w:rPr>
        <w:t>400</w:t>
      </w:r>
      <w:r w:rsidRPr="00AD3D88">
        <w:rPr>
          <w:rFonts w:ascii="Times New Roman" w:eastAsia="Times New Roman" w:hAnsi="Times New Roman" w:cs="Times New Roman"/>
          <w:sz w:val="24"/>
          <w:szCs w:val="24"/>
        </w:rPr>
        <w:t xml:space="preserve"> exceeded this threshold, indicating a risk of scaling in pipelines and boilers. Water in these areas may require treatment for industrial use.</w:t>
      </w:r>
    </w:p>
    <w:p w:rsidR="00BA05CC" w:rsidRPr="00AD3D88" w:rsidRDefault="00BA05CC" w:rsidP="00BA05CC">
      <w:pPr>
        <w:tabs>
          <w:tab w:val="left" w:pos="5610"/>
        </w:tabs>
        <w:jc w:val="center"/>
        <w:rPr>
          <w:rFonts w:ascii="Times New Roman" w:hAnsi="Times New Roman" w:cs="Times New Roman"/>
          <w:b/>
          <w:bCs/>
          <w:sz w:val="32"/>
        </w:rPr>
      </w:pPr>
    </w:p>
    <w:p w:rsidR="00BA05CC" w:rsidRPr="00AD3D88" w:rsidRDefault="00BA05CC" w:rsidP="00BA05CC">
      <w:pPr>
        <w:tabs>
          <w:tab w:val="left" w:pos="5610"/>
        </w:tabs>
        <w:jc w:val="center"/>
        <w:rPr>
          <w:rFonts w:ascii="Times New Roman" w:hAnsi="Times New Roman" w:cs="Times New Roman"/>
          <w:b/>
          <w:bCs/>
          <w:sz w:val="32"/>
        </w:rPr>
      </w:pPr>
    </w:p>
    <w:p w:rsidR="00BA05CC" w:rsidRPr="00AD3D88" w:rsidRDefault="00BA05CC" w:rsidP="00BA05CC">
      <w:pPr>
        <w:tabs>
          <w:tab w:val="left" w:pos="5610"/>
        </w:tabs>
        <w:jc w:val="center"/>
        <w:rPr>
          <w:rFonts w:ascii="Times New Roman" w:hAnsi="Times New Roman" w:cs="Times New Roman"/>
          <w:b/>
          <w:bCs/>
          <w:sz w:val="32"/>
        </w:rPr>
      </w:pPr>
    </w:p>
    <w:p w:rsidR="00BA05CC" w:rsidRPr="00AD3D88" w:rsidRDefault="00BA05CC" w:rsidP="00BA05CC">
      <w:pPr>
        <w:tabs>
          <w:tab w:val="left" w:pos="5610"/>
        </w:tabs>
        <w:jc w:val="center"/>
        <w:rPr>
          <w:rFonts w:ascii="Times New Roman" w:hAnsi="Times New Roman" w:cs="Times New Roman"/>
          <w:b/>
          <w:bCs/>
          <w:sz w:val="32"/>
        </w:rPr>
      </w:pPr>
    </w:p>
    <w:p w:rsidR="00BA05CC" w:rsidRPr="00AD3D88" w:rsidRDefault="00BA05CC" w:rsidP="00BA05CC">
      <w:pPr>
        <w:tabs>
          <w:tab w:val="left" w:pos="5610"/>
        </w:tabs>
        <w:jc w:val="center"/>
        <w:rPr>
          <w:rFonts w:ascii="Times New Roman" w:hAnsi="Times New Roman" w:cs="Times New Roman"/>
          <w:b/>
          <w:bCs/>
          <w:sz w:val="32"/>
        </w:rPr>
      </w:pPr>
    </w:p>
    <w:p w:rsidR="00BA05CC" w:rsidRDefault="00BA05CC" w:rsidP="00BA05CC">
      <w:pPr>
        <w:tabs>
          <w:tab w:val="left" w:pos="5610"/>
        </w:tabs>
        <w:jc w:val="center"/>
        <w:rPr>
          <w:rFonts w:ascii="Times New Roman" w:hAnsi="Times New Roman" w:cs="Times New Roman"/>
          <w:b/>
          <w:bCs/>
          <w:sz w:val="32"/>
        </w:rPr>
      </w:pPr>
    </w:p>
    <w:p w:rsidR="00BA05CC" w:rsidRPr="00AD3D88" w:rsidRDefault="00BA05CC" w:rsidP="00BA05CC">
      <w:pPr>
        <w:tabs>
          <w:tab w:val="left" w:pos="5610"/>
        </w:tabs>
        <w:jc w:val="center"/>
        <w:rPr>
          <w:rFonts w:ascii="Times New Roman" w:hAnsi="Times New Roman" w:cs="Times New Roman"/>
          <w:b/>
          <w:bCs/>
          <w:sz w:val="32"/>
        </w:rPr>
      </w:pPr>
    </w:p>
    <w:p w:rsidR="00BA05CC" w:rsidRPr="00AD3D88" w:rsidRDefault="00BA05CC" w:rsidP="00BA05CC">
      <w:pPr>
        <w:tabs>
          <w:tab w:val="left" w:pos="5610"/>
        </w:tabs>
        <w:jc w:val="center"/>
        <w:rPr>
          <w:rFonts w:ascii="Times New Roman" w:hAnsi="Times New Roman" w:cs="Times New Roman"/>
          <w:b/>
          <w:bCs/>
          <w:sz w:val="32"/>
        </w:rPr>
      </w:pPr>
    </w:p>
    <w:p w:rsidR="00BA05CC" w:rsidRPr="00AD3D88" w:rsidRDefault="001E30BE" w:rsidP="00BA05CC">
      <w:pPr>
        <w:tabs>
          <w:tab w:val="left" w:pos="5610"/>
        </w:tabs>
        <w:jc w:val="center"/>
        <w:rPr>
          <w:rFonts w:ascii="Times New Roman" w:hAnsi="Times New Roman" w:cs="Times New Roman"/>
          <w:b/>
          <w:bCs/>
          <w:sz w:val="32"/>
        </w:rPr>
      </w:pPr>
      <w:r>
        <w:rPr>
          <w:rFonts w:ascii="Times New Roman" w:hAnsi="Times New Roman" w:cs="Times New Roman"/>
        </w:rPr>
        <w:lastRenderedPageBreak/>
        <w:pict>
          <v:shape id="_x0000_s1027" type="#_x0000_t136" style="position:absolute;left:0;text-align:left;margin-left:-97pt;margin-top:115.8pt;width:174.75pt;height:16.5pt;rotation:270;z-index:251662336" fillcolor="black [3213]" strokecolor="black [3213]">
            <v:shadow color="#868686"/>
            <v:textpath style="font-family:&quot;Arial&quot;;font-size:14pt;v-text-kern:t" trim="t" fitpath="t" string="CONCENTRATION LEVEL"/>
          </v:shape>
        </w:pict>
      </w:r>
      <w:r w:rsidR="00BA05CC" w:rsidRPr="00AD3D88">
        <w:rPr>
          <w:rFonts w:ascii="Times New Roman" w:hAnsi="Times New Roman" w:cs="Times New Roman"/>
          <w:noProof/>
        </w:rPr>
        <w:drawing>
          <wp:anchor distT="0" distB="0" distL="114300" distR="114300" simplePos="0" relativeHeight="251683840" behindDoc="1" locked="0" layoutInCell="1" allowOverlap="1" wp14:anchorId="3B898078" wp14:editId="25124D0B">
            <wp:simplePos x="0" y="0"/>
            <wp:positionH relativeFrom="column">
              <wp:posOffset>154305</wp:posOffset>
            </wp:positionH>
            <wp:positionV relativeFrom="paragraph">
              <wp:posOffset>-6350</wp:posOffset>
            </wp:positionV>
            <wp:extent cx="5791200" cy="3029585"/>
            <wp:effectExtent l="0" t="0" r="19050" b="18415"/>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rsidR="00BA05CC" w:rsidRPr="00AD3D88" w:rsidRDefault="00BA05CC" w:rsidP="00BA05CC">
      <w:pPr>
        <w:tabs>
          <w:tab w:val="left" w:pos="5610"/>
        </w:tabs>
        <w:jc w:val="center"/>
        <w:rPr>
          <w:rFonts w:ascii="Times New Roman" w:hAnsi="Times New Roman" w:cs="Times New Roman"/>
          <w:b/>
          <w:bCs/>
          <w:sz w:val="32"/>
        </w:rPr>
      </w:pPr>
    </w:p>
    <w:p w:rsidR="00BA05CC" w:rsidRPr="00AD3D88" w:rsidRDefault="00BA05CC" w:rsidP="00BA05CC">
      <w:pPr>
        <w:tabs>
          <w:tab w:val="left" w:pos="5610"/>
        </w:tabs>
        <w:rPr>
          <w:rFonts w:ascii="Times New Roman" w:hAnsi="Times New Roman" w:cs="Times New Roman"/>
          <w:b/>
          <w:bCs/>
          <w:sz w:val="32"/>
        </w:rPr>
      </w:pPr>
    </w:p>
    <w:p w:rsidR="00BA05CC" w:rsidRPr="00AD3D88" w:rsidRDefault="00BA05CC" w:rsidP="00BA05CC">
      <w:pPr>
        <w:tabs>
          <w:tab w:val="left" w:pos="5610"/>
        </w:tabs>
        <w:rPr>
          <w:rFonts w:ascii="Times New Roman" w:hAnsi="Times New Roman" w:cs="Times New Roman"/>
          <w:b/>
          <w:bCs/>
          <w:sz w:val="32"/>
        </w:rPr>
      </w:pPr>
    </w:p>
    <w:p w:rsidR="00BA05CC" w:rsidRPr="00AD3D88" w:rsidRDefault="00BA05CC" w:rsidP="00BA05CC">
      <w:pPr>
        <w:tabs>
          <w:tab w:val="left" w:pos="5610"/>
        </w:tabs>
        <w:rPr>
          <w:rFonts w:ascii="Times New Roman" w:hAnsi="Times New Roman" w:cs="Times New Roman"/>
          <w:b/>
          <w:bCs/>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tabs>
          <w:tab w:val="left" w:pos="5610"/>
        </w:tabs>
        <w:jc w:val="center"/>
        <w:rPr>
          <w:rFonts w:ascii="Times New Roman" w:hAnsi="Times New Roman" w:cs="Times New Roman"/>
          <w:b/>
          <w:bCs/>
          <w:sz w:val="32"/>
        </w:rPr>
      </w:pPr>
      <w:r w:rsidRPr="00AD3D88">
        <w:rPr>
          <w:rFonts w:ascii="Times New Roman" w:hAnsi="Times New Roman" w:cs="Times New Roman"/>
          <w:b/>
          <w:bCs/>
          <w:sz w:val="32"/>
        </w:rPr>
        <w:t>LOCATION</w:t>
      </w:r>
    </w:p>
    <w:p w:rsidR="00BA05CC" w:rsidRPr="00AD3D88" w:rsidRDefault="00BA05CC" w:rsidP="00BA05CC">
      <w:pPr>
        <w:tabs>
          <w:tab w:val="left" w:pos="5610"/>
        </w:tabs>
        <w:jc w:val="center"/>
        <w:rPr>
          <w:rFonts w:ascii="Times New Roman" w:hAnsi="Times New Roman" w:cs="Times New Roman"/>
          <w:b/>
          <w:bCs/>
          <w:sz w:val="32"/>
        </w:rPr>
      </w:pPr>
      <w:r w:rsidRPr="00AD3D88">
        <w:rPr>
          <w:rFonts w:ascii="Times New Roman" w:hAnsi="Times New Roman" w:cs="Times New Roman"/>
          <w:b/>
          <w:bCs/>
          <w:sz w:val="32"/>
        </w:rPr>
        <w:t>Fig 4.2: CONCENTRATION OF CALCIUM HARDNESS (mg/lCaC03</w:t>
      </w:r>
      <w:proofErr w:type="gramStart"/>
      <w:r w:rsidRPr="00AD3D88">
        <w:rPr>
          <w:rFonts w:ascii="Times New Roman" w:hAnsi="Times New Roman" w:cs="Times New Roman"/>
          <w:b/>
          <w:bCs/>
          <w:sz w:val="32"/>
        </w:rPr>
        <w:t>)  PHYSICO</w:t>
      </w:r>
      <w:proofErr w:type="gramEnd"/>
      <w:r w:rsidRPr="00AD3D88">
        <w:rPr>
          <w:rFonts w:ascii="Times New Roman" w:hAnsi="Times New Roman" w:cs="Times New Roman"/>
          <w:b/>
          <w:bCs/>
          <w:sz w:val="32"/>
        </w:rPr>
        <w:t>-CHEMICAL PARAMETERS</w:t>
      </w:r>
    </w:p>
    <w:p w:rsidR="00BA05CC" w:rsidRPr="00AD3D88" w:rsidRDefault="00BA05CC" w:rsidP="00BA05CC">
      <w:pPr>
        <w:spacing w:after="0" w:line="480" w:lineRule="auto"/>
        <w:jc w:val="both"/>
        <w:outlineLvl w:val="1"/>
        <w:rPr>
          <w:rFonts w:ascii="Times New Roman" w:eastAsia="Times New Roman" w:hAnsi="Times New Roman" w:cs="Times New Roman"/>
          <w:b/>
          <w:bCs/>
          <w:sz w:val="24"/>
          <w:szCs w:val="24"/>
        </w:rPr>
      </w:pPr>
      <w:r w:rsidRPr="00AD3D88">
        <w:rPr>
          <w:rFonts w:ascii="Times New Roman" w:eastAsia="Times New Roman" w:hAnsi="Times New Roman" w:cs="Times New Roman"/>
          <w:b/>
          <w:bCs/>
          <w:sz w:val="24"/>
          <w:szCs w:val="24"/>
        </w:rPr>
        <w:t xml:space="preserve">4.1.2 Calcium Hardness (as </w:t>
      </w:r>
      <w:proofErr w:type="spellStart"/>
      <w:r w:rsidRPr="00AD3D88">
        <w:rPr>
          <w:rFonts w:ascii="Times New Roman" w:eastAsia="Times New Roman" w:hAnsi="Times New Roman" w:cs="Times New Roman"/>
          <w:b/>
          <w:bCs/>
          <w:sz w:val="24"/>
          <w:szCs w:val="24"/>
        </w:rPr>
        <w:t>CaCO</w:t>
      </w:r>
      <w:proofErr w:type="spellEnd"/>
      <w:r w:rsidRPr="00AD3D88">
        <w:rPr>
          <w:rFonts w:ascii="Times New Roman" w:eastAsia="Times New Roman" w:hAnsi="Times New Roman" w:cs="Times New Roman"/>
          <w:b/>
          <w:bCs/>
          <w:sz w:val="24"/>
          <w:szCs w:val="24"/>
        </w:rPr>
        <w:t>₃)</w:t>
      </w:r>
    </w:p>
    <w:p w:rsidR="00BA05CC" w:rsidRPr="00AD3D88" w:rsidRDefault="00BA05CC" w:rsidP="00BA05CC">
      <w:pPr>
        <w:tabs>
          <w:tab w:val="left" w:pos="5610"/>
        </w:tabs>
        <w:spacing w:line="480" w:lineRule="auto"/>
        <w:jc w:val="both"/>
        <w:rPr>
          <w:rFonts w:ascii="Times New Roman" w:eastAsia="Times New Roman" w:hAnsi="Times New Roman" w:cs="Times New Roman"/>
          <w:sz w:val="24"/>
          <w:szCs w:val="24"/>
        </w:rPr>
      </w:pPr>
      <w:r w:rsidRPr="00AD3D88">
        <w:rPr>
          <w:rFonts w:ascii="Times New Roman" w:eastAsia="Times New Roman" w:hAnsi="Times New Roman" w:cs="Times New Roman"/>
          <w:sz w:val="24"/>
          <w:szCs w:val="24"/>
        </w:rPr>
        <w:t xml:space="preserve">Calcium hardness values varied between </w:t>
      </w:r>
      <w:r w:rsidRPr="00AD3D88">
        <w:rPr>
          <w:rFonts w:ascii="Times New Roman" w:eastAsia="Times New Roman" w:hAnsi="Times New Roman" w:cs="Times New Roman"/>
          <w:b/>
          <w:bCs/>
          <w:sz w:val="24"/>
          <w:szCs w:val="24"/>
        </w:rPr>
        <w:t xml:space="preserve">110 and 180 mg/L (as </w:t>
      </w:r>
      <w:proofErr w:type="spellStart"/>
      <w:r w:rsidRPr="00AD3D88">
        <w:rPr>
          <w:rFonts w:ascii="Times New Roman" w:eastAsia="Times New Roman" w:hAnsi="Times New Roman" w:cs="Times New Roman"/>
          <w:b/>
          <w:bCs/>
          <w:sz w:val="24"/>
          <w:szCs w:val="24"/>
        </w:rPr>
        <w:t>CaCO</w:t>
      </w:r>
      <w:proofErr w:type="spellEnd"/>
      <w:r w:rsidRPr="00AD3D88">
        <w:rPr>
          <w:rFonts w:ascii="Times New Roman" w:eastAsia="Times New Roman" w:hAnsi="Times New Roman" w:cs="Times New Roman"/>
          <w:b/>
          <w:bCs/>
          <w:sz w:val="24"/>
          <w:szCs w:val="24"/>
        </w:rPr>
        <w:t>₃)</w:t>
      </w:r>
      <w:r w:rsidRPr="00AD3D88">
        <w:rPr>
          <w:rFonts w:ascii="Times New Roman" w:eastAsia="Times New Roman" w:hAnsi="Times New Roman" w:cs="Times New Roman"/>
          <w:sz w:val="24"/>
          <w:szCs w:val="24"/>
        </w:rPr>
        <w:t xml:space="preserve">. Samples from </w:t>
      </w:r>
      <w:r w:rsidRPr="00AD3D88">
        <w:rPr>
          <w:rFonts w:ascii="Times New Roman" w:eastAsia="Times New Roman" w:hAnsi="Times New Roman" w:cs="Times New Roman"/>
          <w:b/>
          <w:bCs/>
          <w:sz w:val="24"/>
          <w:szCs w:val="24"/>
        </w:rPr>
        <w:t>200</w:t>
      </w:r>
      <w:r w:rsidRPr="00AD3D88">
        <w:rPr>
          <w:rFonts w:ascii="Times New Roman" w:eastAsia="Times New Roman" w:hAnsi="Times New Roman" w:cs="Times New Roman"/>
          <w:sz w:val="24"/>
          <w:szCs w:val="24"/>
        </w:rPr>
        <w:t xml:space="preserve"> surpassed the WHO recommended limit (75–100 mg/L), contributing to total water hardness. Elevated levels can cause scaling and reduce soap efficiency, but the water remains generally safe for drinking.</w:t>
      </w:r>
    </w:p>
    <w:p w:rsidR="00BA05CC" w:rsidRPr="00AD3D88" w:rsidRDefault="00BA05CC" w:rsidP="00BA05CC">
      <w:pPr>
        <w:tabs>
          <w:tab w:val="left" w:pos="5610"/>
        </w:tabs>
        <w:spacing w:line="480" w:lineRule="auto"/>
        <w:jc w:val="both"/>
        <w:rPr>
          <w:rFonts w:ascii="Times New Roman" w:eastAsia="Times New Roman" w:hAnsi="Times New Roman" w:cs="Times New Roman"/>
          <w:sz w:val="24"/>
          <w:szCs w:val="24"/>
        </w:rPr>
      </w:pPr>
    </w:p>
    <w:p w:rsidR="00BA05CC" w:rsidRPr="00AD3D88" w:rsidRDefault="00BA05CC" w:rsidP="00BA05CC">
      <w:pPr>
        <w:tabs>
          <w:tab w:val="left" w:pos="5610"/>
        </w:tabs>
        <w:spacing w:line="480" w:lineRule="auto"/>
        <w:jc w:val="both"/>
        <w:rPr>
          <w:rFonts w:ascii="Times New Roman" w:eastAsia="Times New Roman" w:hAnsi="Times New Roman" w:cs="Times New Roman"/>
          <w:sz w:val="24"/>
          <w:szCs w:val="24"/>
        </w:rPr>
      </w:pPr>
    </w:p>
    <w:p w:rsidR="00BA05CC" w:rsidRPr="00AD3D88" w:rsidRDefault="00BA05CC" w:rsidP="00BA05CC">
      <w:pPr>
        <w:tabs>
          <w:tab w:val="left" w:pos="5610"/>
        </w:tabs>
        <w:spacing w:line="480" w:lineRule="auto"/>
        <w:jc w:val="both"/>
        <w:rPr>
          <w:rFonts w:ascii="Times New Roman" w:eastAsia="Times New Roman" w:hAnsi="Times New Roman" w:cs="Times New Roman"/>
          <w:sz w:val="24"/>
          <w:szCs w:val="24"/>
        </w:rPr>
      </w:pPr>
    </w:p>
    <w:p w:rsidR="00BA05CC" w:rsidRPr="00AD3D88" w:rsidRDefault="00BA05CC" w:rsidP="00BA05CC">
      <w:pPr>
        <w:tabs>
          <w:tab w:val="left" w:pos="5610"/>
        </w:tabs>
        <w:spacing w:line="480" w:lineRule="auto"/>
        <w:jc w:val="both"/>
        <w:rPr>
          <w:rFonts w:ascii="Times New Roman" w:eastAsia="Times New Roman" w:hAnsi="Times New Roman" w:cs="Times New Roman"/>
          <w:sz w:val="24"/>
          <w:szCs w:val="24"/>
        </w:rPr>
      </w:pPr>
    </w:p>
    <w:p w:rsidR="00BA05CC" w:rsidRDefault="00BA05CC" w:rsidP="00BA05CC">
      <w:pPr>
        <w:tabs>
          <w:tab w:val="left" w:pos="5610"/>
        </w:tabs>
        <w:spacing w:line="480" w:lineRule="auto"/>
        <w:jc w:val="both"/>
        <w:rPr>
          <w:rFonts w:ascii="Times New Roman" w:eastAsia="Times New Roman" w:hAnsi="Times New Roman" w:cs="Times New Roman"/>
          <w:sz w:val="24"/>
          <w:szCs w:val="24"/>
        </w:rPr>
      </w:pPr>
    </w:p>
    <w:p w:rsidR="00BA05CC" w:rsidRPr="00AD3D88" w:rsidRDefault="00BA05CC" w:rsidP="00BA05CC">
      <w:pPr>
        <w:tabs>
          <w:tab w:val="left" w:pos="5610"/>
        </w:tabs>
        <w:spacing w:line="480" w:lineRule="auto"/>
        <w:jc w:val="both"/>
        <w:rPr>
          <w:rFonts w:ascii="Times New Roman" w:eastAsia="Times New Roman" w:hAnsi="Times New Roman" w:cs="Times New Roman"/>
          <w:sz w:val="24"/>
          <w:szCs w:val="24"/>
        </w:rPr>
      </w:pPr>
    </w:p>
    <w:p w:rsidR="00BA05CC" w:rsidRPr="00AD3D88" w:rsidRDefault="001E30BE" w:rsidP="00BA05CC">
      <w:pPr>
        <w:tabs>
          <w:tab w:val="left" w:pos="5610"/>
        </w:tabs>
        <w:spacing w:line="480" w:lineRule="auto"/>
        <w:jc w:val="both"/>
        <w:rPr>
          <w:rFonts w:ascii="Times New Roman" w:hAnsi="Times New Roman" w:cs="Times New Roman"/>
          <w:b/>
          <w:bCs/>
          <w:sz w:val="32"/>
        </w:rPr>
      </w:pPr>
      <w:r>
        <w:rPr>
          <w:rFonts w:ascii="Times New Roman" w:hAnsi="Times New Roman" w:cs="Times New Roman"/>
        </w:rPr>
        <w:lastRenderedPageBreak/>
        <w:pict>
          <v:shape id="_x0000_s1028" type="#_x0000_t136" style="position:absolute;left:0;text-align:left;margin-left:-109.9pt;margin-top:131.95pt;width:174.75pt;height:16.5pt;rotation:270;z-index:251663360" fillcolor="black [3213]" strokecolor="black [3213]">
            <v:shadow color="#868686"/>
            <v:textpath style="font-family:&quot;Arial&quot;;font-size:14pt;v-text-kern:t" trim="t" fitpath="t" string="CONCENTRATION LEVEL"/>
          </v:shape>
        </w:pict>
      </w:r>
      <w:r w:rsidR="00BA05CC" w:rsidRPr="00AD3D88">
        <w:rPr>
          <w:rFonts w:ascii="Times New Roman" w:hAnsi="Times New Roman" w:cs="Times New Roman"/>
          <w:noProof/>
        </w:rPr>
        <w:drawing>
          <wp:anchor distT="0" distB="0" distL="114300" distR="114300" simplePos="0" relativeHeight="251684864" behindDoc="1" locked="0" layoutInCell="1" allowOverlap="1" wp14:anchorId="4A22637B" wp14:editId="244F4046">
            <wp:simplePos x="0" y="0"/>
            <wp:positionH relativeFrom="column">
              <wp:posOffset>-61595</wp:posOffset>
            </wp:positionH>
            <wp:positionV relativeFrom="paragraph">
              <wp:posOffset>327660</wp:posOffset>
            </wp:positionV>
            <wp:extent cx="6412865" cy="3091180"/>
            <wp:effectExtent l="0" t="0" r="26035" b="13970"/>
            <wp:wrapNone/>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rsidR="00BA05CC" w:rsidRPr="00AD3D88" w:rsidRDefault="00BA05CC" w:rsidP="00BA05CC">
      <w:pPr>
        <w:ind w:firstLine="720"/>
        <w:rPr>
          <w:rFonts w:ascii="Times New Roman" w:hAnsi="Times New Roman" w:cs="Times New Roman"/>
          <w:sz w:val="32"/>
        </w:rPr>
      </w:pPr>
    </w:p>
    <w:p w:rsidR="00BA05CC" w:rsidRPr="00AD3D88" w:rsidRDefault="00BA05CC" w:rsidP="00BA05CC">
      <w:pPr>
        <w:ind w:firstLine="720"/>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F509B8">
      <w:pPr>
        <w:spacing w:after="0"/>
        <w:rPr>
          <w:rFonts w:ascii="Times New Roman" w:hAnsi="Times New Roman" w:cs="Times New Roman"/>
          <w:sz w:val="32"/>
        </w:rPr>
      </w:pPr>
    </w:p>
    <w:p w:rsidR="00F509B8" w:rsidRDefault="00F509B8" w:rsidP="00F509B8">
      <w:pPr>
        <w:spacing w:after="0"/>
        <w:ind w:left="2880" w:firstLine="720"/>
        <w:rPr>
          <w:rFonts w:ascii="Times New Roman" w:hAnsi="Times New Roman" w:cs="Times New Roman"/>
          <w:b/>
          <w:sz w:val="32"/>
        </w:rPr>
      </w:pPr>
    </w:p>
    <w:p w:rsidR="00BA05CC" w:rsidRPr="00AD3D88" w:rsidRDefault="00BA05CC" w:rsidP="00BA05CC">
      <w:pPr>
        <w:ind w:left="2880" w:firstLine="720"/>
        <w:rPr>
          <w:rFonts w:ascii="Times New Roman" w:hAnsi="Times New Roman" w:cs="Times New Roman"/>
          <w:b/>
          <w:sz w:val="32"/>
        </w:rPr>
      </w:pPr>
      <w:r w:rsidRPr="00AD3D88">
        <w:rPr>
          <w:rFonts w:ascii="Times New Roman" w:hAnsi="Times New Roman" w:cs="Times New Roman"/>
          <w:b/>
          <w:sz w:val="32"/>
        </w:rPr>
        <w:t>LOCATION</w:t>
      </w:r>
    </w:p>
    <w:p w:rsidR="00BA05CC" w:rsidRPr="00AD3D88" w:rsidRDefault="00BA05CC" w:rsidP="00BA05CC">
      <w:pPr>
        <w:jc w:val="center"/>
        <w:rPr>
          <w:rFonts w:ascii="Times New Roman" w:hAnsi="Times New Roman" w:cs="Times New Roman"/>
          <w:b/>
          <w:bCs/>
          <w:sz w:val="28"/>
        </w:rPr>
      </w:pPr>
      <w:r w:rsidRPr="00AD3D88">
        <w:rPr>
          <w:rFonts w:ascii="Times New Roman" w:hAnsi="Times New Roman" w:cs="Times New Roman"/>
          <w:b/>
          <w:bCs/>
          <w:sz w:val="28"/>
        </w:rPr>
        <w:t>Fig 4.3: CONCENTRATION OF MAGNESIUM HARDNESS (mg/l CaC03</w:t>
      </w:r>
      <w:proofErr w:type="gramStart"/>
      <w:r w:rsidRPr="00AD3D88">
        <w:rPr>
          <w:rFonts w:ascii="Times New Roman" w:hAnsi="Times New Roman" w:cs="Times New Roman"/>
          <w:b/>
          <w:bCs/>
          <w:sz w:val="28"/>
        </w:rPr>
        <w:t>)  PHYSICO</w:t>
      </w:r>
      <w:proofErr w:type="gramEnd"/>
      <w:r w:rsidRPr="00AD3D88">
        <w:rPr>
          <w:rFonts w:ascii="Times New Roman" w:hAnsi="Times New Roman" w:cs="Times New Roman"/>
          <w:b/>
          <w:bCs/>
          <w:sz w:val="28"/>
        </w:rPr>
        <w:t>-CHEMICAL PARAMETERS</w:t>
      </w:r>
    </w:p>
    <w:p w:rsidR="00BA05CC" w:rsidRPr="00AD3D88" w:rsidRDefault="00BA05CC" w:rsidP="00BA05CC">
      <w:pPr>
        <w:spacing w:after="0" w:line="480" w:lineRule="auto"/>
        <w:jc w:val="both"/>
        <w:outlineLvl w:val="1"/>
        <w:rPr>
          <w:rFonts w:ascii="Times New Roman" w:eastAsia="Times New Roman" w:hAnsi="Times New Roman" w:cs="Times New Roman"/>
          <w:b/>
          <w:bCs/>
          <w:sz w:val="24"/>
          <w:szCs w:val="24"/>
        </w:rPr>
      </w:pPr>
      <w:r w:rsidRPr="00AD3D88">
        <w:rPr>
          <w:rFonts w:ascii="Times New Roman" w:eastAsia="Times New Roman" w:hAnsi="Times New Roman" w:cs="Times New Roman"/>
          <w:b/>
          <w:bCs/>
          <w:sz w:val="24"/>
          <w:szCs w:val="24"/>
        </w:rPr>
        <w:t xml:space="preserve">4.1.3 Magnesium Hardness (as </w:t>
      </w:r>
      <w:proofErr w:type="spellStart"/>
      <w:r w:rsidRPr="00AD3D88">
        <w:rPr>
          <w:rFonts w:ascii="Times New Roman" w:eastAsia="Times New Roman" w:hAnsi="Times New Roman" w:cs="Times New Roman"/>
          <w:b/>
          <w:bCs/>
          <w:sz w:val="24"/>
          <w:szCs w:val="24"/>
        </w:rPr>
        <w:t>CaCO</w:t>
      </w:r>
      <w:proofErr w:type="spellEnd"/>
      <w:r w:rsidRPr="00AD3D88">
        <w:rPr>
          <w:rFonts w:ascii="Times New Roman" w:eastAsia="Times New Roman" w:hAnsi="Times New Roman" w:cs="Times New Roman"/>
          <w:b/>
          <w:bCs/>
          <w:sz w:val="24"/>
          <w:szCs w:val="24"/>
        </w:rPr>
        <w:t>₃)</w:t>
      </w:r>
    </w:p>
    <w:p w:rsidR="00BA05CC" w:rsidRPr="00AD3D88" w:rsidRDefault="00BA05CC" w:rsidP="00BA05CC">
      <w:pPr>
        <w:spacing w:line="480" w:lineRule="auto"/>
        <w:jc w:val="both"/>
        <w:rPr>
          <w:rFonts w:ascii="Times New Roman" w:hAnsi="Times New Roman" w:cs="Times New Roman"/>
          <w:b/>
          <w:bCs/>
          <w:sz w:val="28"/>
        </w:rPr>
      </w:pPr>
      <w:r w:rsidRPr="00AD3D88">
        <w:rPr>
          <w:rFonts w:ascii="Times New Roman" w:eastAsia="Times New Roman" w:hAnsi="Times New Roman" w:cs="Times New Roman"/>
          <w:sz w:val="24"/>
          <w:szCs w:val="24"/>
        </w:rPr>
        <w:t xml:space="preserve">Magnesium hardness concentrations spanned </w:t>
      </w:r>
      <w:r w:rsidRPr="00AD3D88">
        <w:rPr>
          <w:rFonts w:ascii="Times New Roman" w:eastAsia="Times New Roman" w:hAnsi="Times New Roman" w:cs="Times New Roman"/>
          <w:b/>
          <w:bCs/>
          <w:sz w:val="24"/>
          <w:szCs w:val="24"/>
        </w:rPr>
        <w:t xml:space="preserve">120 to 300 mg/L (as </w:t>
      </w:r>
      <w:proofErr w:type="spellStart"/>
      <w:r w:rsidRPr="00AD3D88">
        <w:rPr>
          <w:rFonts w:ascii="Times New Roman" w:eastAsia="Times New Roman" w:hAnsi="Times New Roman" w:cs="Times New Roman"/>
          <w:b/>
          <w:bCs/>
          <w:sz w:val="24"/>
          <w:szCs w:val="24"/>
        </w:rPr>
        <w:t>CaCO</w:t>
      </w:r>
      <w:proofErr w:type="spellEnd"/>
      <w:r w:rsidRPr="00AD3D88">
        <w:rPr>
          <w:rFonts w:ascii="Times New Roman" w:eastAsia="Times New Roman" w:hAnsi="Times New Roman" w:cs="Times New Roman"/>
          <w:b/>
          <w:bCs/>
          <w:sz w:val="24"/>
          <w:szCs w:val="24"/>
        </w:rPr>
        <w:t>₃)</w:t>
      </w:r>
      <w:r w:rsidRPr="00AD3D88">
        <w:rPr>
          <w:rFonts w:ascii="Times New Roman" w:eastAsia="Times New Roman" w:hAnsi="Times New Roman" w:cs="Times New Roman"/>
          <w:sz w:val="24"/>
          <w:szCs w:val="24"/>
        </w:rPr>
        <w:t xml:space="preserve">. Locations </w:t>
      </w:r>
      <w:r w:rsidRPr="00AD3D88">
        <w:rPr>
          <w:rFonts w:ascii="Times New Roman" w:eastAsia="Times New Roman" w:hAnsi="Times New Roman" w:cs="Times New Roman"/>
          <w:b/>
          <w:bCs/>
          <w:sz w:val="24"/>
          <w:szCs w:val="24"/>
        </w:rPr>
        <w:t>350</w:t>
      </w:r>
      <w:r w:rsidRPr="00AD3D88">
        <w:rPr>
          <w:rFonts w:ascii="Times New Roman" w:eastAsia="Times New Roman" w:hAnsi="Times New Roman" w:cs="Times New Roman"/>
          <w:sz w:val="24"/>
          <w:szCs w:val="24"/>
        </w:rPr>
        <w:t xml:space="preserve"> exceeded 50 mg/L, indicating significant contribution to total hardness. While not a direct health concern, high levels may impart a bitter taste and promote corrosion in plumbing systems.</w:t>
      </w: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tabs>
          <w:tab w:val="left" w:pos="5252"/>
        </w:tabs>
        <w:rPr>
          <w:rFonts w:ascii="Times New Roman" w:hAnsi="Times New Roman" w:cs="Times New Roman"/>
          <w:sz w:val="32"/>
        </w:rPr>
      </w:pPr>
      <w:r w:rsidRPr="00AD3D88">
        <w:rPr>
          <w:rFonts w:ascii="Times New Roman" w:hAnsi="Times New Roman" w:cs="Times New Roman"/>
          <w:noProof/>
        </w:rPr>
        <w:drawing>
          <wp:anchor distT="0" distB="0" distL="114300" distR="114300" simplePos="0" relativeHeight="251673600" behindDoc="1" locked="0" layoutInCell="1" allowOverlap="1" wp14:anchorId="0F618810" wp14:editId="2BAD7DFE">
            <wp:simplePos x="0" y="0"/>
            <wp:positionH relativeFrom="column">
              <wp:posOffset>-120015</wp:posOffset>
            </wp:positionH>
            <wp:positionV relativeFrom="paragraph">
              <wp:posOffset>36195</wp:posOffset>
            </wp:positionV>
            <wp:extent cx="5718175" cy="3163570"/>
            <wp:effectExtent l="0" t="0" r="15875" b="17780"/>
            <wp:wrapNone/>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1E30BE">
        <w:rPr>
          <w:rFonts w:ascii="Times New Roman" w:hAnsi="Times New Roman" w:cs="Times New Roman"/>
        </w:rPr>
        <w:pict>
          <v:shape id="_x0000_s1029" type="#_x0000_t136" style="position:absolute;margin-left:-121.15pt;margin-top:156.75pt;width:174.75pt;height:16.5pt;rotation:270;z-index:251664384;mso-position-horizontal-relative:text;mso-position-vertical-relative:text" fillcolor="black [3213]" strokecolor="black [3213]">
            <v:shadow color="#868686"/>
            <v:textpath style="font-family:&quot;Arial&quot;;font-size:14pt;v-text-kern:t" trim="t" fitpath="t" string="CONCENTRATION LEVEL"/>
          </v:shape>
        </w:pict>
      </w: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F509B8">
      <w:pPr>
        <w:spacing w:after="0"/>
        <w:rPr>
          <w:rFonts w:ascii="Times New Roman" w:hAnsi="Times New Roman" w:cs="Times New Roman"/>
          <w:sz w:val="32"/>
        </w:rPr>
      </w:pPr>
    </w:p>
    <w:p w:rsidR="00F509B8" w:rsidRDefault="00F509B8" w:rsidP="00F509B8">
      <w:pPr>
        <w:spacing w:after="0"/>
        <w:ind w:left="2880" w:firstLine="720"/>
        <w:rPr>
          <w:rFonts w:ascii="Times New Roman" w:hAnsi="Times New Roman" w:cs="Times New Roman"/>
          <w:b/>
          <w:sz w:val="32"/>
        </w:rPr>
      </w:pPr>
    </w:p>
    <w:p w:rsidR="00BA05CC" w:rsidRPr="00AD3D88" w:rsidRDefault="00BA05CC" w:rsidP="00BA05CC">
      <w:pPr>
        <w:ind w:left="2880" w:firstLine="720"/>
        <w:rPr>
          <w:rFonts w:ascii="Times New Roman" w:hAnsi="Times New Roman" w:cs="Times New Roman"/>
          <w:b/>
          <w:sz w:val="32"/>
        </w:rPr>
      </w:pPr>
      <w:r w:rsidRPr="00AD3D88">
        <w:rPr>
          <w:rFonts w:ascii="Times New Roman" w:hAnsi="Times New Roman" w:cs="Times New Roman"/>
          <w:b/>
          <w:sz w:val="32"/>
        </w:rPr>
        <w:t>LOCATION</w:t>
      </w:r>
    </w:p>
    <w:p w:rsidR="00BA05CC" w:rsidRPr="00AD3D88" w:rsidRDefault="00BA05CC" w:rsidP="00BA05CC">
      <w:pPr>
        <w:tabs>
          <w:tab w:val="left" w:pos="2778"/>
        </w:tabs>
        <w:jc w:val="center"/>
        <w:rPr>
          <w:rFonts w:ascii="Times New Roman" w:hAnsi="Times New Roman" w:cs="Times New Roman"/>
          <w:b/>
          <w:bCs/>
          <w:sz w:val="32"/>
        </w:rPr>
      </w:pPr>
      <w:r w:rsidRPr="00AD3D88">
        <w:rPr>
          <w:rFonts w:ascii="Times New Roman" w:hAnsi="Times New Roman" w:cs="Times New Roman"/>
          <w:b/>
          <w:bCs/>
          <w:sz w:val="32"/>
        </w:rPr>
        <w:t>Fig 4.4: CONCENTRATION OF CALCIUM CARBONATE (CaC03</w:t>
      </w:r>
      <w:proofErr w:type="gramStart"/>
      <w:r w:rsidRPr="00AD3D88">
        <w:rPr>
          <w:rFonts w:ascii="Times New Roman" w:hAnsi="Times New Roman" w:cs="Times New Roman"/>
          <w:b/>
          <w:bCs/>
          <w:sz w:val="32"/>
        </w:rPr>
        <w:t>)  PHYSICO</w:t>
      </w:r>
      <w:proofErr w:type="gramEnd"/>
      <w:r w:rsidRPr="00AD3D88">
        <w:rPr>
          <w:rFonts w:ascii="Times New Roman" w:hAnsi="Times New Roman" w:cs="Times New Roman"/>
          <w:b/>
          <w:bCs/>
          <w:sz w:val="32"/>
        </w:rPr>
        <w:t>-CHEMICAL PARAMETERS</w:t>
      </w:r>
    </w:p>
    <w:p w:rsidR="00BA05CC" w:rsidRPr="00AD3D88" w:rsidRDefault="00BA05CC" w:rsidP="00BA05CC">
      <w:pPr>
        <w:spacing w:after="0" w:line="480" w:lineRule="auto"/>
        <w:jc w:val="both"/>
        <w:outlineLvl w:val="1"/>
        <w:rPr>
          <w:rFonts w:ascii="Times New Roman" w:eastAsia="Times New Roman" w:hAnsi="Times New Roman" w:cs="Times New Roman"/>
          <w:b/>
          <w:bCs/>
          <w:sz w:val="24"/>
          <w:szCs w:val="24"/>
        </w:rPr>
      </w:pPr>
      <w:r w:rsidRPr="00AD3D88">
        <w:rPr>
          <w:rFonts w:ascii="Times New Roman" w:eastAsia="Times New Roman" w:hAnsi="Times New Roman" w:cs="Times New Roman"/>
          <w:b/>
          <w:bCs/>
          <w:sz w:val="24"/>
          <w:szCs w:val="24"/>
        </w:rPr>
        <w:t>4.1.4 Calcium Carbonate (</w:t>
      </w:r>
      <w:proofErr w:type="spellStart"/>
      <w:r w:rsidRPr="00AD3D88">
        <w:rPr>
          <w:rFonts w:ascii="Times New Roman" w:eastAsia="Times New Roman" w:hAnsi="Times New Roman" w:cs="Times New Roman"/>
          <w:b/>
          <w:bCs/>
          <w:sz w:val="24"/>
          <w:szCs w:val="24"/>
        </w:rPr>
        <w:t>CaCO</w:t>
      </w:r>
      <w:proofErr w:type="spellEnd"/>
      <w:r w:rsidRPr="00AD3D88">
        <w:rPr>
          <w:rFonts w:ascii="Times New Roman" w:eastAsia="Times New Roman" w:hAnsi="Times New Roman" w:cs="Times New Roman"/>
          <w:b/>
          <w:bCs/>
          <w:sz w:val="24"/>
          <w:szCs w:val="24"/>
        </w:rPr>
        <w:t>₃)</w:t>
      </w:r>
    </w:p>
    <w:p w:rsidR="00BA05CC" w:rsidRPr="00AD3D88" w:rsidRDefault="00BA05CC" w:rsidP="00BA05CC">
      <w:pPr>
        <w:spacing w:after="0" w:line="480" w:lineRule="auto"/>
        <w:jc w:val="both"/>
        <w:rPr>
          <w:rFonts w:ascii="Times New Roman" w:eastAsia="Times New Roman" w:hAnsi="Times New Roman" w:cs="Times New Roman"/>
          <w:sz w:val="24"/>
          <w:szCs w:val="24"/>
        </w:rPr>
      </w:pPr>
      <w:r w:rsidRPr="00AD3D88">
        <w:rPr>
          <w:rFonts w:ascii="Times New Roman" w:eastAsia="Times New Roman" w:hAnsi="Times New Roman" w:cs="Times New Roman"/>
          <w:sz w:val="24"/>
          <w:szCs w:val="24"/>
        </w:rPr>
        <w:t xml:space="preserve">The concentration of calcium carbonate in the study area ranged from </w:t>
      </w:r>
      <w:r w:rsidRPr="00AD3D88">
        <w:rPr>
          <w:rFonts w:ascii="Times New Roman" w:eastAsia="Times New Roman" w:hAnsi="Times New Roman" w:cs="Times New Roman"/>
          <w:b/>
          <w:bCs/>
          <w:sz w:val="24"/>
          <w:szCs w:val="24"/>
        </w:rPr>
        <w:t>90 to 500 mg/L</w:t>
      </w:r>
      <w:r w:rsidRPr="00AD3D88">
        <w:rPr>
          <w:rFonts w:ascii="Times New Roman" w:eastAsia="Times New Roman" w:hAnsi="Times New Roman" w:cs="Times New Roman"/>
          <w:sz w:val="24"/>
          <w:szCs w:val="24"/>
        </w:rPr>
        <w:t xml:space="preserve">. Most sample locations were within the acceptable limit for scaling potential (typically &lt; 200 mg/L). However, locations </w:t>
      </w:r>
      <w:r w:rsidRPr="00AD3D88">
        <w:rPr>
          <w:rFonts w:ascii="Times New Roman" w:eastAsia="Times New Roman" w:hAnsi="Times New Roman" w:cs="Times New Roman"/>
          <w:b/>
          <w:bCs/>
          <w:sz w:val="24"/>
          <w:szCs w:val="24"/>
        </w:rPr>
        <w:t>600</w:t>
      </w:r>
      <w:r w:rsidRPr="00AD3D88">
        <w:rPr>
          <w:rFonts w:ascii="Times New Roman" w:eastAsia="Times New Roman" w:hAnsi="Times New Roman" w:cs="Times New Roman"/>
          <w:sz w:val="24"/>
          <w:szCs w:val="24"/>
        </w:rPr>
        <w:t xml:space="preserve"> exceeded this threshold, indicating a risk of scaling in pipelines and boilers. Water in these areas may require treatment for industrial use.</w:t>
      </w:r>
    </w:p>
    <w:p w:rsidR="00BA05CC" w:rsidRPr="00AD3D88" w:rsidRDefault="00BA05CC" w:rsidP="00BA05CC">
      <w:pPr>
        <w:tabs>
          <w:tab w:val="left" w:pos="2778"/>
        </w:tabs>
        <w:jc w:val="center"/>
        <w:rPr>
          <w:rFonts w:ascii="Times New Roman" w:hAnsi="Times New Roman" w:cs="Times New Roman"/>
          <w:b/>
          <w:bCs/>
          <w:sz w:val="32"/>
        </w:rPr>
      </w:pPr>
    </w:p>
    <w:p w:rsidR="00BA05CC" w:rsidRPr="00AD3D88" w:rsidRDefault="00BA05CC" w:rsidP="00BA05CC">
      <w:pPr>
        <w:tabs>
          <w:tab w:val="left" w:pos="2778"/>
        </w:tabs>
        <w:jc w:val="center"/>
        <w:rPr>
          <w:rFonts w:ascii="Times New Roman" w:hAnsi="Times New Roman" w:cs="Times New Roman"/>
          <w:b/>
          <w:bCs/>
          <w:sz w:val="32"/>
        </w:rPr>
      </w:pPr>
    </w:p>
    <w:p w:rsidR="00BA05CC" w:rsidRPr="00AD3D88" w:rsidRDefault="00BA05CC" w:rsidP="00BA05CC">
      <w:pPr>
        <w:tabs>
          <w:tab w:val="left" w:pos="2778"/>
        </w:tabs>
        <w:jc w:val="center"/>
        <w:rPr>
          <w:rFonts w:ascii="Times New Roman" w:hAnsi="Times New Roman" w:cs="Times New Roman"/>
          <w:b/>
          <w:bCs/>
          <w:sz w:val="32"/>
        </w:rPr>
      </w:pPr>
    </w:p>
    <w:p w:rsidR="00BA05CC" w:rsidRPr="00AD3D88" w:rsidRDefault="00BA05CC" w:rsidP="00BA05CC">
      <w:pPr>
        <w:tabs>
          <w:tab w:val="left" w:pos="2778"/>
        </w:tabs>
        <w:jc w:val="center"/>
        <w:rPr>
          <w:rFonts w:ascii="Times New Roman" w:hAnsi="Times New Roman" w:cs="Times New Roman"/>
          <w:b/>
          <w:bCs/>
          <w:sz w:val="32"/>
        </w:rPr>
      </w:pPr>
    </w:p>
    <w:p w:rsidR="00BA05CC" w:rsidRPr="00AD3D88" w:rsidRDefault="00BA05CC" w:rsidP="00BA05CC">
      <w:pPr>
        <w:tabs>
          <w:tab w:val="left" w:pos="2778"/>
        </w:tabs>
        <w:jc w:val="center"/>
        <w:rPr>
          <w:rFonts w:ascii="Times New Roman" w:hAnsi="Times New Roman" w:cs="Times New Roman"/>
          <w:b/>
          <w:bCs/>
          <w:sz w:val="32"/>
        </w:rPr>
      </w:pPr>
    </w:p>
    <w:p w:rsidR="00BA05CC" w:rsidRDefault="00BA05CC" w:rsidP="00BA05CC">
      <w:pPr>
        <w:tabs>
          <w:tab w:val="left" w:pos="2778"/>
        </w:tabs>
        <w:jc w:val="center"/>
        <w:rPr>
          <w:rFonts w:ascii="Times New Roman" w:hAnsi="Times New Roman" w:cs="Times New Roman"/>
          <w:b/>
          <w:bCs/>
          <w:sz w:val="32"/>
        </w:rPr>
      </w:pPr>
    </w:p>
    <w:p w:rsidR="00BA05CC" w:rsidRPr="00AD3D88" w:rsidRDefault="00BA05CC" w:rsidP="00BA05CC">
      <w:pPr>
        <w:tabs>
          <w:tab w:val="left" w:pos="2778"/>
        </w:tabs>
        <w:jc w:val="center"/>
        <w:rPr>
          <w:rFonts w:ascii="Times New Roman" w:hAnsi="Times New Roman" w:cs="Times New Roman"/>
          <w:b/>
          <w:bCs/>
          <w:sz w:val="32"/>
        </w:rPr>
      </w:pPr>
    </w:p>
    <w:p w:rsidR="00BA05CC" w:rsidRPr="00AD3D88" w:rsidRDefault="001E30BE" w:rsidP="00BA05CC">
      <w:pPr>
        <w:tabs>
          <w:tab w:val="left" w:pos="2778"/>
        </w:tabs>
        <w:jc w:val="center"/>
        <w:rPr>
          <w:rFonts w:ascii="Times New Roman" w:hAnsi="Times New Roman" w:cs="Times New Roman"/>
          <w:b/>
          <w:bCs/>
          <w:sz w:val="32"/>
        </w:rPr>
      </w:pPr>
      <w:r>
        <w:rPr>
          <w:rFonts w:ascii="Times New Roman" w:hAnsi="Times New Roman" w:cs="Times New Roman"/>
        </w:rPr>
        <w:pict>
          <v:shape id="_x0000_s1030" type="#_x0000_t136" style="position:absolute;left:0;text-align:left;margin-left:-114.65pt;margin-top:113.65pt;width:174.75pt;height:16.5pt;rotation:270;z-index:251665408" fillcolor="black [3213]" strokecolor="black [3213]">
            <v:shadow color="#868686"/>
            <v:textpath style="font-family:&quot;Arial&quot;;font-size:14pt;v-text-kern:t" trim="t" fitpath="t" string="CONCENTRATION LEVEL"/>
          </v:shape>
        </w:pict>
      </w:r>
      <w:r w:rsidR="00BA05CC" w:rsidRPr="00AD3D88">
        <w:rPr>
          <w:rFonts w:ascii="Times New Roman" w:hAnsi="Times New Roman" w:cs="Times New Roman"/>
          <w:noProof/>
        </w:rPr>
        <w:drawing>
          <wp:anchor distT="0" distB="0" distL="114300" distR="114300" simplePos="0" relativeHeight="251674624" behindDoc="1" locked="0" layoutInCell="1" allowOverlap="1" wp14:anchorId="39C74B3F" wp14:editId="2D9E7ECA">
            <wp:simplePos x="0" y="0"/>
            <wp:positionH relativeFrom="column">
              <wp:posOffset>-90805</wp:posOffset>
            </wp:positionH>
            <wp:positionV relativeFrom="paragraph">
              <wp:posOffset>-36195</wp:posOffset>
            </wp:positionV>
            <wp:extent cx="5931535" cy="3188335"/>
            <wp:effectExtent l="0" t="0" r="12065" b="12065"/>
            <wp:wrapNone/>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rsidR="00BA05CC" w:rsidRPr="00AD3D88" w:rsidRDefault="00BA05CC" w:rsidP="00BA05CC">
      <w:pPr>
        <w:tabs>
          <w:tab w:val="left" w:pos="2778"/>
        </w:tabs>
        <w:jc w:val="center"/>
        <w:rPr>
          <w:rFonts w:ascii="Times New Roman" w:hAnsi="Times New Roman" w:cs="Times New Roman"/>
          <w:b/>
          <w:bCs/>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jc w:val="center"/>
        <w:rPr>
          <w:rFonts w:ascii="Times New Roman" w:hAnsi="Times New Roman" w:cs="Times New Roman"/>
          <w:b/>
          <w:sz w:val="32"/>
        </w:rPr>
      </w:pPr>
      <w:r w:rsidRPr="00AD3D88">
        <w:rPr>
          <w:rFonts w:ascii="Times New Roman" w:hAnsi="Times New Roman" w:cs="Times New Roman"/>
          <w:b/>
          <w:sz w:val="32"/>
        </w:rPr>
        <w:t>LOCATION</w:t>
      </w:r>
    </w:p>
    <w:p w:rsidR="00BA05CC" w:rsidRPr="00AD3D88" w:rsidRDefault="00BA05CC" w:rsidP="00BA05CC">
      <w:pPr>
        <w:jc w:val="center"/>
        <w:rPr>
          <w:rFonts w:ascii="Times New Roman" w:hAnsi="Times New Roman" w:cs="Times New Roman"/>
          <w:sz w:val="32"/>
        </w:rPr>
      </w:pPr>
      <w:r w:rsidRPr="00AD3D88">
        <w:rPr>
          <w:rFonts w:ascii="Times New Roman" w:hAnsi="Times New Roman" w:cs="Times New Roman"/>
          <w:b/>
          <w:bCs/>
          <w:sz w:val="36"/>
        </w:rPr>
        <w:t>Fig 4.5: CONCENTRATION OF MAGNESIUM IONS (Mg</w:t>
      </w:r>
      <w:r w:rsidRPr="00AD3D88">
        <w:rPr>
          <w:rFonts w:ascii="Times New Roman" w:hAnsi="Times New Roman" w:cs="Times New Roman"/>
          <w:b/>
          <w:bCs/>
          <w:sz w:val="36"/>
          <w:vertAlign w:val="superscript"/>
        </w:rPr>
        <w:t>2</w:t>
      </w:r>
      <w:proofErr w:type="gramStart"/>
      <w:r w:rsidRPr="00AD3D88">
        <w:rPr>
          <w:rFonts w:ascii="Times New Roman" w:hAnsi="Times New Roman" w:cs="Times New Roman"/>
          <w:b/>
          <w:bCs/>
          <w:sz w:val="36"/>
        </w:rPr>
        <w:t>)  PHYSICO</w:t>
      </w:r>
      <w:proofErr w:type="gramEnd"/>
      <w:r w:rsidRPr="00AD3D88">
        <w:rPr>
          <w:rFonts w:ascii="Times New Roman" w:hAnsi="Times New Roman" w:cs="Times New Roman"/>
          <w:b/>
          <w:bCs/>
          <w:sz w:val="36"/>
        </w:rPr>
        <w:t xml:space="preserve"> CHEMICAL PARAMETERS</w:t>
      </w:r>
    </w:p>
    <w:p w:rsidR="00BA05CC" w:rsidRPr="00AD3D88" w:rsidRDefault="00BA05CC" w:rsidP="00BA05CC">
      <w:pPr>
        <w:spacing w:after="0" w:line="480" w:lineRule="auto"/>
        <w:jc w:val="both"/>
        <w:outlineLvl w:val="1"/>
        <w:rPr>
          <w:rFonts w:ascii="Times New Roman" w:eastAsia="Times New Roman" w:hAnsi="Times New Roman" w:cs="Times New Roman"/>
          <w:b/>
          <w:bCs/>
          <w:sz w:val="24"/>
          <w:szCs w:val="24"/>
        </w:rPr>
      </w:pPr>
      <w:r w:rsidRPr="00AD3D88">
        <w:rPr>
          <w:rFonts w:ascii="Times New Roman" w:eastAsia="Times New Roman" w:hAnsi="Times New Roman" w:cs="Times New Roman"/>
          <w:b/>
          <w:bCs/>
          <w:sz w:val="24"/>
          <w:szCs w:val="24"/>
        </w:rPr>
        <w:t>4.1.4 Magnesium Ions (Mg²⁺)</w:t>
      </w:r>
    </w:p>
    <w:p w:rsidR="00BA05CC" w:rsidRPr="00AD3D88" w:rsidRDefault="00BA05CC" w:rsidP="00BA05CC">
      <w:pPr>
        <w:tabs>
          <w:tab w:val="left" w:pos="4066"/>
        </w:tabs>
        <w:spacing w:line="480" w:lineRule="auto"/>
        <w:rPr>
          <w:rFonts w:ascii="Times New Roman" w:hAnsi="Times New Roman" w:cs="Times New Roman"/>
          <w:sz w:val="32"/>
        </w:rPr>
      </w:pPr>
      <w:r w:rsidRPr="00AD3D88">
        <w:rPr>
          <w:rFonts w:ascii="Times New Roman" w:eastAsia="Times New Roman" w:hAnsi="Times New Roman" w:cs="Times New Roman"/>
          <w:sz w:val="24"/>
          <w:szCs w:val="24"/>
        </w:rPr>
        <w:t xml:space="preserve">Mg²⁺ levels ranged from </w:t>
      </w:r>
      <w:r w:rsidRPr="00AD3D88">
        <w:rPr>
          <w:rFonts w:ascii="Times New Roman" w:eastAsia="Times New Roman" w:hAnsi="Times New Roman" w:cs="Times New Roman"/>
          <w:b/>
          <w:bCs/>
          <w:sz w:val="24"/>
          <w:szCs w:val="24"/>
        </w:rPr>
        <w:t>13 to 30 mg/L</w:t>
      </w:r>
      <w:r w:rsidRPr="00AD3D88">
        <w:rPr>
          <w:rFonts w:ascii="Times New Roman" w:eastAsia="Times New Roman" w:hAnsi="Times New Roman" w:cs="Times New Roman"/>
          <w:sz w:val="24"/>
          <w:szCs w:val="24"/>
        </w:rPr>
        <w:t>. All samples adhered to the WHO guideline (≤ 50 mg/L). No locations posed a laxative risk or taste impairment, confirming suitability for domestic use.</w:t>
      </w:r>
    </w:p>
    <w:p w:rsidR="00BA05CC" w:rsidRPr="00AD3D88" w:rsidRDefault="00BA05CC" w:rsidP="00BA05CC">
      <w:pPr>
        <w:tabs>
          <w:tab w:val="left" w:pos="4066"/>
        </w:tabs>
        <w:rPr>
          <w:rFonts w:ascii="Times New Roman" w:hAnsi="Times New Roman" w:cs="Times New Roman"/>
          <w:sz w:val="32"/>
        </w:rPr>
      </w:pPr>
    </w:p>
    <w:p w:rsidR="00BA05CC" w:rsidRPr="00AD3D88" w:rsidRDefault="00BA05CC" w:rsidP="00BA05CC">
      <w:pPr>
        <w:tabs>
          <w:tab w:val="left" w:pos="4066"/>
        </w:tabs>
        <w:rPr>
          <w:rFonts w:ascii="Times New Roman" w:hAnsi="Times New Roman" w:cs="Times New Roman"/>
          <w:sz w:val="32"/>
        </w:rPr>
      </w:pPr>
    </w:p>
    <w:p w:rsidR="00BA05CC" w:rsidRPr="00AD3D88" w:rsidRDefault="00BA05CC" w:rsidP="00BA05CC">
      <w:pPr>
        <w:tabs>
          <w:tab w:val="left" w:pos="4066"/>
        </w:tabs>
        <w:rPr>
          <w:rFonts w:ascii="Times New Roman" w:hAnsi="Times New Roman" w:cs="Times New Roman"/>
          <w:sz w:val="32"/>
        </w:rPr>
      </w:pPr>
    </w:p>
    <w:p w:rsidR="00BA05CC" w:rsidRPr="00AD3D88" w:rsidRDefault="00BA05CC" w:rsidP="00BA05CC">
      <w:pPr>
        <w:tabs>
          <w:tab w:val="left" w:pos="4066"/>
        </w:tabs>
        <w:rPr>
          <w:rFonts w:ascii="Times New Roman" w:hAnsi="Times New Roman" w:cs="Times New Roman"/>
          <w:sz w:val="32"/>
        </w:rPr>
      </w:pPr>
    </w:p>
    <w:p w:rsidR="00BA05CC" w:rsidRPr="00AD3D88" w:rsidRDefault="00BA05CC" w:rsidP="00BA05CC">
      <w:pPr>
        <w:tabs>
          <w:tab w:val="left" w:pos="4066"/>
        </w:tabs>
        <w:rPr>
          <w:rFonts w:ascii="Times New Roman" w:hAnsi="Times New Roman" w:cs="Times New Roman"/>
          <w:sz w:val="32"/>
        </w:rPr>
      </w:pPr>
    </w:p>
    <w:p w:rsidR="00BA05CC" w:rsidRPr="00AD3D88" w:rsidRDefault="00BA05CC" w:rsidP="00BA05CC">
      <w:pPr>
        <w:tabs>
          <w:tab w:val="left" w:pos="4066"/>
        </w:tabs>
        <w:rPr>
          <w:rFonts w:ascii="Times New Roman" w:hAnsi="Times New Roman" w:cs="Times New Roman"/>
          <w:sz w:val="32"/>
        </w:rPr>
      </w:pPr>
    </w:p>
    <w:p w:rsidR="00BA05CC" w:rsidRDefault="00BA05CC" w:rsidP="00BA05CC">
      <w:pPr>
        <w:tabs>
          <w:tab w:val="left" w:pos="4066"/>
        </w:tabs>
        <w:rPr>
          <w:rFonts w:ascii="Times New Roman" w:hAnsi="Times New Roman" w:cs="Times New Roman"/>
          <w:sz w:val="32"/>
        </w:rPr>
      </w:pPr>
    </w:p>
    <w:p w:rsidR="00BA05CC" w:rsidRPr="00AD3D88" w:rsidRDefault="00BA05CC" w:rsidP="00BA05CC">
      <w:pPr>
        <w:tabs>
          <w:tab w:val="left" w:pos="4066"/>
        </w:tabs>
        <w:rPr>
          <w:rFonts w:ascii="Times New Roman" w:hAnsi="Times New Roman" w:cs="Times New Roman"/>
          <w:sz w:val="32"/>
        </w:rPr>
      </w:pPr>
    </w:p>
    <w:p w:rsidR="00BA05CC" w:rsidRPr="00AD3D88" w:rsidRDefault="00BA05CC" w:rsidP="00BA05CC">
      <w:pPr>
        <w:tabs>
          <w:tab w:val="left" w:pos="4066"/>
        </w:tabs>
        <w:rPr>
          <w:rFonts w:ascii="Times New Roman" w:hAnsi="Times New Roman" w:cs="Times New Roman"/>
          <w:sz w:val="32"/>
        </w:rPr>
      </w:pPr>
      <w:r w:rsidRPr="00AD3D88">
        <w:rPr>
          <w:rFonts w:ascii="Times New Roman" w:hAnsi="Times New Roman" w:cs="Times New Roman"/>
          <w:noProof/>
        </w:rPr>
        <w:drawing>
          <wp:anchor distT="0" distB="0" distL="114300" distR="114300" simplePos="0" relativeHeight="251675648" behindDoc="1" locked="0" layoutInCell="1" allowOverlap="1" wp14:anchorId="3472C920" wp14:editId="329A9DE1">
            <wp:simplePos x="0" y="0"/>
            <wp:positionH relativeFrom="column">
              <wp:posOffset>-134620</wp:posOffset>
            </wp:positionH>
            <wp:positionV relativeFrom="paragraph">
              <wp:posOffset>167005</wp:posOffset>
            </wp:positionV>
            <wp:extent cx="6382385" cy="2956560"/>
            <wp:effectExtent l="0" t="0" r="18415" b="15240"/>
            <wp:wrapNone/>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1E30BE">
        <w:rPr>
          <w:rFonts w:ascii="Times New Roman" w:hAnsi="Times New Roman" w:cs="Times New Roman"/>
        </w:rPr>
        <w:pict>
          <v:shape id="_x0000_s1031" type="#_x0000_t136" style="position:absolute;margin-left:-118.15pt;margin-top:130.7pt;width:174.75pt;height:16.5pt;rotation:270;z-index:251666432;mso-position-horizontal-relative:text;mso-position-vertical-relative:text" fillcolor="black [3213]" strokecolor="black [3213]">
            <v:shadow color="#868686"/>
            <v:textpath style="font-family:&quot;Arial&quot;;font-size:14pt;v-text-kern:t" trim="t" fitpath="t" string="CONCENTRATION LEVEL"/>
          </v:shape>
        </w:pict>
      </w: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jc w:val="center"/>
        <w:rPr>
          <w:rFonts w:ascii="Times New Roman" w:hAnsi="Times New Roman" w:cs="Times New Roman"/>
          <w:b/>
          <w:sz w:val="32"/>
        </w:rPr>
      </w:pPr>
      <w:r w:rsidRPr="00AD3D88">
        <w:rPr>
          <w:rFonts w:ascii="Times New Roman" w:hAnsi="Times New Roman" w:cs="Times New Roman"/>
          <w:b/>
          <w:sz w:val="32"/>
        </w:rPr>
        <w:t>LOCATION</w:t>
      </w:r>
    </w:p>
    <w:p w:rsidR="00BA05CC" w:rsidRPr="00AD3D88" w:rsidRDefault="00BA05CC" w:rsidP="00BA05CC">
      <w:pPr>
        <w:jc w:val="center"/>
        <w:rPr>
          <w:rFonts w:ascii="Times New Roman" w:hAnsi="Times New Roman" w:cs="Times New Roman"/>
          <w:b/>
          <w:bCs/>
          <w:sz w:val="36"/>
        </w:rPr>
      </w:pPr>
      <w:r w:rsidRPr="00AD3D88">
        <w:rPr>
          <w:rFonts w:ascii="Times New Roman" w:hAnsi="Times New Roman" w:cs="Times New Roman"/>
          <w:b/>
          <w:bCs/>
          <w:sz w:val="36"/>
        </w:rPr>
        <w:t>Fig 4.6: CONCENTRATION OF BICARBONATES (HC0</w:t>
      </w:r>
      <w:r w:rsidRPr="00AD3D88">
        <w:rPr>
          <w:rFonts w:ascii="Times New Roman" w:hAnsi="Times New Roman" w:cs="Times New Roman"/>
          <w:b/>
          <w:bCs/>
          <w:sz w:val="36"/>
          <w:vertAlign w:val="subscript"/>
        </w:rPr>
        <w:t>3</w:t>
      </w:r>
      <w:r w:rsidRPr="00AD3D88">
        <w:rPr>
          <w:rFonts w:ascii="Times New Roman" w:hAnsi="Times New Roman" w:cs="Times New Roman"/>
          <w:b/>
          <w:bCs/>
          <w:sz w:val="36"/>
        </w:rPr>
        <w:t>) PPM PHYSICO CHEMICAL PARAMETERS</w:t>
      </w:r>
    </w:p>
    <w:p w:rsidR="00BA05CC" w:rsidRPr="00AD3D88" w:rsidRDefault="00BA05CC" w:rsidP="00BA05CC">
      <w:pPr>
        <w:spacing w:after="0" w:line="480" w:lineRule="auto"/>
        <w:jc w:val="both"/>
        <w:outlineLvl w:val="1"/>
        <w:rPr>
          <w:rFonts w:ascii="Times New Roman" w:eastAsia="Times New Roman" w:hAnsi="Times New Roman" w:cs="Times New Roman"/>
          <w:b/>
          <w:bCs/>
          <w:sz w:val="24"/>
          <w:szCs w:val="24"/>
        </w:rPr>
      </w:pPr>
      <w:r w:rsidRPr="00AD3D88">
        <w:rPr>
          <w:rFonts w:ascii="Times New Roman" w:eastAsia="Times New Roman" w:hAnsi="Times New Roman" w:cs="Times New Roman"/>
          <w:b/>
          <w:bCs/>
          <w:sz w:val="24"/>
          <w:szCs w:val="24"/>
        </w:rPr>
        <w:t>4.1.5 Bicarbonates (HCO₃⁻)</w:t>
      </w:r>
    </w:p>
    <w:p w:rsidR="00BA05CC" w:rsidRPr="00AD3D88" w:rsidRDefault="00BA05CC" w:rsidP="00BA05CC">
      <w:pPr>
        <w:spacing w:line="480" w:lineRule="auto"/>
        <w:jc w:val="both"/>
        <w:rPr>
          <w:rFonts w:ascii="Times New Roman" w:eastAsia="Times New Roman" w:hAnsi="Times New Roman" w:cs="Times New Roman"/>
          <w:sz w:val="24"/>
          <w:szCs w:val="24"/>
        </w:rPr>
      </w:pPr>
      <w:r w:rsidRPr="00AD3D88">
        <w:rPr>
          <w:rFonts w:ascii="Times New Roman" w:eastAsia="Times New Roman" w:hAnsi="Times New Roman" w:cs="Times New Roman"/>
          <w:sz w:val="24"/>
          <w:szCs w:val="24"/>
        </w:rPr>
        <w:t xml:space="preserve">Bicarbonate concentrations were </w:t>
      </w:r>
      <w:r w:rsidRPr="00AD3D88">
        <w:rPr>
          <w:rFonts w:ascii="Times New Roman" w:eastAsia="Times New Roman" w:hAnsi="Times New Roman" w:cs="Times New Roman"/>
          <w:b/>
          <w:bCs/>
          <w:sz w:val="24"/>
          <w:szCs w:val="24"/>
        </w:rPr>
        <w:t>150–500 ppm</w:t>
      </w:r>
      <w:r w:rsidRPr="00AD3D88">
        <w:rPr>
          <w:rFonts w:ascii="Times New Roman" w:eastAsia="Times New Roman" w:hAnsi="Times New Roman" w:cs="Times New Roman"/>
          <w:sz w:val="24"/>
          <w:szCs w:val="24"/>
        </w:rPr>
        <w:t xml:space="preserve">. Values in </w:t>
      </w:r>
      <w:r w:rsidRPr="00AD3D88">
        <w:rPr>
          <w:rFonts w:ascii="Times New Roman" w:eastAsia="Times New Roman" w:hAnsi="Times New Roman" w:cs="Times New Roman"/>
          <w:b/>
          <w:bCs/>
          <w:sz w:val="24"/>
          <w:szCs w:val="24"/>
        </w:rPr>
        <w:t>600</w:t>
      </w:r>
      <w:r w:rsidRPr="00AD3D88">
        <w:rPr>
          <w:rFonts w:ascii="Times New Roman" w:eastAsia="Times New Roman" w:hAnsi="Times New Roman" w:cs="Times New Roman"/>
          <w:sz w:val="24"/>
          <w:szCs w:val="24"/>
        </w:rPr>
        <w:t xml:space="preserve"> exceeded 300 ppm, suggesting high buffering capacity and potential alkalinity issues. This may influence pH stability but is generally benign for health.</w:t>
      </w:r>
    </w:p>
    <w:p w:rsidR="00BA05CC" w:rsidRPr="00AD3D88" w:rsidRDefault="00BA05CC" w:rsidP="00BA05CC">
      <w:pPr>
        <w:spacing w:line="480" w:lineRule="auto"/>
        <w:jc w:val="both"/>
        <w:rPr>
          <w:rFonts w:ascii="Times New Roman" w:eastAsia="Times New Roman" w:hAnsi="Times New Roman" w:cs="Times New Roman"/>
          <w:sz w:val="24"/>
          <w:szCs w:val="24"/>
        </w:rPr>
      </w:pPr>
    </w:p>
    <w:p w:rsidR="00BA05CC" w:rsidRPr="00AD3D88" w:rsidRDefault="00BA05CC" w:rsidP="00BA05CC">
      <w:pPr>
        <w:spacing w:line="480" w:lineRule="auto"/>
        <w:jc w:val="both"/>
        <w:rPr>
          <w:rFonts w:ascii="Times New Roman" w:eastAsia="Times New Roman" w:hAnsi="Times New Roman" w:cs="Times New Roman"/>
          <w:sz w:val="24"/>
          <w:szCs w:val="24"/>
        </w:rPr>
      </w:pPr>
    </w:p>
    <w:p w:rsidR="00BA05CC" w:rsidRPr="00AD3D88" w:rsidRDefault="00BA05CC" w:rsidP="00BA05CC">
      <w:pPr>
        <w:spacing w:line="480" w:lineRule="auto"/>
        <w:jc w:val="both"/>
        <w:rPr>
          <w:rFonts w:ascii="Times New Roman" w:eastAsia="Times New Roman" w:hAnsi="Times New Roman" w:cs="Times New Roman"/>
          <w:sz w:val="24"/>
          <w:szCs w:val="24"/>
        </w:rPr>
      </w:pPr>
    </w:p>
    <w:p w:rsidR="00BA05CC" w:rsidRPr="00AD3D88" w:rsidRDefault="00BA05CC" w:rsidP="00BA05CC">
      <w:pPr>
        <w:spacing w:line="480" w:lineRule="auto"/>
        <w:jc w:val="both"/>
        <w:rPr>
          <w:rFonts w:ascii="Times New Roman" w:eastAsia="Times New Roman" w:hAnsi="Times New Roman" w:cs="Times New Roman"/>
          <w:sz w:val="24"/>
          <w:szCs w:val="24"/>
        </w:rPr>
      </w:pPr>
    </w:p>
    <w:p w:rsidR="00BA05CC" w:rsidRPr="00AD3D88" w:rsidRDefault="00BA05CC" w:rsidP="00BA05CC">
      <w:pPr>
        <w:spacing w:line="480" w:lineRule="auto"/>
        <w:jc w:val="both"/>
        <w:rPr>
          <w:rFonts w:ascii="Times New Roman" w:eastAsia="Times New Roman" w:hAnsi="Times New Roman" w:cs="Times New Roman"/>
          <w:sz w:val="24"/>
          <w:szCs w:val="24"/>
        </w:rPr>
      </w:pPr>
    </w:p>
    <w:p w:rsidR="00BA05CC" w:rsidRDefault="00BA05CC" w:rsidP="00BA05CC">
      <w:pPr>
        <w:tabs>
          <w:tab w:val="left" w:pos="1406"/>
        </w:tabs>
        <w:rPr>
          <w:rFonts w:ascii="Times New Roman" w:hAnsi="Times New Roman" w:cs="Times New Roman"/>
          <w:sz w:val="32"/>
        </w:rPr>
      </w:pPr>
    </w:p>
    <w:p w:rsidR="00BA05CC" w:rsidRPr="00AD3D88" w:rsidRDefault="00BA05CC" w:rsidP="00BA05CC">
      <w:pPr>
        <w:tabs>
          <w:tab w:val="left" w:pos="1406"/>
        </w:tabs>
        <w:rPr>
          <w:rFonts w:ascii="Times New Roman" w:hAnsi="Times New Roman" w:cs="Times New Roman"/>
          <w:sz w:val="32"/>
        </w:rPr>
      </w:pPr>
    </w:p>
    <w:p w:rsidR="00BA05CC" w:rsidRPr="00AD3D88" w:rsidRDefault="001E30BE" w:rsidP="00BA05CC">
      <w:pPr>
        <w:tabs>
          <w:tab w:val="left" w:pos="1406"/>
        </w:tabs>
        <w:rPr>
          <w:rFonts w:ascii="Times New Roman" w:hAnsi="Times New Roman" w:cs="Times New Roman"/>
          <w:sz w:val="32"/>
        </w:rPr>
      </w:pPr>
      <w:r>
        <w:rPr>
          <w:rFonts w:ascii="Times New Roman" w:hAnsi="Times New Roman" w:cs="Times New Roman"/>
        </w:rPr>
        <w:pict>
          <v:shape id="_x0000_s1032" type="#_x0000_t136" style="position:absolute;margin-left:-121.9pt;margin-top:155.25pt;width:174.75pt;height:16.5pt;rotation:270;z-index:251667456" fillcolor="black [3213]" strokecolor="black [3213]">
            <v:shadow color="#868686"/>
            <v:textpath style="font-family:&quot;Arial&quot;;font-size:14pt;v-text-kern:t" trim="t" fitpath="t" string="CONCENTRATION LEVEL"/>
          </v:shape>
        </w:pict>
      </w:r>
      <w:r w:rsidR="00BA05CC" w:rsidRPr="00AD3D88">
        <w:rPr>
          <w:rFonts w:ascii="Times New Roman" w:hAnsi="Times New Roman" w:cs="Times New Roman"/>
          <w:noProof/>
        </w:rPr>
        <w:drawing>
          <wp:anchor distT="0" distB="0" distL="114300" distR="114300" simplePos="0" relativeHeight="251676672" behindDoc="1" locked="0" layoutInCell="1" allowOverlap="1" wp14:anchorId="70A77EA0" wp14:editId="64B1C1AD">
            <wp:simplePos x="0" y="0"/>
            <wp:positionH relativeFrom="column">
              <wp:posOffset>-294640</wp:posOffset>
            </wp:positionH>
            <wp:positionV relativeFrom="paragraph">
              <wp:posOffset>1905</wp:posOffset>
            </wp:positionV>
            <wp:extent cx="6656705" cy="3627120"/>
            <wp:effectExtent l="0" t="0" r="10795" b="11430"/>
            <wp:wrapNone/>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F509B8">
      <w:pPr>
        <w:spacing w:after="0"/>
        <w:rPr>
          <w:rFonts w:ascii="Times New Roman" w:hAnsi="Times New Roman" w:cs="Times New Roman"/>
          <w:sz w:val="32"/>
        </w:rPr>
      </w:pPr>
    </w:p>
    <w:p w:rsidR="00F509B8" w:rsidRDefault="00BA05CC" w:rsidP="00F509B8">
      <w:pPr>
        <w:tabs>
          <w:tab w:val="left" w:pos="3566"/>
          <w:tab w:val="center" w:pos="4545"/>
        </w:tabs>
        <w:spacing w:after="0"/>
        <w:rPr>
          <w:rFonts w:ascii="Times New Roman" w:hAnsi="Times New Roman" w:cs="Times New Roman"/>
          <w:b/>
          <w:bCs/>
          <w:sz w:val="36"/>
        </w:rPr>
      </w:pPr>
      <w:r w:rsidRPr="00AD3D88">
        <w:rPr>
          <w:rFonts w:ascii="Times New Roman" w:hAnsi="Times New Roman" w:cs="Times New Roman"/>
          <w:b/>
          <w:bCs/>
          <w:sz w:val="36"/>
        </w:rPr>
        <w:tab/>
      </w:r>
    </w:p>
    <w:p w:rsidR="00BA05CC" w:rsidRPr="00AD3D88" w:rsidRDefault="00BA05CC" w:rsidP="00BA05CC">
      <w:pPr>
        <w:tabs>
          <w:tab w:val="left" w:pos="3566"/>
          <w:tab w:val="center" w:pos="4545"/>
        </w:tabs>
        <w:rPr>
          <w:rFonts w:ascii="Times New Roman" w:hAnsi="Times New Roman" w:cs="Times New Roman"/>
          <w:b/>
          <w:bCs/>
          <w:sz w:val="36"/>
        </w:rPr>
      </w:pPr>
      <w:r w:rsidRPr="00AD3D88">
        <w:rPr>
          <w:rFonts w:ascii="Times New Roman" w:hAnsi="Times New Roman" w:cs="Times New Roman"/>
          <w:b/>
          <w:bCs/>
          <w:sz w:val="36"/>
        </w:rPr>
        <w:tab/>
        <w:t>LOCATION</w:t>
      </w:r>
    </w:p>
    <w:p w:rsidR="00BA05CC" w:rsidRPr="00AD3D88" w:rsidRDefault="00BA05CC" w:rsidP="00BA05CC">
      <w:pPr>
        <w:jc w:val="center"/>
        <w:rPr>
          <w:rFonts w:ascii="Times New Roman" w:hAnsi="Times New Roman" w:cs="Times New Roman"/>
          <w:sz w:val="32"/>
        </w:rPr>
      </w:pPr>
      <w:r w:rsidRPr="00AD3D88">
        <w:rPr>
          <w:rFonts w:ascii="Times New Roman" w:hAnsi="Times New Roman" w:cs="Times New Roman"/>
          <w:b/>
          <w:bCs/>
          <w:sz w:val="36"/>
        </w:rPr>
        <w:t>Fig. 4.7: CONCENTRATION OF SULPHATE (SOH</w:t>
      </w:r>
      <w:r w:rsidRPr="00AD3D88">
        <w:rPr>
          <w:rFonts w:ascii="Times New Roman" w:hAnsi="Times New Roman" w:cs="Times New Roman"/>
          <w:b/>
          <w:bCs/>
          <w:sz w:val="36"/>
          <w:vertAlign w:val="superscript"/>
        </w:rPr>
        <w:t>2</w:t>
      </w:r>
      <w:r w:rsidRPr="00AD3D88">
        <w:rPr>
          <w:rFonts w:ascii="Times New Roman" w:hAnsi="Times New Roman" w:cs="Times New Roman"/>
          <w:b/>
          <w:bCs/>
          <w:sz w:val="36"/>
        </w:rPr>
        <w:t>) PHYSICO CHEMICAL PARAMETERS</w:t>
      </w:r>
    </w:p>
    <w:p w:rsidR="00BA05CC" w:rsidRPr="00AD3D88" w:rsidRDefault="00BA05CC" w:rsidP="00BA05CC">
      <w:pPr>
        <w:spacing w:after="0" w:line="480" w:lineRule="auto"/>
        <w:jc w:val="both"/>
        <w:outlineLvl w:val="1"/>
        <w:rPr>
          <w:rFonts w:ascii="Times New Roman" w:eastAsia="Times New Roman" w:hAnsi="Times New Roman" w:cs="Times New Roman"/>
          <w:b/>
          <w:bCs/>
          <w:sz w:val="24"/>
          <w:szCs w:val="24"/>
        </w:rPr>
      </w:pPr>
      <w:r w:rsidRPr="00AD3D88">
        <w:rPr>
          <w:rFonts w:ascii="Times New Roman" w:eastAsia="Times New Roman" w:hAnsi="Times New Roman" w:cs="Times New Roman"/>
          <w:b/>
          <w:bCs/>
          <w:sz w:val="24"/>
          <w:szCs w:val="24"/>
        </w:rPr>
        <w:t xml:space="preserve">4.1.7 </w:t>
      </w:r>
      <w:proofErr w:type="spellStart"/>
      <w:r w:rsidRPr="00AD3D88">
        <w:rPr>
          <w:rFonts w:ascii="Times New Roman" w:eastAsia="Times New Roman" w:hAnsi="Times New Roman" w:cs="Times New Roman"/>
          <w:b/>
          <w:bCs/>
          <w:sz w:val="24"/>
          <w:szCs w:val="24"/>
        </w:rPr>
        <w:t>Sulphate</w:t>
      </w:r>
      <w:proofErr w:type="spellEnd"/>
      <w:r w:rsidRPr="00AD3D88">
        <w:rPr>
          <w:rFonts w:ascii="Times New Roman" w:eastAsia="Times New Roman" w:hAnsi="Times New Roman" w:cs="Times New Roman"/>
          <w:b/>
          <w:bCs/>
          <w:sz w:val="24"/>
          <w:szCs w:val="24"/>
        </w:rPr>
        <w:t xml:space="preserve"> (SO₄²⁻)</w:t>
      </w:r>
    </w:p>
    <w:p w:rsidR="00BA05CC" w:rsidRPr="00AD3D88" w:rsidRDefault="00BA05CC" w:rsidP="00BA05CC">
      <w:pPr>
        <w:spacing w:line="480" w:lineRule="auto"/>
        <w:jc w:val="both"/>
        <w:rPr>
          <w:rFonts w:ascii="Times New Roman" w:hAnsi="Times New Roman" w:cs="Times New Roman"/>
          <w:sz w:val="32"/>
        </w:rPr>
      </w:pPr>
      <w:proofErr w:type="spellStart"/>
      <w:r w:rsidRPr="00AD3D88">
        <w:rPr>
          <w:rFonts w:ascii="Times New Roman" w:eastAsia="Times New Roman" w:hAnsi="Times New Roman" w:cs="Times New Roman"/>
          <w:sz w:val="24"/>
          <w:szCs w:val="24"/>
        </w:rPr>
        <w:t>Sulphate</w:t>
      </w:r>
      <w:proofErr w:type="spellEnd"/>
      <w:r w:rsidRPr="00AD3D88">
        <w:rPr>
          <w:rFonts w:ascii="Times New Roman" w:eastAsia="Times New Roman" w:hAnsi="Times New Roman" w:cs="Times New Roman"/>
          <w:sz w:val="24"/>
          <w:szCs w:val="24"/>
        </w:rPr>
        <w:t xml:space="preserve"> levels varied from </w:t>
      </w:r>
      <w:r w:rsidRPr="00AD3D88">
        <w:rPr>
          <w:rFonts w:ascii="Times New Roman" w:eastAsia="Times New Roman" w:hAnsi="Times New Roman" w:cs="Times New Roman"/>
          <w:b/>
          <w:bCs/>
          <w:sz w:val="24"/>
          <w:szCs w:val="24"/>
        </w:rPr>
        <w:t>20 to 300 mg/L</w:t>
      </w:r>
      <w:r w:rsidRPr="00AD3D88">
        <w:rPr>
          <w:rFonts w:ascii="Times New Roman" w:eastAsia="Times New Roman" w:hAnsi="Times New Roman" w:cs="Times New Roman"/>
          <w:sz w:val="24"/>
          <w:szCs w:val="24"/>
        </w:rPr>
        <w:t xml:space="preserve">. Samples from </w:t>
      </w:r>
      <w:r w:rsidRPr="00AD3D88">
        <w:rPr>
          <w:rFonts w:ascii="Times New Roman" w:eastAsia="Times New Roman" w:hAnsi="Times New Roman" w:cs="Times New Roman"/>
          <w:b/>
          <w:bCs/>
          <w:sz w:val="24"/>
          <w:szCs w:val="24"/>
        </w:rPr>
        <w:t>350</w:t>
      </w:r>
      <w:r w:rsidRPr="00AD3D88">
        <w:rPr>
          <w:rFonts w:ascii="Times New Roman" w:eastAsia="Times New Roman" w:hAnsi="Times New Roman" w:cs="Times New Roman"/>
          <w:sz w:val="24"/>
          <w:szCs w:val="24"/>
        </w:rPr>
        <w:t xml:space="preserve"> surpassed the WHO limit (250 mg/L), posing a risk of gastrointestinal irritation and corrosion in concrete infrastructure.</w:t>
      </w: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1E30BE" w:rsidP="00BA05CC">
      <w:pPr>
        <w:rPr>
          <w:rFonts w:ascii="Times New Roman" w:hAnsi="Times New Roman" w:cs="Times New Roman"/>
          <w:sz w:val="32"/>
        </w:rPr>
      </w:pPr>
      <w:r>
        <w:rPr>
          <w:rFonts w:ascii="Times New Roman" w:hAnsi="Times New Roman" w:cs="Times New Roman"/>
        </w:rPr>
        <w:pict>
          <v:shape id="_x0000_s1033" type="#_x0000_t136" style="position:absolute;margin-left:-112.9pt;margin-top:129.2pt;width:174.75pt;height:16.5pt;rotation:270;z-index:251668480" fillcolor="black [3213]" strokecolor="black [3213]">
            <v:shadow color="#868686"/>
            <v:textpath style="font-family:&quot;Arial&quot;;font-size:14pt;v-text-kern:t" trim="t" fitpath="t" string="CONCENTRATION LEVEL"/>
          </v:shape>
        </w:pict>
      </w:r>
      <w:r w:rsidR="00BA05CC" w:rsidRPr="00AD3D88">
        <w:rPr>
          <w:rFonts w:ascii="Times New Roman" w:hAnsi="Times New Roman" w:cs="Times New Roman"/>
          <w:noProof/>
        </w:rPr>
        <w:drawing>
          <wp:anchor distT="0" distB="0" distL="114300" distR="114300" simplePos="0" relativeHeight="251677696" behindDoc="1" locked="0" layoutInCell="1" allowOverlap="1" wp14:anchorId="125FE5F0" wp14:editId="0404E4BC">
            <wp:simplePos x="0" y="0"/>
            <wp:positionH relativeFrom="column">
              <wp:posOffset>-76835</wp:posOffset>
            </wp:positionH>
            <wp:positionV relativeFrom="paragraph">
              <wp:posOffset>182245</wp:posOffset>
            </wp:positionV>
            <wp:extent cx="6425565" cy="3091180"/>
            <wp:effectExtent l="0" t="0" r="13335" b="13970"/>
            <wp:wrapNone/>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F509B8">
      <w:pPr>
        <w:spacing w:after="0"/>
        <w:rPr>
          <w:rFonts w:ascii="Times New Roman" w:hAnsi="Times New Roman" w:cs="Times New Roman"/>
          <w:sz w:val="32"/>
        </w:rPr>
      </w:pPr>
    </w:p>
    <w:p w:rsidR="00BA05CC" w:rsidRDefault="00BA05CC" w:rsidP="00BA05CC">
      <w:pPr>
        <w:tabs>
          <w:tab w:val="left" w:pos="3566"/>
          <w:tab w:val="center" w:pos="4545"/>
        </w:tabs>
        <w:spacing w:after="0"/>
        <w:rPr>
          <w:rFonts w:ascii="Times New Roman" w:hAnsi="Times New Roman" w:cs="Times New Roman"/>
          <w:b/>
          <w:bCs/>
          <w:sz w:val="36"/>
        </w:rPr>
      </w:pPr>
    </w:p>
    <w:p w:rsidR="00BA05CC" w:rsidRPr="00AD3D88" w:rsidRDefault="00BA05CC" w:rsidP="00BA05CC">
      <w:pPr>
        <w:tabs>
          <w:tab w:val="left" w:pos="3566"/>
          <w:tab w:val="center" w:pos="4545"/>
        </w:tabs>
        <w:spacing w:line="240" w:lineRule="auto"/>
        <w:rPr>
          <w:rFonts w:ascii="Times New Roman" w:hAnsi="Times New Roman" w:cs="Times New Roman"/>
          <w:b/>
          <w:bCs/>
          <w:sz w:val="36"/>
        </w:rPr>
      </w:pPr>
      <w:r w:rsidRPr="00AD3D88">
        <w:rPr>
          <w:rFonts w:ascii="Times New Roman" w:hAnsi="Times New Roman" w:cs="Times New Roman"/>
          <w:b/>
          <w:bCs/>
          <w:sz w:val="36"/>
        </w:rPr>
        <w:tab/>
      </w:r>
      <w:r w:rsidRPr="00AD3D88">
        <w:rPr>
          <w:rFonts w:ascii="Times New Roman" w:hAnsi="Times New Roman" w:cs="Times New Roman"/>
          <w:b/>
          <w:bCs/>
          <w:sz w:val="36"/>
        </w:rPr>
        <w:tab/>
        <w:t>LOCATION</w:t>
      </w:r>
    </w:p>
    <w:p w:rsidR="00BA05CC" w:rsidRPr="00AD3D88" w:rsidRDefault="00BA05CC" w:rsidP="00BA05CC">
      <w:pPr>
        <w:jc w:val="center"/>
        <w:rPr>
          <w:rFonts w:ascii="Times New Roman" w:hAnsi="Times New Roman" w:cs="Times New Roman"/>
          <w:sz w:val="32"/>
        </w:rPr>
      </w:pPr>
      <w:r w:rsidRPr="00AD3D88">
        <w:rPr>
          <w:rFonts w:ascii="Times New Roman" w:hAnsi="Times New Roman" w:cs="Times New Roman"/>
          <w:b/>
          <w:bCs/>
          <w:sz w:val="36"/>
        </w:rPr>
        <w:t>Fig. 4.8: CONCENTRATION OF CHLORIDE (CL) PHYSICO CHEMICAL PARAMETERS</w:t>
      </w:r>
    </w:p>
    <w:p w:rsidR="00BA05CC" w:rsidRPr="00AD3D88" w:rsidRDefault="00BA05CC" w:rsidP="00BA05CC">
      <w:pPr>
        <w:spacing w:after="0" w:line="480" w:lineRule="auto"/>
        <w:jc w:val="both"/>
        <w:outlineLvl w:val="1"/>
        <w:rPr>
          <w:rFonts w:ascii="Times New Roman" w:eastAsia="Times New Roman" w:hAnsi="Times New Roman" w:cs="Times New Roman"/>
          <w:b/>
          <w:bCs/>
          <w:sz w:val="24"/>
          <w:szCs w:val="24"/>
        </w:rPr>
      </w:pPr>
      <w:r w:rsidRPr="00AD3D88">
        <w:rPr>
          <w:rFonts w:ascii="Times New Roman" w:eastAsia="Times New Roman" w:hAnsi="Times New Roman" w:cs="Times New Roman"/>
          <w:b/>
          <w:bCs/>
          <w:sz w:val="24"/>
          <w:szCs w:val="24"/>
        </w:rPr>
        <w:t>4.1.8 Chloride (</w:t>
      </w:r>
      <w:proofErr w:type="spellStart"/>
      <w:r w:rsidRPr="00AD3D88">
        <w:rPr>
          <w:rFonts w:ascii="Times New Roman" w:eastAsia="Times New Roman" w:hAnsi="Times New Roman" w:cs="Times New Roman"/>
          <w:b/>
          <w:bCs/>
          <w:sz w:val="24"/>
          <w:szCs w:val="24"/>
        </w:rPr>
        <w:t>Cl</w:t>
      </w:r>
      <w:proofErr w:type="spellEnd"/>
      <w:r w:rsidRPr="00AD3D88">
        <w:rPr>
          <w:rFonts w:ascii="Times New Roman" w:eastAsia="Times New Roman" w:hAnsi="Times New Roman" w:cs="Times New Roman"/>
          <w:b/>
          <w:bCs/>
          <w:sz w:val="24"/>
          <w:szCs w:val="24"/>
        </w:rPr>
        <w:t>⁻)</w:t>
      </w:r>
    </w:p>
    <w:p w:rsidR="00BA05CC" w:rsidRPr="00AD3D88" w:rsidRDefault="00BA05CC" w:rsidP="00BA05CC">
      <w:pPr>
        <w:spacing w:line="480" w:lineRule="auto"/>
        <w:rPr>
          <w:rFonts w:ascii="Times New Roman" w:hAnsi="Times New Roman" w:cs="Times New Roman"/>
          <w:sz w:val="32"/>
        </w:rPr>
      </w:pPr>
      <w:r w:rsidRPr="00AD3D88">
        <w:rPr>
          <w:rFonts w:ascii="Times New Roman" w:eastAsia="Times New Roman" w:hAnsi="Times New Roman" w:cs="Times New Roman"/>
          <w:sz w:val="24"/>
          <w:szCs w:val="24"/>
        </w:rPr>
        <w:t xml:space="preserve">Chloride concentrations ranged </w:t>
      </w:r>
      <w:r w:rsidRPr="00AD3D88">
        <w:rPr>
          <w:rFonts w:ascii="Times New Roman" w:eastAsia="Times New Roman" w:hAnsi="Times New Roman" w:cs="Times New Roman"/>
          <w:b/>
          <w:bCs/>
          <w:sz w:val="24"/>
          <w:szCs w:val="24"/>
        </w:rPr>
        <w:t>10–250 mg/L</w:t>
      </w:r>
      <w:r w:rsidRPr="00AD3D88">
        <w:rPr>
          <w:rFonts w:ascii="Times New Roman" w:eastAsia="Times New Roman" w:hAnsi="Times New Roman" w:cs="Times New Roman"/>
          <w:sz w:val="24"/>
          <w:szCs w:val="24"/>
        </w:rPr>
        <w:t xml:space="preserve">. Locations </w:t>
      </w:r>
      <w:r w:rsidRPr="00AD3D88">
        <w:rPr>
          <w:rFonts w:ascii="Times New Roman" w:eastAsia="Times New Roman" w:hAnsi="Times New Roman" w:cs="Times New Roman"/>
          <w:b/>
          <w:bCs/>
          <w:sz w:val="24"/>
          <w:szCs w:val="24"/>
        </w:rPr>
        <w:t>300</w:t>
      </w:r>
      <w:r w:rsidRPr="00AD3D88">
        <w:rPr>
          <w:rFonts w:ascii="Times New Roman" w:eastAsia="Times New Roman" w:hAnsi="Times New Roman" w:cs="Times New Roman"/>
          <w:sz w:val="24"/>
          <w:szCs w:val="24"/>
        </w:rPr>
        <w:t xml:space="preserve"> exceeded 250 mg/L (WHO limit), indicating possible seawater intrusion or pollution. High levels impart a salty taste and accelerate metallic corrosion.</w:t>
      </w: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r w:rsidRPr="00AD3D88">
        <w:rPr>
          <w:rFonts w:ascii="Times New Roman" w:hAnsi="Times New Roman" w:cs="Times New Roman"/>
          <w:noProof/>
        </w:rPr>
        <w:drawing>
          <wp:anchor distT="0" distB="0" distL="114300" distR="114300" simplePos="0" relativeHeight="251678720" behindDoc="1" locked="0" layoutInCell="1" allowOverlap="1" wp14:anchorId="4AC7AAC8" wp14:editId="68EF941E">
            <wp:simplePos x="0" y="0"/>
            <wp:positionH relativeFrom="column">
              <wp:posOffset>-62230</wp:posOffset>
            </wp:positionH>
            <wp:positionV relativeFrom="paragraph">
              <wp:posOffset>370840</wp:posOffset>
            </wp:positionV>
            <wp:extent cx="6211570" cy="3700145"/>
            <wp:effectExtent l="0" t="0" r="17780" b="14605"/>
            <wp:wrapNone/>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001E30BE">
        <w:rPr>
          <w:rFonts w:ascii="Times New Roman" w:hAnsi="Times New Roman" w:cs="Times New Roman"/>
        </w:rPr>
        <w:pict>
          <v:shape id="_x0000_s1034" type="#_x0000_t136" style="position:absolute;margin-left:-109.9pt;margin-top:193.5pt;width:174.75pt;height:16.5pt;rotation:270;z-index:251669504;mso-position-horizontal-relative:text;mso-position-vertical-relative:text" fillcolor="black [3213]" strokecolor="black [3213]">
            <v:shadow color="#868686"/>
            <v:textpath style="font-family:&quot;Arial&quot;;font-size:14pt;v-text-kern:t" trim="t" fitpath="t" string="CONCENTRATION LEVEL"/>
          </v:shape>
        </w:pict>
      </w: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F509B8">
      <w:pPr>
        <w:spacing w:after="0"/>
        <w:rPr>
          <w:rFonts w:ascii="Times New Roman" w:hAnsi="Times New Roman" w:cs="Times New Roman"/>
          <w:sz w:val="32"/>
        </w:rPr>
      </w:pPr>
    </w:p>
    <w:p w:rsidR="00BA05CC" w:rsidRDefault="00BA05CC" w:rsidP="00BA05CC">
      <w:pPr>
        <w:tabs>
          <w:tab w:val="left" w:pos="3566"/>
          <w:tab w:val="center" w:pos="4545"/>
        </w:tabs>
        <w:spacing w:after="0"/>
        <w:rPr>
          <w:rFonts w:ascii="Times New Roman" w:hAnsi="Times New Roman" w:cs="Times New Roman"/>
          <w:b/>
          <w:bCs/>
          <w:sz w:val="36"/>
        </w:rPr>
      </w:pPr>
      <w:r w:rsidRPr="00AD3D88">
        <w:rPr>
          <w:rFonts w:ascii="Times New Roman" w:hAnsi="Times New Roman" w:cs="Times New Roman"/>
          <w:b/>
          <w:bCs/>
          <w:sz w:val="36"/>
        </w:rPr>
        <w:tab/>
      </w:r>
    </w:p>
    <w:p w:rsidR="00BA05CC" w:rsidRPr="00AD3D88" w:rsidRDefault="00BA05CC" w:rsidP="00BA05CC">
      <w:pPr>
        <w:tabs>
          <w:tab w:val="left" w:pos="3566"/>
          <w:tab w:val="center" w:pos="4545"/>
        </w:tabs>
        <w:jc w:val="center"/>
        <w:rPr>
          <w:rFonts w:ascii="Times New Roman" w:hAnsi="Times New Roman" w:cs="Times New Roman"/>
          <w:b/>
          <w:bCs/>
          <w:sz w:val="36"/>
        </w:rPr>
      </w:pPr>
      <w:r w:rsidRPr="00AD3D88">
        <w:rPr>
          <w:rFonts w:ascii="Times New Roman" w:hAnsi="Times New Roman" w:cs="Times New Roman"/>
          <w:b/>
          <w:bCs/>
          <w:sz w:val="36"/>
        </w:rPr>
        <w:t>LOCATION</w:t>
      </w:r>
    </w:p>
    <w:p w:rsidR="00BA05CC" w:rsidRPr="00AD3D88" w:rsidRDefault="00BA05CC" w:rsidP="00BA05CC">
      <w:pPr>
        <w:jc w:val="center"/>
        <w:rPr>
          <w:rFonts w:ascii="Times New Roman" w:hAnsi="Times New Roman" w:cs="Times New Roman"/>
          <w:b/>
          <w:bCs/>
          <w:sz w:val="36"/>
        </w:rPr>
      </w:pPr>
      <w:r w:rsidRPr="00AD3D88">
        <w:rPr>
          <w:rFonts w:ascii="Times New Roman" w:hAnsi="Times New Roman" w:cs="Times New Roman"/>
          <w:b/>
          <w:bCs/>
          <w:sz w:val="36"/>
        </w:rPr>
        <w:t>Fig. 4.9: CONCENTRATION OF NITRATE (NO</w:t>
      </w:r>
      <w:r w:rsidRPr="00AD3D88">
        <w:rPr>
          <w:rFonts w:ascii="Times New Roman" w:hAnsi="Times New Roman" w:cs="Times New Roman"/>
          <w:b/>
          <w:bCs/>
          <w:sz w:val="36"/>
          <w:vertAlign w:val="superscript"/>
        </w:rPr>
        <w:t>3</w:t>
      </w:r>
      <w:r w:rsidRPr="00AD3D88">
        <w:rPr>
          <w:rFonts w:ascii="Times New Roman" w:hAnsi="Times New Roman" w:cs="Times New Roman"/>
          <w:b/>
          <w:bCs/>
          <w:sz w:val="36"/>
        </w:rPr>
        <w:t>) PHYSICO – CHEMICAL PARAMETERS</w:t>
      </w:r>
    </w:p>
    <w:p w:rsidR="00BA05CC" w:rsidRPr="00AD3D88" w:rsidRDefault="00BA05CC" w:rsidP="00BA05CC">
      <w:pPr>
        <w:spacing w:after="0" w:line="480" w:lineRule="auto"/>
        <w:jc w:val="both"/>
        <w:outlineLvl w:val="1"/>
        <w:rPr>
          <w:rFonts w:ascii="Times New Roman" w:eastAsia="Times New Roman" w:hAnsi="Times New Roman" w:cs="Times New Roman"/>
          <w:b/>
          <w:bCs/>
          <w:sz w:val="24"/>
          <w:szCs w:val="24"/>
        </w:rPr>
      </w:pPr>
      <w:r w:rsidRPr="00AD3D88">
        <w:rPr>
          <w:rFonts w:ascii="Times New Roman" w:eastAsia="Times New Roman" w:hAnsi="Times New Roman" w:cs="Times New Roman"/>
          <w:b/>
          <w:bCs/>
          <w:sz w:val="24"/>
          <w:szCs w:val="24"/>
        </w:rPr>
        <w:t>4.1.9 Nitrate (NO₃⁻)</w:t>
      </w:r>
    </w:p>
    <w:p w:rsidR="00BA05CC" w:rsidRPr="00AD3D88" w:rsidRDefault="00BA05CC" w:rsidP="00BA05CC">
      <w:pPr>
        <w:spacing w:after="0" w:line="480" w:lineRule="auto"/>
        <w:jc w:val="both"/>
        <w:rPr>
          <w:rFonts w:ascii="Times New Roman" w:eastAsia="Times New Roman" w:hAnsi="Times New Roman" w:cs="Times New Roman"/>
          <w:sz w:val="24"/>
          <w:szCs w:val="24"/>
        </w:rPr>
      </w:pPr>
      <w:r w:rsidRPr="00AD3D88">
        <w:rPr>
          <w:rFonts w:ascii="Times New Roman" w:eastAsia="Times New Roman" w:hAnsi="Times New Roman" w:cs="Times New Roman"/>
          <w:sz w:val="24"/>
          <w:szCs w:val="24"/>
        </w:rPr>
        <w:t xml:space="preserve">Nitrate values were </w:t>
      </w:r>
      <w:r w:rsidRPr="00AD3D88">
        <w:rPr>
          <w:rFonts w:ascii="Times New Roman" w:eastAsia="Times New Roman" w:hAnsi="Times New Roman" w:cs="Times New Roman"/>
          <w:b/>
          <w:bCs/>
          <w:sz w:val="24"/>
          <w:szCs w:val="24"/>
        </w:rPr>
        <w:t>1 to 50 mg/L</w:t>
      </w:r>
      <w:r w:rsidRPr="00AD3D88">
        <w:rPr>
          <w:rFonts w:ascii="Times New Roman" w:eastAsia="Times New Roman" w:hAnsi="Times New Roman" w:cs="Times New Roman"/>
          <w:sz w:val="24"/>
          <w:szCs w:val="24"/>
        </w:rPr>
        <w:t xml:space="preserve">. Critical </w:t>
      </w:r>
      <w:proofErr w:type="spellStart"/>
      <w:r w:rsidRPr="00AD3D88">
        <w:rPr>
          <w:rFonts w:ascii="Times New Roman" w:eastAsia="Times New Roman" w:hAnsi="Times New Roman" w:cs="Times New Roman"/>
          <w:sz w:val="24"/>
          <w:szCs w:val="24"/>
        </w:rPr>
        <w:t>exceedances</w:t>
      </w:r>
      <w:proofErr w:type="spellEnd"/>
      <w:r w:rsidRPr="00AD3D88">
        <w:rPr>
          <w:rFonts w:ascii="Times New Roman" w:eastAsia="Times New Roman" w:hAnsi="Times New Roman" w:cs="Times New Roman"/>
          <w:sz w:val="24"/>
          <w:szCs w:val="24"/>
        </w:rPr>
        <w:t xml:space="preserve"> (&gt; 50 mg/L, WHO) occurred at </w:t>
      </w:r>
      <w:r w:rsidRPr="00AD3D88">
        <w:rPr>
          <w:rFonts w:ascii="Times New Roman" w:eastAsia="Times New Roman" w:hAnsi="Times New Roman" w:cs="Times New Roman"/>
          <w:b/>
          <w:bCs/>
          <w:sz w:val="24"/>
          <w:szCs w:val="24"/>
        </w:rPr>
        <w:t>60</w:t>
      </w:r>
      <w:r w:rsidRPr="00AD3D88">
        <w:rPr>
          <w:rFonts w:ascii="Times New Roman" w:eastAsia="Times New Roman" w:hAnsi="Times New Roman" w:cs="Times New Roman"/>
          <w:sz w:val="24"/>
          <w:szCs w:val="24"/>
        </w:rPr>
        <w:t xml:space="preserve">, likely from agricultural runoff. This poses </w:t>
      </w:r>
      <w:proofErr w:type="spellStart"/>
      <w:r w:rsidRPr="00AD3D88">
        <w:rPr>
          <w:rFonts w:ascii="Times New Roman" w:eastAsia="Times New Roman" w:hAnsi="Times New Roman" w:cs="Times New Roman"/>
          <w:sz w:val="24"/>
          <w:szCs w:val="24"/>
        </w:rPr>
        <w:t>methemoglobinemia</w:t>
      </w:r>
      <w:proofErr w:type="spellEnd"/>
      <w:r w:rsidRPr="00AD3D88">
        <w:rPr>
          <w:rFonts w:ascii="Times New Roman" w:eastAsia="Times New Roman" w:hAnsi="Times New Roman" w:cs="Times New Roman"/>
          <w:sz w:val="24"/>
          <w:szCs w:val="24"/>
        </w:rPr>
        <w:t xml:space="preserve"> risks for infants, requiring immediate remediation.</w:t>
      </w:r>
    </w:p>
    <w:p w:rsidR="00BA05CC" w:rsidRPr="00AD3D88" w:rsidRDefault="00BA05CC" w:rsidP="00BA05CC">
      <w:pPr>
        <w:jc w:val="both"/>
        <w:rPr>
          <w:rFonts w:ascii="Times New Roman" w:hAnsi="Times New Roman" w:cs="Times New Roman"/>
          <w:b/>
          <w:bCs/>
          <w:sz w:val="36"/>
        </w:rPr>
      </w:pPr>
    </w:p>
    <w:p w:rsidR="00BA05CC" w:rsidRPr="00AD3D88" w:rsidRDefault="00BA05CC" w:rsidP="00BA05CC">
      <w:pPr>
        <w:jc w:val="both"/>
        <w:rPr>
          <w:rFonts w:ascii="Times New Roman" w:hAnsi="Times New Roman" w:cs="Times New Roman"/>
          <w:b/>
          <w:bCs/>
          <w:sz w:val="36"/>
        </w:rPr>
      </w:pPr>
    </w:p>
    <w:p w:rsidR="00BA05CC" w:rsidRPr="00AD3D88" w:rsidRDefault="00BA05CC" w:rsidP="00BA05CC">
      <w:pPr>
        <w:jc w:val="both"/>
        <w:rPr>
          <w:rFonts w:ascii="Times New Roman" w:hAnsi="Times New Roman" w:cs="Times New Roman"/>
          <w:b/>
          <w:bCs/>
          <w:sz w:val="36"/>
        </w:rPr>
      </w:pPr>
    </w:p>
    <w:p w:rsidR="00BA05CC" w:rsidRPr="00AD3D88" w:rsidRDefault="00BA05CC" w:rsidP="00BA05CC">
      <w:pPr>
        <w:jc w:val="both"/>
        <w:rPr>
          <w:rFonts w:ascii="Times New Roman" w:hAnsi="Times New Roman" w:cs="Times New Roman"/>
          <w:b/>
          <w:bCs/>
          <w:sz w:val="36"/>
        </w:rPr>
      </w:pPr>
    </w:p>
    <w:p w:rsidR="00BA05CC" w:rsidRPr="00AD3D88" w:rsidRDefault="00BA05CC" w:rsidP="00BA05CC">
      <w:pPr>
        <w:jc w:val="both"/>
        <w:rPr>
          <w:rFonts w:ascii="Times New Roman" w:hAnsi="Times New Roman" w:cs="Times New Roman"/>
          <w:b/>
          <w:bCs/>
          <w:sz w:val="36"/>
        </w:rPr>
      </w:pPr>
    </w:p>
    <w:p w:rsidR="00BA05CC" w:rsidRDefault="001E30BE" w:rsidP="00BA05CC">
      <w:pPr>
        <w:tabs>
          <w:tab w:val="left" w:pos="2745"/>
        </w:tabs>
        <w:rPr>
          <w:rFonts w:ascii="Times New Roman" w:hAnsi="Times New Roman" w:cs="Times New Roman"/>
          <w:sz w:val="32"/>
        </w:rPr>
      </w:pPr>
      <w:r>
        <w:rPr>
          <w:rFonts w:ascii="Times New Roman" w:hAnsi="Times New Roman" w:cs="Times New Roman"/>
        </w:rPr>
        <w:pict>
          <v:shape id="_x0000_s1035" type="#_x0000_t136" style="position:absolute;margin-left:-118.9pt;margin-top:162.95pt;width:174.75pt;height:16.5pt;rotation:270;z-index:251670528" fillcolor="black [3213]" strokecolor="black [3213]">
            <v:shadow color="#868686"/>
            <v:textpath style="font-family:&quot;Arial&quot;;font-size:14pt;v-text-kern:t" trim="t" fitpath="t" string="CONCENTRATION LEVEL"/>
          </v:shape>
        </w:pict>
      </w:r>
      <w:r w:rsidR="00BA05CC" w:rsidRPr="00AD3D88">
        <w:rPr>
          <w:rFonts w:ascii="Times New Roman" w:hAnsi="Times New Roman" w:cs="Times New Roman"/>
          <w:noProof/>
        </w:rPr>
        <w:drawing>
          <wp:anchor distT="0" distB="0" distL="114300" distR="114300" simplePos="0" relativeHeight="251679744" behindDoc="1" locked="0" layoutInCell="1" allowOverlap="1" wp14:anchorId="4A123E74" wp14:editId="38F2D623">
            <wp:simplePos x="0" y="0"/>
            <wp:positionH relativeFrom="column">
              <wp:posOffset>-120650</wp:posOffset>
            </wp:positionH>
            <wp:positionV relativeFrom="paragraph">
              <wp:posOffset>355600</wp:posOffset>
            </wp:positionV>
            <wp:extent cx="6163310" cy="3303905"/>
            <wp:effectExtent l="0" t="0" r="27940" b="10795"/>
            <wp:wrapNone/>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rsidR="00BA05CC" w:rsidRDefault="00BA05CC" w:rsidP="00BA05CC">
      <w:pPr>
        <w:tabs>
          <w:tab w:val="left" w:pos="2745"/>
        </w:tabs>
        <w:rPr>
          <w:rFonts w:ascii="Times New Roman" w:hAnsi="Times New Roman" w:cs="Times New Roman"/>
          <w:sz w:val="32"/>
        </w:rPr>
      </w:pPr>
    </w:p>
    <w:p w:rsidR="00BA05CC" w:rsidRPr="00AD3D88" w:rsidRDefault="00BA05CC" w:rsidP="00BA05CC">
      <w:pPr>
        <w:tabs>
          <w:tab w:val="left" w:pos="2745"/>
        </w:tabs>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spacing w:after="0"/>
        <w:rPr>
          <w:rFonts w:ascii="Times New Roman" w:hAnsi="Times New Roman" w:cs="Times New Roman"/>
          <w:sz w:val="32"/>
        </w:rPr>
      </w:pPr>
    </w:p>
    <w:p w:rsidR="00BA05CC" w:rsidRPr="00AD3D88" w:rsidRDefault="00BA05CC" w:rsidP="00BA05CC">
      <w:pPr>
        <w:tabs>
          <w:tab w:val="left" w:pos="3566"/>
          <w:tab w:val="center" w:pos="4545"/>
        </w:tabs>
        <w:jc w:val="center"/>
        <w:rPr>
          <w:rFonts w:ascii="Times New Roman" w:hAnsi="Times New Roman" w:cs="Times New Roman"/>
          <w:b/>
          <w:bCs/>
          <w:sz w:val="36"/>
        </w:rPr>
      </w:pPr>
      <w:r w:rsidRPr="00AD3D88">
        <w:rPr>
          <w:rFonts w:ascii="Times New Roman" w:hAnsi="Times New Roman" w:cs="Times New Roman"/>
          <w:b/>
          <w:bCs/>
          <w:sz w:val="36"/>
        </w:rPr>
        <w:t>LOCATION</w:t>
      </w:r>
    </w:p>
    <w:p w:rsidR="00BA05CC" w:rsidRPr="00AD3D88" w:rsidRDefault="00BA05CC" w:rsidP="00BA05CC">
      <w:pPr>
        <w:jc w:val="center"/>
        <w:rPr>
          <w:rFonts w:ascii="Times New Roman" w:hAnsi="Times New Roman" w:cs="Times New Roman"/>
          <w:sz w:val="32"/>
        </w:rPr>
      </w:pPr>
      <w:r w:rsidRPr="00AD3D88">
        <w:rPr>
          <w:rFonts w:ascii="Times New Roman" w:hAnsi="Times New Roman" w:cs="Times New Roman"/>
          <w:b/>
          <w:bCs/>
          <w:sz w:val="36"/>
        </w:rPr>
        <w:t>Fig. 4.10:</w:t>
      </w:r>
      <w:r w:rsidRPr="00AD3D88">
        <w:rPr>
          <w:rFonts w:ascii="Times New Roman" w:hAnsi="Times New Roman" w:cs="Times New Roman"/>
          <w:sz w:val="32"/>
        </w:rPr>
        <w:t xml:space="preserve"> </w:t>
      </w:r>
      <w:r w:rsidRPr="00AD3D88">
        <w:rPr>
          <w:rFonts w:ascii="Times New Roman" w:hAnsi="Times New Roman" w:cs="Times New Roman"/>
          <w:b/>
          <w:bCs/>
          <w:sz w:val="36"/>
        </w:rPr>
        <w:t>CONCENTRATION OF CARBONATE (C0</w:t>
      </w:r>
      <w:r w:rsidRPr="00AD3D88">
        <w:rPr>
          <w:rFonts w:ascii="Times New Roman" w:hAnsi="Times New Roman" w:cs="Times New Roman"/>
          <w:b/>
          <w:bCs/>
          <w:sz w:val="36"/>
          <w:vertAlign w:val="subscript"/>
        </w:rPr>
        <w:t>3</w:t>
      </w:r>
      <w:r w:rsidRPr="00AD3D88">
        <w:rPr>
          <w:rFonts w:ascii="Times New Roman" w:hAnsi="Times New Roman" w:cs="Times New Roman"/>
          <w:b/>
          <w:bCs/>
          <w:sz w:val="36"/>
        </w:rPr>
        <w:t>) PHYSICO CHEMICAL PARAMETERS</w:t>
      </w:r>
    </w:p>
    <w:p w:rsidR="00BA05CC" w:rsidRPr="00AD3D88" w:rsidRDefault="00BA05CC" w:rsidP="00BA05CC">
      <w:pPr>
        <w:spacing w:after="0" w:line="480" w:lineRule="auto"/>
        <w:jc w:val="both"/>
        <w:outlineLvl w:val="1"/>
        <w:rPr>
          <w:rFonts w:ascii="Times New Roman" w:eastAsia="Times New Roman" w:hAnsi="Times New Roman" w:cs="Times New Roman"/>
          <w:b/>
          <w:bCs/>
          <w:sz w:val="24"/>
          <w:szCs w:val="24"/>
        </w:rPr>
      </w:pPr>
      <w:r w:rsidRPr="00AD3D88">
        <w:rPr>
          <w:rFonts w:ascii="Times New Roman" w:eastAsia="Times New Roman" w:hAnsi="Times New Roman" w:cs="Times New Roman"/>
          <w:b/>
          <w:bCs/>
          <w:sz w:val="24"/>
          <w:szCs w:val="24"/>
        </w:rPr>
        <w:t>4.1.10 Carbonate (CO₃²⁻)</w:t>
      </w:r>
    </w:p>
    <w:p w:rsidR="00BA05CC" w:rsidRPr="00AD3D88" w:rsidRDefault="00BA05CC" w:rsidP="00BA05CC">
      <w:pPr>
        <w:tabs>
          <w:tab w:val="left" w:pos="2235"/>
        </w:tabs>
        <w:spacing w:line="480" w:lineRule="auto"/>
        <w:rPr>
          <w:rFonts w:ascii="Times New Roman" w:hAnsi="Times New Roman" w:cs="Times New Roman"/>
          <w:sz w:val="32"/>
        </w:rPr>
      </w:pPr>
      <w:r w:rsidRPr="00AD3D88">
        <w:rPr>
          <w:rFonts w:ascii="Times New Roman" w:eastAsia="Times New Roman" w:hAnsi="Times New Roman" w:cs="Times New Roman"/>
          <w:sz w:val="24"/>
          <w:szCs w:val="24"/>
        </w:rPr>
        <w:t xml:space="preserve">Carbonate concentrations spanned </w:t>
      </w:r>
      <w:r w:rsidRPr="00AD3D88">
        <w:rPr>
          <w:rFonts w:ascii="Times New Roman" w:eastAsia="Times New Roman" w:hAnsi="Times New Roman" w:cs="Times New Roman"/>
          <w:b/>
          <w:bCs/>
          <w:sz w:val="24"/>
          <w:szCs w:val="24"/>
        </w:rPr>
        <w:t>0–120 mg/L</w:t>
      </w:r>
      <w:r w:rsidRPr="00AD3D88">
        <w:rPr>
          <w:rFonts w:ascii="Times New Roman" w:eastAsia="Times New Roman" w:hAnsi="Times New Roman" w:cs="Times New Roman"/>
          <w:sz w:val="24"/>
          <w:szCs w:val="24"/>
        </w:rPr>
        <w:t>. Values were consistently low (&lt; 10 mg/L), indicating minimal contribution to alkalinity. No regulatory concerns were noted.</w:t>
      </w:r>
    </w:p>
    <w:p w:rsidR="00BA05CC" w:rsidRPr="00AD3D88" w:rsidRDefault="00BA05CC" w:rsidP="00BA05CC">
      <w:pPr>
        <w:tabs>
          <w:tab w:val="left" w:pos="2235"/>
        </w:tabs>
        <w:rPr>
          <w:rFonts w:ascii="Times New Roman" w:hAnsi="Times New Roman" w:cs="Times New Roman"/>
          <w:sz w:val="32"/>
        </w:rPr>
      </w:pPr>
    </w:p>
    <w:p w:rsidR="00BA05CC" w:rsidRPr="00AD3D88" w:rsidRDefault="00BA05CC" w:rsidP="00BA05CC">
      <w:pPr>
        <w:tabs>
          <w:tab w:val="left" w:pos="2235"/>
        </w:tabs>
        <w:rPr>
          <w:rFonts w:ascii="Times New Roman" w:hAnsi="Times New Roman" w:cs="Times New Roman"/>
          <w:sz w:val="32"/>
        </w:rPr>
      </w:pPr>
    </w:p>
    <w:p w:rsidR="00BA05CC" w:rsidRPr="00AD3D88" w:rsidRDefault="00BA05CC" w:rsidP="00BA05CC">
      <w:pPr>
        <w:tabs>
          <w:tab w:val="left" w:pos="2235"/>
        </w:tabs>
        <w:rPr>
          <w:rFonts w:ascii="Times New Roman" w:hAnsi="Times New Roman" w:cs="Times New Roman"/>
          <w:sz w:val="32"/>
        </w:rPr>
      </w:pPr>
    </w:p>
    <w:p w:rsidR="00BA05CC" w:rsidRPr="00AD3D88" w:rsidRDefault="00BA05CC" w:rsidP="00BA05CC">
      <w:pPr>
        <w:tabs>
          <w:tab w:val="left" w:pos="2235"/>
        </w:tabs>
        <w:rPr>
          <w:rFonts w:ascii="Times New Roman" w:hAnsi="Times New Roman" w:cs="Times New Roman"/>
          <w:sz w:val="32"/>
        </w:rPr>
      </w:pPr>
    </w:p>
    <w:p w:rsidR="00BA05CC" w:rsidRPr="00AD3D88" w:rsidRDefault="00BA05CC" w:rsidP="00BA05CC">
      <w:pPr>
        <w:tabs>
          <w:tab w:val="left" w:pos="2235"/>
        </w:tabs>
        <w:rPr>
          <w:rFonts w:ascii="Times New Roman" w:hAnsi="Times New Roman" w:cs="Times New Roman"/>
          <w:sz w:val="32"/>
        </w:rPr>
      </w:pPr>
    </w:p>
    <w:p w:rsidR="00BA05CC" w:rsidRPr="00AD3D88" w:rsidRDefault="00BA05CC" w:rsidP="00BA05CC">
      <w:pPr>
        <w:tabs>
          <w:tab w:val="left" w:pos="2235"/>
        </w:tabs>
        <w:rPr>
          <w:rFonts w:ascii="Times New Roman" w:hAnsi="Times New Roman" w:cs="Times New Roman"/>
          <w:sz w:val="32"/>
        </w:rPr>
      </w:pPr>
    </w:p>
    <w:p w:rsidR="00BA05CC" w:rsidRPr="00AD3D88" w:rsidRDefault="00BA05CC" w:rsidP="00BA05CC">
      <w:pPr>
        <w:tabs>
          <w:tab w:val="left" w:pos="2235"/>
        </w:tabs>
        <w:rPr>
          <w:rFonts w:ascii="Times New Roman" w:hAnsi="Times New Roman" w:cs="Times New Roman"/>
          <w:sz w:val="32"/>
        </w:rPr>
      </w:pPr>
    </w:p>
    <w:p w:rsidR="00BA05CC" w:rsidRPr="00AD3D88" w:rsidRDefault="00BA05CC" w:rsidP="00BA05CC">
      <w:pPr>
        <w:rPr>
          <w:rFonts w:ascii="Times New Roman" w:hAnsi="Times New Roman" w:cs="Times New Roman"/>
          <w:sz w:val="32"/>
        </w:rPr>
      </w:pPr>
      <w:r w:rsidRPr="00AD3D88">
        <w:rPr>
          <w:rFonts w:ascii="Times New Roman" w:hAnsi="Times New Roman" w:cs="Times New Roman"/>
          <w:noProof/>
        </w:rPr>
        <w:drawing>
          <wp:anchor distT="0" distB="0" distL="114300" distR="114300" simplePos="0" relativeHeight="251680768" behindDoc="1" locked="0" layoutInCell="1" allowOverlap="1" wp14:anchorId="570DC911" wp14:editId="46E76E89">
            <wp:simplePos x="0" y="0"/>
            <wp:positionH relativeFrom="column">
              <wp:posOffset>-47625</wp:posOffset>
            </wp:positionH>
            <wp:positionV relativeFrom="paragraph">
              <wp:posOffset>141605</wp:posOffset>
            </wp:positionV>
            <wp:extent cx="6255385" cy="3292475"/>
            <wp:effectExtent l="0" t="0" r="12065" b="22225"/>
            <wp:wrapNone/>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001E30BE">
        <w:rPr>
          <w:rFonts w:ascii="Times New Roman" w:hAnsi="Times New Roman" w:cs="Times New Roman"/>
        </w:rPr>
        <w:pict>
          <v:shape id="_x0000_s1036" type="#_x0000_t136" style="position:absolute;margin-left:-107.65pt;margin-top:138pt;width:174.75pt;height:16.5pt;rotation:270;z-index:251671552;mso-position-horizontal-relative:text;mso-position-vertical-relative:text" fillcolor="black [3213]" strokecolor="black [3213]">
            <v:shadow color="#868686"/>
            <v:textpath style="font-family:&quot;Arial&quot;;font-size:14pt;v-text-kern:t" trim="t" fitpath="t" string="CONCENTRATION LEVEL"/>
          </v:shape>
        </w:pict>
      </w: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tabs>
          <w:tab w:val="left" w:pos="3566"/>
          <w:tab w:val="center" w:pos="4545"/>
        </w:tabs>
        <w:jc w:val="center"/>
        <w:rPr>
          <w:rFonts w:ascii="Times New Roman" w:hAnsi="Times New Roman" w:cs="Times New Roman"/>
          <w:b/>
          <w:bCs/>
          <w:sz w:val="36"/>
        </w:rPr>
      </w:pPr>
      <w:r w:rsidRPr="00AD3D88">
        <w:rPr>
          <w:rFonts w:ascii="Times New Roman" w:hAnsi="Times New Roman" w:cs="Times New Roman"/>
          <w:b/>
          <w:bCs/>
          <w:sz w:val="36"/>
        </w:rPr>
        <w:t>LOCATION</w:t>
      </w:r>
    </w:p>
    <w:p w:rsidR="00BA05CC" w:rsidRPr="00AD3D88" w:rsidRDefault="00BA05CC" w:rsidP="00BA05CC">
      <w:pPr>
        <w:jc w:val="center"/>
        <w:rPr>
          <w:rFonts w:ascii="Times New Roman" w:hAnsi="Times New Roman" w:cs="Times New Roman"/>
          <w:sz w:val="32"/>
        </w:rPr>
      </w:pPr>
      <w:r w:rsidRPr="00AD3D88">
        <w:rPr>
          <w:rFonts w:ascii="Times New Roman" w:hAnsi="Times New Roman" w:cs="Times New Roman"/>
          <w:b/>
          <w:bCs/>
          <w:sz w:val="36"/>
        </w:rPr>
        <w:t>Fig. 4.11:</w:t>
      </w:r>
      <w:r w:rsidRPr="00AD3D88">
        <w:rPr>
          <w:rFonts w:ascii="Times New Roman" w:hAnsi="Times New Roman" w:cs="Times New Roman"/>
          <w:sz w:val="32"/>
        </w:rPr>
        <w:tab/>
      </w:r>
      <w:r w:rsidRPr="00AD3D88">
        <w:rPr>
          <w:rFonts w:ascii="Times New Roman" w:hAnsi="Times New Roman" w:cs="Times New Roman"/>
          <w:b/>
          <w:bCs/>
          <w:sz w:val="36"/>
        </w:rPr>
        <w:t>CONCENTRATION OF SODIUM (Na) PPM PHYSICO CHEMICAL PARAMETERS</w:t>
      </w:r>
    </w:p>
    <w:p w:rsidR="00BA05CC" w:rsidRPr="00AD3D88" w:rsidRDefault="00BA05CC" w:rsidP="00BA05CC">
      <w:pPr>
        <w:spacing w:after="0" w:line="480" w:lineRule="auto"/>
        <w:jc w:val="both"/>
        <w:outlineLvl w:val="1"/>
        <w:rPr>
          <w:rFonts w:ascii="Times New Roman" w:eastAsia="Times New Roman" w:hAnsi="Times New Roman" w:cs="Times New Roman"/>
          <w:b/>
          <w:bCs/>
          <w:sz w:val="24"/>
          <w:szCs w:val="24"/>
        </w:rPr>
      </w:pPr>
      <w:r w:rsidRPr="00AD3D88">
        <w:rPr>
          <w:rFonts w:ascii="Times New Roman" w:eastAsia="Times New Roman" w:hAnsi="Times New Roman" w:cs="Times New Roman"/>
          <w:b/>
          <w:bCs/>
          <w:sz w:val="24"/>
          <w:szCs w:val="24"/>
        </w:rPr>
        <w:t>4.1.11</w:t>
      </w:r>
      <w:r w:rsidRPr="00AD3D88">
        <w:rPr>
          <w:rFonts w:ascii="Times New Roman" w:eastAsia="Times New Roman" w:hAnsi="Times New Roman" w:cs="Times New Roman"/>
          <w:b/>
          <w:bCs/>
          <w:sz w:val="24"/>
          <w:szCs w:val="24"/>
        </w:rPr>
        <w:tab/>
        <w:t>Sodium (Na⁺)</w:t>
      </w:r>
    </w:p>
    <w:p w:rsidR="00BA05CC" w:rsidRPr="00AD3D88" w:rsidRDefault="00BA05CC" w:rsidP="00BA05CC">
      <w:pPr>
        <w:spacing w:line="480" w:lineRule="auto"/>
        <w:rPr>
          <w:rFonts w:ascii="Times New Roman" w:hAnsi="Times New Roman" w:cs="Times New Roman"/>
          <w:sz w:val="32"/>
        </w:rPr>
      </w:pPr>
      <w:r w:rsidRPr="00AD3D88">
        <w:rPr>
          <w:rFonts w:ascii="Times New Roman" w:eastAsia="Times New Roman" w:hAnsi="Times New Roman" w:cs="Times New Roman"/>
          <w:sz w:val="24"/>
          <w:szCs w:val="24"/>
        </w:rPr>
        <w:t xml:space="preserve">Sodium levels ranged </w:t>
      </w:r>
      <w:r w:rsidRPr="00AD3D88">
        <w:rPr>
          <w:rFonts w:ascii="Times New Roman" w:eastAsia="Times New Roman" w:hAnsi="Times New Roman" w:cs="Times New Roman"/>
          <w:b/>
          <w:bCs/>
          <w:sz w:val="24"/>
          <w:szCs w:val="24"/>
        </w:rPr>
        <w:t>10–120 ppm</w:t>
      </w:r>
      <w:r w:rsidRPr="00AD3D88">
        <w:rPr>
          <w:rFonts w:ascii="Times New Roman" w:eastAsia="Times New Roman" w:hAnsi="Times New Roman" w:cs="Times New Roman"/>
          <w:sz w:val="24"/>
          <w:szCs w:val="24"/>
        </w:rPr>
        <w:t xml:space="preserve">. Samples from </w:t>
      </w:r>
      <w:r w:rsidRPr="00AD3D88">
        <w:rPr>
          <w:rFonts w:ascii="Times New Roman" w:eastAsia="Times New Roman" w:hAnsi="Times New Roman" w:cs="Times New Roman"/>
          <w:b/>
          <w:bCs/>
          <w:sz w:val="24"/>
          <w:szCs w:val="24"/>
        </w:rPr>
        <w:t>140</w:t>
      </w:r>
      <w:r w:rsidRPr="00AD3D88">
        <w:rPr>
          <w:rFonts w:ascii="Times New Roman" w:eastAsia="Times New Roman" w:hAnsi="Times New Roman" w:cs="Times New Roman"/>
          <w:sz w:val="24"/>
          <w:szCs w:val="24"/>
        </w:rPr>
        <w:t xml:space="preserve"> exceeded 200 ppm, suggesting salinity issues. While within WHO health-based limits (≤ 200 mg/L), elevated Na⁺ is problematic for hypertension-sensitive individuals and agriculture.</w:t>
      </w:r>
    </w:p>
    <w:p w:rsidR="00BA05CC" w:rsidRPr="00AD3D88" w:rsidRDefault="00BA05CC" w:rsidP="00BA05CC">
      <w:pPr>
        <w:tabs>
          <w:tab w:val="left" w:pos="1005"/>
        </w:tabs>
        <w:rPr>
          <w:rFonts w:ascii="Times New Roman" w:hAnsi="Times New Roman" w:cs="Times New Roman"/>
          <w:sz w:val="32"/>
        </w:rPr>
      </w:pPr>
    </w:p>
    <w:p w:rsidR="00BA05CC" w:rsidRPr="00AD3D88" w:rsidRDefault="00BA05CC" w:rsidP="00BA05CC">
      <w:pPr>
        <w:tabs>
          <w:tab w:val="left" w:pos="1005"/>
        </w:tabs>
        <w:rPr>
          <w:rFonts w:ascii="Times New Roman" w:hAnsi="Times New Roman" w:cs="Times New Roman"/>
          <w:sz w:val="32"/>
        </w:rPr>
      </w:pPr>
    </w:p>
    <w:p w:rsidR="00BA05CC" w:rsidRPr="00AD3D88" w:rsidRDefault="00BA05CC" w:rsidP="00BA05CC">
      <w:pPr>
        <w:tabs>
          <w:tab w:val="left" w:pos="1005"/>
        </w:tabs>
        <w:rPr>
          <w:rFonts w:ascii="Times New Roman" w:hAnsi="Times New Roman" w:cs="Times New Roman"/>
          <w:sz w:val="32"/>
        </w:rPr>
      </w:pPr>
    </w:p>
    <w:p w:rsidR="00BA05CC" w:rsidRPr="00AD3D88" w:rsidRDefault="00BA05CC" w:rsidP="00BA05CC">
      <w:pPr>
        <w:tabs>
          <w:tab w:val="left" w:pos="1005"/>
        </w:tabs>
        <w:rPr>
          <w:rFonts w:ascii="Times New Roman" w:hAnsi="Times New Roman" w:cs="Times New Roman"/>
          <w:sz w:val="32"/>
        </w:rPr>
      </w:pPr>
    </w:p>
    <w:p w:rsidR="00BA05CC" w:rsidRPr="00AD3D88" w:rsidRDefault="00BA05CC" w:rsidP="00BA05CC">
      <w:pPr>
        <w:tabs>
          <w:tab w:val="left" w:pos="1005"/>
        </w:tabs>
        <w:rPr>
          <w:rFonts w:ascii="Times New Roman" w:hAnsi="Times New Roman" w:cs="Times New Roman"/>
          <w:sz w:val="32"/>
        </w:rPr>
      </w:pPr>
    </w:p>
    <w:p w:rsidR="00BA05CC" w:rsidRPr="00AD3D88" w:rsidRDefault="00BA05CC" w:rsidP="00BA05CC">
      <w:pPr>
        <w:tabs>
          <w:tab w:val="left" w:pos="1005"/>
        </w:tabs>
        <w:rPr>
          <w:rFonts w:ascii="Times New Roman" w:hAnsi="Times New Roman" w:cs="Times New Roman"/>
          <w:sz w:val="32"/>
        </w:rPr>
      </w:pPr>
    </w:p>
    <w:p w:rsidR="00BA05CC" w:rsidRDefault="00BA05CC" w:rsidP="00BA05CC">
      <w:pPr>
        <w:tabs>
          <w:tab w:val="left" w:pos="1005"/>
        </w:tabs>
        <w:rPr>
          <w:rFonts w:ascii="Times New Roman" w:hAnsi="Times New Roman" w:cs="Times New Roman"/>
          <w:sz w:val="32"/>
        </w:rPr>
      </w:pPr>
    </w:p>
    <w:p w:rsidR="00BA05CC" w:rsidRPr="00AD3D88" w:rsidRDefault="001E30BE" w:rsidP="00BA05CC">
      <w:pPr>
        <w:tabs>
          <w:tab w:val="left" w:pos="1005"/>
        </w:tabs>
        <w:rPr>
          <w:rFonts w:ascii="Times New Roman" w:hAnsi="Times New Roman" w:cs="Times New Roman"/>
          <w:sz w:val="32"/>
        </w:rPr>
      </w:pPr>
      <w:r>
        <w:rPr>
          <w:rFonts w:ascii="Times New Roman" w:hAnsi="Times New Roman" w:cs="Times New Roman"/>
        </w:rPr>
        <w:pict>
          <v:shape id="_x0000_s1037" type="#_x0000_t136" style="position:absolute;margin-left:-100.9pt;margin-top:138.95pt;width:174.75pt;height:16.5pt;rotation:270;z-index:251672576" fillcolor="black [3213]" strokecolor="black [3213]">
            <v:shadow color="#868686"/>
            <v:textpath style="font-family:&quot;Arial&quot;;font-size:14pt;v-text-kern:t" trim="t" fitpath="t" string="CONCENTRATION LEVEL"/>
          </v:shape>
        </w:pict>
      </w:r>
      <w:r w:rsidR="00BA05CC" w:rsidRPr="00AD3D88">
        <w:rPr>
          <w:rFonts w:ascii="Times New Roman" w:hAnsi="Times New Roman" w:cs="Times New Roman"/>
          <w:noProof/>
        </w:rPr>
        <w:drawing>
          <wp:anchor distT="0" distB="0" distL="114300" distR="114300" simplePos="0" relativeHeight="251681792" behindDoc="1" locked="0" layoutInCell="1" allowOverlap="1" wp14:anchorId="3788640C" wp14:editId="0672F7E1">
            <wp:simplePos x="0" y="0"/>
            <wp:positionH relativeFrom="column">
              <wp:posOffset>24765</wp:posOffset>
            </wp:positionH>
            <wp:positionV relativeFrom="paragraph">
              <wp:posOffset>248285</wp:posOffset>
            </wp:positionV>
            <wp:extent cx="5980430" cy="3072130"/>
            <wp:effectExtent l="0" t="0" r="20320" b="13970"/>
            <wp:wrapNone/>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F509B8">
      <w:pPr>
        <w:spacing w:after="0"/>
        <w:rPr>
          <w:rFonts w:ascii="Times New Roman" w:hAnsi="Times New Roman" w:cs="Times New Roman"/>
          <w:sz w:val="32"/>
        </w:rPr>
      </w:pPr>
    </w:p>
    <w:p w:rsidR="00BA05CC" w:rsidRDefault="00BA05CC" w:rsidP="00F509B8">
      <w:pPr>
        <w:tabs>
          <w:tab w:val="left" w:pos="3566"/>
          <w:tab w:val="center" w:pos="4545"/>
        </w:tabs>
        <w:spacing w:after="0"/>
        <w:jc w:val="center"/>
        <w:rPr>
          <w:rFonts w:ascii="Times New Roman" w:hAnsi="Times New Roman" w:cs="Times New Roman"/>
          <w:b/>
          <w:bCs/>
          <w:sz w:val="36"/>
        </w:rPr>
      </w:pPr>
    </w:p>
    <w:p w:rsidR="00BA05CC" w:rsidRPr="00AD3D88" w:rsidRDefault="00BA05CC" w:rsidP="00BA05CC">
      <w:pPr>
        <w:tabs>
          <w:tab w:val="left" w:pos="3566"/>
          <w:tab w:val="center" w:pos="4545"/>
        </w:tabs>
        <w:jc w:val="center"/>
        <w:rPr>
          <w:rFonts w:ascii="Times New Roman" w:hAnsi="Times New Roman" w:cs="Times New Roman"/>
          <w:b/>
          <w:bCs/>
          <w:sz w:val="36"/>
        </w:rPr>
      </w:pPr>
      <w:r w:rsidRPr="00AD3D88">
        <w:rPr>
          <w:rFonts w:ascii="Times New Roman" w:hAnsi="Times New Roman" w:cs="Times New Roman"/>
          <w:b/>
          <w:bCs/>
          <w:sz w:val="36"/>
        </w:rPr>
        <w:t>LOCATION</w:t>
      </w:r>
    </w:p>
    <w:p w:rsidR="00BA05CC" w:rsidRPr="00AD3D88" w:rsidRDefault="00BA05CC" w:rsidP="00BA05CC">
      <w:pPr>
        <w:jc w:val="center"/>
        <w:rPr>
          <w:rFonts w:ascii="Times New Roman" w:hAnsi="Times New Roman" w:cs="Times New Roman"/>
          <w:b/>
          <w:bCs/>
          <w:sz w:val="36"/>
        </w:rPr>
      </w:pPr>
      <w:r w:rsidRPr="00AD3D88">
        <w:rPr>
          <w:rFonts w:ascii="Times New Roman" w:hAnsi="Times New Roman" w:cs="Times New Roman"/>
          <w:b/>
          <w:bCs/>
          <w:sz w:val="36"/>
        </w:rPr>
        <w:t>Fig. 4.12:</w:t>
      </w:r>
      <w:r w:rsidRPr="00AD3D88">
        <w:rPr>
          <w:rFonts w:ascii="Times New Roman" w:hAnsi="Times New Roman" w:cs="Times New Roman"/>
          <w:sz w:val="32"/>
        </w:rPr>
        <w:tab/>
      </w:r>
      <w:r>
        <w:rPr>
          <w:rFonts w:ascii="Times New Roman" w:hAnsi="Times New Roman" w:cs="Times New Roman"/>
          <w:sz w:val="32"/>
        </w:rPr>
        <w:t xml:space="preserve"> </w:t>
      </w:r>
      <w:r w:rsidRPr="00AD3D88">
        <w:rPr>
          <w:rFonts w:ascii="Times New Roman" w:hAnsi="Times New Roman" w:cs="Times New Roman"/>
          <w:b/>
          <w:bCs/>
          <w:sz w:val="36"/>
        </w:rPr>
        <w:t>CONCENTRATION OF POTASSIUM (K) PPM PHYSICO CHEMICAL PARAMETERS</w:t>
      </w:r>
    </w:p>
    <w:p w:rsidR="00BA05CC" w:rsidRPr="00AD3D88" w:rsidRDefault="00BA05CC" w:rsidP="00BA05CC">
      <w:pPr>
        <w:spacing w:after="0" w:line="480" w:lineRule="auto"/>
        <w:jc w:val="both"/>
        <w:outlineLvl w:val="1"/>
        <w:rPr>
          <w:rFonts w:ascii="Times New Roman" w:eastAsia="Times New Roman" w:hAnsi="Times New Roman" w:cs="Times New Roman"/>
          <w:b/>
          <w:bCs/>
          <w:sz w:val="24"/>
          <w:szCs w:val="24"/>
        </w:rPr>
      </w:pPr>
      <w:r w:rsidRPr="00AD3D88">
        <w:rPr>
          <w:rFonts w:ascii="Times New Roman" w:eastAsia="Times New Roman" w:hAnsi="Times New Roman" w:cs="Times New Roman"/>
          <w:b/>
          <w:bCs/>
          <w:sz w:val="24"/>
          <w:szCs w:val="24"/>
        </w:rPr>
        <w:t>4.1.12 Potassium (K⁺)</w:t>
      </w:r>
    </w:p>
    <w:p w:rsidR="00BA05CC" w:rsidRPr="00B3667A" w:rsidRDefault="00BA05CC" w:rsidP="00BA05CC">
      <w:pPr>
        <w:spacing w:line="480" w:lineRule="auto"/>
        <w:jc w:val="both"/>
        <w:rPr>
          <w:rFonts w:ascii="Times New Roman" w:hAnsi="Times New Roman" w:cs="Times New Roman"/>
          <w:sz w:val="32"/>
        </w:rPr>
      </w:pPr>
      <w:r w:rsidRPr="00AD3D88">
        <w:rPr>
          <w:rFonts w:ascii="Times New Roman" w:eastAsia="Times New Roman" w:hAnsi="Times New Roman" w:cs="Times New Roman"/>
          <w:sz w:val="24"/>
          <w:szCs w:val="24"/>
        </w:rPr>
        <w:t xml:space="preserve">Potassium concentrations were </w:t>
      </w:r>
      <w:r w:rsidRPr="00AD3D88">
        <w:rPr>
          <w:rFonts w:ascii="Times New Roman" w:eastAsia="Times New Roman" w:hAnsi="Times New Roman" w:cs="Times New Roman"/>
          <w:b/>
          <w:bCs/>
          <w:sz w:val="24"/>
          <w:szCs w:val="24"/>
        </w:rPr>
        <w:t>5 to 160 ppm</w:t>
      </w:r>
      <w:r w:rsidRPr="00AD3D88">
        <w:rPr>
          <w:rFonts w:ascii="Times New Roman" w:eastAsia="Times New Roman" w:hAnsi="Times New Roman" w:cs="Times New Roman"/>
          <w:sz w:val="24"/>
          <w:szCs w:val="24"/>
        </w:rPr>
        <w:t xml:space="preserve">. All values were below WHO guidelines (≤ 12 mg/L), posing no health risks. Low K⁺ levels reflect minimal </w:t>
      </w:r>
      <w:proofErr w:type="spellStart"/>
      <w:r w:rsidRPr="00AD3D88">
        <w:rPr>
          <w:rFonts w:ascii="Times New Roman" w:eastAsia="Times New Roman" w:hAnsi="Times New Roman" w:cs="Times New Roman"/>
          <w:sz w:val="24"/>
          <w:szCs w:val="24"/>
        </w:rPr>
        <w:t>geogenic</w:t>
      </w:r>
      <w:proofErr w:type="spellEnd"/>
      <w:r w:rsidRPr="00AD3D88">
        <w:rPr>
          <w:rFonts w:ascii="Times New Roman" w:eastAsia="Times New Roman" w:hAnsi="Times New Roman" w:cs="Times New Roman"/>
          <w:sz w:val="24"/>
          <w:szCs w:val="24"/>
        </w:rPr>
        <w:t xml:space="preserve"> or anthropogenic influence.</w:t>
      </w:r>
    </w:p>
    <w:p w:rsidR="00F509B8" w:rsidRDefault="00F509B8" w:rsidP="003166A9">
      <w:pPr>
        <w:spacing w:after="0" w:line="480" w:lineRule="auto"/>
        <w:jc w:val="both"/>
        <w:outlineLvl w:val="1"/>
        <w:rPr>
          <w:rFonts w:ascii="Times New Roman" w:eastAsia="Times New Roman" w:hAnsi="Times New Roman" w:cs="Times New Roman"/>
          <w:b/>
          <w:bCs/>
          <w:caps/>
          <w:sz w:val="24"/>
          <w:szCs w:val="24"/>
        </w:rPr>
      </w:pPr>
    </w:p>
    <w:p w:rsidR="00F509B8" w:rsidRDefault="00F509B8" w:rsidP="003166A9">
      <w:pPr>
        <w:spacing w:after="0" w:line="480" w:lineRule="auto"/>
        <w:jc w:val="both"/>
        <w:outlineLvl w:val="1"/>
        <w:rPr>
          <w:rFonts w:ascii="Times New Roman" w:eastAsia="Times New Roman" w:hAnsi="Times New Roman" w:cs="Times New Roman"/>
          <w:b/>
          <w:bCs/>
          <w:caps/>
          <w:sz w:val="24"/>
          <w:szCs w:val="24"/>
        </w:rPr>
      </w:pPr>
    </w:p>
    <w:p w:rsidR="00F509B8" w:rsidRDefault="00F509B8" w:rsidP="003166A9">
      <w:pPr>
        <w:spacing w:after="0" w:line="480" w:lineRule="auto"/>
        <w:jc w:val="both"/>
        <w:outlineLvl w:val="1"/>
        <w:rPr>
          <w:rFonts w:ascii="Times New Roman" w:eastAsia="Times New Roman" w:hAnsi="Times New Roman" w:cs="Times New Roman"/>
          <w:b/>
          <w:bCs/>
          <w:caps/>
          <w:sz w:val="24"/>
          <w:szCs w:val="24"/>
        </w:rPr>
      </w:pPr>
    </w:p>
    <w:p w:rsidR="00F509B8" w:rsidRDefault="00F509B8" w:rsidP="003166A9">
      <w:pPr>
        <w:spacing w:after="0" w:line="480" w:lineRule="auto"/>
        <w:jc w:val="both"/>
        <w:outlineLvl w:val="1"/>
        <w:rPr>
          <w:rFonts w:ascii="Times New Roman" w:eastAsia="Times New Roman" w:hAnsi="Times New Roman" w:cs="Times New Roman"/>
          <w:b/>
          <w:bCs/>
          <w:caps/>
          <w:sz w:val="24"/>
          <w:szCs w:val="24"/>
        </w:rPr>
      </w:pPr>
    </w:p>
    <w:p w:rsidR="00F509B8" w:rsidRDefault="00F509B8" w:rsidP="003166A9">
      <w:pPr>
        <w:spacing w:after="0" w:line="480" w:lineRule="auto"/>
        <w:jc w:val="both"/>
        <w:outlineLvl w:val="1"/>
        <w:rPr>
          <w:rFonts w:ascii="Times New Roman" w:eastAsia="Times New Roman" w:hAnsi="Times New Roman" w:cs="Times New Roman"/>
          <w:b/>
          <w:bCs/>
          <w:caps/>
          <w:sz w:val="24"/>
          <w:szCs w:val="24"/>
        </w:rPr>
      </w:pPr>
    </w:p>
    <w:p w:rsidR="00F509B8" w:rsidRDefault="00F509B8" w:rsidP="003166A9">
      <w:pPr>
        <w:spacing w:after="0" w:line="480" w:lineRule="auto"/>
        <w:jc w:val="both"/>
        <w:outlineLvl w:val="1"/>
        <w:rPr>
          <w:rFonts w:ascii="Times New Roman" w:eastAsia="Times New Roman" w:hAnsi="Times New Roman" w:cs="Times New Roman"/>
          <w:b/>
          <w:bCs/>
          <w:caps/>
          <w:sz w:val="24"/>
          <w:szCs w:val="24"/>
        </w:rPr>
      </w:pPr>
    </w:p>
    <w:p w:rsidR="003166A9" w:rsidRPr="00145EE3" w:rsidRDefault="003166A9" w:rsidP="003166A9">
      <w:pPr>
        <w:spacing w:after="0" w:line="480" w:lineRule="auto"/>
        <w:jc w:val="both"/>
        <w:outlineLvl w:val="1"/>
        <w:rPr>
          <w:rFonts w:ascii="Times New Roman" w:eastAsia="Times New Roman" w:hAnsi="Times New Roman" w:cs="Times New Roman"/>
          <w:b/>
          <w:bCs/>
          <w:caps/>
          <w:sz w:val="24"/>
          <w:szCs w:val="24"/>
        </w:rPr>
      </w:pPr>
      <w:r w:rsidRPr="00145EE3">
        <w:rPr>
          <w:rFonts w:ascii="Times New Roman" w:eastAsia="Times New Roman" w:hAnsi="Times New Roman" w:cs="Times New Roman"/>
          <w:b/>
          <w:bCs/>
          <w:caps/>
          <w:sz w:val="24"/>
          <w:szCs w:val="24"/>
        </w:rPr>
        <w:lastRenderedPageBreak/>
        <w:t>4.2</w:t>
      </w:r>
      <w:r w:rsidRPr="00145EE3">
        <w:rPr>
          <w:rFonts w:ascii="Times New Roman" w:eastAsia="Times New Roman" w:hAnsi="Times New Roman" w:cs="Times New Roman"/>
          <w:b/>
          <w:bCs/>
          <w:caps/>
          <w:sz w:val="24"/>
          <w:szCs w:val="24"/>
        </w:rPr>
        <w:tab/>
        <w:t>Heavy Metals Concentration Yields Risk</w:t>
      </w:r>
    </w:p>
    <w:p w:rsidR="003166A9" w:rsidRPr="003166A9" w:rsidRDefault="003166A9" w:rsidP="003166A9">
      <w:pPr>
        <w:spacing w:after="0" w:line="480" w:lineRule="auto"/>
        <w:jc w:val="both"/>
        <w:rPr>
          <w:rFonts w:ascii="Times New Roman" w:eastAsia="Times New Roman" w:hAnsi="Times New Roman" w:cs="Times New Roman"/>
          <w:sz w:val="24"/>
          <w:szCs w:val="24"/>
        </w:rPr>
      </w:pPr>
      <w:r w:rsidRPr="003166A9">
        <w:rPr>
          <w:rFonts w:ascii="Times New Roman" w:eastAsia="Times New Roman" w:hAnsi="Times New Roman" w:cs="Times New Roman"/>
          <w:sz w:val="24"/>
          <w:szCs w:val="24"/>
        </w:rPr>
        <w:t>The presence of heavy metals such as lead (</w:t>
      </w:r>
      <w:proofErr w:type="spellStart"/>
      <w:r w:rsidRPr="003166A9">
        <w:rPr>
          <w:rFonts w:ascii="Times New Roman" w:eastAsia="Times New Roman" w:hAnsi="Times New Roman" w:cs="Times New Roman"/>
          <w:sz w:val="24"/>
          <w:szCs w:val="24"/>
        </w:rPr>
        <w:t>Pb</w:t>
      </w:r>
      <w:proofErr w:type="spellEnd"/>
      <w:r w:rsidRPr="003166A9">
        <w:rPr>
          <w:rFonts w:ascii="Times New Roman" w:eastAsia="Times New Roman" w:hAnsi="Times New Roman" w:cs="Times New Roman"/>
          <w:sz w:val="24"/>
          <w:szCs w:val="24"/>
        </w:rPr>
        <w:t xml:space="preserve">), cadmium (Cd), iron (Fe), chromium (Cr), copper (Cu), nickel (Ni), and zinc (Zn) in groundwater poses serious environmental and public health risks due to their toxic, persistent, and </w:t>
      </w:r>
      <w:proofErr w:type="spellStart"/>
      <w:r w:rsidRPr="003166A9">
        <w:rPr>
          <w:rFonts w:ascii="Times New Roman" w:eastAsia="Times New Roman" w:hAnsi="Times New Roman" w:cs="Times New Roman"/>
          <w:sz w:val="24"/>
          <w:szCs w:val="24"/>
        </w:rPr>
        <w:t>bioaccumulative</w:t>
      </w:r>
      <w:proofErr w:type="spellEnd"/>
      <w:r w:rsidRPr="003166A9">
        <w:rPr>
          <w:rFonts w:ascii="Times New Roman" w:eastAsia="Times New Roman" w:hAnsi="Times New Roman" w:cs="Times New Roman"/>
          <w:sz w:val="24"/>
          <w:szCs w:val="24"/>
        </w:rPr>
        <w:t xml:space="preserve"> nature. Assessment of heavy metal concentrations in groundwater is critical for evaluating potential health hazards, especially in areas like Ilorin Metropolis where anthropogenic activities (waste disposal, industrial effluents, </w:t>
      </w:r>
      <w:proofErr w:type="gramStart"/>
      <w:r w:rsidRPr="003166A9">
        <w:rPr>
          <w:rFonts w:ascii="Times New Roman" w:eastAsia="Times New Roman" w:hAnsi="Times New Roman" w:cs="Times New Roman"/>
          <w:sz w:val="24"/>
          <w:szCs w:val="24"/>
        </w:rPr>
        <w:t>agricultural</w:t>
      </w:r>
      <w:proofErr w:type="gramEnd"/>
      <w:r w:rsidRPr="003166A9">
        <w:rPr>
          <w:rFonts w:ascii="Times New Roman" w:eastAsia="Times New Roman" w:hAnsi="Times New Roman" w:cs="Times New Roman"/>
          <w:sz w:val="24"/>
          <w:szCs w:val="24"/>
        </w:rPr>
        <w:t xml:space="preserve"> runoff) contribute to contamination.</w:t>
      </w:r>
    </w:p>
    <w:p w:rsidR="003166A9" w:rsidRPr="003166A9" w:rsidRDefault="003166A9" w:rsidP="003166A9">
      <w:pPr>
        <w:spacing w:after="0" w:line="480" w:lineRule="auto"/>
        <w:jc w:val="both"/>
        <w:rPr>
          <w:rFonts w:ascii="Times New Roman" w:eastAsia="Times New Roman" w:hAnsi="Times New Roman" w:cs="Times New Roman"/>
          <w:sz w:val="24"/>
          <w:szCs w:val="24"/>
        </w:rPr>
      </w:pPr>
      <w:r w:rsidRPr="003166A9">
        <w:rPr>
          <w:rFonts w:ascii="Times New Roman" w:eastAsia="Times New Roman" w:hAnsi="Times New Roman" w:cs="Times New Roman"/>
          <w:sz w:val="24"/>
          <w:szCs w:val="24"/>
        </w:rPr>
        <w:t xml:space="preserve">Heavy metal concentrations are compared against permissible limits established by organizations like the World Health Organization (WHO) to determine the extent of pollution. The Heavy Metal Pollution Index (HPI) is a widely recognized tool for integrating the levels of multiple metals into a single pollution value that reflects water quality status. The HPI assigns weights to each metal based on its toxicity and permissible standard, enabling classification of water quality as excellent (HPI &lt; 25), good (26–50), poor (51–75), very poor (76–100), or unsuitable for drinking (&gt;100). An HPI above 100 indicates high pollution risk requiring urgent remedial measures. </w:t>
      </w:r>
    </w:p>
    <w:p w:rsidR="003166A9" w:rsidRPr="003166A9" w:rsidRDefault="003166A9" w:rsidP="003166A9">
      <w:pPr>
        <w:spacing w:after="0" w:line="480" w:lineRule="auto"/>
        <w:jc w:val="both"/>
        <w:rPr>
          <w:rFonts w:ascii="Times New Roman" w:eastAsia="Times New Roman" w:hAnsi="Times New Roman" w:cs="Times New Roman"/>
          <w:sz w:val="24"/>
          <w:szCs w:val="24"/>
        </w:rPr>
      </w:pPr>
      <w:r w:rsidRPr="003166A9">
        <w:rPr>
          <w:rFonts w:ascii="Times New Roman" w:eastAsia="Times New Roman" w:hAnsi="Times New Roman" w:cs="Times New Roman"/>
          <w:sz w:val="24"/>
          <w:szCs w:val="24"/>
        </w:rPr>
        <w:t xml:space="preserve">Health risk assessments employing models from the United States Environmental Protection Agency (USEPA) consider exposure routes such as ingestion and dermal contact to estimate carcinogenic and non-carcinogenic risks using metrics like Hazard Quotient (HQ) and Hazard Index (HI). Values exceeding 1 signal potential adverse health effects. Children are especially vulnerable due to higher exposure relative to body weight and developing physiological systems. </w:t>
      </w:r>
    </w:p>
    <w:p w:rsidR="003166A9" w:rsidRPr="003166A9" w:rsidRDefault="003166A9" w:rsidP="003166A9">
      <w:pPr>
        <w:spacing w:after="0" w:line="480" w:lineRule="auto"/>
        <w:jc w:val="both"/>
        <w:rPr>
          <w:rFonts w:ascii="Times New Roman" w:eastAsia="Times New Roman" w:hAnsi="Times New Roman" w:cs="Times New Roman"/>
          <w:sz w:val="24"/>
          <w:szCs w:val="24"/>
        </w:rPr>
      </w:pPr>
      <w:r w:rsidRPr="003166A9">
        <w:rPr>
          <w:rFonts w:ascii="Times New Roman" w:eastAsia="Times New Roman" w:hAnsi="Times New Roman" w:cs="Times New Roman"/>
          <w:sz w:val="24"/>
          <w:szCs w:val="24"/>
        </w:rPr>
        <w:t xml:space="preserve">Studies in Nigerian contexts demonstrate that groundwater near urban dumpsites and landfill areas often exhibits elevated </w:t>
      </w:r>
      <w:proofErr w:type="spellStart"/>
      <w:r w:rsidRPr="003166A9">
        <w:rPr>
          <w:rFonts w:ascii="Times New Roman" w:eastAsia="Times New Roman" w:hAnsi="Times New Roman" w:cs="Times New Roman"/>
          <w:sz w:val="24"/>
          <w:szCs w:val="24"/>
        </w:rPr>
        <w:t>Pb</w:t>
      </w:r>
      <w:proofErr w:type="spellEnd"/>
      <w:r w:rsidRPr="003166A9">
        <w:rPr>
          <w:rFonts w:ascii="Times New Roman" w:eastAsia="Times New Roman" w:hAnsi="Times New Roman" w:cs="Times New Roman"/>
          <w:sz w:val="24"/>
          <w:szCs w:val="24"/>
        </w:rPr>
        <w:t xml:space="preserve"> and Cd concentrations exceeding WHO limits, correlating strongly with proximity to pollution sources and insufficient waste management. Other metals like Ni, Cu, and Fe may vary but generally remain below critical levels. The spatial </w:t>
      </w:r>
      <w:r w:rsidRPr="003166A9">
        <w:rPr>
          <w:rFonts w:ascii="Times New Roman" w:eastAsia="Times New Roman" w:hAnsi="Times New Roman" w:cs="Times New Roman"/>
          <w:sz w:val="24"/>
          <w:szCs w:val="24"/>
        </w:rPr>
        <w:lastRenderedPageBreak/>
        <w:t xml:space="preserve">variability of metal concentrations depends on factors such as aquifer properties, geochemical interactions, and groundwater flow dynamics. </w:t>
      </w:r>
    </w:p>
    <w:p w:rsidR="003166A9" w:rsidRPr="003166A9" w:rsidRDefault="003166A9" w:rsidP="003166A9">
      <w:pPr>
        <w:spacing w:after="0" w:line="480" w:lineRule="auto"/>
        <w:jc w:val="both"/>
        <w:rPr>
          <w:rFonts w:ascii="Times New Roman" w:eastAsia="Times New Roman" w:hAnsi="Times New Roman" w:cs="Times New Roman"/>
          <w:sz w:val="24"/>
          <w:szCs w:val="24"/>
        </w:rPr>
      </w:pPr>
      <w:r w:rsidRPr="003166A9">
        <w:rPr>
          <w:rFonts w:ascii="Times New Roman" w:eastAsia="Times New Roman" w:hAnsi="Times New Roman" w:cs="Times New Roman"/>
          <w:sz w:val="24"/>
          <w:szCs w:val="24"/>
        </w:rPr>
        <w:t xml:space="preserve">To comprehensively evaluate risks, statistical methods including Principal Component Analysis (PCA) distinguish natural background </w:t>
      </w:r>
      <w:proofErr w:type="spellStart"/>
      <w:r w:rsidRPr="003166A9">
        <w:rPr>
          <w:rFonts w:ascii="Times New Roman" w:eastAsia="Times New Roman" w:hAnsi="Times New Roman" w:cs="Times New Roman"/>
          <w:sz w:val="24"/>
          <w:szCs w:val="24"/>
        </w:rPr>
        <w:t>geogenic</w:t>
      </w:r>
      <w:proofErr w:type="spellEnd"/>
      <w:r w:rsidRPr="003166A9">
        <w:rPr>
          <w:rFonts w:ascii="Times New Roman" w:eastAsia="Times New Roman" w:hAnsi="Times New Roman" w:cs="Times New Roman"/>
          <w:sz w:val="24"/>
          <w:szCs w:val="24"/>
        </w:rPr>
        <w:t xml:space="preserve"> inputs from anthropogenic pollution. Probabilistic approaches such as Monte Carlo simulations enhance risk estimation by accounting for exposure variability and uncertainties. </w:t>
      </w:r>
    </w:p>
    <w:p w:rsidR="00BA05CC" w:rsidRDefault="00BA05CC"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8C6727" w:rsidRPr="008C6727" w:rsidRDefault="008C6727" w:rsidP="008C6727">
      <w:pPr>
        <w:spacing w:after="0" w:line="480" w:lineRule="auto"/>
        <w:jc w:val="center"/>
        <w:rPr>
          <w:rFonts w:ascii="Times New Roman" w:hAnsi="Times New Roman" w:cs="Times New Roman"/>
          <w:b/>
          <w:sz w:val="24"/>
          <w:szCs w:val="24"/>
        </w:rPr>
      </w:pPr>
      <w:r w:rsidRPr="008C6727">
        <w:rPr>
          <w:rFonts w:ascii="Times New Roman" w:hAnsi="Times New Roman" w:cs="Times New Roman"/>
          <w:b/>
          <w:sz w:val="24"/>
          <w:szCs w:val="24"/>
        </w:rPr>
        <w:lastRenderedPageBreak/>
        <w:t>CHAPTER FIVE</w:t>
      </w:r>
    </w:p>
    <w:p w:rsidR="008C6727" w:rsidRPr="008C6727" w:rsidRDefault="00D363AD" w:rsidP="00D363AD">
      <w:pPr>
        <w:spacing w:after="0" w:line="480" w:lineRule="auto"/>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r>
      <w:r w:rsidR="008C6727" w:rsidRPr="008C6727">
        <w:rPr>
          <w:rFonts w:ascii="Times New Roman" w:hAnsi="Times New Roman" w:cs="Times New Roman"/>
          <w:b/>
          <w:sz w:val="24"/>
          <w:szCs w:val="24"/>
        </w:rPr>
        <w:t>CONCLUSION AND RECOMMENDATIONS</w:t>
      </w:r>
    </w:p>
    <w:p w:rsidR="00D370AD" w:rsidRPr="008C6727" w:rsidRDefault="008C6727" w:rsidP="008C6727">
      <w:pPr>
        <w:spacing w:after="0" w:line="480" w:lineRule="auto"/>
        <w:jc w:val="both"/>
        <w:rPr>
          <w:rFonts w:ascii="Times New Roman" w:hAnsi="Times New Roman" w:cs="Times New Roman"/>
          <w:sz w:val="24"/>
          <w:szCs w:val="24"/>
        </w:rPr>
      </w:pPr>
      <w:r w:rsidRPr="008C6727">
        <w:rPr>
          <w:rFonts w:ascii="Times New Roman" w:hAnsi="Times New Roman" w:cs="Times New Roman"/>
          <w:b/>
          <w:sz w:val="24"/>
          <w:szCs w:val="24"/>
        </w:rPr>
        <w:t>5.1</w:t>
      </w:r>
      <w:r w:rsidRPr="008C6727">
        <w:rPr>
          <w:rFonts w:ascii="Times New Roman" w:hAnsi="Times New Roman" w:cs="Times New Roman"/>
          <w:b/>
          <w:sz w:val="24"/>
          <w:szCs w:val="24"/>
        </w:rPr>
        <w:tab/>
        <w:t>SUMMARY OF FINDINGS</w:t>
      </w:r>
    </w:p>
    <w:p w:rsidR="008C6727" w:rsidRPr="008C6727" w:rsidRDefault="008C6727" w:rsidP="008C6727">
      <w:pPr>
        <w:spacing w:after="0" w:line="480" w:lineRule="auto"/>
        <w:jc w:val="both"/>
        <w:rPr>
          <w:rFonts w:ascii="Times New Roman" w:hAnsi="Times New Roman" w:cs="Times New Roman"/>
          <w:sz w:val="24"/>
          <w:szCs w:val="24"/>
        </w:rPr>
      </w:pPr>
      <w:r w:rsidRPr="008C6727">
        <w:rPr>
          <w:rFonts w:ascii="Times New Roman" w:hAnsi="Times New Roman" w:cs="Times New Roman"/>
          <w:sz w:val="24"/>
          <w:szCs w:val="24"/>
        </w:rPr>
        <w:t xml:space="preserve">Based on the comprehensive analysis of groundwater quality in Ilorin, Southwestern </w:t>
      </w:r>
      <w:proofErr w:type="gramStart"/>
      <w:r w:rsidRPr="008C6727">
        <w:rPr>
          <w:rFonts w:ascii="Times New Roman" w:hAnsi="Times New Roman" w:cs="Times New Roman"/>
          <w:sz w:val="24"/>
          <w:szCs w:val="24"/>
        </w:rPr>
        <w:t>Nigeria,</w:t>
      </w:r>
      <w:proofErr w:type="gramEnd"/>
      <w:r w:rsidRPr="008C6727">
        <w:rPr>
          <w:rFonts w:ascii="Times New Roman" w:hAnsi="Times New Roman" w:cs="Times New Roman"/>
          <w:sz w:val="24"/>
          <w:szCs w:val="24"/>
        </w:rPr>
        <w:t xml:space="preserve"> derived from both textual descriptions and supporting charts, several critical findings emerge. The physical parameters reveal significant variability, with Electrical Conductivity (EC) ranging widely from 44.3 to 1079 m/cm, indicating substantial fluctuations in dissolved ion content. Total Dissolved Solids (TDS) levels span from 10.6 to 501.0 mg/l, directly impacting the water's suitability for consumption. The pH values, ranging from 3.7 to 7.9, indicate conditions from moderately acidic to neutral, which may influence corrosion potential and chemical solubility.  </w:t>
      </w:r>
    </w:p>
    <w:p w:rsidR="008C6727" w:rsidRPr="008C6727" w:rsidRDefault="008C6727" w:rsidP="008C6727">
      <w:pPr>
        <w:spacing w:after="0" w:line="480" w:lineRule="auto"/>
        <w:jc w:val="both"/>
        <w:rPr>
          <w:rFonts w:ascii="Times New Roman" w:hAnsi="Times New Roman" w:cs="Times New Roman"/>
          <w:sz w:val="24"/>
          <w:szCs w:val="24"/>
        </w:rPr>
      </w:pPr>
      <w:r w:rsidRPr="008C6727">
        <w:rPr>
          <w:rFonts w:ascii="Times New Roman" w:hAnsi="Times New Roman" w:cs="Times New Roman"/>
          <w:sz w:val="24"/>
          <w:szCs w:val="24"/>
        </w:rPr>
        <w:t xml:space="preserve">Chemical analysis of </w:t>
      </w:r>
      <w:proofErr w:type="spellStart"/>
      <w:r w:rsidRPr="008C6727">
        <w:rPr>
          <w:rFonts w:ascii="Times New Roman" w:hAnsi="Times New Roman" w:cs="Times New Roman"/>
          <w:sz w:val="24"/>
          <w:szCs w:val="24"/>
        </w:rPr>
        <w:t>cations</w:t>
      </w:r>
      <w:proofErr w:type="spellEnd"/>
      <w:r w:rsidRPr="008C6727">
        <w:rPr>
          <w:rFonts w:ascii="Times New Roman" w:hAnsi="Times New Roman" w:cs="Times New Roman"/>
          <w:sz w:val="24"/>
          <w:szCs w:val="24"/>
        </w:rPr>
        <w:t xml:space="preserve"> shows Calcium (</w:t>
      </w:r>
      <w:proofErr w:type="spellStart"/>
      <w:r w:rsidRPr="008C6727">
        <w:rPr>
          <w:rFonts w:ascii="Times New Roman" w:hAnsi="Times New Roman" w:cs="Times New Roman"/>
          <w:sz w:val="24"/>
          <w:szCs w:val="24"/>
        </w:rPr>
        <w:t>Ca</w:t>
      </w:r>
      <w:proofErr w:type="spellEnd"/>
      <w:r w:rsidRPr="008C6727">
        <w:rPr>
          <w:rFonts w:ascii="Times New Roman" w:hAnsi="Times New Roman" w:cs="Times New Roman"/>
          <w:sz w:val="24"/>
          <w:szCs w:val="24"/>
        </w:rPr>
        <w:t>) concentrations between 1.20 and 6.60 mg/l, Magnesium (Mg) from 2.40 to 5.53 mg/l, Potassium (K) from 1.45 to 5.86 mg/l, and Sodium (Na) from 1.2 to 3.5 mg/l. Among anions, Chloride (</w:t>
      </w:r>
      <w:proofErr w:type="spellStart"/>
      <w:r w:rsidRPr="008C6727">
        <w:rPr>
          <w:rFonts w:ascii="Times New Roman" w:hAnsi="Times New Roman" w:cs="Times New Roman"/>
          <w:sz w:val="24"/>
          <w:szCs w:val="24"/>
        </w:rPr>
        <w:t>Cl</w:t>
      </w:r>
      <w:proofErr w:type="spellEnd"/>
      <w:r w:rsidRPr="008C6727">
        <w:rPr>
          <w:rFonts w:ascii="Times New Roman" w:hAnsi="Times New Roman" w:cs="Times New Roman"/>
          <w:sz w:val="24"/>
          <w:szCs w:val="24"/>
        </w:rPr>
        <w:t xml:space="preserve">) exhibits the most variability (6.00–229.95 mg/l), with notably higher concentrations in densely populated areas, suggesting anthropogenic influence. Bicarbonate (HCO₃) levels are exceptionally low (0.20–2.18 mg/l), while </w:t>
      </w:r>
      <w:proofErr w:type="spellStart"/>
      <w:r w:rsidRPr="008C6727">
        <w:rPr>
          <w:rFonts w:ascii="Times New Roman" w:hAnsi="Times New Roman" w:cs="Times New Roman"/>
          <w:sz w:val="24"/>
          <w:szCs w:val="24"/>
        </w:rPr>
        <w:t>Sulphate</w:t>
      </w:r>
      <w:proofErr w:type="spellEnd"/>
      <w:r w:rsidRPr="008C6727">
        <w:rPr>
          <w:rFonts w:ascii="Times New Roman" w:hAnsi="Times New Roman" w:cs="Times New Roman"/>
          <w:sz w:val="24"/>
          <w:szCs w:val="24"/>
        </w:rPr>
        <w:t xml:space="preserve"> (SO₄) and Nitrate (NO₃) remain minimal (0.01–1.47 mg/l and 0.09–0.35 mg/l, respectively). Heavy metals pose serious concerns, particularly Cadmium (Cd) at 0.57–0.58 mg/l, which exceeds WHO standards, and Lead (</w:t>
      </w:r>
      <w:proofErr w:type="spellStart"/>
      <w:r w:rsidRPr="008C6727">
        <w:rPr>
          <w:rFonts w:ascii="Times New Roman" w:hAnsi="Times New Roman" w:cs="Times New Roman"/>
          <w:sz w:val="24"/>
          <w:szCs w:val="24"/>
        </w:rPr>
        <w:t>Pb</w:t>
      </w:r>
      <w:proofErr w:type="spellEnd"/>
      <w:r w:rsidRPr="008C6727">
        <w:rPr>
          <w:rFonts w:ascii="Times New Roman" w:hAnsi="Times New Roman" w:cs="Times New Roman"/>
          <w:sz w:val="24"/>
          <w:szCs w:val="24"/>
        </w:rPr>
        <w:t xml:space="preserve">) detected up to 0.0055 mg/l in some samples.  </w:t>
      </w:r>
    </w:p>
    <w:p w:rsidR="008C6727" w:rsidRPr="008C6727" w:rsidRDefault="008C6727" w:rsidP="008C6727">
      <w:pPr>
        <w:spacing w:after="0" w:line="480" w:lineRule="auto"/>
        <w:jc w:val="both"/>
        <w:rPr>
          <w:rFonts w:ascii="Times New Roman" w:hAnsi="Times New Roman" w:cs="Times New Roman"/>
          <w:sz w:val="24"/>
          <w:szCs w:val="24"/>
        </w:rPr>
      </w:pPr>
      <w:r w:rsidRPr="008C6727">
        <w:rPr>
          <w:rFonts w:ascii="Times New Roman" w:hAnsi="Times New Roman" w:cs="Times New Roman"/>
          <w:sz w:val="24"/>
          <w:szCs w:val="24"/>
        </w:rPr>
        <w:t xml:space="preserve">Hardness parameters further highlight water quality challenges. Total Hardness (as </w:t>
      </w:r>
      <w:proofErr w:type="spellStart"/>
      <w:r w:rsidRPr="008C6727">
        <w:rPr>
          <w:rFonts w:ascii="Times New Roman" w:hAnsi="Times New Roman" w:cs="Times New Roman"/>
          <w:sz w:val="24"/>
          <w:szCs w:val="24"/>
        </w:rPr>
        <w:t>CaCO</w:t>
      </w:r>
      <w:proofErr w:type="spellEnd"/>
      <w:r w:rsidRPr="008C6727">
        <w:rPr>
          <w:rFonts w:ascii="Times New Roman" w:hAnsi="Times New Roman" w:cs="Times New Roman"/>
          <w:sz w:val="24"/>
          <w:szCs w:val="24"/>
        </w:rPr>
        <w:t xml:space="preserve">₃) reaches up to 400 mg/l in certain locations, exceeding WHO guidelines. Calcium Hardness peaks at 200 mg/l, while Magnesium Hardness shows extreme variability across sampling sites. Carbonate (CO₃) concentrations decline sharply from 140 mg/l at Location 1 to 40 mg/l </w:t>
      </w:r>
      <w:r w:rsidRPr="008C6727">
        <w:rPr>
          <w:rFonts w:ascii="Times New Roman" w:hAnsi="Times New Roman" w:cs="Times New Roman"/>
          <w:sz w:val="24"/>
          <w:szCs w:val="24"/>
        </w:rPr>
        <w:lastRenderedPageBreak/>
        <w:t xml:space="preserve">at later locations. Spatial variability is evident, with urban zones showing elevated chloride and heavy metals, indicating human activity as a key contaminant source.  </w:t>
      </w:r>
    </w:p>
    <w:p w:rsidR="008C6727" w:rsidRPr="008C6727" w:rsidRDefault="008C6727" w:rsidP="008C6727">
      <w:pPr>
        <w:spacing w:after="0" w:line="480" w:lineRule="auto"/>
        <w:jc w:val="both"/>
        <w:rPr>
          <w:rFonts w:ascii="Times New Roman" w:hAnsi="Times New Roman" w:cs="Times New Roman"/>
          <w:sz w:val="24"/>
          <w:szCs w:val="24"/>
        </w:rPr>
      </w:pPr>
      <w:r w:rsidRPr="008C6727">
        <w:rPr>
          <w:rFonts w:ascii="Times New Roman" w:hAnsi="Times New Roman" w:cs="Times New Roman"/>
          <w:sz w:val="24"/>
          <w:szCs w:val="24"/>
        </w:rPr>
        <w:t xml:space="preserve">A critical water quality assessment reveals that while 75% of samples meet safe standards for human consumption, 25% pose health risks due to deteriorated quality, primarily linked to heavy metal contamination and excessive hardness. This underscores an urgent need for targeted water resource management, especially in areas with Cadmium </w:t>
      </w:r>
      <w:proofErr w:type="spellStart"/>
      <w:r w:rsidRPr="008C6727">
        <w:rPr>
          <w:rFonts w:ascii="Times New Roman" w:hAnsi="Times New Roman" w:cs="Times New Roman"/>
          <w:sz w:val="24"/>
          <w:szCs w:val="24"/>
        </w:rPr>
        <w:t>exceedances</w:t>
      </w:r>
      <w:proofErr w:type="spellEnd"/>
      <w:r w:rsidRPr="008C6727">
        <w:rPr>
          <w:rFonts w:ascii="Times New Roman" w:hAnsi="Times New Roman" w:cs="Times New Roman"/>
          <w:sz w:val="24"/>
          <w:szCs w:val="24"/>
        </w:rPr>
        <w:t xml:space="preserve"> and acidic pH (as low as 3.7), which may accelerate toxic metal leaching. The interplay of natural </w:t>
      </w:r>
      <w:proofErr w:type="spellStart"/>
      <w:r w:rsidRPr="008C6727">
        <w:rPr>
          <w:rFonts w:ascii="Times New Roman" w:hAnsi="Times New Roman" w:cs="Times New Roman"/>
          <w:sz w:val="24"/>
          <w:szCs w:val="24"/>
        </w:rPr>
        <w:t>hydrogeochemistry</w:t>
      </w:r>
      <w:proofErr w:type="spellEnd"/>
      <w:r w:rsidRPr="008C6727">
        <w:rPr>
          <w:rFonts w:ascii="Times New Roman" w:hAnsi="Times New Roman" w:cs="Times New Roman"/>
          <w:sz w:val="24"/>
          <w:szCs w:val="24"/>
        </w:rPr>
        <w:t xml:space="preserve"> and anthropogenic pollution necessitates immediate intervention in high-risk zones to safeguard public health.</w:t>
      </w:r>
    </w:p>
    <w:p w:rsidR="008C6727" w:rsidRPr="008C6727" w:rsidRDefault="008C6727">
      <w:pPr>
        <w:spacing w:after="0" w:line="480" w:lineRule="auto"/>
        <w:jc w:val="both"/>
        <w:rPr>
          <w:rFonts w:ascii="Times New Roman" w:hAnsi="Times New Roman" w:cs="Times New Roman"/>
          <w:b/>
          <w:sz w:val="24"/>
          <w:szCs w:val="24"/>
        </w:rPr>
      </w:pPr>
      <w:r w:rsidRPr="008C6727">
        <w:rPr>
          <w:rFonts w:ascii="Times New Roman" w:hAnsi="Times New Roman" w:cs="Times New Roman"/>
          <w:b/>
          <w:sz w:val="24"/>
          <w:szCs w:val="24"/>
        </w:rPr>
        <w:t>5.2</w:t>
      </w:r>
      <w:r w:rsidRPr="008C6727">
        <w:rPr>
          <w:rFonts w:ascii="Times New Roman" w:hAnsi="Times New Roman" w:cs="Times New Roman"/>
          <w:b/>
          <w:sz w:val="24"/>
          <w:szCs w:val="24"/>
        </w:rPr>
        <w:tab/>
        <w:t>CONCLUSION</w:t>
      </w:r>
    </w:p>
    <w:p w:rsidR="008C6727" w:rsidRPr="008C6727" w:rsidRDefault="008C6727" w:rsidP="008C6727">
      <w:pPr>
        <w:spacing w:after="0" w:line="480" w:lineRule="auto"/>
        <w:jc w:val="both"/>
        <w:rPr>
          <w:rFonts w:ascii="Times New Roman" w:hAnsi="Times New Roman" w:cs="Times New Roman"/>
          <w:sz w:val="24"/>
          <w:szCs w:val="24"/>
        </w:rPr>
      </w:pPr>
      <w:r w:rsidRPr="008C6727">
        <w:rPr>
          <w:rFonts w:ascii="Times New Roman" w:hAnsi="Times New Roman" w:cs="Times New Roman"/>
          <w:sz w:val="24"/>
          <w:szCs w:val="24"/>
        </w:rPr>
        <w:t xml:space="preserve">The groundwater exhibits significant spatial variability in </w:t>
      </w:r>
      <w:proofErr w:type="spellStart"/>
      <w:r w:rsidRPr="008C6727">
        <w:rPr>
          <w:rFonts w:ascii="Times New Roman" w:hAnsi="Times New Roman" w:cs="Times New Roman"/>
          <w:sz w:val="24"/>
          <w:szCs w:val="24"/>
        </w:rPr>
        <w:t>physico</w:t>
      </w:r>
      <w:proofErr w:type="spellEnd"/>
      <w:r w:rsidRPr="008C6727">
        <w:rPr>
          <w:rFonts w:ascii="Times New Roman" w:hAnsi="Times New Roman" w:cs="Times New Roman"/>
          <w:sz w:val="24"/>
          <w:szCs w:val="24"/>
        </w:rPr>
        <w:t xml:space="preserve">-chemical characteristics, influenced by both natural hydrogeological processes and anthropogenic activities. Key physical parameters—including Electrical Conductivity (44.3–1079 m/cm), Total Dissolved Solids (10.6–501.0 mg/l), and acidic to neutral pH (3.7–7.9)—reflect heterogeneous aquifer conditions and potential corrosion risks. Chemically, major ions like Calcium (1.20–6.60 mg/l), Magnesium (2.40–5.53 mg/l), and Chloride (6.00–229.95 mg/l) show moderate concentrations, though Chloride spikes in urban zones indicate contamination from human sources. Critically, Cadmium levels (0.57–0.58 mg/l) consistently exceed WHO guidelines, posing severe health hazards, while detectable Lead (up to 0.0055 mg/l) further compounds toxicity concerns.  </w:t>
      </w:r>
    </w:p>
    <w:p w:rsidR="008C6727" w:rsidRDefault="008C6727" w:rsidP="008C6727">
      <w:pPr>
        <w:spacing w:after="0" w:line="480" w:lineRule="auto"/>
        <w:jc w:val="both"/>
        <w:rPr>
          <w:rFonts w:ascii="Times New Roman" w:hAnsi="Times New Roman" w:cs="Times New Roman"/>
          <w:sz w:val="24"/>
          <w:szCs w:val="24"/>
        </w:rPr>
      </w:pPr>
      <w:r w:rsidRPr="008C6727">
        <w:rPr>
          <w:rFonts w:ascii="Times New Roman" w:hAnsi="Times New Roman" w:cs="Times New Roman"/>
          <w:sz w:val="24"/>
          <w:szCs w:val="24"/>
        </w:rPr>
        <w:t xml:space="preserve">Hardness profiles reveal substantial deviations from safety benchmarks, with Total Hardness (up to 400 mg/l </w:t>
      </w:r>
      <w:proofErr w:type="spellStart"/>
      <w:r w:rsidRPr="008C6727">
        <w:rPr>
          <w:rFonts w:ascii="Times New Roman" w:hAnsi="Times New Roman" w:cs="Times New Roman"/>
          <w:sz w:val="24"/>
          <w:szCs w:val="24"/>
        </w:rPr>
        <w:t>CaCO</w:t>
      </w:r>
      <w:proofErr w:type="spellEnd"/>
      <w:r w:rsidRPr="008C6727">
        <w:rPr>
          <w:rFonts w:ascii="Times New Roman" w:hAnsi="Times New Roman" w:cs="Times New Roman"/>
          <w:sz w:val="24"/>
          <w:szCs w:val="24"/>
        </w:rPr>
        <w:t xml:space="preserve">₃) and Magnesium Hardness (reaching 350 mg/l) in select locations, reducing water usability. The study confirms that 25% of samples are unsafe for consumption due to heavy metal contamination, excessive hardness, and acidic pH, which may accelerate pollutant mobilization. Urgent interventions—including source protection, pollution </w:t>
      </w:r>
      <w:r w:rsidRPr="008C6727">
        <w:rPr>
          <w:rFonts w:ascii="Times New Roman" w:hAnsi="Times New Roman" w:cs="Times New Roman"/>
          <w:sz w:val="24"/>
          <w:szCs w:val="24"/>
        </w:rPr>
        <w:lastRenderedPageBreak/>
        <w:t>remediation, and infrastructure upgrades—are needed to address contamination hotspots, particularly in densely populated areas. Sustainable groundwater management must prioritize monitoring of Cadmium, Lead, and hardness parameters to safeguard public health and ensure long-term water security in the region.</w:t>
      </w:r>
    </w:p>
    <w:p w:rsidR="008C6727" w:rsidRDefault="008C6727" w:rsidP="008C6727">
      <w:pPr>
        <w:spacing w:after="0" w:line="480" w:lineRule="auto"/>
        <w:jc w:val="both"/>
        <w:rPr>
          <w:rFonts w:ascii="Times New Roman" w:hAnsi="Times New Roman" w:cs="Times New Roman"/>
          <w:b/>
          <w:sz w:val="24"/>
          <w:szCs w:val="24"/>
        </w:rPr>
      </w:pPr>
      <w:r w:rsidRPr="008C6727">
        <w:rPr>
          <w:rFonts w:ascii="Times New Roman" w:hAnsi="Times New Roman" w:cs="Times New Roman"/>
          <w:b/>
          <w:sz w:val="24"/>
          <w:szCs w:val="24"/>
        </w:rPr>
        <w:t>5.3</w:t>
      </w:r>
      <w:r w:rsidRPr="008C6727">
        <w:rPr>
          <w:rFonts w:ascii="Times New Roman" w:hAnsi="Times New Roman" w:cs="Times New Roman"/>
          <w:b/>
          <w:sz w:val="24"/>
          <w:szCs w:val="24"/>
        </w:rPr>
        <w:tab/>
        <w:t>RECOMMENDATIONS</w:t>
      </w:r>
    </w:p>
    <w:p w:rsidR="00291A63" w:rsidRDefault="00291A63" w:rsidP="00291A63">
      <w:pPr>
        <w:pStyle w:val="my-2"/>
        <w:spacing w:before="0" w:beforeAutospacing="0" w:after="0" w:afterAutospacing="0" w:line="480" w:lineRule="auto"/>
        <w:jc w:val="both"/>
      </w:pPr>
      <w:r>
        <w:t>Based on the groundwater quality assessment in Ilorin, Southwestern Nigeria, the following recommendations are prioritized for implementation:</w:t>
      </w:r>
    </w:p>
    <w:p w:rsidR="00291A63" w:rsidRDefault="00291A63" w:rsidP="00291A63">
      <w:pPr>
        <w:pStyle w:val="my-2"/>
        <w:numPr>
          <w:ilvl w:val="0"/>
          <w:numId w:val="1"/>
        </w:numPr>
        <w:spacing w:before="0" w:beforeAutospacing="0" w:after="0" w:afterAutospacing="0" w:line="480" w:lineRule="auto"/>
        <w:jc w:val="both"/>
      </w:pPr>
      <w:r>
        <w:t>Immediate Remediation of Heavy Metal Contamination</w:t>
      </w:r>
    </w:p>
    <w:p w:rsidR="00291A63" w:rsidRDefault="00291A63" w:rsidP="00291A63">
      <w:pPr>
        <w:pStyle w:val="my-2"/>
        <w:numPr>
          <w:ilvl w:val="0"/>
          <w:numId w:val="2"/>
        </w:numPr>
        <w:tabs>
          <w:tab w:val="clear" w:pos="720"/>
        </w:tabs>
        <w:spacing w:before="0" w:beforeAutospacing="0" w:after="0" w:afterAutospacing="0" w:line="480" w:lineRule="auto"/>
        <w:ind w:left="1080"/>
        <w:jc w:val="both"/>
      </w:pPr>
      <w:r>
        <w:t>Identify and eliminate industrial/agricultural sources of cadmium (e.g., battery recycling, fertilizers) in areas with Cd levels (0.57–0.58 mg/l) exceeding WHO standards.</w:t>
      </w:r>
    </w:p>
    <w:p w:rsidR="00291A63" w:rsidRDefault="00291A63" w:rsidP="00291A63">
      <w:pPr>
        <w:pStyle w:val="my-2"/>
        <w:numPr>
          <w:ilvl w:val="0"/>
          <w:numId w:val="2"/>
        </w:numPr>
        <w:tabs>
          <w:tab w:val="clear" w:pos="720"/>
        </w:tabs>
        <w:spacing w:before="0" w:beforeAutospacing="0" w:after="0" w:afterAutospacing="0" w:line="480" w:lineRule="auto"/>
        <w:ind w:left="1080"/>
        <w:jc w:val="both"/>
      </w:pPr>
      <w:r>
        <w:t>Replace corroded plumbing infrastructure in zones with acidic groundwater (pH &lt; 6.5) to prevent lead (</w:t>
      </w:r>
      <w:proofErr w:type="spellStart"/>
      <w:r>
        <w:t>Pb</w:t>
      </w:r>
      <w:proofErr w:type="spellEnd"/>
      <w:r>
        <w:t>) leaching.</w:t>
      </w:r>
    </w:p>
    <w:p w:rsidR="00291A63" w:rsidRDefault="00291A63" w:rsidP="00291A63">
      <w:pPr>
        <w:pStyle w:val="my-2"/>
        <w:numPr>
          <w:ilvl w:val="0"/>
          <w:numId w:val="3"/>
        </w:numPr>
        <w:spacing w:before="0" w:beforeAutospacing="0" w:after="0" w:afterAutospacing="0" w:line="480" w:lineRule="auto"/>
        <w:jc w:val="both"/>
      </w:pPr>
      <w:r>
        <w:t>Deploy Water Treatment Solutions</w:t>
      </w:r>
    </w:p>
    <w:p w:rsidR="00291A63" w:rsidRDefault="00291A63" w:rsidP="00291A63">
      <w:pPr>
        <w:pStyle w:val="my-2"/>
        <w:numPr>
          <w:ilvl w:val="0"/>
          <w:numId w:val="4"/>
        </w:numPr>
        <w:tabs>
          <w:tab w:val="clear" w:pos="720"/>
        </w:tabs>
        <w:spacing w:before="0" w:beforeAutospacing="0" w:after="0" w:afterAutospacing="0" w:line="480" w:lineRule="auto"/>
        <w:ind w:left="1080"/>
        <w:jc w:val="both"/>
      </w:pPr>
      <w:r>
        <w:t>Install centralized pH-adjustment systems (e.g., lime dosing) to neutralize acidic water (pH 3.7–5.0) and reduce metal solubility.</w:t>
      </w:r>
    </w:p>
    <w:p w:rsidR="00291A63" w:rsidRDefault="00291A63" w:rsidP="00291A63">
      <w:pPr>
        <w:pStyle w:val="my-2"/>
        <w:numPr>
          <w:ilvl w:val="0"/>
          <w:numId w:val="4"/>
        </w:numPr>
        <w:tabs>
          <w:tab w:val="clear" w:pos="720"/>
        </w:tabs>
        <w:spacing w:before="0" w:beforeAutospacing="0" w:after="0" w:afterAutospacing="0" w:line="480" w:lineRule="auto"/>
        <w:ind w:left="1080"/>
        <w:jc w:val="both"/>
      </w:pPr>
      <w:r>
        <w:t>Provide point-of-use filtration (activated carbon/ion exchange) for households in heavy metal-affected areas.</w:t>
      </w:r>
    </w:p>
    <w:p w:rsidR="00291A63" w:rsidRDefault="00291A63" w:rsidP="00291A63">
      <w:pPr>
        <w:pStyle w:val="my-2"/>
        <w:numPr>
          <w:ilvl w:val="0"/>
          <w:numId w:val="5"/>
        </w:numPr>
        <w:spacing w:before="0" w:beforeAutospacing="0" w:after="0" w:afterAutospacing="0" w:line="480" w:lineRule="auto"/>
        <w:jc w:val="both"/>
      </w:pPr>
      <w:r>
        <w:t>Enforce Source Protection Measures</w:t>
      </w:r>
    </w:p>
    <w:p w:rsidR="00291A63" w:rsidRDefault="00291A63" w:rsidP="00291A63">
      <w:pPr>
        <w:pStyle w:val="my-2"/>
        <w:numPr>
          <w:ilvl w:val="0"/>
          <w:numId w:val="6"/>
        </w:numPr>
        <w:tabs>
          <w:tab w:val="clear" w:pos="720"/>
        </w:tabs>
        <w:spacing w:before="0" w:beforeAutospacing="0" w:after="0" w:afterAutospacing="0" w:line="480" w:lineRule="auto"/>
        <w:ind w:left="1080"/>
        <w:jc w:val="both"/>
      </w:pPr>
      <w:r>
        <w:t>Regulate industrial effluent discharge in chloride (</w:t>
      </w:r>
      <w:proofErr w:type="spellStart"/>
      <w:r>
        <w:t>Cl</w:t>
      </w:r>
      <w:proofErr w:type="spellEnd"/>
      <w:r>
        <w:t>) hotspots (up to 229.95 mg/l) and establish 100-meter buffer zones around boreholes to restrict waste dumping.</w:t>
      </w:r>
    </w:p>
    <w:p w:rsidR="00291A63" w:rsidRDefault="00291A63" w:rsidP="00291A63">
      <w:pPr>
        <w:pStyle w:val="my-2"/>
        <w:numPr>
          <w:ilvl w:val="0"/>
          <w:numId w:val="7"/>
        </w:numPr>
        <w:spacing w:before="0" w:beforeAutospacing="0" w:after="0" w:afterAutospacing="0" w:line="480" w:lineRule="auto"/>
        <w:jc w:val="both"/>
      </w:pPr>
      <w:r>
        <w:t>Expand Monitoring and Governance</w:t>
      </w:r>
    </w:p>
    <w:p w:rsidR="00291A63" w:rsidRDefault="00291A63" w:rsidP="00291A63">
      <w:pPr>
        <w:pStyle w:val="my-2"/>
        <w:numPr>
          <w:ilvl w:val="0"/>
          <w:numId w:val="8"/>
        </w:numPr>
        <w:tabs>
          <w:tab w:val="clear" w:pos="720"/>
        </w:tabs>
        <w:spacing w:before="0" w:beforeAutospacing="0" w:after="0" w:afterAutospacing="0" w:line="480" w:lineRule="auto"/>
        <w:ind w:left="1080"/>
        <w:jc w:val="both"/>
      </w:pPr>
      <w:r>
        <w:t>Implement quarterly testing for cadmium, lead, pH, and hardness across all 30 locations, with public data sharing.</w:t>
      </w:r>
    </w:p>
    <w:p w:rsidR="00291A63" w:rsidRDefault="00291A63" w:rsidP="00291A63">
      <w:pPr>
        <w:pStyle w:val="my-2"/>
        <w:numPr>
          <w:ilvl w:val="0"/>
          <w:numId w:val="8"/>
        </w:numPr>
        <w:tabs>
          <w:tab w:val="clear" w:pos="720"/>
        </w:tabs>
        <w:spacing w:before="0" w:beforeAutospacing="0" w:after="0" w:afterAutospacing="0" w:line="480" w:lineRule="auto"/>
        <w:ind w:left="1080"/>
        <w:jc w:val="both"/>
      </w:pPr>
      <w:r>
        <w:lastRenderedPageBreak/>
        <w:t>Update water safety policies to include WHO-exceeded parameters (Cd, hardness) and penalize non-compliant industries.</w:t>
      </w:r>
    </w:p>
    <w:p w:rsidR="00291A63" w:rsidRDefault="00291A63" w:rsidP="00291A63">
      <w:pPr>
        <w:pStyle w:val="my-2"/>
        <w:numPr>
          <w:ilvl w:val="0"/>
          <w:numId w:val="9"/>
        </w:numPr>
        <w:spacing w:before="0" w:beforeAutospacing="0" w:after="0" w:afterAutospacing="0" w:line="480" w:lineRule="auto"/>
        <w:jc w:val="both"/>
      </w:pPr>
      <w:r>
        <w:t>Launch Public Awareness Campaigns</w:t>
      </w:r>
    </w:p>
    <w:p w:rsidR="00291A63" w:rsidRDefault="00291A63" w:rsidP="00291A63">
      <w:pPr>
        <w:pStyle w:val="my-2"/>
        <w:numPr>
          <w:ilvl w:val="0"/>
          <w:numId w:val="10"/>
        </w:numPr>
        <w:tabs>
          <w:tab w:val="clear" w:pos="720"/>
          <w:tab w:val="num" w:pos="-360"/>
        </w:tabs>
        <w:spacing w:before="0" w:beforeAutospacing="0" w:after="0" w:afterAutospacing="0" w:line="480" w:lineRule="auto"/>
        <w:ind w:left="1080"/>
        <w:jc w:val="both"/>
      </w:pPr>
      <w:r>
        <w:t>Educate communities on cadmium exposure risks (kidney damage, cancer) and distribute water test kits for self-monitoring.</w:t>
      </w:r>
    </w:p>
    <w:p w:rsidR="00291A63" w:rsidRDefault="00291A63" w:rsidP="00291A63">
      <w:pPr>
        <w:pStyle w:val="my-2"/>
        <w:numPr>
          <w:ilvl w:val="0"/>
          <w:numId w:val="11"/>
        </w:numPr>
        <w:spacing w:before="0" w:beforeAutospacing="0" w:after="0" w:afterAutospacing="0" w:line="480" w:lineRule="auto"/>
        <w:jc w:val="both"/>
      </w:pPr>
      <w:r>
        <w:t>Invest in Long-Term Research</w:t>
      </w:r>
    </w:p>
    <w:p w:rsidR="008C6727" w:rsidRDefault="00291A63" w:rsidP="00291A63">
      <w:pPr>
        <w:pStyle w:val="my-2"/>
        <w:numPr>
          <w:ilvl w:val="0"/>
          <w:numId w:val="12"/>
        </w:numPr>
        <w:tabs>
          <w:tab w:val="clear" w:pos="720"/>
        </w:tabs>
        <w:spacing w:before="0" w:beforeAutospacing="0" w:after="0" w:afterAutospacing="0" w:line="480" w:lineRule="auto"/>
        <w:ind w:left="1080"/>
        <w:jc w:val="both"/>
      </w:pPr>
      <w:proofErr w:type="gramStart"/>
      <w:r>
        <w:t>Study carbonate</w:t>
      </w:r>
      <w:proofErr w:type="gramEnd"/>
      <w:r>
        <w:t xml:space="preserve"> rock dissolution to address extremely low bicarbonate levels (0.20–2.18 mg/l) and aquifer vulnerability.</w:t>
      </w:r>
    </w:p>
    <w:p w:rsidR="001C6E4B" w:rsidRDefault="001C6E4B" w:rsidP="001C6E4B">
      <w:pPr>
        <w:pStyle w:val="my-2"/>
        <w:spacing w:before="0" w:beforeAutospacing="0" w:after="0" w:afterAutospacing="0" w:line="480" w:lineRule="auto"/>
        <w:jc w:val="both"/>
      </w:pPr>
    </w:p>
    <w:p w:rsidR="001C6E4B" w:rsidRDefault="001C6E4B" w:rsidP="001C6E4B">
      <w:pPr>
        <w:pStyle w:val="my-2"/>
        <w:spacing w:before="0" w:beforeAutospacing="0" w:after="0" w:afterAutospacing="0" w:line="480" w:lineRule="auto"/>
        <w:jc w:val="both"/>
      </w:pPr>
    </w:p>
    <w:p w:rsidR="001C6E4B" w:rsidRDefault="001C6E4B" w:rsidP="001C6E4B">
      <w:pPr>
        <w:pStyle w:val="my-2"/>
        <w:spacing w:before="0" w:beforeAutospacing="0" w:after="0" w:afterAutospacing="0" w:line="480" w:lineRule="auto"/>
        <w:jc w:val="both"/>
      </w:pPr>
    </w:p>
    <w:p w:rsidR="001C6E4B" w:rsidRDefault="001C6E4B" w:rsidP="001C6E4B">
      <w:pPr>
        <w:pStyle w:val="my-2"/>
        <w:spacing w:before="0" w:beforeAutospacing="0" w:after="0" w:afterAutospacing="0" w:line="480" w:lineRule="auto"/>
        <w:jc w:val="both"/>
      </w:pPr>
    </w:p>
    <w:p w:rsidR="001C6E4B" w:rsidRDefault="001C6E4B" w:rsidP="001C6E4B">
      <w:pPr>
        <w:pStyle w:val="my-2"/>
        <w:spacing w:before="0" w:beforeAutospacing="0" w:after="0" w:afterAutospacing="0" w:line="480" w:lineRule="auto"/>
        <w:jc w:val="both"/>
      </w:pPr>
    </w:p>
    <w:p w:rsidR="001C6E4B" w:rsidRDefault="001C6E4B" w:rsidP="001C6E4B">
      <w:pPr>
        <w:pStyle w:val="my-2"/>
        <w:spacing w:before="0" w:beforeAutospacing="0" w:after="0" w:afterAutospacing="0" w:line="480" w:lineRule="auto"/>
        <w:jc w:val="both"/>
      </w:pPr>
    </w:p>
    <w:p w:rsidR="001C6E4B" w:rsidRDefault="001C6E4B" w:rsidP="001C6E4B">
      <w:pPr>
        <w:pStyle w:val="my-2"/>
        <w:spacing w:before="0" w:beforeAutospacing="0" w:after="0" w:afterAutospacing="0" w:line="480" w:lineRule="auto"/>
        <w:jc w:val="both"/>
      </w:pPr>
    </w:p>
    <w:p w:rsidR="001C6E4B" w:rsidRDefault="001C6E4B" w:rsidP="001C6E4B">
      <w:pPr>
        <w:pStyle w:val="my-2"/>
        <w:spacing w:before="0" w:beforeAutospacing="0" w:after="0" w:afterAutospacing="0" w:line="480" w:lineRule="auto"/>
        <w:jc w:val="both"/>
      </w:pPr>
    </w:p>
    <w:p w:rsidR="001C6E4B" w:rsidRDefault="001C6E4B" w:rsidP="001C6E4B">
      <w:pPr>
        <w:pStyle w:val="my-2"/>
        <w:spacing w:before="0" w:beforeAutospacing="0" w:after="0" w:afterAutospacing="0" w:line="480" w:lineRule="auto"/>
        <w:jc w:val="both"/>
      </w:pPr>
    </w:p>
    <w:p w:rsidR="001C6E4B" w:rsidRDefault="001C6E4B" w:rsidP="001C6E4B">
      <w:pPr>
        <w:pStyle w:val="my-2"/>
        <w:spacing w:before="0" w:beforeAutospacing="0" w:after="0" w:afterAutospacing="0" w:line="480" w:lineRule="auto"/>
        <w:jc w:val="both"/>
      </w:pPr>
    </w:p>
    <w:p w:rsidR="001C6E4B" w:rsidRDefault="001C6E4B" w:rsidP="001C6E4B">
      <w:pPr>
        <w:pStyle w:val="my-2"/>
        <w:spacing w:before="0" w:beforeAutospacing="0" w:after="0" w:afterAutospacing="0" w:line="480" w:lineRule="auto"/>
        <w:jc w:val="both"/>
      </w:pPr>
    </w:p>
    <w:p w:rsidR="00D363AD" w:rsidRDefault="00D363AD" w:rsidP="001C6E4B">
      <w:pPr>
        <w:spacing w:before="100" w:beforeAutospacing="1" w:after="100" w:afterAutospacing="1" w:line="240" w:lineRule="auto"/>
        <w:jc w:val="center"/>
        <w:rPr>
          <w:rFonts w:ascii="Times New Roman" w:eastAsia="Times New Roman" w:hAnsi="Times New Roman" w:cs="Times New Roman"/>
          <w:b/>
          <w:caps/>
          <w:sz w:val="24"/>
          <w:szCs w:val="24"/>
        </w:rPr>
      </w:pPr>
    </w:p>
    <w:p w:rsidR="00D363AD" w:rsidRDefault="00D363AD" w:rsidP="001C6E4B">
      <w:pPr>
        <w:spacing w:before="100" w:beforeAutospacing="1" w:after="100" w:afterAutospacing="1" w:line="240" w:lineRule="auto"/>
        <w:jc w:val="center"/>
        <w:rPr>
          <w:rFonts w:ascii="Times New Roman" w:eastAsia="Times New Roman" w:hAnsi="Times New Roman" w:cs="Times New Roman"/>
          <w:b/>
          <w:caps/>
          <w:sz w:val="24"/>
          <w:szCs w:val="24"/>
        </w:rPr>
      </w:pPr>
    </w:p>
    <w:p w:rsidR="00D363AD" w:rsidRDefault="00D363AD" w:rsidP="001C6E4B">
      <w:pPr>
        <w:spacing w:before="100" w:beforeAutospacing="1" w:after="100" w:afterAutospacing="1" w:line="240" w:lineRule="auto"/>
        <w:jc w:val="center"/>
        <w:rPr>
          <w:rFonts w:ascii="Times New Roman" w:eastAsia="Times New Roman" w:hAnsi="Times New Roman" w:cs="Times New Roman"/>
          <w:b/>
          <w:caps/>
          <w:sz w:val="24"/>
          <w:szCs w:val="24"/>
        </w:rPr>
      </w:pPr>
    </w:p>
    <w:p w:rsidR="00D363AD" w:rsidRDefault="00D363AD" w:rsidP="001C6E4B">
      <w:pPr>
        <w:spacing w:before="100" w:beforeAutospacing="1" w:after="100" w:afterAutospacing="1" w:line="240" w:lineRule="auto"/>
        <w:jc w:val="center"/>
        <w:rPr>
          <w:rFonts w:ascii="Times New Roman" w:eastAsia="Times New Roman" w:hAnsi="Times New Roman" w:cs="Times New Roman"/>
          <w:b/>
          <w:caps/>
          <w:sz w:val="24"/>
          <w:szCs w:val="24"/>
        </w:rPr>
      </w:pPr>
    </w:p>
    <w:p w:rsidR="00D363AD" w:rsidRDefault="00D363AD" w:rsidP="001C6E4B">
      <w:pPr>
        <w:spacing w:before="100" w:beforeAutospacing="1" w:after="100" w:afterAutospacing="1" w:line="240" w:lineRule="auto"/>
        <w:jc w:val="center"/>
        <w:rPr>
          <w:rFonts w:ascii="Times New Roman" w:eastAsia="Times New Roman" w:hAnsi="Times New Roman" w:cs="Times New Roman"/>
          <w:b/>
          <w:caps/>
          <w:sz w:val="24"/>
          <w:szCs w:val="24"/>
        </w:rPr>
      </w:pPr>
    </w:p>
    <w:p w:rsidR="00D363AD" w:rsidRDefault="00D363AD" w:rsidP="001C6E4B">
      <w:pPr>
        <w:spacing w:before="100" w:beforeAutospacing="1" w:after="100" w:afterAutospacing="1" w:line="240" w:lineRule="auto"/>
        <w:jc w:val="center"/>
        <w:rPr>
          <w:rFonts w:ascii="Times New Roman" w:eastAsia="Times New Roman" w:hAnsi="Times New Roman" w:cs="Times New Roman"/>
          <w:b/>
          <w:caps/>
          <w:sz w:val="24"/>
          <w:szCs w:val="24"/>
        </w:rPr>
      </w:pPr>
    </w:p>
    <w:p w:rsidR="001C6E4B" w:rsidRPr="001C6E4B" w:rsidRDefault="001C6E4B" w:rsidP="001C6E4B">
      <w:pPr>
        <w:spacing w:before="100" w:beforeAutospacing="1" w:after="100" w:afterAutospacing="1" w:line="240" w:lineRule="auto"/>
        <w:jc w:val="center"/>
        <w:rPr>
          <w:rFonts w:ascii="Times New Roman" w:eastAsia="Times New Roman" w:hAnsi="Times New Roman" w:cs="Times New Roman"/>
          <w:b/>
          <w:caps/>
          <w:sz w:val="24"/>
          <w:szCs w:val="24"/>
        </w:rPr>
      </w:pPr>
      <w:r w:rsidRPr="001C6E4B">
        <w:rPr>
          <w:rFonts w:ascii="Times New Roman" w:eastAsia="Times New Roman" w:hAnsi="Times New Roman" w:cs="Times New Roman"/>
          <w:b/>
          <w:caps/>
          <w:sz w:val="24"/>
          <w:szCs w:val="24"/>
        </w:rPr>
        <w:lastRenderedPageBreak/>
        <w:t>references</w:t>
      </w:r>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C6E4B">
        <w:rPr>
          <w:rFonts w:ascii="Times New Roman" w:eastAsia="Times New Roman" w:hAnsi="Times New Roman" w:cs="Times New Roman"/>
          <w:b/>
          <w:bCs/>
          <w:sz w:val="24"/>
          <w:szCs w:val="24"/>
        </w:rPr>
        <w:t>Adelekan</w:t>
      </w:r>
      <w:proofErr w:type="spellEnd"/>
      <w:r w:rsidRPr="001C6E4B">
        <w:rPr>
          <w:rFonts w:ascii="Times New Roman" w:eastAsia="Times New Roman" w:hAnsi="Times New Roman" w:cs="Times New Roman"/>
          <w:b/>
          <w:bCs/>
          <w:sz w:val="24"/>
          <w:szCs w:val="24"/>
        </w:rPr>
        <w:t>, B. A.</w:t>
      </w:r>
      <w:r w:rsidRPr="001C6E4B">
        <w:rPr>
          <w:rFonts w:ascii="Times New Roman" w:eastAsia="Times New Roman" w:hAnsi="Times New Roman" w:cs="Times New Roman"/>
          <w:sz w:val="24"/>
          <w:szCs w:val="24"/>
        </w:rPr>
        <w:t xml:space="preserve"> (2010). </w:t>
      </w:r>
      <w:proofErr w:type="gramStart"/>
      <w:r w:rsidRPr="001C6E4B">
        <w:rPr>
          <w:rFonts w:ascii="Times New Roman" w:eastAsia="Times New Roman" w:hAnsi="Times New Roman" w:cs="Times New Roman"/>
          <w:sz w:val="24"/>
          <w:szCs w:val="24"/>
        </w:rPr>
        <w:t>Water supply and sanitation in Nigeria challenges and prospect.</w:t>
      </w:r>
      <w:proofErr w:type="gramEnd"/>
      <w:r w:rsidRPr="001C6E4B">
        <w:rPr>
          <w:rFonts w:ascii="Times New Roman" w:eastAsia="Times New Roman" w:hAnsi="Times New Roman" w:cs="Times New Roman"/>
          <w:sz w:val="24"/>
          <w:szCs w:val="24"/>
        </w:rPr>
        <w:t xml:space="preserve"> </w:t>
      </w:r>
      <w:r w:rsidRPr="001C6E4B">
        <w:rPr>
          <w:rFonts w:ascii="Times New Roman" w:eastAsia="Times New Roman" w:hAnsi="Times New Roman" w:cs="Times New Roman"/>
          <w:i/>
          <w:iCs/>
          <w:sz w:val="24"/>
          <w:szCs w:val="24"/>
        </w:rPr>
        <w:t>Journal of Water Resources and Protection</w:t>
      </w:r>
      <w:r w:rsidRPr="001C6E4B">
        <w:rPr>
          <w:rFonts w:ascii="Times New Roman" w:eastAsia="Times New Roman" w:hAnsi="Times New Roman" w:cs="Times New Roman"/>
          <w:sz w:val="24"/>
          <w:szCs w:val="24"/>
        </w:rPr>
        <w:t>, 2(5), 461-469.</w:t>
      </w:r>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1C6E4B">
        <w:rPr>
          <w:rFonts w:ascii="Times New Roman" w:eastAsia="Times New Roman" w:hAnsi="Times New Roman" w:cs="Times New Roman"/>
          <w:b/>
          <w:bCs/>
          <w:sz w:val="24"/>
          <w:szCs w:val="24"/>
        </w:rPr>
        <w:t>Afolabi</w:t>
      </w:r>
      <w:proofErr w:type="spellEnd"/>
      <w:r w:rsidRPr="001C6E4B">
        <w:rPr>
          <w:rFonts w:ascii="Times New Roman" w:eastAsia="Times New Roman" w:hAnsi="Times New Roman" w:cs="Times New Roman"/>
          <w:b/>
          <w:bCs/>
          <w:sz w:val="24"/>
          <w:szCs w:val="24"/>
        </w:rPr>
        <w:t xml:space="preserve">, O. O., </w:t>
      </w:r>
      <w:proofErr w:type="spellStart"/>
      <w:r w:rsidRPr="001C6E4B">
        <w:rPr>
          <w:rFonts w:ascii="Times New Roman" w:eastAsia="Times New Roman" w:hAnsi="Times New Roman" w:cs="Times New Roman"/>
          <w:b/>
          <w:bCs/>
          <w:sz w:val="24"/>
          <w:szCs w:val="24"/>
        </w:rPr>
        <w:t>Olutomilola</w:t>
      </w:r>
      <w:proofErr w:type="spellEnd"/>
      <w:r w:rsidRPr="001C6E4B">
        <w:rPr>
          <w:rFonts w:ascii="Times New Roman" w:eastAsia="Times New Roman" w:hAnsi="Times New Roman" w:cs="Times New Roman"/>
          <w:b/>
          <w:bCs/>
          <w:sz w:val="24"/>
          <w:szCs w:val="24"/>
        </w:rPr>
        <w:t xml:space="preserve">, O. O., </w:t>
      </w:r>
      <w:proofErr w:type="spellStart"/>
      <w:r w:rsidRPr="001C6E4B">
        <w:rPr>
          <w:rFonts w:ascii="Times New Roman" w:eastAsia="Times New Roman" w:hAnsi="Times New Roman" w:cs="Times New Roman"/>
          <w:b/>
          <w:bCs/>
          <w:sz w:val="24"/>
          <w:szCs w:val="24"/>
        </w:rPr>
        <w:t>Olabode</w:t>
      </w:r>
      <w:proofErr w:type="spellEnd"/>
      <w:r w:rsidRPr="001C6E4B">
        <w:rPr>
          <w:rFonts w:ascii="Times New Roman" w:eastAsia="Times New Roman" w:hAnsi="Times New Roman" w:cs="Times New Roman"/>
          <w:b/>
          <w:bCs/>
          <w:sz w:val="24"/>
          <w:szCs w:val="24"/>
        </w:rPr>
        <w:t xml:space="preserve">, O., &amp; </w:t>
      </w:r>
      <w:proofErr w:type="spellStart"/>
      <w:r w:rsidRPr="001C6E4B">
        <w:rPr>
          <w:rFonts w:ascii="Times New Roman" w:eastAsia="Times New Roman" w:hAnsi="Times New Roman" w:cs="Times New Roman"/>
          <w:b/>
          <w:bCs/>
          <w:sz w:val="24"/>
          <w:szCs w:val="24"/>
        </w:rPr>
        <w:t>Ishaku</w:t>
      </w:r>
      <w:proofErr w:type="spellEnd"/>
      <w:r w:rsidRPr="001C6E4B">
        <w:rPr>
          <w:rFonts w:ascii="Times New Roman" w:eastAsia="Times New Roman" w:hAnsi="Times New Roman" w:cs="Times New Roman"/>
          <w:b/>
          <w:bCs/>
          <w:sz w:val="24"/>
          <w:szCs w:val="24"/>
        </w:rPr>
        <w:t>, J. D.</w:t>
      </w:r>
      <w:r w:rsidRPr="001C6E4B">
        <w:rPr>
          <w:rFonts w:ascii="Times New Roman" w:eastAsia="Times New Roman" w:hAnsi="Times New Roman" w:cs="Times New Roman"/>
          <w:sz w:val="24"/>
          <w:szCs w:val="24"/>
        </w:rPr>
        <w:t xml:space="preserve"> (2018).</w:t>
      </w:r>
      <w:proofErr w:type="gramEnd"/>
      <w:r w:rsidRPr="001C6E4B">
        <w:rPr>
          <w:rFonts w:ascii="Times New Roman" w:eastAsia="Times New Roman" w:hAnsi="Times New Roman" w:cs="Times New Roman"/>
          <w:sz w:val="24"/>
          <w:szCs w:val="24"/>
        </w:rPr>
        <w:t xml:space="preserve"> </w:t>
      </w:r>
      <w:proofErr w:type="gramStart"/>
      <w:r w:rsidRPr="001C6E4B">
        <w:rPr>
          <w:rFonts w:ascii="Times New Roman" w:eastAsia="Times New Roman" w:hAnsi="Times New Roman" w:cs="Times New Roman"/>
          <w:sz w:val="24"/>
          <w:szCs w:val="24"/>
        </w:rPr>
        <w:t>Assessment of groundwater system characteristic in Ilorin metropolis Southwestern Nigeria.</w:t>
      </w:r>
      <w:proofErr w:type="gramEnd"/>
      <w:r w:rsidRPr="001C6E4B">
        <w:rPr>
          <w:rFonts w:ascii="Times New Roman" w:eastAsia="Times New Roman" w:hAnsi="Times New Roman" w:cs="Times New Roman"/>
          <w:sz w:val="24"/>
          <w:szCs w:val="24"/>
        </w:rPr>
        <w:t xml:space="preserve"> </w:t>
      </w:r>
      <w:r w:rsidRPr="001C6E4B">
        <w:rPr>
          <w:rFonts w:ascii="Times New Roman" w:eastAsia="Times New Roman" w:hAnsi="Times New Roman" w:cs="Times New Roman"/>
          <w:i/>
          <w:iCs/>
          <w:sz w:val="24"/>
          <w:szCs w:val="24"/>
        </w:rPr>
        <w:t>America Journal of Water Science and Engineering</w:t>
      </w:r>
      <w:r w:rsidRPr="001C6E4B">
        <w:rPr>
          <w:rFonts w:ascii="Times New Roman" w:eastAsia="Times New Roman" w:hAnsi="Times New Roman" w:cs="Times New Roman"/>
          <w:sz w:val="24"/>
          <w:szCs w:val="24"/>
        </w:rPr>
        <w:t>, 4001, pp. 1-8.</w:t>
      </w:r>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1C6E4B">
        <w:rPr>
          <w:rFonts w:ascii="Times New Roman" w:eastAsia="Times New Roman" w:hAnsi="Times New Roman" w:cs="Times New Roman"/>
          <w:b/>
          <w:bCs/>
          <w:sz w:val="24"/>
          <w:szCs w:val="24"/>
        </w:rPr>
        <w:t xml:space="preserve">Abdullah, N., </w:t>
      </w:r>
      <w:proofErr w:type="spellStart"/>
      <w:r w:rsidRPr="001C6E4B">
        <w:rPr>
          <w:rFonts w:ascii="Times New Roman" w:eastAsia="Times New Roman" w:hAnsi="Times New Roman" w:cs="Times New Roman"/>
          <w:b/>
          <w:bCs/>
          <w:sz w:val="24"/>
          <w:szCs w:val="24"/>
        </w:rPr>
        <w:t>Rahman</w:t>
      </w:r>
      <w:proofErr w:type="spellEnd"/>
      <w:r w:rsidRPr="001C6E4B">
        <w:rPr>
          <w:rFonts w:ascii="Times New Roman" w:eastAsia="Times New Roman" w:hAnsi="Times New Roman" w:cs="Times New Roman"/>
          <w:b/>
          <w:bCs/>
          <w:sz w:val="24"/>
          <w:szCs w:val="24"/>
        </w:rPr>
        <w:t xml:space="preserve">, R. A., &amp; </w:t>
      </w:r>
      <w:proofErr w:type="spellStart"/>
      <w:r w:rsidRPr="001C6E4B">
        <w:rPr>
          <w:rFonts w:ascii="Times New Roman" w:eastAsia="Times New Roman" w:hAnsi="Times New Roman" w:cs="Times New Roman"/>
          <w:b/>
          <w:bCs/>
          <w:sz w:val="24"/>
          <w:szCs w:val="24"/>
        </w:rPr>
        <w:t>Karim</w:t>
      </w:r>
      <w:proofErr w:type="spellEnd"/>
      <w:r w:rsidRPr="001C6E4B">
        <w:rPr>
          <w:rFonts w:ascii="Times New Roman" w:eastAsia="Times New Roman" w:hAnsi="Times New Roman" w:cs="Times New Roman"/>
          <w:b/>
          <w:bCs/>
          <w:sz w:val="24"/>
          <w:szCs w:val="24"/>
        </w:rPr>
        <w:t>, M. R.</w:t>
      </w:r>
      <w:r w:rsidRPr="001C6E4B">
        <w:rPr>
          <w:rFonts w:ascii="Times New Roman" w:eastAsia="Times New Roman" w:hAnsi="Times New Roman" w:cs="Times New Roman"/>
          <w:sz w:val="24"/>
          <w:szCs w:val="24"/>
        </w:rPr>
        <w:t xml:space="preserve"> (2023).</w:t>
      </w:r>
      <w:proofErr w:type="gramEnd"/>
      <w:r w:rsidRPr="001C6E4B">
        <w:rPr>
          <w:rFonts w:ascii="Times New Roman" w:eastAsia="Times New Roman" w:hAnsi="Times New Roman" w:cs="Times New Roman"/>
          <w:sz w:val="24"/>
          <w:szCs w:val="24"/>
        </w:rPr>
        <w:t xml:space="preserve"> </w:t>
      </w:r>
      <w:proofErr w:type="gramStart"/>
      <w:r w:rsidRPr="001C6E4B">
        <w:rPr>
          <w:rFonts w:ascii="Times New Roman" w:eastAsia="Times New Roman" w:hAnsi="Times New Roman" w:cs="Times New Roman"/>
          <w:sz w:val="24"/>
          <w:szCs w:val="24"/>
        </w:rPr>
        <w:t>Geophysical analysis of aquifer systems in Ilorin Basement Complex.</w:t>
      </w:r>
      <w:proofErr w:type="gramEnd"/>
      <w:r w:rsidRPr="001C6E4B">
        <w:rPr>
          <w:rFonts w:ascii="Times New Roman" w:eastAsia="Times New Roman" w:hAnsi="Times New Roman" w:cs="Times New Roman"/>
          <w:sz w:val="24"/>
          <w:szCs w:val="24"/>
        </w:rPr>
        <w:t xml:space="preserve"> </w:t>
      </w:r>
      <w:r w:rsidRPr="001C6E4B">
        <w:rPr>
          <w:rFonts w:ascii="Times New Roman" w:eastAsia="Times New Roman" w:hAnsi="Times New Roman" w:cs="Times New Roman"/>
          <w:i/>
          <w:iCs/>
          <w:sz w:val="24"/>
          <w:szCs w:val="24"/>
        </w:rPr>
        <w:t>Malaysian Journal of Geosciences</w:t>
      </w:r>
      <w:r w:rsidRPr="001C6E4B">
        <w:rPr>
          <w:rFonts w:ascii="Times New Roman" w:eastAsia="Times New Roman" w:hAnsi="Times New Roman" w:cs="Times New Roman"/>
          <w:sz w:val="24"/>
          <w:szCs w:val="24"/>
        </w:rPr>
        <w:t>, 7(2), 102–115.</w:t>
      </w:r>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1C6E4B">
        <w:rPr>
          <w:rFonts w:ascii="Times New Roman" w:eastAsia="Times New Roman" w:hAnsi="Times New Roman" w:cs="Times New Roman"/>
          <w:b/>
          <w:bCs/>
          <w:sz w:val="24"/>
          <w:szCs w:val="24"/>
        </w:rPr>
        <w:t>Abubakar</w:t>
      </w:r>
      <w:proofErr w:type="spellEnd"/>
      <w:r w:rsidRPr="001C6E4B">
        <w:rPr>
          <w:rFonts w:ascii="Times New Roman" w:eastAsia="Times New Roman" w:hAnsi="Times New Roman" w:cs="Times New Roman"/>
          <w:b/>
          <w:bCs/>
          <w:sz w:val="24"/>
          <w:szCs w:val="24"/>
        </w:rPr>
        <w:t>, A., Bello, R. A., &amp; Salami, H. T.</w:t>
      </w:r>
      <w:r w:rsidRPr="001C6E4B">
        <w:rPr>
          <w:rFonts w:ascii="Times New Roman" w:eastAsia="Times New Roman" w:hAnsi="Times New Roman" w:cs="Times New Roman"/>
          <w:sz w:val="24"/>
          <w:szCs w:val="24"/>
        </w:rPr>
        <w:t xml:space="preserve"> (2025).</w:t>
      </w:r>
      <w:proofErr w:type="gramEnd"/>
      <w:r w:rsidRPr="001C6E4B">
        <w:rPr>
          <w:rFonts w:ascii="Times New Roman" w:eastAsia="Times New Roman" w:hAnsi="Times New Roman" w:cs="Times New Roman"/>
          <w:sz w:val="24"/>
          <w:szCs w:val="24"/>
        </w:rPr>
        <w:t xml:space="preserve"> </w:t>
      </w:r>
      <w:proofErr w:type="gramStart"/>
      <w:r w:rsidRPr="001C6E4B">
        <w:rPr>
          <w:rFonts w:ascii="Times New Roman" w:eastAsia="Times New Roman" w:hAnsi="Times New Roman" w:cs="Times New Roman"/>
          <w:sz w:val="24"/>
          <w:szCs w:val="24"/>
        </w:rPr>
        <w:t>Hydrogeological and geochemical characterization of groundwater in Ilorin, Southwestern Nigeria.</w:t>
      </w:r>
      <w:proofErr w:type="gramEnd"/>
      <w:r w:rsidRPr="001C6E4B">
        <w:rPr>
          <w:rFonts w:ascii="Times New Roman" w:eastAsia="Times New Roman" w:hAnsi="Times New Roman" w:cs="Times New Roman"/>
          <w:sz w:val="24"/>
          <w:szCs w:val="24"/>
        </w:rPr>
        <w:t xml:space="preserve"> </w:t>
      </w:r>
      <w:r w:rsidRPr="001C6E4B">
        <w:rPr>
          <w:rFonts w:ascii="Times New Roman" w:eastAsia="Times New Roman" w:hAnsi="Times New Roman" w:cs="Times New Roman"/>
          <w:i/>
          <w:iCs/>
          <w:sz w:val="24"/>
          <w:szCs w:val="24"/>
        </w:rPr>
        <w:t>Journal of Environmental Science and Water Resources</w:t>
      </w:r>
      <w:r w:rsidRPr="001C6E4B">
        <w:rPr>
          <w:rFonts w:ascii="Times New Roman" w:eastAsia="Times New Roman" w:hAnsi="Times New Roman" w:cs="Times New Roman"/>
          <w:sz w:val="24"/>
          <w:szCs w:val="24"/>
        </w:rPr>
        <w:t>, 12(1), 45–60.</w:t>
      </w:r>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1C6E4B">
        <w:rPr>
          <w:rFonts w:ascii="Times New Roman" w:eastAsia="Times New Roman" w:hAnsi="Times New Roman" w:cs="Times New Roman"/>
          <w:b/>
          <w:bCs/>
          <w:sz w:val="24"/>
          <w:szCs w:val="24"/>
        </w:rPr>
        <w:t>Adeyemi</w:t>
      </w:r>
      <w:proofErr w:type="spellEnd"/>
      <w:r w:rsidRPr="001C6E4B">
        <w:rPr>
          <w:rFonts w:ascii="Times New Roman" w:eastAsia="Times New Roman" w:hAnsi="Times New Roman" w:cs="Times New Roman"/>
          <w:b/>
          <w:bCs/>
          <w:sz w:val="24"/>
          <w:szCs w:val="24"/>
        </w:rPr>
        <w:t xml:space="preserve">, K. S., </w:t>
      </w:r>
      <w:proofErr w:type="spellStart"/>
      <w:r w:rsidRPr="001C6E4B">
        <w:rPr>
          <w:rFonts w:ascii="Times New Roman" w:eastAsia="Times New Roman" w:hAnsi="Times New Roman" w:cs="Times New Roman"/>
          <w:b/>
          <w:bCs/>
          <w:sz w:val="24"/>
          <w:szCs w:val="24"/>
        </w:rPr>
        <w:t>Aladejana</w:t>
      </w:r>
      <w:proofErr w:type="spellEnd"/>
      <w:r w:rsidRPr="001C6E4B">
        <w:rPr>
          <w:rFonts w:ascii="Times New Roman" w:eastAsia="Times New Roman" w:hAnsi="Times New Roman" w:cs="Times New Roman"/>
          <w:b/>
          <w:bCs/>
          <w:sz w:val="24"/>
          <w:szCs w:val="24"/>
        </w:rPr>
        <w:t xml:space="preserve">, J. A., &amp; </w:t>
      </w:r>
      <w:proofErr w:type="spellStart"/>
      <w:r w:rsidRPr="001C6E4B">
        <w:rPr>
          <w:rFonts w:ascii="Times New Roman" w:eastAsia="Times New Roman" w:hAnsi="Times New Roman" w:cs="Times New Roman"/>
          <w:b/>
          <w:bCs/>
          <w:sz w:val="24"/>
          <w:szCs w:val="24"/>
        </w:rPr>
        <w:t>Ogunbayo</w:t>
      </w:r>
      <w:proofErr w:type="spellEnd"/>
      <w:r w:rsidRPr="001C6E4B">
        <w:rPr>
          <w:rFonts w:ascii="Times New Roman" w:eastAsia="Times New Roman" w:hAnsi="Times New Roman" w:cs="Times New Roman"/>
          <w:b/>
          <w:bCs/>
          <w:sz w:val="24"/>
          <w:szCs w:val="24"/>
        </w:rPr>
        <w:t>, B. O.</w:t>
      </w:r>
      <w:r w:rsidRPr="001C6E4B">
        <w:rPr>
          <w:rFonts w:ascii="Times New Roman" w:eastAsia="Times New Roman" w:hAnsi="Times New Roman" w:cs="Times New Roman"/>
          <w:sz w:val="24"/>
          <w:szCs w:val="24"/>
        </w:rPr>
        <w:t xml:space="preserve"> (2023).</w:t>
      </w:r>
      <w:proofErr w:type="gramEnd"/>
      <w:r w:rsidRPr="001C6E4B">
        <w:rPr>
          <w:rFonts w:ascii="Times New Roman" w:eastAsia="Times New Roman" w:hAnsi="Times New Roman" w:cs="Times New Roman"/>
          <w:sz w:val="24"/>
          <w:szCs w:val="24"/>
        </w:rPr>
        <w:t xml:space="preserve"> </w:t>
      </w:r>
      <w:proofErr w:type="gramStart"/>
      <w:r w:rsidRPr="001C6E4B">
        <w:rPr>
          <w:rFonts w:ascii="Times New Roman" w:eastAsia="Times New Roman" w:hAnsi="Times New Roman" w:cs="Times New Roman"/>
          <w:sz w:val="24"/>
          <w:szCs w:val="24"/>
        </w:rPr>
        <w:t>Impact of anthropogenic activities on groundwater quality in Southwestern Nigeria.</w:t>
      </w:r>
      <w:proofErr w:type="gramEnd"/>
      <w:r w:rsidRPr="001C6E4B">
        <w:rPr>
          <w:rFonts w:ascii="Times New Roman" w:eastAsia="Times New Roman" w:hAnsi="Times New Roman" w:cs="Times New Roman"/>
          <w:sz w:val="24"/>
          <w:szCs w:val="24"/>
        </w:rPr>
        <w:t xml:space="preserve"> </w:t>
      </w:r>
      <w:proofErr w:type="gramStart"/>
      <w:r w:rsidRPr="001C6E4B">
        <w:rPr>
          <w:rFonts w:ascii="Times New Roman" w:eastAsia="Times New Roman" w:hAnsi="Times New Roman" w:cs="Times New Roman"/>
          <w:i/>
          <w:iCs/>
          <w:sz w:val="24"/>
          <w:szCs w:val="24"/>
        </w:rPr>
        <w:t>Water Resources Management</w:t>
      </w:r>
      <w:r w:rsidRPr="001C6E4B">
        <w:rPr>
          <w:rFonts w:ascii="Times New Roman" w:eastAsia="Times New Roman" w:hAnsi="Times New Roman" w:cs="Times New Roman"/>
          <w:sz w:val="24"/>
          <w:szCs w:val="24"/>
        </w:rPr>
        <w:t>, 37(4), 2105–2120.</w:t>
      </w:r>
      <w:proofErr w:type="gramEnd"/>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1C6E4B">
        <w:rPr>
          <w:rFonts w:ascii="Times New Roman" w:eastAsia="Times New Roman" w:hAnsi="Times New Roman" w:cs="Times New Roman"/>
          <w:b/>
          <w:bCs/>
          <w:sz w:val="24"/>
          <w:szCs w:val="24"/>
        </w:rPr>
        <w:t>Ajayi</w:t>
      </w:r>
      <w:proofErr w:type="spellEnd"/>
      <w:r w:rsidRPr="001C6E4B">
        <w:rPr>
          <w:rFonts w:ascii="Times New Roman" w:eastAsia="Times New Roman" w:hAnsi="Times New Roman" w:cs="Times New Roman"/>
          <w:b/>
          <w:bCs/>
          <w:sz w:val="24"/>
          <w:szCs w:val="24"/>
        </w:rPr>
        <w:t>, T. O., &amp; Bello, M. A.</w:t>
      </w:r>
      <w:r w:rsidRPr="001C6E4B">
        <w:rPr>
          <w:rFonts w:ascii="Times New Roman" w:eastAsia="Times New Roman" w:hAnsi="Times New Roman" w:cs="Times New Roman"/>
          <w:sz w:val="24"/>
          <w:szCs w:val="24"/>
        </w:rPr>
        <w:t xml:space="preserve"> (2024).</w:t>
      </w:r>
      <w:proofErr w:type="gramEnd"/>
      <w:r w:rsidRPr="001C6E4B">
        <w:rPr>
          <w:rFonts w:ascii="Times New Roman" w:eastAsia="Times New Roman" w:hAnsi="Times New Roman" w:cs="Times New Roman"/>
          <w:sz w:val="24"/>
          <w:szCs w:val="24"/>
        </w:rPr>
        <w:t xml:space="preserve"> Assessment of groundwater contamination sources in urban Nigeria. </w:t>
      </w:r>
      <w:r w:rsidRPr="001C6E4B">
        <w:rPr>
          <w:rFonts w:ascii="Times New Roman" w:eastAsia="Times New Roman" w:hAnsi="Times New Roman" w:cs="Times New Roman"/>
          <w:i/>
          <w:iCs/>
          <w:sz w:val="24"/>
          <w:szCs w:val="24"/>
        </w:rPr>
        <w:t>Journal of Environmental Science and Health</w:t>
      </w:r>
      <w:r w:rsidRPr="001C6E4B">
        <w:rPr>
          <w:rFonts w:ascii="Times New Roman" w:eastAsia="Times New Roman" w:hAnsi="Times New Roman" w:cs="Times New Roman"/>
          <w:sz w:val="24"/>
          <w:szCs w:val="24"/>
        </w:rPr>
        <w:t>, 59(2), 123–135.</w:t>
      </w:r>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1C6E4B">
        <w:rPr>
          <w:rFonts w:ascii="Times New Roman" w:eastAsia="Times New Roman" w:hAnsi="Times New Roman" w:cs="Times New Roman"/>
          <w:b/>
          <w:bCs/>
          <w:sz w:val="24"/>
          <w:szCs w:val="24"/>
        </w:rPr>
        <w:t>Ashaolu</w:t>
      </w:r>
      <w:proofErr w:type="spellEnd"/>
      <w:r w:rsidRPr="001C6E4B">
        <w:rPr>
          <w:rFonts w:ascii="Times New Roman" w:eastAsia="Times New Roman" w:hAnsi="Times New Roman" w:cs="Times New Roman"/>
          <w:b/>
          <w:bCs/>
          <w:sz w:val="24"/>
          <w:szCs w:val="24"/>
        </w:rPr>
        <w:t xml:space="preserve">, T. O., &amp; </w:t>
      </w:r>
      <w:proofErr w:type="spellStart"/>
      <w:r w:rsidRPr="001C6E4B">
        <w:rPr>
          <w:rFonts w:ascii="Times New Roman" w:eastAsia="Times New Roman" w:hAnsi="Times New Roman" w:cs="Times New Roman"/>
          <w:b/>
          <w:bCs/>
          <w:sz w:val="24"/>
          <w:szCs w:val="24"/>
        </w:rPr>
        <w:t>Omotosho</w:t>
      </w:r>
      <w:proofErr w:type="spellEnd"/>
      <w:r w:rsidRPr="001C6E4B">
        <w:rPr>
          <w:rFonts w:ascii="Times New Roman" w:eastAsia="Times New Roman" w:hAnsi="Times New Roman" w:cs="Times New Roman"/>
          <w:b/>
          <w:bCs/>
          <w:sz w:val="24"/>
          <w:szCs w:val="24"/>
        </w:rPr>
        <w:t>, O. A.</w:t>
      </w:r>
      <w:r w:rsidRPr="001C6E4B">
        <w:rPr>
          <w:rFonts w:ascii="Times New Roman" w:eastAsia="Times New Roman" w:hAnsi="Times New Roman" w:cs="Times New Roman"/>
          <w:sz w:val="24"/>
          <w:szCs w:val="24"/>
        </w:rPr>
        <w:t xml:space="preserve"> (2015).</w:t>
      </w:r>
      <w:proofErr w:type="gramEnd"/>
      <w:r w:rsidRPr="001C6E4B">
        <w:rPr>
          <w:rFonts w:ascii="Times New Roman" w:eastAsia="Times New Roman" w:hAnsi="Times New Roman" w:cs="Times New Roman"/>
          <w:sz w:val="24"/>
          <w:szCs w:val="24"/>
        </w:rPr>
        <w:t xml:space="preserve"> </w:t>
      </w:r>
      <w:proofErr w:type="gramStart"/>
      <w:r w:rsidRPr="001C6E4B">
        <w:rPr>
          <w:rFonts w:ascii="Times New Roman" w:eastAsia="Times New Roman" w:hAnsi="Times New Roman" w:cs="Times New Roman"/>
          <w:sz w:val="24"/>
          <w:szCs w:val="24"/>
        </w:rPr>
        <w:t>Assessment of groundwater potential in basement complex area of Ilorin, Nigeria.</w:t>
      </w:r>
      <w:proofErr w:type="gramEnd"/>
      <w:r w:rsidRPr="001C6E4B">
        <w:rPr>
          <w:rFonts w:ascii="Times New Roman" w:eastAsia="Times New Roman" w:hAnsi="Times New Roman" w:cs="Times New Roman"/>
          <w:sz w:val="24"/>
          <w:szCs w:val="24"/>
        </w:rPr>
        <w:t xml:space="preserve"> </w:t>
      </w:r>
      <w:r w:rsidRPr="001C6E4B">
        <w:rPr>
          <w:rFonts w:ascii="Times New Roman" w:eastAsia="Times New Roman" w:hAnsi="Times New Roman" w:cs="Times New Roman"/>
          <w:i/>
          <w:iCs/>
          <w:sz w:val="24"/>
          <w:szCs w:val="24"/>
        </w:rPr>
        <w:t>Nigerian Journal of Environmental Sciences</w:t>
      </w:r>
      <w:r w:rsidRPr="001C6E4B">
        <w:rPr>
          <w:rFonts w:ascii="Times New Roman" w:eastAsia="Times New Roman" w:hAnsi="Times New Roman" w:cs="Times New Roman"/>
          <w:sz w:val="24"/>
          <w:szCs w:val="24"/>
        </w:rPr>
        <w:t>, 9(2), 77–86.</w:t>
      </w:r>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1C6E4B">
        <w:rPr>
          <w:rFonts w:ascii="Times New Roman" w:eastAsia="Times New Roman" w:hAnsi="Times New Roman" w:cs="Times New Roman"/>
          <w:b/>
          <w:bCs/>
          <w:sz w:val="24"/>
          <w:szCs w:val="24"/>
        </w:rPr>
        <w:t>Bamidele</w:t>
      </w:r>
      <w:proofErr w:type="spellEnd"/>
      <w:r w:rsidRPr="001C6E4B">
        <w:rPr>
          <w:rFonts w:ascii="Times New Roman" w:eastAsia="Times New Roman" w:hAnsi="Times New Roman" w:cs="Times New Roman"/>
          <w:b/>
          <w:bCs/>
          <w:sz w:val="24"/>
          <w:szCs w:val="24"/>
        </w:rPr>
        <w:t xml:space="preserve">, T. O., &amp; </w:t>
      </w:r>
      <w:proofErr w:type="spellStart"/>
      <w:r w:rsidRPr="001C6E4B">
        <w:rPr>
          <w:rFonts w:ascii="Times New Roman" w:eastAsia="Times New Roman" w:hAnsi="Times New Roman" w:cs="Times New Roman"/>
          <w:b/>
          <w:bCs/>
          <w:sz w:val="24"/>
          <w:szCs w:val="24"/>
        </w:rPr>
        <w:t>Olowookere</w:t>
      </w:r>
      <w:proofErr w:type="spellEnd"/>
      <w:r w:rsidRPr="001C6E4B">
        <w:rPr>
          <w:rFonts w:ascii="Times New Roman" w:eastAsia="Times New Roman" w:hAnsi="Times New Roman" w:cs="Times New Roman"/>
          <w:b/>
          <w:bCs/>
          <w:sz w:val="24"/>
          <w:szCs w:val="24"/>
        </w:rPr>
        <w:t>, O. J.</w:t>
      </w:r>
      <w:r w:rsidRPr="001C6E4B">
        <w:rPr>
          <w:rFonts w:ascii="Times New Roman" w:eastAsia="Times New Roman" w:hAnsi="Times New Roman" w:cs="Times New Roman"/>
          <w:sz w:val="24"/>
          <w:szCs w:val="24"/>
        </w:rPr>
        <w:t xml:space="preserve"> (2021).</w:t>
      </w:r>
      <w:proofErr w:type="gramEnd"/>
      <w:r w:rsidRPr="001C6E4B">
        <w:rPr>
          <w:rFonts w:ascii="Times New Roman" w:eastAsia="Times New Roman" w:hAnsi="Times New Roman" w:cs="Times New Roman"/>
          <w:sz w:val="24"/>
          <w:szCs w:val="24"/>
        </w:rPr>
        <w:t xml:space="preserve"> </w:t>
      </w:r>
      <w:proofErr w:type="gramStart"/>
      <w:r w:rsidRPr="001C6E4B">
        <w:rPr>
          <w:rFonts w:ascii="Times New Roman" w:eastAsia="Times New Roman" w:hAnsi="Times New Roman" w:cs="Times New Roman"/>
          <w:sz w:val="24"/>
          <w:szCs w:val="24"/>
        </w:rPr>
        <w:t>Application of GIS in groundwater management in Ilorin.</w:t>
      </w:r>
      <w:proofErr w:type="gramEnd"/>
      <w:r w:rsidRPr="001C6E4B">
        <w:rPr>
          <w:rFonts w:ascii="Times New Roman" w:eastAsia="Times New Roman" w:hAnsi="Times New Roman" w:cs="Times New Roman"/>
          <w:sz w:val="24"/>
          <w:szCs w:val="24"/>
        </w:rPr>
        <w:t xml:space="preserve"> </w:t>
      </w:r>
      <w:r w:rsidRPr="001C6E4B">
        <w:rPr>
          <w:rFonts w:ascii="Times New Roman" w:eastAsia="Times New Roman" w:hAnsi="Times New Roman" w:cs="Times New Roman"/>
          <w:i/>
          <w:iCs/>
          <w:sz w:val="24"/>
          <w:szCs w:val="24"/>
        </w:rPr>
        <w:t>International Journal of Technical Research and Development</w:t>
      </w:r>
      <w:r w:rsidRPr="001C6E4B">
        <w:rPr>
          <w:rFonts w:ascii="Times New Roman" w:eastAsia="Times New Roman" w:hAnsi="Times New Roman" w:cs="Times New Roman"/>
          <w:sz w:val="24"/>
          <w:szCs w:val="24"/>
        </w:rPr>
        <w:t>, 8(1), 56–64.</w:t>
      </w:r>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1C6E4B">
        <w:rPr>
          <w:rFonts w:ascii="Times New Roman" w:eastAsia="Times New Roman" w:hAnsi="Times New Roman" w:cs="Times New Roman"/>
          <w:b/>
          <w:bCs/>
          <w:sz w:val="24"/>
          <w:szCs w:val="24"/>
        </w:rPr>
        <w:t xml:space="preserve">Ibrahim, S. A., Musa, Y. A., &amp; </w:t>
      </w:r>
      <w:proofErr w:type="spellStart"/>
      <w:r w:rsidRPr="001C6E4B">
        <w:rPr>
          <w:rFonts w:ascii="Times New Roman" w:eastAsia="Times New Roman" w:hAnsi="Times New Roman" w:cs="Times New Roman"/>
          <w:b/>
          <w:bCs/>
          <w:sz w:val="24"/>
          <w:szCs w:val="24"/>
        </w:rPr>
        <w:t>Raji</w:t>
      </w:r>
      <w:proofErr w:type="spellEnd"/>
      <w:r w:rsidRPr="001C6E4B">
        <w:rPr>
          <w:rFonts w:ascii="Times New Roman" w:eastAsia="Times New Roman" w:hAnsi="Times New Roman" w:cs="Times New Roman"/>
          <w:b/>
          <w:bCs/>
          <w:sz w:val="24"/>
          <w:szCs w:val="24"/>
        </w:rPr>
        <w:t>, M. A.</w:t>
      </w:r>
      <w:r w:rsidRPr="001C6E4B">
        <w:rPr>
          <w:rFonts w:ascii="Times New Roman" w:eastAsia="Times New Roman" w:hAnsi="Times New Roman" w:cs="Times New Roman"/>
          <w:sz w:val="24"/>
          <w:szCs w:val="24"/>
        </w:rPr>
        <w:t xml:space="preserve"> (2023).</w:t>
      </w:r>
      <w:proofErr w:type="gramEnd"/>
      <w:r w:rsidRPr="001C6E4B">
        <w:rPr>
          <w:rFonts w:ascii="Times New Roman" w:eastAsia="Times New Roman" w:hAnsi="Times New Roman" w:cs="Times New Roman"/>
          <w:sz w:val="24"/>
          <w:szCs w:val="24"/>
        </w:rPr>
        <w:t xml:space="preserve"> Health risk assessment of heavy metals in groundwater: A case study of Ilorin, Nigeria. </w:t>
      </w:r>
      <w:proofErr w:type="gramStart"/>
      <w:r w:rsidRPr="001C6E4B">
        <w:rPr>
          <w:rFonts w:ascii="Times New Roman" w:eastAsia="Times New Roman" w:hAnsi="Times New Roman" w:cs="Times New Roman"/>
          <w:i/>
          <w:iCs/>
          <w:sz w:val="24"/>
          <w:szCs w:val="24"/>
        </w:rPr>
        <w:t>Environmental Toxicology and Pharmacology</w:t>
      </w:r>
      <w:r w:rsidRPr="001C6E4B">
        <w:rPr>
          <w:rFonts w:ascii="Times New Roman" w:eastAsia="Times New Roman" w:hAnsi="Times New Roman" w:cs="Times New Roman"/>
          <w:sz w:val="24"/>
          <w:szCs w:val="24"/>
        </w:rPr>
        <w:t>, 96, 103856.</w:t>
      </w:r>
      <w:proofErr w:type="gramEnd"/>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1C6E4B">
        <w:rPr>
          <w:rFonts w:ascii="Times New Roman" w:eastAsia="Times New Roman" w:hAnsi="Times New Roman" w:cs="Times New Roman"/>
          <w:b/>
          <w:bCs/>
          <w:sz w:val="24"/>
          <w:szCs w:val="24"/>
        </w:rPr>
        <w:t>Idowu</w:t>
      </w:r>
      <w:proofErr w:type="spellEnd"/>
      <w:r w:rsidRPr="001C6E4B">
        <w:rPr>
          <w:rFonts w:ascii="Times New Roman" w:eastAsia="Times New Roman" w:hAnsi="Times New Roman" w:cs="Times New Roman"/>
          <w:b/>
          <w:bCs/>
          <w:sz w:val="24"/>
          <w:szCs w:val="24"/>
        </w:rPr>
        <w:t xml:space="preserve">, O. A., </w:t>
      </w:r>
      <w:proofErr w:type="spellStart"/>
      <w:r w:rsidRPr="001C6E4B">
        <w:rPr>
          <w:rFonts w:ascii="Times New Roman" w:eastAsia="Times New Roman" w:hAnsi="Times New Roman" w:cs="Times New Roman"/>
          <w:b/>
          <w:bCs/>
          <w:sz w:val="24"/>
          <w:szCs w:val="24"/>
        </w:rPr>
        <w:t>Marting</w:t>
      </w:r>
      <w:proofErr w:type="spellEnd"/>
      <w:r w:rsidRPr="001C6E4B">
        <w:rPr>
          <w:rFonts w:ascii="Times New Roman" w:eastAsia="Times New Roman" w:hAnsi="Times New Roman" w:cs="Times New Roman"/>
          <w:b/>
          <w:bCs/>
          <w:sz w:val="24"/>
          <w:szCs w:val="24"/>
        </w:rPr>
        <w:t xml:space="preserve">, O., &amp; </w:t>
      </w:r>
      <w:proofErr w:type="spellStart"/>
      <w:r w:rsidRPr="001C6E4B">
        <w:rPr>
          <w:rFonts w:ascii="Times New Roman" w:eastAsia="Times New Roman" w:hAnsi="Times New Roman" w:cs="Times New Roman"/>
          <w:b/>
          <w:bCs/>
          <w:sz w:val="24"/>
          <w:szCs w:val="24"/>
        </w:rPr>
        <w:t>Gbadebo</w:t>
      </w:r>
      <w:proofErr w:type="spellEnd"/>
      <w:r w:rsidRPr="001C6E4B">
        <w:rPr>
          <w:rFonts w:ascii="Times New Roman" w:eastAsia="Times New Roman" w:hAnsi="Times New Roman" w:cs="Times New Roman"/>
          <w:b/>
          <w:bCs/>
          <w:sz w:val="24"/>
          <w:szCs w:val="24"/>
        </w:rPr>
        <w:t>, A. M.</w:t>
      </w:r>
      <w:r w:rsidRPr="001C6E4B">
        <w:rPr>
          <w:rFonts w:ascii="Times New Roman" w:eastAsia="Times New Roman" w:hAnsi="Times New Roman" w:cs="Times New Roman"/>
          <w:sz w:val="24"/>
          <w:szCs w:val="24"/>
        </w:rPr>
        <w:t xml:space="preserve"> (2007).</w:t>
      </w:r>
      <w:proofErr w:type="gramEnd"/>
      <w:r w:rsidRPr="001C6E4B">
        <w:rPr>
          <w:rFonts w:ascii="Times New Roman" w:eastAsia="Times New Roman" w:hAnsi="Times New Roman" w:cs="Times New Roman"/>
          <w:sz w:val="24"/>
          <w:szCs w:val="24"/>
        </w:rPr>
        <w:t xml:space="preserve"> </w:t>
      </w:r>
      <w:proofErr w:type="gramStart"/>
      <w:r w:rsidRPr="001C6E4B">
        <w:rPr>
          <w:rFonts w:ascii="Times New Roman" w:eastAsia="Times New Roman" w:hAnsi="Times New Roman" w:cs="Times New Roman"/>
          <w:sz w:val="24"/>
          <w:szCs w:val="24"/>
        </w:rPr>
        <w:t xml:space="preserve">Hydraulic and </w:t>
      </w:r>
      <w:proofErr w:type="spellStart"/>
      <w:r w:rsidRPr="001C6E4B">
        <w:rPr>
          <w:rFonts w:ascii="Times New Roman" w:eastAsia="Times New Roman" w:hAnsi="Times New Roman" w:cs="Times New Roman"/>
          <w:sz w:val="24"/>
          <w:szCs w:val="24"/>
        </w:rPr>
        <w:t>hydrochemical</w:t>
      </w:r>
      <w:proofErr w:type="spellEnd"/>
      <w:r w:rsidRPr="001C6E4B">
        <w:rPr>
          <w:rFonts w:ascii="Times New Roman" w:eastAsia="Times New Roman" w:hAnsi="Times New Roman" w:cs="Times New Roman"/>
          <w:sz w:val="24"/>
          <w:szCs w:val="24"/>
        </w:rPr>
        <w:t xml:space="preserve"> characteristic of the phreatic basement aquifers in the southwest of Nigeria.</w:t>
      </w:r>
      <w:proofErr w:type="gramEnd"/>
      <w:r w:rsidRPr="001C6E4B">
        <w:rPr>
          <w:rFonts w:ascii="Times New Roman" w:eastAsia="Times New Roman" w:hAnsi="Times New Roman" w:cs="Times New Roman"/>
          <w:sz w:val="24"/>
          <w:szCs w:val="24"/>
        </w:rPr>
        <w:t xml:space="preserve"> </w:t>
      </w:r>
      <w:r w:rsidRPr="001C6E4B">
        <w:rPr>
          <w:rFonts w:ascii="Times New Roman" w:eastAsia="Times New Roman" w:hAnsi="Times New Roman" w:cs="Times New Roman"/>
          <w:i/>
          <w:iCs/>
          <w:sz w:val="24"/>
          <w:szCs w:val="24"/>
        </w:rPr>
        <w:t>Journal of Mining and Geology</w:t>
      </w:r>
      <w:r w:rsidRPr="001C6E4B">
        <w:rPr>
          <w:rFonts w:ascii="Times New Roman" w:eastAsia="Times New Roman" w:hAnsi="Times New Roman" w:cs="Times New Roman"/>
          <w:sz w:val="24"/>
          <w:szCs w:val="24"/>
        </w:rPr>
        <w:t>, 43(1), 71–78.</w:t>
      </w:r>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1C6E4B">
        <w:rPr>
          <w:rFonts w:ascii="Times New Roman" w:eastAsia="Times New Roman" w:hAnsi="Times New Roman" w:cs="Times New Roman"/>
          <w:b/>
          <w:bCs/>
          <w:sz w:val="24"/>
          <w:szCs w:val="24"/>
        </w:rPr>
        <w:t>Ifabiyi</w:t>
      </w:r>
      <w:proofErr w:type="spellEnd"/>
      <w:r w:rsidRPr="001C6E4B">
        <w:rPr>
          <w:rFonts w:ascii="Times New Roman" w:eastAsia="Times New Roman" w:hAnsi="Times New Roman" w:cs="Times New Roman"/>
          <w:b/>
          <w:bCs/>
          <w:sz w:val="24"/>
          <w:szCs w:val="24"/>
        </w:rPr>
        <w:t xml:space="preserve">, I. P., </w:t>
      </w:r>
      <w:proofErr w:type="spellStart"/>
      <w:r w:rsidRPr="001C6E4B">
        <w:rPr>
          <w:rFonts w:ascii="Times New Roman" w:eastAsia="Times New Roman" w:hAnsi="Times New Roman" w:cs="Times New Roman"/>
          <w:b/>
          <w:bCs/>
          <w:sz w:val="24"/>
          <w:szCs w:val="24"/>
        </w:rPr>
        <w:t>Sule</w:t>
      </w:r>
      <w:proofErr w:type="spellEnd"/>
      <w:r w:rsidRPr="001C6E4B">
        <w:rPr>
          <w:rFonts w:ascii="Times New Roman" w:eastAsia="Times New Roman" w:hAnsi="Times New Roman" w:cs="Times New Roman"/>
          <w:b/>
          <w:bCs/>
          <w:sz w:val="24"/>
          <w:szCs w:val="24"/>
        </w:rPr>
        <w:t xml:space="preserve">, O. B., &amp; </w:t>
      </w:r>
      <w:proofErr w:type="spellStart"/>
      <w:r w:rsidRPr="001C6E4B">
        <w:rPr>
          <w:rFonts w:ascii="Times New Roman" w:eastAsia="Times New Roman" w:hAnsi="Times New Roman" w:cs="Times New Roman"/>
          <w:b/>
          <w:bCs/>
          <w:sz w:val="24"/>
          <w:szCs w:val="24"/>
        </w:rPr>
        <w:t>Adewuyi</w:t>
      </w:r>
      <w:proofErr w:type="spellEnd"/>
      <w:r w:rsidRPr="001C6E4B">
        <w:rPr>
          <w:rFonts w:ascii="Times New Roman" w:eastAsia="Times New Roman" w:hAnsi="Times New Roman" w:cs="Times New Roman"/>
          <w:b/>
          <w:bCs/>
          <w:sz w:val="24"/>
          <w:szCs w:val="24"/>
        </w:rPr>
        <w:t>, T. O.</w:t>
      </w:r>
      <w:r w:rsidRPr="001C6E4B">
        <w:rPr>
          <w:rFonts w:ascii="Times New Roman" w:eastAsia="Times New Roman" w:hAnsi="Times New Roman" w:cs="Times New Roman"/>
          <w:sz w:val="24"/>
          <w:szCs w:val="24"/>
        </w:rPr>
        <w:t xml:space="preserve"> (2016).</w:t>
      </w:r>
      <w:proofErr w:type="gramEnd"/>
      <w:r w:rsidRPr="001C6E4B">
        <w:rPr>
          <w:rFonts w:ascii="Times New Roman" w:eastAsia="Times New Roman" w:hAnsi="Times New Roman" w:cs="Times New Roman"/>
          <w:sz w:val="24"/>
          <w:szCs w:val="24"/>
        </w:rPr>
        <w:t xml:space="preserve"> </w:t>
      </w:r>
      <w:proofErr w:type="gramStart"/>
      <w:r w:rsidRPr="001C6E4B">
        <w:rPr>
          <w:rFonts w:ascii="Times New Roman" w:eastAsia="Times New Roman" w:hAnsi="Times New Roman" w:cs="Times New Roman"/>
          <w:sz w:val="24"/>
          <w:szCs w:val="24"/>
        </w:rPr>
        <w:t>Hydrogeological characteristics of regolith aquifers in Ilorin metropolis.</w:t>
      </w:r>
      <w:proofErr w:type="gramEnd"/>
      <w:r w:rsidRPr="001C6E4B">
        <w:rPr>
          <w:rFonts w:ascii="Times New Roman" w:eastAsia="Times New Roman" w:hAnsi="Times New Roman" w:cs="Times New Roman"/>
          <w:sz w:val="24"/>
          <w:szCs w:val="24"/>
        </w:rPr>
        <w:t xml:space="preserve"> </w:t>
      </w:r>
      <w:r w:rsidRPr="001C6E4B">
        <w:rPr>
          <w:rFonts w:ascii="Times New Roman" w:eastAsia="Times New Roman" w:hAnsi="Times New Roman" w:cs="Times New Roman"/>
          <w:i/>
          <w:iCs/>
          <w:sz w:val="24"/>
          <w:szCs w:val="24"/>
        </w:rPr>
        <w:t>Water Resources Journal of Nigeria</w:t>
      </w:r>
      <w:r w:rsidRPr="001C6E4B">
        <w:rPr>
          <w:rFonts w:ascii="Times New Roman" w:eastAsia="Times New Roman" w:hAnsi="Times New Roman" w:cs="Times New Roman"/>
          <w:sz w:val="24"/>
          <w:szCs w:val="24"/>
        </w:rPr>
        <w:t>, 26(1), 41–52.</w:t>
      </w:r>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1C6E4B">
        <w:rPr>
          <w:rFonts w:ascii="Times New Roman" w:eastAsia="Times New Roman" w:hAnsi="Times New Roman" w:cs="Times New Roman"/>
          <w:b/>
          <w:bCs/>
          <w:sz w:val="24"/>
          <w:szCs w:val="24"/>
        </w:rPr>
        <w:t>Ige</w:t>
      </w:r>
      <w:proofErr w:type="spellEnd"/>
      <w:r w:rsidRPr="001C6E4B">
        <w:rPr>
          <w:rFonts w:ascii="Times New Roman" w:eastAsia="Times New Roman" w:hAnsi="Times New Roman" w:cs="Times New Roman"/>
          <w:b/>
          <w:bCs/>
          <w:sz w:val="24"/>
          <w:szCs w:val="24"/>
        </w:rPr>
        <w:t xml:space="preserve">, T. A., &amp; </w:t>
      </w:r>
      <w:proofErr w:type="spellStart"/>
      <w:r w:rsidRPr="001C6E4B">
        <w:rPr>
          <w:rFonts w:ascii="Times New Roman" w:eastAsia="Times New Roman" w:hAnsi="Times New Roman" w:cs="Times New Roman"/>
          <w:b/>
          <w:bCs/>
          <w:sz w:val="24"/>
          <w:szCs w:val="24"/>
        </w:rPr>
        <w:t>Ajiboye</w:t>
      </w:r>
      <w:proofErr w:type="spellEnd"/>
      <w:r w:rsidRPr="001C6E4B">
        <w:rPr>
          <w:rFonts w:ascii="Times New Roman" w:eastAsia="Times New Roman" w:hAnsi="Times New Roman" w:cs="Times New Roman"/>
          <w:b/>
          <w:bCs/>
          <w:sz w:val="24"/>
          <w:szCs w:val="24"/>
        </w:rPr>
        <w:t>, A. M.</w:t>
      </w:r>
      <w:r w:rsidRPr="001C6E4B">
        <w:rPr>
          <w:rFonts w:ascii="Times New Roman" w:eastAsia="Times New Roman" w:hAnsi="Times New Roman" w:cs="Times New Roman"/>
          <w:sz w:val="24"/>
          <w:szCs w:val="24"/>
        </w:rPr>
        <w:t xml:space="preserve"> (2016).</w:t>
      </w:r>
      <w:proofErr w:type="gramEnd"/>
      <w:r w:rsidRPr="001C6E4B">
        <w:rPr>
          <w:rFonts w:ascii="Times New Roman" w:eastAsia="Times New Roman" w:hAnsi="Times New Roman" w:cs="Times New Roman"/>
          <w:sz w:val="24"/>
          <w:szCs w:val="24"/>
        </w:rPr>
        <w:t xml:space="preserve"> </w:t>
      </w:r>
      <w:proofErr w:type="spellStart"/>
      <w:proofErr w:type="gramStart"/>
      <w:r w:rsidRPr="001C6E4B">
        <w:rPr>
          <w:rFonts w:ascii="Times New Roman" w:eastAsia="Times New Roman" w:hAnsi="Times New Roman" w:cs="Times New Roman"/>
          <w:sz w:val="24"/>
          <w:szCs w:val="24"/>
        </w:rPr>
        <w:t>Geoelectrical</w:t>
      </w:r>
      <w:proofErr w:type="spellEnd"/>
      <w:r w:rsidRPr="001C6E4B">
        <w:rPr>
          <w:rFonts w:ascii="Times New Roman" w:eastAsia="Times New Roman" w:hAnsi="Times New Roman" w:cs="Times New Roman"/>
          <w:sz w:val="24"/>
          <w:szCs w:val="24"/>
        </w:rPr>
        <w:t xml:space="preserve"> investigation of groundwater potential in Ilorin.</w:t>
      </w:r>
      <w:proofErr w:type="gramEnd"/>
      <w:r w:rsidRPr="001C6E4B">
        <w:rPr>
          <w:rFonts w:ascii="Times New Roman" w:eastAsia="Times New Roman" w:hAnsi="Times New Roman" w:cs="Times New Roman"/>
          <w:sz w:val="24"/>
          <w:szCs w:val="24"/>
        </w:rPr>
        <w:t xml:space="preserve"> </w:t>
      </w:r>
      <w:r w:rsidRPr="001C6E4B">
        <w:rPr>
          <w:rFonts w:ascii="Times New Roman" w:eastAsia="Times New Roman" w:hAnsi="Times New Roman" w:cs="Times New Roman"/>
          <w:i/>
          <w:iCs/>
          <w:sz w:val="24"/>
          <w:szCs w:val="24"/>
        </w:rPr>
        <w:t>Nigerian Journal of Geosciences</w:t>
      </w:r>
      <w:r w:rsidRPr="001C6E4B">
        <w:rPr>
          <w:rFonts w:ascii="Times New Roman" w:eastAsia="Times New Roman" w:hAnsi="Times New Roman" w:cs="Times New Roman"/>
          <w:sz w:val="24"/>
          <w:szCs w:val="24"/>
        </w:rPr>
        <w:t>, 10(1), 55–67.</w:t>
      </w:r>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1C6E4B">
        <w:rPr>
          <w:rFonts w:ascii="Times New Roman" w:eastAsia="Times New Roman" w:hAnsi="Times New Roman" w:cs="Times New Roman"/>
          <w:b/>
          <w:bCs/>
          <w:sz w:val="24"/>
          <w:szCs w:val="24"/>
        </w:rPr>
        <w:t>Ogunleye</w:t>
      </w:r>
      <w:proofErr w:type="spellEnd"/>
      <w:r w:rsidRPr="001C6E4B">
        <w:rPr>
          <w:rFonts w:ascii="Times New Roman" w:eastAsia="Times New Roman" w:hAnsi="Times New Roman" w:cs="Times New Roman"/>
          <w:b/>
          <w:bCs/>
          <w:sz w:val="24"/>
          <w:szCs w:val="24"/>
        </w:rPr>
        <w:t xml:space="preserve">, O. O., </w:t>
      </w:r>
      <w:proofErr w:type="spellStart"/>
      <w:r w:rsidRPr="001C6E4B">
        <w:rPr>
          <w:rFonts w:ascii="Times New Roman" w:eastAsia="Times New Roman" w:hAnsi="Times New Roman" w:cs="Times New Roman"/>
          <w:b/>
          <w:bCs/>
          <w:sz w:val="24"/>
          <w:szCs w:val="24"/>
        </w:rPr>
        <w:t>Afolabi</w:t>
      </w:r>
      <w:proofErr w:type="spellEnd"/>
      <w:r w:rsidRPr="001C6E4B">
        <w:rPr>
          <w:rFonts w:ascii="Times New Roman" w:eastAsia="Times New Roman" w:hAnsi="Times New Roman" w:cs="Times New Roman"/>
          <w:b/>
          <w:bCs/>
          <w:sz w:val="24"/>
          <w:szCs w:val="24"/>
        </w:rPr>
        <w:t xml:space="preserve">, K. M., &amp; </w:t>
      </w:r>
      <w:proofErr w:type="spellStart"/>
      <w:r w:rsidRPr="001C6E4B">
        <w:rPr>
          <w:rFonts w:ascii="Times New Roman" w:eastAsia="Times New Roman" w:hAnsi="Times New Roman" w:cs="Times New Roman"/>
          <w:b/>
          <w:bCs/>
          <w:sz w:val="24"/>
          <w:szCs w:val="24"/>
        </w:rPr>
        <w:t>Onifade</w:t>
      </w:r>
      <w:proofErr w:type="spellEnd"/>
      <w:r w:rsidRPr="001C6E4B">
        <w:rPr>
          <w:rFonts w:ascii="Times New Roman" w:eastAsia="Times New Roman" w:hAnsi="Times New Roman" w:cs="Times New Roman"/>
          <w:b/>
          <w:bCs/>
          <w:sz w:val="24"/>
          <w:szCs w:val="24"/>
        </w:rPr>
        <w:t>, S. T.</w:t>
      </w:r>
      <w:r w:rsidRPr="001C6E4B">
        <w:rPr>
          <w:rFonts w:ascii="Times New Roman" w:eastAsia="Times New Roman" w:hAnsi="Times New Roman" w:cs="Times New Roman"/>
          <w:sz w:val="24"/>
          <w:szCs w:val="24"/>
        </w:rPr>
        <w:t xml:space="preserve"> (2025).</w:t>
      </w:r>
      <w:proofErr w:type="gramEnd"/>
      <w:r w:rsidRPr="001C6E4B">
        <w:rPr>
          <w:rFonts w:ascii="Times New Roman" w:eastAsia="Times New Roman" w:hAnsi="Times New Roman" w:cs="Times New Roman"/>
          <w:sz w:val="24"/>
          <w:szCs w:val="24"/>
        </w:rPr>
        <w:t xml:space="preserve"> </w:t>
      </w:r>
      <w:proofErr w:type="gramStart"/>
      <w:r w:rsidRPr="001C6E4B">
        <w:rPr>
          <w:rFonts w:ascii="Times New Roman" w:eastAsia="Times New Roman" w:hAnsi="Times New Roman" w:cs="Times New Roman"/>
          <w:sz w:val="24"/>
          <w:szCs w:val="24"/>
        </w:rPr>
        <w:t>Evaluating groundwater suitability for agricultural use in Nigeria.</w:t>
      </w:r>
      <w:proofErr w:type="gramEnd"/>
      <w:r w:rsidRPr="001C6E4B">
        <w:rPr>
          <w:rFonts w:ascii="Times New Roman" w:eastAsia="Times New Roman" w:hAnsi="Times New Roman" w:cs="Times New Roman"/>
          <w:sz w:val="24"/>
          <w:szCs w:val="24"/>
        </w:rPr>
        <w:t xml:space="preserve"> </w:t>
      </w:r>
      <w:proofErr w:type="gramStart"/>
      <w:r w:rsidRPr="001C6E4B">
        <w:rPr>
          <w:rFonts w:ascii="Times New Roman" w:eastAsia="Times New Roman" w:hAnsi="Times New Roman" w:cs="Times New Roman"/>
          <w:i/>
          <w:iCs/>
          <w:sz w:val="24"/>
          <w:szCs w:val="24"/>
        </w:rPr>
        <w:t>Agricultural Water Management</w:t>
      </w:r>
      <w:r w:rsidRPr="001C6E4B">
        <w:rPr>
          <w:rFonts w:ascii="Times New Roman" w:eastAsia="Times New Roman" w:hAnsi="Times New Roman" w:cs="Times New Roman"/>
          <w:sz w:val="24"/>
          <w:szCs w:val="24"/>
        </w:rPr>
        <w:t>, 278, 108334.</w:t>
      </w:r>
      <w:proofErr w:type="gramEnd"/>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1C6E4B">
        <w:rPr>
          <w:rFonts w:ascii="Times New Roman" w:eastAsia="Times New Roman" w:hAnsi="Times New Roman" w:cs="Times New Roman"/>
          <w:b/>
          <w:bCs/>
          <w:sz w:val="24"/>
          <w:szCs w:val="24"/>
        </w:rPr>
        <w:lastRenderedPageBreak/>
        <w:t>Olasunkanmi</w:t>
      </w:r>
      <w:proofErr w:type="spellEnd"/>
      <w:r w:rsidRPr="001C6E4B">
        <w:rPr>
          <w:rFonts w:ascii="Times New Roman" w:eastAsia="Times New Roman" w:hAnsi="Times New Roman" w:cs="Times New Roman"/>
          <w:b/>
          <w:bCs/>
          <w:sz w:val="24"/>
          <w:szCs w:val="24"/>
        </w:rPr>
        <w:t xml:space="preserve">, L. O., </w:t>
      </w:r>
      <w:proofErr w:type="spellStart"/>
      <w:r w:rsidRPr="001C6E4B">
        <w:rPr>
          <w:rFonts w:ascii="Times New Roman" w:eastAsia="Times New Roman" w:hAnsi="Times New Roman" w:cs="Times New Roman"/>
          <w:b/>
          <w:bCs/>
          <w:sz w:val="24"/>
          <w:szCs w:val="24"/>
        </w:rPr>
        <w:t>Balogun</w:t>
      </w:r>
      <w:proofErr w:type="spellEnd"/>
      <w:r w:rsidRPr="001C6E4B">
        <w:rPr>
          <w:rFonts w:ascii="Times New Roman" w:eastAsia="Times New Roman" w:hAnsi="Times New Roman" w:cs="Times New Roman"/>
          <w:b/>
          <w:bCs/>
          <w:sz w:val="24"/>
          <w:szCs w:val="24"/>
        </w:rPr>
        <w:t xml:space="preserve">, A. F., &amp; </w:t>
      </w:r>
      <w:proofErr w:type="spellStart"/>
      <w:r w:rsidRPr="001C6E4B">
        <w:rPr>
          <w:rFonts w:ascii="Times New Roman" w:eastAsia="Times New Roman" w:hAnsi="Times New Roman" w:cs="Times New Roman"/>
          <w:b/>
          <w:bCs/>
          <w:sz w:val="24"/>
          <w:szCs w:val="24"/>
        </w:rPr>
        <w:t>Adetunji</w:t>
      </w:r>
      <w:proofErr w:type="spellEnd"/>
      <w:r w:rsidRPr="001C6E4B">
        <w:rPr>
          <w:rFonts w:ascii="Times New Roman" w:eastAsia="Times New Roman" w:hAnsi="Times New Roman" w:cs="Times New Roman"/>
          <w:b/>
          <w:bCs/>
          <w:sz w:val="24"/>
          <w:szCs w:val="24"/>
        </w:rPr>
        <w:t>, O. S.</w:t>
      </w:r>
      <w:r w:rsidRPr="001C6E4B">
        <w:rPr>
          <w:rFonts w:ascii="Times New Roman" w:eastAsia="Times New Roman" w:hAnsi="Times New Roman" w:cs="Times New Roman"/>
          <w:sz w:val="24"/>
          <w:szCs w:val="24"/>
        </w:rPr>
        <w:t xml:space="preserve"> (2024).</w:t>
      </w:r>
      <w:proofErr w:type="gramEnd"/>
      <w:r w:rsidRPr="001C6E4B">
        <w:rPr>
          <w:rFonts w:ascii="Times New Roman" w:eastAsia="Times New Roman" w:hAnsi="Times New Roman" w:cs="Times New Roman"/>
          <w:sz w:val="24"/>
          <w:szCs w:val="24"/>
        </w:rPr>
        <w:t xml:space="preserve"> </w:t>
      </w:r>
      <w:proofErr w:type="spellStart"/>
      <w:proofErr w:type="gramStart"/>
      <w:r w:rsidRPr="001C6E4B">
        <w:rPr>
          <w:rFonts w:ascii="Times New Roman" w:eastAsia="Times New Roman" w:hAnsi="Times New Roman" w:cs="Times New Roman"/>
          <w:sz w:val="24"/>
          <w:szCs w:val="24"/>
        </w:rPr>
        <w:t>Hydrochemical</w:t>
      </w:r>
      <w:proofErr w:type="spellEnd"/>
      <w:r w:rsidRPr="001C6E4B">
        <w:rPr>
          <w:rFonts w:ascii="Times New Roman" w:eastAsia="Times New Roman" w:hAnsi="Times New Roman" w:cs="Times New Roman"/>
          <w:sz w:val="24"/>
          <w:szCs w:val="24"/>
        </w:rPr>
        <w:t xml:space="preserve"> assessment of groundwater quality in Ilorin metropolis.</w:t>
      </w:r>
      <w:proofErr w:type="gramEnd"/>
      <w:r w:rsidRPr="001C6E4B">
        <w:rPr>
          <w:rFonts w:ascii="Times New Roman" w:eastAsia="Times New Roman" w:hAnsi="Times New Roman" w:cs="Times New Roman"/>
          <w:sz w:val="24"/>
          <w:szCs w:val="24"/>
        </w:rPr>
        <w:t xml:space="preserve"> </w:t>
      </w:r>
      <w:proofErr w:type="gramStart"/>
      <w:r w:rsidRPr="001C6E4B">
        <w:rPr>
          <w:rFonts w:ascii="Times New Roman" w:eastAsia="Times New Roman" w:hAnsi="Times New Roman" w:cs="Times New Roman"/>
          <w:i/>
          <w:iCs/>
          <w:sz w:val="24"/>
          <w:szCs w:val="24"/>
        </w:rPr>
        <w:t>Journal of African Earth Sciences</w:t>
      </w:r>
      <w:r w:rsidRPr="001C6E4B">
        <w:rPr>
          <w:rFonts w:ascii="Times New Roman" w:eastAsia="Times New Roman" w:hAnsi="Times New Roman" w:cs="Times New Roman"/>
          <w:sz w:val="24"/>
          <w:szCs w:val="24"/>
        </w:rPr>
        <w:t>, 190, 104682.</w:t>
      </w:r>
      <w:proofErr w:type="gramEnd"/>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1C6E4B">
        <w:rPr>
          <w:rFonts w:ascii="Times New Roman" w:eastAsia="Times New Roman" w:hAnsi="Times New Roman" w:cs="Times New Roman"/>
          <w:b/>
          <w:bCs/>
          <w:sz w:val="24"/>
          <w:szCs w:val="24"/>
        </w:rPr>
        <w:t>Oluyide</w:t>
      </w:r>
      <w:proofErr w:type="spellEnd"/>
      <w:r w:rsidRPr="001C6E4B">
        <w:rPr>
          <w:rFonts w:ascii="Times New Roman" w:eastAsia="Times New Roman" w:hAnsi="Times New Roman" w:cs="Times New Roman"/>
          <w:b/>
          <w:bCs/>
          <w:sz w:val="24"/>
          <w:szCs w:val="24"/>
        </w:rPr>
        <w:t xml:space="preserve">, P. O., </w:t>
      </w:r>
      <w:proofErr w:type="spellStart"/>
      <w:r w:rsidRPr="001C6E4B">
        <w:rPr>
          <w:rFonts w:ascii="Times New Roman" w:eastAsia="Times New Roman" w:hAnsi="Times New Roman" w:cs="Times New Roman"/>
          <w:b/>
          <w:bCs/>
          <w:sz w:val="24"/>
          <w:szCs w:val="24"/>
        </w:rPr>
        <w:t>Nwajide</w:t>
      </w:r>
      <w:proofErr w:type="spellEnd"/>
      <w:r w:rsidRPr="001C6E4B">
        <w:rPr>
          <w:rFonts w:ascii="Times New Roman" w:eastAsia="Times New Roman" w:hAnsi="Times New Roman" w:cs="Times New Roman"/>
          <w:b/>
          <w:bCs/>
          <w:sz w:val="24"/>
          <w:szCs w:val="24"/>
        </w:rPr>
        <w:t>, C. S., &amp; On, A. O.</w:t>
      </w:r>
      <w:r w:rsidRPr="001C6E4B">
        <w:rPr>
          <w:rFonts w:ascii="Times New Roman" w:eastAsia="Times New Roman" w:hAnsi="Times New Roman" w:cs="Times New Roman"/>
          <w:sz w:val="24"/>
          <w:szCs w:val="24"/>
        </w:rPr>
        <w:t xml:space="preserve"> (1998).</w:t>
      </w:r>
      <w:proofErr w:type="gramEnd"/>
      <w:r w:rsidRPr="001C6E4B">
        <w:rPr>
          <w:rFonts w:ascii="Times New Roman" w:eastAsia="Times New Roman" w:hAnsi="Times New Roman" w:cs="Times New Roman"/>
          <w:sz w:val="24"/>
          <w:szCs w:val="24"/>
        </w:rPr>
        <w:t xml:space="preserve"> </w:t>
      </w:r>
      <w:proofErr w:type="gramStart"/>
      <w:r w:rsidRPr="001C6E4B">
        <w:rPr>
          <w:rFonts w:ascii="Times New Roman" w:eastAsia="Times New Roman" w:hAnsi="Times New Roman" w:cs="Times New Roman"/>
          <w:sz w:val="24"/>
          <w:szCs w:val="24"/>
        </w:rPr>
        <w:t>The geology of the Ilorin Area.</w:t>
      </w:r>
      <w:proofErr w:type="gramEnd"/>
      <w:r w:rsidRPr="001C6E4B">
        <w:rPr>
          <w:rFonts w:ascii="Times New Roman" w:eastAsia="Times New Roman" w:hAnsi="Times New Roman" w:cs="Times New Roman"/>
          <w:sz w:val="24"/>
          <w:szCs w:val="24"/>
        </w:rPr>
        <w:t xml:space="preserve"> Bulletin No. 42, Geological Survey of Nigeria, Federal Government of Nigeria.</w:t>
      </w:r>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1C6E4B">
        <w:rPr>
          <w:rFonts w:ascii="Times New Roman" w:eastAsia="Times New Roman" w:hAnsi="Times New Roman" w:cs="Times New Roman"/>
          <w:b/>
          <w:bCs/>
          <w:sz w:val="24"/>
          <w:szCs w:val="24"/>
        </w:rPr>
        <w:t>Oribiyi</w:t>
      </w:r>
      <w:proofErr w:type="spellEnd"/>
      <w:r w:rsidRPr="001C6E4B">
        <w:rPr>
          <w:rFonts w:ascii="Times New Roman" w:eastAsia="Times New Roman" w:hAnsi="Times New Roman" w:cs="Times New Roman"/>
          <w:b/>
          <w:bCs/>
          <w:sz w:val="24"/>
          <w:szCs w:val="24"/>
        </w:rPr>
        <w:t xml:space="preserve">, E. O., </w:t>
      </w:r>
      <w:proofErr w:type="spellStart"/>
      <w:r w:rsidRPr="001C6E4B">
        <w:rPr>
          <w:rFonts w:ascii="Times New Roman" w:eastAsia="Times New Roman" w:hAnsi="Times New Roman" w:cs="Times New Roman"/>
          <w:b/>
          <w:bCs/>
          <w:sz w:val="24"/>
          <w:szCs w:val="24"/>
        </w:rPr>
        <w:t>Awomeso</w:t>
      </w:r>
      <w:proofErr w:type="spellEnd"/>
      <w:r w:rsidRPr="001C6E4B">
        <w:rPr>
          <w:rFonts w:ascii="Times New Roman" w:eastAsia="Times New Roman" w:hAnsi="Times New Roman" w:cs="Times New Roman"/>
          <w:b/>
          <w:bCs/>
          <w:sz w:val="24"/>
          <w:szCs w:val="24"/>
        </w:rPr>
        <w:t xml:space="preserve">, S. A., &amp; </w:t>
      </w:r>
      <w:proofErr w:type="spellStart"/>
      <w:r w:rsidRPr="001C6E4B">
        <w:rPr>
          <w:rFonts w:ascii="Times New Roman" w:eastAsia="Times New Roman" w:hAnsi="Times New Roman" w:cs="Times New Roman"/>
          <w:b/>
          <w:bCs/>
          <w:sz w:val="24"/>
          <w:szCs w:val="24"/>
        </w:rPr>
        <w:t>Idowu</w:t>
      </w:r>
      <w:proofErr w:type="spellEnd"/>
      <w:r w:rsidRPr="001C6E4B">
        <w:rPr>
          <w:rFonts w:ascii="Times New Roman" w:eastAsia="Times New Roman" w:hAnsi="Times New Roman" w:cs="Times New Roman"/>
          <w:b/>
          <w:bCs/>
          <w:sz w:val="24"/>
          <w:szCs w:val="24"/>
        </w:rPr>
        <w:t>, O. A.</w:t>
      </w:r>
      <w:r w:rsidRPr="001C6E4B">
        <w:rPr>
          <w:rFonts w:ascii="Times New Roman" w:eastAsia="Times New Roman" w:hAnsi="Times New Roman" w:cs="Times New Roman"/>
          <w:sz w:val="24"/>
          <w:szCs w:val="24"/>
        </w:rPr>
        <w:t xml:space="preserve"> (2010).</w:t>
      </w:r>
      <w:proofErr w:type="gramEnd"/>
      <w:r w:rsidRPr="001C6E4B">
        <w:rPr>
          <w:rFonts w:ascii="Times New Roman" w:eastAsia="Times New Roman" w:hAnsi="Times New Roman" w:cs="Times New Roman"/>
          <w:sz w:val="24"/>
          <w:szCs w:val="24"/>
        </w:rPr>
        <w:t xml:space="preserve"> Assessment of groundwater quality in Ogbomosho </w:t>
      </w:r>
      <w:proofErr w:type="gramStart"/>
      <w:r w:rsidRPr="001C6E4B">
        <w:rPr>
          <w:rFonts w:ascii="Times New Roman" w:eastAsia="Times New Roman" w:hAnsi="Times New Roman" w:cs="Times New Roman"/>
          <w:sz w:val="24"/>
          <w:szCs w:val="24"/>
        </w:rPr>
        <w:t>township</w:t>
      </w:r>
      <w:proofErr w:type="gramEnd"/>
      <w:r w:rsidRPr="001C6E4B">
        <w:rPr>
          <w:rFonts w:ascii="Times New Roman" w:eastAsia="Times New Roman" w:hAnsi="Times New Roman" w:cs="Times New Roman"/>
          <w:sz w:val="24"/>
          <w:szCs w:val="24"/>
        </w:rPr>
        <w:t xml:space="preserve"> Nigeria. </w:t>
      </w:r>
      <w:r w:rsidRPr="001C6E4B">
        <w:rPr>
          <w:rFonts w:ascii="Times New Roman" w:eastAsia="Times New Roman" w:hAnsi="Times New Roman" w:cs="Times New Roman"/>
          <w:i/>
          <w:iCs/>
          <w:sz w:val="24"/>
          <w:szCs w:val="24"/>
        </w:rPr>
        <w:t>Journal of Environmental Science and Health Part B</w:t>
      </w:r>
      <w:r w:rsidRPr="001C6E4B">
        <w:rPr>
          <w:rFonts w:ascii="Times New Roman" w:eastAsia="Times New Roman" w:hAnsi="Times New Roman" w:cs="Times New Roman"/>
          <w:sz w:val="24"/>
          <w:szCs w:val="24"/>
        </w:rPr>
        <w:t>, 45(5), 435-443.</w:t>
      </w:r>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C6E4B">
        <w:rPr>
          <w:rFonts w:ascii="Times New Roman" w:eastAsia="Times New Roman" w:hAnsi="Times New Roman" w:cs="Times New Roman"/>
          <w:b/>
          <w:bCs/>
          <w:sz w:val="24"/>
          <w:szCs w:val="24"/>
        </w:rPr>
        <w:t>Rahaman</w:t>
      </w:r>
      <w:proofErr w:type="spellEnd"/>
      <w:r w:rsidRPr="001C6E4B">
        <w:rPr>
          <w:rFonts w:ascii="Times New Roman" w:eastAsia="Times New Roman" w:hAnsi="Times New Roman" w:cs="Times New Roman"/>
          <w:b/>
          <w:bCs/>
          <w:sz w:val="24"/>
          <w:szCs w:val="24"/>
        </w:rPr>
        <w:t>, M. A.</w:t>
      </w:r>
      <w:r w:rsidRPr="001C6E4B">
        <w:rPr>
          <w:rFonts w:ascii="Times New Roman" w:eastAsia="Times New Roman" w:hAnsi="Times New Roman" w:cs="Times New Roman"/>
          <w:sz w:val="24"/>
          <w:szCs w:val="24"/>
        </w:rPr>
        <w:t xml:space="preserve"> (1988). </w:t>
      </w:r>
      <w:proofErr w:type="gramStart"/>
      <w:r w:rsidRPr="001C6E4B">
        <w:rPr>
          <w:rFonts w:ascii="Times New Roman" w:eastAsia="Times New Roman" w:hAnsi="Times New Roman" w:cs="Times New Roman"/>
          <w:sz w:val="24"/>
          <w:szCs w:val="24"/>
        </w:rPr>
        <w:t>Some aspects of the geology of Nigeria.</w:t>
      </w:r>
      <w:proofErr w:type="gramEnd"/>
      <w:r w:rsidRPr="001C6E4B">
        <w:rPr>
          <w:rFonts w:ascii="Times New Roman" w:eastAsia="Times New Roman" w:hAnsi="Times New Roman" w:cs="Times New Roman"/>
          <w:sz w:val="24"/>
          <w:szCs w:val="24"/>
        </w:rPr>
        <w:t xml:space="preserve"> </w:t>
      </w:r>
      <w:proofErr w:type="gramStart"/>
      <w:r w:rsidRPr="001C6E4B">
        <w:rPr>
          <w:rFonts w:ascii="Times New Roman" w:eastAsia="Times New Roman" w:hAnsi="Times New Roman" w:cs="Times New Roman"/>
          <w:sz w:val="24"/>
          <w:szCs w:val="24"/>
        </w:rPr>
        <w:t xml:space="preserve">In C. A. </w:t>
      </w:r>
      <w:proofErr w:type="spellStart"/>
      <w:r w:rsidRPr="001C6E4B">
        <w:rPr>
          <w:rFonts w:ascii="Times New Roman" w:eastAsia="Times New Roman" w:hAnsi="Times New Roman" w:cs="Times New Roman"/>
          <w:sz w:val="24"/>
          <w:szCs w:val="24"/>
        </w:rPr>
        <w:t>Kogbe</w:t>
      </w:r>
      <w:proofErr w:type="spellEnd"/>
      <w:r w:rsidRPr="001C6E4B">
        <w:rPr>
          <w:rFonts w:ascii="Times New Roman" w:eastAsia="Times New Roman" w:hAnsi="Times New Roman" w:cs="Times New Roman"/>
          <w:sz w:val="24"/>
          <w:szCs w:val="24"/>
        </w:rPr>
        <w:t xml:space="preserve"> (Ed.), </w:t>
      </w:r>
      <w:r w:rsidRPr="001C6E4B">
        <w:rPr>
          <w:rFonts w:ascii="Times New Roman" w:eastAsia="Times New Roman" w:hAnsi="Times New Roman" w:cs="Times New Roman"/>
          <w:i/>
          <w:iCs/>
          <w:sz w:val="24"/>
          <w:szCs w:val="24"/>
        </w:rPr>
        <w:t>Geology of Nigeria</w:t>
      </w:r>
      <w:r w:rsidRPr="001C6E4B">
        <w:rPr>
          <w:rFonts w:ascii="Times New Roman" w:eastAsia="Times New Roman" w:hAnsi="Times New Roman" w:cs="Times New Roman"/>
          <w:sz w:val="24"/>
          <w:szCs w:val="24"/>
        </w:rPr>
        <w:t xml:space="preserve"> (pp. 1-8).</w:t>
      </w:r>
      <w:proofErr w:type="gramEnd"/>
      <w:r w:rsidRPr="001C6E4B">
        <w:rPr>
          <w:rFonts w:ascii="Times New Roman" w:eastAsia="Times New Roman" w:hAnsi="Times New Roman" w:cs="Times New Roman"/>
          <w:sz w:val="24"/>
          <w:szCs w:val="24"/>
        </w:rPr>
        <w:t xml:space="preserve"> </w:t>
      </w:r>
      <w:proofErr w:type="gramStart"/>
      <w:r w:rsidRPr="001C6E4B">
        <w:rPr>
          <w:rFonts w:ascii="Times New Roman" w:eastAsia="Times New Roman" w:hAnsi="Times New Roman" w:cs="Times New Roman"/>
          <w:sz w:val="24"/>
          <w:szCs w:val="24"/>
        </w:rPr>
        <w:t>Rock View (Nigeria) Limited.</w:t>
      </w:r>
      <w:proofErr w:type="gramEnd"/>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C6E4B">
        <w:rPr>
          <w:rFonts w:ascii="Times New Roman" w:eastAsia="Times New Roman" w:hAnsi="Times New Roman" w:cs="Times New Roman"/>
          <w:b/>
          <w:bCs/>
          <w:sz w:val="24"/>
          <w:szCs w:val="24"/>
        </w:rPr>
        <w:t xml:space="preserve">Singh, A. K., </w:t>
      </w:r>
      <w:proofErr w:type="spellStart"/>
      <w:r w:rsidRPr="001C6E4B">
        <w:rPr>
          <w:rFonts w:ascii="Times New Roman" w:eastAsia="Times New Roman" w:hAnsi="Times New Roman" w:cs="Times New Roman"/>
          <w:b/>
          <w:bCs/>
          <w:sz w:val="24"/>
          <w:szCs w:val="24"/>
        </w:rPr>
        <w:t>Mondal</w:t>
      </w:r>
      <w:proofErr w:type="spellEnd"/>
      <w:r w:rsidRPr="001C6E4B">
        <w:rPr>
          <w:rFonts w:ascii="Times New Roman" w:eastAsia="Times New Roman" w:hAnsi="Times New Roman" w:cs="Times New Roman"/>
          <w:b/>
          <w:bCs/>
          <w:sz w:val="24"/>
          <w:szCs w:val="24"/>
        </w:rPr>
        <w:t>, G. C., Singh, P. K., Singh, S., &amp; E.</w:t>
      </w:r>
      <w:r w:rsidRPr="001C6E4B">
        <w:rPr>
          <w:rFonts w:ascii="Times New Roman" w:eastAsia="Times New Roman" w:hAnsi="Times New Roman" w:cs="Times New Roman"/>
          <w:sz w:val="24"/>
          <w:szCs w:val="24"/>
        </w:rPr>
        <w:t xml:space="preserve"> (2013). </w:t>
      </w:r>
      <w:proofErr w:type="spellStart"/>
      <w:proofErr w:type="gramStart"/>
      <w:r w:rsidRPr="001C6E4B">
        <w:rPr>
          <w:rFonts w:ascii="Times New Roman" w:eastAsia="Times New Roman" w:hAnsi="Times New Roman" w:cs="Times New Roman"/>
          <w:sz w:val="24"/>
          <w:szCs w:val="24"/>
        </w:rPr>
        <w:t>Hydrochemical</w:t>
      </w:r>
      <w:proofErr w:type="spellEnd"/>
      <w:r w:rsidRPr="001C6E4B">
        <w:rPr>
          <w:rFonts w:ascii="Times New Roman" w:eastAsia="Times New Roman" w:hAnsi="Times New Roman" w:cs="Times New Roman"/>
          <w:sz w:val="24"/>
          <w:szCs w:val="24"/>
        </w:rPr>
        <w:t xml:space="preserve"> processes and groundwater quality assessment in an industrial area of India.</w:t>
      </w:r>
      <w:proofErr w:type="gramEnd"/>
      <w:r w:rsidRPr="001C6E4B">
        <w:rPr>
          <w:rFonts w:ascii="Times New Roman" w:eastAsia="Times New Roman" w:hAnsi="Times New Roman" w:cs="Times New Roman"/>
          <w:sz w:val="24"/>
          <w:szCs w:val="24"/>
        </w:rPr>
        <w:t xml:space="preserve"> </w:t>
      </w:r>
      <w:r w:rsidRPr="001C6E4B">
        <w:rPr>
          <w:rFonts w:ascii="Times New Roman" w:eastAsia="Times New Roman" w:hAnsi="Times New Roman" w:cs="Times New Roman"/>
          <w:i/>
          <w:iCs/>
          <w:sz w:val="24"/>
          <w:szCs w:val="24"/>
        </w:rPr>
        <w:t>Environmental Monitoring and Assessment</w:t>
      </w:r>
      <w:r w:rsidRPr="001C6E4B">
        <w:rPr>
          <w:rFonts w:ascii="Times New Roman" w:eastAsia="Times New Roman" w:hAnsi="Times New Roman" w:cs="Times New Roman"/>
          <w:sz w:val="24"/>
          <w:szCs w:val="24"/>
        </w:rPr>
        <w:t>, 185(10), 8439-8455.</w:t>
      </w:r>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1C6E4B">
        <w:rPr>
          <w:rFonts w:ascii="Times New Roman" w:eastAsia="Times New Roman" w:hAnsi="Times New Roman" w:cs="Times New Roman"/>
          <w:b/>
          <w:bCs/>
          <w:sz w:val="24"/>
          <w:szCs w:val="24"/>
        </w:rPr>
        <w:t>Sule</w:t>
      </w:r>
      <w:proofErr w:type="spellEnd"/>
      <w:r w:rsidRPr="001C6E4B">
        <w:rPr>
          <w:rFonts w:ascii="Times New Roman" w:eastAsia="Times New Roman" w:hAnsi="Times New Roman" w:cs="Times New Roman"/>
          <w:b/>
          <w:bCs/>
          <w:sz w:val="24"/>
          <w:szCs w:val="24"/>
        </w:rPr>
        <w:t xml:space="preserve">, O. B., </w:t>
      </w:r>
      <w:proofErr w:type="spellStart"/>
      <w:r w:rsidRPr="001C6E4B">
        <w:rPr>
          <w:rFonts w:ascii="Times New Roman" w:eastAsia="Times New Roman" w:hAnsi="Times New Roman" w:cs="Times New Roman"/>
          <w:b/>
          <w:bCs/>
          <w:sz w:val="24"/>
          <w:szCs w:val="24"/>
        </w:rPr>
        <w:t>Ifabiyi</w:t>
      </w:r>
      <w:proofErr w:type="spellEnd"/>
      <w:r w:rsidRPr="001C6E4B">
        <w:rPr>
          <w:rFonts w:ascii="Times New Roman" w:eastAsia="Times New Roman" w:hAnsi="Times New Roman" w:cs="Times New Roman"/>
          <w:b/>
          <w:bCs/>
          <w:sz w:val="24"/>
          <w:szCs w:val="24"/>
        </w:rPr>
        <w:t xml:space="preserve">, I. P., &amp; </w:t>
      </w:r>
      <w:proofErr w:type="spellStart"/>
      <w:r w:rsidRPr="001C6E4B">
        <w:rPr>
          <w:rFonts w:ascii="Times New Roman" w:eastAsia="Times New Roman" w:hAnsi="Times New Roman" w:cs="Times New Roman"/>
          <w:b/>
          <w:bCs/>
          <w:sz w:val="24"/>
          <w:szCs w:val="24"/>
        </w:rPr>
        <w:t>Ashaolu</w:t>
      </w:r>
      <w:proofErr w:type="spellEnd"/>
      <w:r w:rsidRPr="001C6E4B">
        <w:rPr>
          <w:rFonts w:ascii="Times New Roman" w:eastAsia="Times New Roman" w:hAnsi="Times New Roman" w:cs="Times New Roman"/>
          <w:b/>
          <w:bCs/>
          <w:sz w:val="24"/>
          <w:szCs w:val="24"/>
        </w:rPr>
        <w:t>, T. O.</w:t>
      </w:r>
      <w:r w:rsidRPr="001C6E4B">
        <w:rPr>
          <w:rFonts w:ascii="Times New Roman" w:eastAsia="Times New Roman" w:hAnsi="Times New Roman" w:cs="Times New Roman"/>
          <w:sz w:val="24"/>
          <w:szCs w:val="24"/>
        </w:rPr>
        <w:t xml:space="preserve"> (2015).</w:t>
      </w:r>
      <w:proofErr w:type="gramEnd"/>
      <w:r w:rsidRPr="001C6E4B">
        <w:rPr>
          <w:rFonts w:ascii="Times New Roman" w:eastAsia="Times New Roman" w:hAnsi="Times New Roman" w:cs="Times New Roman"/>
          <w:sz w:val="24"/>
          <w:szCs w:val="24"/>
        </w:rPr>
        <w:t xml:space="preserve"> Groundwater development in fractured basement terrain: A case study of Ilorin, Nigeria. </w:t>
      </w:r>
      <w:r w:rsidRPr="001C6E4B">
        <w:rPr>
          <w:rFonts w:ascii="Times New Roman" w:eastAsia="Times New Roman" w:hAnsi="Times New Roman" w:cs="Times New Roman"/>
          <w:i/>
          <w:iCs/>
          <w:sz w:val="24"/>
          <w:szCs w:val="24"/>
        </w:rPr>
        <w:t>Hydrogeology Journal</w:t>
      </w:r>
      <w:r w:rsidRPr="001C6E4B">
        <w:rPr>
          <w:rFonts w:ascii="Times New Roman" w:eastAsia="Times New Roman" w:hAnsi="Times New Roman" w:cs="Times New Roman"/>
          <w:sz w:val="24"/>
          <w:szCs w:val="24"/>
        </w:rPr>
        <w:t>, 23(6), 1283-1296.</w:t>
      </w:r>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C6E4B">
        <w:rPr>
          <w:rFonts w:ascii="Times New Roman" w:eastAsia="Times New Roman" w:hAnsi="Times New Roman" w:cs="Times New Roman"/>
          <w:b/>
          <w:bCs/>
          <w:sz w:val="24"/>
          <w:szCs w:val="24"/>
        </w:rPr>
        <w:t>Tijani</w:t>
      </w:r>
      <w:proofErr w:type="spellEnd"/>
      <w:r w:rsidRPr="001C6E4B">
        <w:rPr>
          <w:rFonts w:ascii="Times New Roman" w:eastAsia="Times New Roman" w:hAnsi="Times New Roman" w:cs="Times New Roman"/>
          <w:b/>
          <w:bCs/>
          <w:sz w:val="24"/>
          <w:szCs w:val="24"/>
        </w:rPr>
        <w:t>, M. N.</w:t>
      </w:r>
      <w:r w:rsidRPr="001C6E4B">
        <w:rPr>
          <w:rFonts w:ascii="Times New Roman" w:eastAsia="Times New Roman" w:hAnsi="Times New Roman" w:cs="Times New Roman"/>
          <w:sz w:val="24"/>
          <w:szCs w:val="24"/>
        </w:rPr>
        <w:t xml:space="preserve"> (2016). Groundwater: The buried vulnerable treasure. </w:t>
      </w:r>
      <w:proofErr w:type="gramStart"/>
      <w:r w:rsidRPr="001C6E4B">
        <w:rPr>
          <w:rFonts w:ascii="Times New Roman" w:eastAsia="Times New Roman" w:hAnsi="Times New Roman" w:cs="Times New Roman"/>
          <w:i/>
          <w:iCs/>
          <w:sz w:val="24"/>
          <w:szCs w:val="24"/>
        </w:rPr>
        <w:t>Inaugural Lecture</w:t>
      </w:r>
      <w:r w:rsidRPr="001C6E4B">
        <w:rPr>
          <w:rFonts w:ascii="Times New Roman" w:eastAsia="Times New Roman" w:hAnsi="Times New Roman" w:cs="Times New Roman"/>
          <w:sz w:val="24"/>
          <w:szCs w:val="24"/>
        </w:rPr>
        <w:t>, University of Ibadan, 80 pp.</w:t>
      </w:r>
      <w:proofErr w:type="gramEnd"/>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C6E4B">
        <w:rPr>
          <w:rFonts w:ascii="Times New Roman" w:eastAsia="Times New Roman" w:hAnsi="Times New Roman" w:cs="Times New Roman"/>
          <w:b/>
          <w:bCs/>
          <w:sz w:val="24"/>
          <w:szCs w:val="24"/>
        </w:rPr>
        <w:t xml:space="preserve">Umar, M. B., </w:t>
      </w:r>
      <w:proofErr w:type="spellStart"/>
      <w:r w:rsidRPr="001C6E4B">
        <w:rPr>
          <w:rFonts w:ascii="Times New Roman" w:eastAsia="Times New Roman" w:hAnsi="Times New Roman" w:cs="Times New Roman"/>
          <w:b/>
          <w:bCs/>
          <w:sz w:val="24"/>
          <w:szCs w:val="24"/>
        </w:rPr>
        <w:t>Okon</w:t>
      </w:r>
      <w:proofErr w:type="spellEnd"/>
      <w:r w:rsidRPr="001C6E4B">
        <w:rPr>
          <w:rFonts w:ascii="Times New Roman" w:eastAsia="Times New Roman" w:hAnsi="Times New Roman" w:cs="Times New Roman"/>
          <w:b/>
          <w:bCs/>
          <w:sz w:val="24"/>
          <w:szCs w:val="24"/>
        </w:rPr>
        <w:t xml:space="preserve">, I. E., &amp; </w:t>
      </w:r>
      <w:proofErr w:type="spellStart"/>
      <w:r w:rsidRPr="001C6E4B">
        <w:rPr>
          <w:rFonts w:ascii="Times New Roman" w:eastAsia="Times New Roman" w:hAnsi="Times New Roman" w:cs="Times New Roman"/>
          <w:b/>
          <w:bCs/>
          <w:sz w:val="24"/>
          <w:szCs w:val="24"/>
        </w:rPr>
        <w:t>Tijani</w:t>
      </w:r>
      <w:proofErr w:type="spellEnd"/>
      <w:r w:rsidRPr="001C6E4B">
        <w:rPr>
          <w:rFonts w:ascii="Times New Roman" w:eastAsia="Times New Roman" w:hAnsi="Times New Roman" w:cs="Times New Roman"/>
          <w:b/>
          <w:bCs/>
          <w:sz w:val="24"/>
          <w:szCs w:val="24"/>
        </w:rPr>
        <w:t>, M. N.</w:t>
      </w:r>
      <w:r w:rsidRPr="001C6E4B">
        <w:rPr>
          <w:rFonts w:ascii="Times New Roman" w:eastAsia="Times New Roman" w:hAnsi="Times New Roman" w:cs="Times New Roman"/>
          <w:sz w:val="24"/>
          <w:szCs w:val="24"/>
        </w:rPr>
        <w:t xml:space="preserve"> (2023). </w:t>
      </w:r>
      <w:proofErr w:type="spellStart"/>
      <w:r w:rsidRPr="001C6E4B">
        <w:rPr>
          <w:rFonts w:ascii="Times New Roman" w:eastAsia="Times New Roman" w:hAnsi="Times New Roman" w:cs="Times New Roman"/>
          <w:sz w:val="24"/>
          <w:szCs w:val="24"/>
        </w:rPr>
        <w:t>Physico</w:t>
      </w:r>
      <w:proofErr w:type="spellEnd"/>
      <w:r w:rsidRPr="001C6E4B">
        <w:rPr>
          <w:rFonts w:ascii="Times New Roman" w:eastAsia="Times New Roman" w:hAnsi="Times New Roman" w:cs="Times New Roman"/>
          <w:sz w:val="24"/>
          <w:szCs w:val="24"/>
        </w:rPr>
        <w:t xml:space="preserve">-chemical characterization of groundwater in Ilorin: Implications for water quality management. </w:t>
      </w:r>
      <w:proofErr w:type="gramStart"/>
      <w:r w:rsidRPr="001C6E4B">
        <w:rPr>
          <w:rFonts w:ascii="Times New Roman" w:eastAsia="Times New Roman" w:hAnsi="Times New Roman" w:cs="Times New Roman"/>
          <w:i/>
          <w:iCs/>
          <w:sz w:val="24"/>
          <w:szCs w:val="24"/>
        </w:rPr>
        <w:t>Environmental Monitoring and Assessment</w:t>
      </w:r>
      <w:r w:rsidRPr="001C6E4B">
        <w:rPr>
          <w:rFonts w:ascii="Times New Roman" w:eastAsia="Times New Roman" w:hAnsi="Times New Roman" w:cs="Times New Roman"/>
          <w:sz w:val="24"/>
          <w:szCs w:val="24"/>
        </w:rPr>
        <w:t>, 195(9), 1234.</w:t>
      </w:r>
      <w:proofErr w:type="gramEnd"/>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C6E4B">
        <w:rPr>
          <w:rFonts w:ascii="Times New Roman" w:eastAsia="Times New Roman" w:hAnsi="Times New Roman" w:cs="Times New Roman"/>
          <w:b/>
          <w:bCs/>
          <w:sz w:val="24"/>
          <w:szCs w:val="24"/>
        </w:rPr>
        <w:t>Oyawoye</w:t>
      </w:r>
      <w:proofErr w:type="spellEnd"/>
      <w:r w:rsidRPr="001C6E4B">
        <w:rPr>
          <w:rFonts w:ascii="Times New Roman" w:eastAsia="Times New Roman" w:hAnsi="Times New Roman" w:cs="Times New Roman"/>
          <w:b/>
          <w:bCs/>
          <w:sz w:val="24"/>
          <w:szCs w:val="24"/>
        </w:rPr>
        <w:t>, M. O.</w:t>
      </w:r>
      <w:r w:rsidRPr="001C6E4B">
        <w:rPr>
          <w:rFonts w:ascii="Times New Roman" w:eastAsia="Times New Roman" w:hAnsi="Times New Roman" w:cs="Times New Roman"/>
          <w:sz w:val="24"/>
          <w:szCs w:val="24"/>
        </w:rPr>
        <w:t xml:space="preserve"> (1972). </w:t>
      </w:r>
      <w:proofErr w:type="gramStart"/>
      <w:r w:rsidRPr="001C6E4B">
        <w:rPr>
          <w:rFonts w:ascii="Times New Roman" w:eastAsia="Times New Roman" w:hAnsi="Times New Roman" w:cs="Times New Roman"/>
          <w:sz w:val="24"/>
          <w:szCs w:val="24"/>
        </w:rPr>
        <w:t>The Basement Complex of Nigeria.</w:t>
      </w:r>
      <w:proofErr w:type="gramEnd"/>
      <w:r w:rsidRPr="001C6E4B">
        <w:rPr>
          <w:rFonts w:ascii="Times New Roman" w:eastAsia="Times New Roman" w:hAnsi="Times New Roman" w:cs="Times New Roman"/>
          <w:sz w:val="24"/>
          <w:szCs w:val="24"/>
        </w:rPr>
        <w:t xml:space="preserve"> In T. F. J. Dens Savage &amp; A. J. Whiteman (Eds.), </w:t>
      </w:r>
      <w:r w:rsidRPr="001C6E4B">
        <w:rPr>
          <w:rFonts w:ascii="Times New Roman" w:eastAsia="Times New Roman" w:hAnsi="Times New Roman" w:cs="Times New Roman"/>
          <w:i/>
          <w:iCs/>
          <w:sz w:val="24"/>
          <w:szCs w:val="24"/>
        </w:rPr>
        <w:t>Africa Geology</w:t>
      </w:r>
      <w:r w:rsidRPr="001C6E4B">
        <w:rPr>
          <w:rFonts w:ascii="Times New Roman" w:eastAsia="Times New Roman" w:hAnsi="Times New Roman" w:cs="Times New Roman"/>
          <w:sz w:val="24"/>
          <w:szCs w:val="24"/>
        </w:rPr>
        <w:t xml:space="preserve"> (pp. 67-99). Ibadan University Press, Ibadan.</w:t>
      </w:r>
    </w:p>
    <w:sectPr w:rsidR="001C6E4B" w:rsidRPr="001C6E4B" w:rsidSect="001B16B0">
      <w:footerReference w:type="default" r:id="rId23"/>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0BE" w:rsidRDefault="001E30BE" w:rsidP="00145EE3">
      <w:pPr>
        <w:spacing w:after="0" w:line="240" w:lineRule="auto"/>
      </w:pPr>
      <w:r>
        <w:separator/>
      </w:r>
    </w:p>
  </w:endnote>
  <w:endnote w:type="continuationSeparator" w:id="0">
    <w:p w:rsidR="001E30BE" w:rsidRDefault="001E30BE" w:rsidP="00145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030936723"/>
      <w:docPartObj>
        <w:docPartGallery w:val="Page Numbers (Bottom of Page)"/>
        <w:docPartUnique/>
      </w:docPartObj>
    </w:sdtPr>
    <w:sdtEndPr>
      <w:rPr>
        <w:noProof/>
      </w:rPr>
    </w:sdtEndPr>
    <w:sdtContent>
      <w:p w:rsidR="00D370AD" w:rsidRPr="00145EE3" w:rsidRDefault="00D370AD">
        <w:pPr>
          <w:pStyle w:val="Footer"/>
          <w:jc w:val="center"/>
          <w:rPr>
            <w:rFonts w:ascii="Times New Roman" w:hAnsi="Times New Roman" w:cs="Times New Roman"/>
            <w:sz w:val="24"/>
            <w:szCs w:val="24"/>
          </w:rPr>
        </w:pPr>
        <w:r w:rsidRPr="00145EE3">
          <w:rPr>
            <w:rFonts w:ascii="Times New Roman" w:hAnsi="Times New Roman" w:cs="Times New Roman"/>
            <w:sz w:val="24"/>
            <w:szCs w:val="24"/>
          </w:rPr>
          <w:fldChar w:fldCharType="begin"/>
        </w:r>
        <w:r w:rsidRPr="00145EE3">
          <w:rPr>
            <w:rFonts w:ascii="Times New Roman" w:hAnsi="Times New Roman" w:cs="Times New Roman"/>
            <w:sz w:val="24"/>
            <w:szCs w:val="24"/>
          </w:rPr>
          <w:instrText xml:space="preserve"> PAGE   \* MERGEFORMAT </w:instrText>
        </w:r>
        <w:r w:rsidRPr="00145EE3">
          <w:rPr>
            <w:rFonts w:ascii="Times New Roman" w:hAnsi="Times New Roman" w:cs="Times New Roman"/>
            <w:sz w:val="24"/>
            <w:szCs w:val="24"/>
          </w:rPr>
          <w:fldChar w:fldCharType="separate"/>
        </w:r>
        <w:r w:rsidR="003137CA">
          <w:rPr>
            <w:rFonts w:ascii="Times New Roman" w:hAnsi="Times New Roman" w:cs="Times New Roman"/>
            <w:noProof/>
            <w:sz w:val="24"/>
            <w:szCs w:val="24"/>
          </w:rPr>
          <w:t>1</w:t>
        </w:r>
        <w:r w:rsidRPr="00145EE3">
          <w:rPr>
            <w:rFonts w:ascii="Times New Roman" w:hAnsi="Times New Roman" w:cs="Times New Roman"/>
            <w:noProof/>
            <w:sz w:val="24"/>
            <w:szCs w:val="24"/>
          </w:rPr>
          <w:fldChar w:fldCharType="end"/>
        </w:r>
      </w:p>
    </w:sdtContent>
  </w:sdt>
  <w:p w:rsidR="00D370AD" w:rsidRDefault="00D370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0BE" w:rsidRDefault="001E30BE" w:rsidP="00145EE3">
      <w:pPr>
        <w:spacing w:after="0" w:line="240" w:lineRule="auto"/>
      </w:pPr>
      <w:r>
        <w:separator/>
      </w:r>
    </w:p>
  </w:footnote>
  <w:footnote w:type="continuationSeparator" w:id="0">
    <w:p w:rsidR="001E30BE" w:rsidRDefault="001E30BE" w:rsidP="00145E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F06B6"/>
    <w:multiLevelType w:val="hybridMultilevel"/>
    <w:tmpl w:val="3C18C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1B0ECC"/>
    <w:multiLevelType w:val="multilevel"/>
    <w:tmpl w:val="DADE3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D37320"/>
    <w:multiLevelType w:val="multilevel"/>
    <w:tmpl w:val="CEF89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D66FD7"/>
    <w:multiLevelType w:val="multilevel"/>
    <w:tmpl w:val="AE3E35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720811"/>
    <w:multiLevelType w:val="multilevel"/>
    <w:tmpl w:val="48F0A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043057"/>
    <w:multiLevelType w:val="hybridMultilevel"/>
    <w:tmpl w:val="7D7A1B46"/>
    <w:lvl w:ilvl="0" w:tplc="0409000D">
      <w:start w:val="1"/>
      <w:numFmt w:val="bullet"/>
      <w:lvlText w:val=""/>
      <w:lvlJc w:val="left"/>
      <w:pPr>
        <w:ind w:left="915" w:hanging="360"/>
      </w:pPr>
      <w:rPr>
        <w:rFonts w:ascii="Wingdings" w:hAnsi="Wingdings"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6">
    <w:nsid w:val="3A9D5ED3"/>
    <w:multiLevelType w:val="hybridMultilevel"/>
    <w:tmpl w:val="29FC3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0F696B"/>
    <w:multiLevelType w:val="multilevel"/>
    <w:tmpl w:val="F068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B81688"/>
    <w:multiLevelType w:val="multilevel"/>
    <w:tmpl w:val="0E24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01068C"/>
    <w:multiLevelType w:val="multilevel"/>
    <w:tmpl w:val="982A2F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9985D6E"/>
    <w:multiLevelType w:val="multilevel"/>
    <w:tmpl w:val="1D082D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9CC41FE"/>
    <w:multiLevelType w:val="multilevel"/>
    <w:tmpl w:val="D072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6E7FB7"/>
    <w:multiLevelType w:val="hybridMultilevel"/>
    <w:tmpl w:val="C53048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614AA4"/>
    <w:multiLevelType w:val="multilevel"/>
    <w:tmpl w:val="521C59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2010154"/>
    <w:multiLevelType w:val="multilevel"/>
    <w:tmpl w:val="2D9A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215E1C"/>
    <w:multiLevelType w:val="multilevel"/>
    <w:tmpl w:val="614C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CD1DA1"/>
    <w:multiLevelType w:val="hybridMultilevel"/>
    <w:tmpl w:val="BCE29E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7F0E28"/>
    <w:multiLevelType w:val="multilevel"/>
    <w:tmpl w:val="6EC020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DE00356"/>
    <w:multiLevelType w:val="multilevel"/>
    <w:tmpl w:val="3BA0F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EFD1DE2"/>
    <w:multiLevelType w:val="multilevel"/>
    <w:tmpl w:val="611AA5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0497B0B"/>
    <w:multiLevelType w:val="multilevel"/>
    <w:tmpl w:val="350424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7E55447"/>
    <w:multiLevelType w:val="multilevel"/>
    <w:tmpl w:val="E61C8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9410919"/>
    <w:multiLevelType w:val="hybridMultilevel"/>
    <w:tmpl w:val="34AE6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061296"/>
    <w:multiLevelType w:val="multilevel"/>
    <w:tmpl w:val="780A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3"/>
  </w:num>
  <w:num w:numId="3">
    <w:abstractNumId w:val="3"/>
  </w:num>
  <w:num w:numId="4">
    <w:abstractNumId w:val="14"/>
  </w:num>
  <w:num w:numId="5">
    <w:abstractNumId w:val="20"/>
  </w:num>
  <w:num w:numId="6">
    <w:abstractNumId w:val="8"/>
  </w:num>
  <w:num w:numId="7">
    <w:abstractNumId w:val="10"/>
  </w:num>
  <w:num w:numId="8">
    <w:abstractNumId w:val="7"/>
  </w:num>
  <w:num w:numId="9">
    <w:abstractNumId w:val="9"/>
  </w:num>
  <w:num w:numId="10">
    <w:abstractNumId w:val="21"/>
  </w:num>
  <w:num w:numId="11">
    <w:abstractNumId w:val="19"/>
  </w:num>
  <w:num w:numId="12">
    <w:abstractNumId w:val="15"/>
  </w:num>
  <w:num w:numId="13">
    <w:abstractNumId w:val="11"/>
  </w:num>
  <w:num w:numId="14">
    <w:abstractNumId w:val="12"/>
  </w:num>
  <w:num w:numId="15">
    <w:abstractNumId w:val="5"/>
  </w:num>
  <w:num w:numId="16">
    <w:abstractNumId w:val="16"/>
  </w:num>
  <w:num w:numId="17">
    <w:abstractNumId w:val="18"/>
  </w:num>
  <w:num w:numId="18">
    <w:abstractNumId w:val="22"/>
  </w:num>
  <w:num w:numId="19">
    <w:abstractNumId w:val="17"/>
  </w:num>
  <w:num w:numId="20">
    <w:abstractNumId w:val="2"/>
  </w:num>
  <w:num w:numId="21">
    <w:abstractNumId w:val="13"/>
  </w:num>
  <w:num w:numId="22">
    <w:abstractNumId w:val="0"/>
  </w:num>
  <w:num w:numId="23">
    <w:abstractNumId w:val="6"/>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727"/>
    <w:rsid w:val="000343CE"/>
    <w:rsid w:val="00144EC5"/>
    <w:rsid w:val="00145EE3"/>
    <w:rsid w:val="001B16B0"/>
    <w:rsid w:val="001B2BB3"/>
    <w:rsid w:val="001C6E4B"/>
    <w:rsid w:val="001E30BE"/>
    <w:rsid w:val="00207CE4"/>
    <w:rsid w:val="00291A63"/>
    <w:rsid w:val="003137CA"/>
    <w:rsid w:val="003166A9"/>
    <w:rsid w:val="0037735E"/>
    <w:rsid w:val="00384B4A"/>
    <w:rsid w:val="003B54B9"/>
    <w:rsid w:val="003C2BC0"/>
    <w:rsid w:val="00527140"/>
    <w:rsid w:val="00541BD5"/>
    <w:rsid w:val="00612003"/>
    <w:rsid w:val="006471E2"/>
    <w:rsid w:val="00733064"/>
    <w:rsid w:val="00775655"/>
    <w:rsid w:val="0079100E"/>
    <w:rsid w:val="008C6727"/>
    <w:rsid w:val="008F5D4B"/>
    <w:rsid w:val="00933052"/>
    <w:rsid w:val="00A86BBA"/>
    <w:rsid w:val="00B2439C"/>
    <w:rsid w:val="00B96E14"/>
    <w:rsid w:val="00BA05CC"/>
    <w:rsid w:val="00BA0A37"/>
    <w:rsid w:val="00C10792"/>
    <w:rsid w:val="00C1670C"/>
    <w:rsid w:val="00C70260"/>
    <w:rsid w:val="00CF514E"/>
    <w:rsid w:val="00D363AD"/>
    <w:rsid w:val="00D370AD"/>
    <w:rsid w:val="00EF0CC0"/>
    <w:rsid w:val="00F038DC"/>
    <w:rsid w:val="00F509B8"/>
    <w:rsid w:val="00FD7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B2B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3305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2">
    <w:name w:val="my-2"/>
    <w:basedOn w:val="Normal"/>
    <w:rsid w:val="00291A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6E4B"/>
    <w:rPr>
      <w:b/>
      <w:bCs/>
    </w:rPr>
  </w:style>
  <w:style w:type="character" w:styleId="Emphasis">
    <w:name w:val="Emphasis"/>
    <w:basedOn w:val="DefaultParagraphFont"/>
    <w:uiPriority w:val="20"/>
    <w:qFormat/>
    <w:rsid w:val="001C6E4B"/>
    <w:rPr>
      <w:i/>
      <w:iCs/>
    </w:rPr>
  </w:style>
  <w:style w:type="character" w:customStyle="1" w:styleId="Heading2Char">
    <w:name w:val="Heading 2 Char"/>
    <w:basedOn w:val="DefaultParagraphFont"/>
    <w:link w:val="Heading2"/>
    <w:uiPriority w:val="9"/>
    <w:rsid w:val="001B2BB3"/>
    <w:rPr>
      <w:rFonts w:ascii="Times New Roman" w:eastAsia="Times New Roman" w:hAnsi="Times New Roman" w:cs="Times New Roman"/>
      <w:b/>
      <w:bCs/>
      <w:sz w:val="36"/>
      <w:szCs w:val="36"/>
    </w:rPr>
  </w:style>
  <w:style w:type="paragraph" w:customStyle="1" w:styleId="my-0">
    <w:name w:val="my-0"/>
    <w:basedOn w:val="Normal"/>
    <w:rsid w:val="001B2BB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B2BB3"/>
    <w:pPr>
      <w:ind w:left="720"/>
      <w:contextualSpacing/>
    </w:pPr>
  </w:style>
  <w:style w:type="paragraph" w:styleId="NormalWeb">
    <w:name w:val="Normal (Web)"/>
    <w:basedOn w:val="Normal"/>
    <w:uiPriority w:val="99"/>
    <w:unhideWhenUsed/>
    <w:rsid w:val="001B2B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933052"/>
    <w:rPr>
      <w:rFonts w:asciiTheme="majorHAnsi" w:eastAsiaTheme="majorEastAsia" w:hAnsiTheme="majorHAnsi" w:cstheme="majorBidi"/>
      <w:b/>
      <w:bCs/>
      <w:color w:val="4F81BD" w:themeColor="accent1"/>
    </w:rPr>
  </w:style>
  <w:style w:type="paragraph" w:styleId="NoSpacing">
    <w:name w:val="No Spacing"/>
    <w:uiPriority w:val="1"/>
    <w:qFormat/>
    <w:rsid w:val="00933052"/>
    <w:pPr>
      <w:spacing w:after="0" w:line="240" w:lineRule="auto"/>
    </w:pPr>
  </w:style>
  <w:style w:type="paragraph" w:styleId="BalloonText">
    <w:name w:val="Balloon Text"/>
    <w:basedOn w:val="Normal"/>
    <w:link w:val="BalloonTextChar"/>
    <w:uiPriority w:val="99"/>
    <w:semiHidden/>
    <w:unhideWhenUsed/>
    <w:rsid w:val="00933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052"/>
    <w:rPr>
      <w:rFonts w:ascii="Tahoma" w:hAnsi="Tahoma" w:cs="Tahoma"/>
      <w:sz w:val="16"/>
      <w:szCs w:val="16"/>
    </w:rPr>
  </w:style>
  <w:style w:type="table" w:styleId="TableGrid">
    <w:name w:val="Table Grid"/>
    <w:basedOn w:val="TableNormal"/>
    <w:uiPriority w:val="59"/>
    <w:rsid w:val="00BA05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3166A9"/>
    <w:rPr>
      <w:color w:val="0000FF"/>
      <w:u w:val="single"/>
    </w:rPr>
  </w:style>
  <w:style w:type="character" w:customStyle="1" w:styleId="relative">
    <w:name w:val="relative"/>
    <w:basedOn w:val="DefaultParagraphFont"/>
    <w:rsid w:val="003166A9"/>
  </w:style>
  <w:style w:type="character" w:customStyle="1" w:styleId="opacity-50">
    <w:name w:val="opacity-50"/>
    <w:basedOn w:val="DefaultParagraphFont"/>
    <w:rsid w:val="003166A9"/>
  </w:style>
  <w:style w:type="paragraph" w:styleId="Header">
    <w:name w:val="header"/>
    <w:basedOn w:val="Normal"/>
    <w:link w:val="HeaderChar"/>
    <w:uiPriority w:val="99"/>
    <w:unhideWhenUsed/>
    <w:rsid w:val="00145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EE3"/>
  </w:style>
  <w:style w:type="paragraph" w:styleId="Footer">
    <w:name w:val="footer"/>
    <w:basedOn w:val="Normal"/>
    <w:link w:val="FooterChar"/>
    <w:uiPriority w:val="99"/>
    <w:unhideWhenUsed/>
    <w:rsid w:val="00145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E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B2B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3305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2">
    <w:name w:val="my-2"/>
    <w:basedOn w:val="Normal"/>
    <w:rsid w:val="00291A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6E4B"/>
    <w:rPr>
      <w:b/>
      <w:bCs/>
    </w:rPr>
  </w:style>
  <w:style w:type="character" w:styleId="Emphasis">
    <w:name w:val="Emphasis"/>
    <w:basedOn w:val="DefaultParagraphFont"/>
    <w:uiPriority w:val="20"/>
    <w:qFormat/>
    <w:rsid w:val="001C6E4B"/>
    <w:rPr>
      <w:i/>
      <w:iCs/>
    </w:rPr>
  </w:style>
  <w:style w:type="character" w:customStyle="1" w:styleId="Heading2Char">
    <w:name w:val="Heading 2 Char"/>
    <w:basedOn w:val="DefaultParagraphFont"/>
    <w:link w:val="Heading2"/>
    <w:uiPriority w:val="9"/>
    <w:rsid w:val="001B2BB3"/>
    <w:rPr>
      <w:rFonts w:ascii="Times New Roman" w:eastAsia="Times New Roman" w:hAnsi="Times New Roman" w:cs="Times New Roman"/>
      <w:b/>
      <w:bCs/>
      <w:sz w:val="36"/>
      <w:szCs w:val="36"/>
    </w:rPr>
  </w:style>
  <w:style w:type="paragraph" w:customStyle="1" w:styleId="my-0">
    <w:name w:val="my-0"/>
    <w:basedOn w:val="Normal"/>
    <w:rsid w:val="001B2BB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B2BB3"/>
    <w:pPr>
      <w:ind w:left="720"/>
      <w:contextualSpacing/>
    </w:pPr>
  </w:style>
  <w:style w:type="paragraph" w:styleId="NormalWeb">
    <w:name w:val="Normal (Web)"/>
    <w:basedOn w:val="Normal"/>
    <w:uiPriority w:val="99"/>
    <w:unhideWhenUsed/>
    <w:rsid w:val="001B2B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933052"/>
    <w:rPr>
      <w:rFonts w:asciiTheme="majorHAnsi" w:eastAsiaTheme="majorEastAsia" w:hAnsiTheme="majorHAnsi" w:cstheme="majorBidi"/>
      <w:b/>
      <w:bCs/>
      <w:color w:val="4F81BD" w:themeColor="accent1"/>
    </w:rPr>
  </w:style>
  <w:style w:type="paragraph" w:styleId="NoSpacing">
    <w:name w:val="No Spacing"/>
    <w:uiPriority w:val="1"/>
    <w:qFormat/>
    <w:rsid w:val="00933052"/>
    <w:pPr>
      <w:spacing w:after="0" w:line="240" w:lineRule="auto"/>
    </w:pPr>
  </w:style>
  <w:style w:type="paragraph" w:styleId="BalloonText">
    <w:name w:val="Balloon Text"/>
    <w:basedOn w:val="Normal"/>
    <w:link w:val="BalloonTextChar"/>
    <w:uiPriority w:val="99"/>
    <w:semiHidden/>
    <w:unhideWhenUsed/>
    <w:rsid w:val="00933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052"/>
    <w:rPr>
      <w:rFonts w:ascii="Tahoma" w:hAnsi="Tahoma" w:cs="Tahoma"/>
      <w:sz w:val="16"/>
      <w:szCs w:val="16"/>
    </w:rPr>
  </w:style>
  <w:style w:type="table" w:styleId="TableGrid">
    <w:name w:val="Table Grid"/>
    <w:basedOn w:val="TableNormal"/>
    <w:uiPriority w:val="59"/>
    <w:rsid w:val="00BA05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3166A9"/>
    <w:rPr>
      <w:color w:val="0000FF"/>
      <w:u w:val="single"/>
    </w:rPr>
  </w:style>
  <w:style w:type="character" w:customStyle="1" w:styleId="relative">
    <w:name w:val="relative"/>
    <w:basedOn w:val="DefaultParagraphFont"/>
    <w:rsid w:val="003166A9"/>
  </w:style>
  <w:style w:type="character" w:customStyle="1" w:styleId="opacity-50">
    <w:name w:val="opacity-50"/>
    <w:basedOn w:val="DefaultParagraphFont"/>
    <w:rsid w:val="003166A9"/>
  </w:style>
  <w:style w:type="paragraph" w:styleId="Header">
    <w:name w:val="header"/>
    <w:basedOn w:val="Normal"/>
    <w:link w:val="HeaderChar"/>
    <w:uiPriority w:val="99"/>
    <w:unhideWhenUsed/>
    <w:rsid w:val="00145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EE3"/>
  </w:style>
  <w:style w:type="paragraph" w:styleId="Footer">
    <w:name w:val="footer"/>
    <w:basedOn w:val="Normal"/>
    <w:link w:val="FooterChar"/>
    <w:uiPriority w:val="99"/>
    <w:unhideWhenUsed/>
    <w:rsid w:val="00145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16885">
      <w:bodyDiv w:val="1"/>
      <w:marLeft w:val="0"/>
      <w:marRight w:val="0"/>
      <w:marTop w:val="0"/>
      <w:marBottom w:val="0"/>
      <w:divBdr>
        <w:top w:val="none" w:sz="0" w:space="0" w:color="auto"/>
        <w:left w:val="none" w:sz="0" w:space="0" w:color="auto"/>
        <w:bottom w:val="none" w:sz="0" w:space="0" w:color="auto"/>
        <w:right w:val="none" w:sz="0" w:space="0" w:color="auto"/>
      </w:divBdr>
      <w:divsChild>
        <w:div w:id="1409424102">
          <w:marLeft w:val="0"/>
          <w:marRight w:val="0"/>
          <w:marTop w:val="0"/>
          <w:marBottom w:val="0"/>
          <w:divBdr>
            <w:top w:val="none" w:sz="0" w:space="0" w:color="auto"/>
            <w:left w:val="none" w:sz="0" w:space="0" w:color="auto"/>
            <w:bottom w:val="none" w:sz="0" w:space="0" w:color="auto"/>
            <w:right w:val="none" w:sz="0" w:space="0" w:color="auto"/>
          </w:divBdr>
          <w:divsChild>
            <w:div w:id="59848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17367">
      <w:bodyDiv w:val="1"/>
      <w:marLeft w:val="0"/>
      <w:marRight w:val="0"/>
      <w:marTop w:val="0"/>
      <w:marBottom w:val="0"/>
      <w:divBdr>
        <w:top w:val="none" w:sz="0" w:space="0" w:color="auto"/>
        <w:left w:val="none" w:sz="0" w:space="0" w:color="auto"/>
        <w:bottom w:val="none" w:sz="0" w:space="0" w:color="auto"/>
        <w:right w:val="none" w:sz="0" w:space="0" w:color="auto"/>
      </w:divBdr>
      <w:divsChild>
        <w:div w:id="2012828626">
          <w:marLeft w:val="0"/>
          <w:marRight w:val="0"/>
          <w:marTop w:val="0"/>
          <w:marBottom w:val="0"/>
          <w:divBdr>
            <w:top w:val="none" w:sz="0" w:space="0" w:color="auto"/>
            <w:left w:val="none" w:sz="0" w:space="0" w:color="auto"/>
            <w:bottom w:val="none" w:sz="0" w:space="0" w:color="auto"/>
            <w:right w:val="none" w:sz="0" w:space="0" w:color="auto"/>
          </w:divBdr>
          <w:divsChild>
            <w:div w:id="144326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232209">
      <w:bodyDiv w:val="1"/>
      <w:marLeft w:val="0"/>
      <w:marRight w:val="0"/>
      <w:marTop w:val="0"/>
      <w:marBottom w:val="0"/>
      <w:divBdr>
        <w:top w:val="none" w:sz="0" w:space="0" w:color="auto"/>
        <w:left w:val="none" w:sz="0" w:space="0" w:color="auto"/>
        <w:bottom w:val="none" w:sz="0" w:space="0" w:color="auto"/>
        <w:right w:val="none" w:sz="0" w:space="0" w:color="auto"/>
      </w:divBdr>
      <w:divsChild>
        <w:div w:id="896546460">
          <w:marLeft w:val="0"/>
          <w:marRight w:val="0"/>
          <w:marTop w:val="0"/>
          <w:marBottom w:val="0"/>
          <w:divBdr>
            <w:top w:val="none" w:sz="0" w:space="0" w:color="auto"/>
            <w:left w:val="none" w:sz="0" w:space="0" w:color="auto"/>
            <w:bottom w:val="none" w:sz="0" w:space="0" w:color="auto"/>
            <w:right w:val="none" w:sz="0" w:space="0" w:color="auto"/>
          </w:divBdr>
          <w:divsChild>
            <w:div w:id="8034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chart" Target="charts/chart8.xml"/><Relationship Id="rId3" Type="http://schemas.microsoft.com/office/2007/relationships/stylesWithEffects" Target="stylesWithEffect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4.xml"/><Relationship Id="rId22" Type="http://schemas.openxmlformats.org/officeDocument/2006/relationships/chart" Target="charts/chart1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NULL" TargetMode="Externa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TOTAL HARDNESS (mg/l</a:t>
            </a:r>
            <a:r>
              <a:rPr lang="en-US" sz="1800" b="1" i="0" u="none" strike="noStrike" baseline="0">
                <a:effectLst/>
              </a:rPr>
              <a:t>CaCO</a:t>
            </a:r>
            <a:r>
              <a:rPr lang="en-US" sz="1800" b="1" i="0" u="none" strike="noStrike" baseline="-25000">
                <a:effectLst/>
              </a:rPr>
              <a:t>3</a:t>
            </a:r>
            <a:r>
              <a:rPr lang="en-US"/>
              <a:t>)</a:t>
            </a:r>
          </a:p>
        </c:rich>
      </c:tx>
      <c:overlay val="0"/>
    </c:title>
    <c:autoTitleDeleted val="0"/>
    <c:plotArea>
      <c:layout/>
      <c:barChart>
        <c:barDir val="col"/>
        <c:grouping val="clustered"/>
        <c:varyColors val="0"/>
        <c:ser>
          <c:idx val="0"/>
          <c:order val="0"/>
          <c:tx>
            <c:strRef>
              <c:f>Sheet1!$B$1</c:f>
              <c:strCache>
                <c:ptCount val="1"/>
                <c:pt idx="0">
                  <c:v>TOTAL HARDNESS (mg/lcac03)</c:v>
                </c:pt>
              </c:strCache>
            </c:strRef>
          </c:tx>
          <c:spPr>
            <a:solidFill>
              <a:schemeClr val="tx1"/>
            </a:solidFill>
            <a:ln>
              <a:solidFill>
                <a:schemeClr val="tx1"/>
              </a:solidFill>
            </a:ln>
          </c:spPr>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Sheet1!$B$2:$B$32</c:f>
              <c:numCache>
                <c:formatCode>General</c:formatCode>
                <c:ptCount val="31"/>
                <c:pt idx="0">
                  <c:v>261.31</c:v>
                </c:pt>
                <c:pt idx="1">
                  <c:v>233.2</c:v>
                </c:pt>
                <c:pt idx="2">
                  <c:v>302.55</c:v>
                </c:pt>
                <c:pt idx="3">
                  <c:v>253.06</c:v>
                </c:pt>
                <c:pt idx="4">
                  <c:v>231.62</c:v>
                </c:pt>
                <c:pt idx="5">
                  <c:v>318.74</c:v>
                </c:pt>
                <c:pt idx="6">
                  <c:v>231.13</c:v>
                </c:pt>
                <c:pt idx="7">
                  <c:v>232.6</c:v>
                </c:pt>
                <c:pt idx="8">
                  <c:v>266.72999999999996</c:v>
                </c:pt>
                <c:pt idx="9">
                  <c:v>230.69</c:v>
                </c:pt>
                <c:pt idx="10">
                  <c:v>328.26</c:v>
                </c:pt>
                <c:pt idx="11">
                  <c:v>221.28</c:v>
                </c:pt>
                <c:pt idx="12">
                  <c:v>298.77999999999992</c:v>
                </c:pt>
                <c:pt idx="13">
                  <c:v>313.44</c:v>
                </c:pt>
                <c:pt idx="14">
                  <c:v>282.32</c:v>
                </c:pt>
                <c:pt idx="15">
                  <c:v>346.25</c:v>
                </c:pt>
                <c:pt idx="16">
                  <c:v>331.26</c:v>
                </c:pt>
                <c:pt idx="17">
                  <c:v>350.46</c:v>
                </c:pt>
                <c:pt idx="18">
                  <c:v>274.88</c:v>
                </c:pt>
                <c:pt idx="19">
                  <c:v>233.99</c:v>
                </c:pt>
                <c:pt idx="20">
                  <c:v>263.98999999999995</c:v>
                </c:pt>
                <c:pt idx="21">
                  <c:v>222.76</c:v>
                </c:pt>
                <c:pt idx="22">
                  <c:v>227.02</c:v>
                </c:pt>
                <c:pt idx="23">
                  <c:v>229.92000000000002</c:v>
                </c:pt>
                <c:pt idx="24">
                  <c:v>226.37</c:v>
                </c:pt>
                <c:pt idx="25">
                  <c:v>265.91000000000003</c:v>
                </c:pt>
                <c:pt idx="26">
                  <c:v>273.57</c:v>
                </c:pt>
                <c:pt idx="27">
                  <c:v>280.62</c:v>
                </c:pt>
                <c:pt idx="28">
                  <c:v>227.5</c:v>
                </c:pt>
                <c:pt idx="29">
                  <c:v>227.68</c:v>
                </c:pt>
                <c:pt idx="30">
                  <c:v>180</c:v>
                </c:pt>
              </c:numCache>
            </c:numRef>
          </c:val>
        </c:ser>
        <c:ser>
          <c:idx val="1"/>
          <c:order val="1"/>
          <c:tx>
            <c:strRef>
              <c:f>Sheet1!$C$1</c:f>
              <c:strCache>
                <c:ptCount val="1"/>
                <c:pt idx="0">
                  <c:v>Column1</c:v>
                </c:pt>
              </c:strCache>
            </c:strRef>
          </c:tx>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Sheet1!$C$2:$C$32</c:f>
            </c:numRef>
          </c:val>
        </c:ser>
        <c:dLbls>
          <c:showLegendKey val="0"/>
          <c:showVal val="0"/>
          <c:showCatName val="0"/>
          <c:showSerName val="0"/>
          <c:showPercent val="0"/>
          <c:showBubbleSize val="0"/>
        </c:dLbls>
        <c:gapWidth val="150"/>
        <c:axId val="325018368"/>
        <c:axId val="325020288"/>
      </c:barChart>
      <c:catAx>
        <c:axId val="325018368"/>
        <c:scaling>
          <c:orientation val="minMax"/>
        </c:scaling>
        <c:delete val="0"/>
        <c:axPos val="b"/>
        <c:majorTickMark val="out"/>
        <c:minorTickMark val="none"/>
        <c:tickLblPos val="nextTo"/>
        <c:crossAx val="325020288"/>
        <c:crosses val="autoZero"/>
        <c:auto val="1"/>
        <c:lblAlgn val="ctr"/>
        <c:lblOffset val="100"/>
        <c:noMultiLvlLbl val="0"/>
      </c:catAx>
      <c:valAx>
        <c:axId val="325020288"/>
        <c:scaling>
          <c:orientation val="minMax"/>
        </c:scaling>
        <c:delete val="0"/>
        <c:axPos val="l"/>
        <c:majorGridlines/>
        <c:numFmt formatCode="General" sourceLinked="1"/>
        <c:majorTickMark val="out"/>
        <c:minorTickMark val="none"/>
        <c:tickLblPos val="nextTo"/>
        <c:crossAx val="325018368"/>
        <c:crosses val="autoZero"/>
        <c:crossBetween val="between"/>
      </c:valAx>
      <c:spPr>
        <a:ln>
          <a:solidFill>
            <a:schemeClr val="tx1"/>
          </a:solidFill>
        </a:ln>
      </c:spPr>
    </c:plotArea>
    <c:plotVisOnly val="1"/>
    <c:dispBlanksAs val="gap"/>
    <c:showDLblsOverMax val="0"/>
  </c:chart>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Co3</a:t>
            </a:r>
            <a:r>
              <a:rPr lang="en-US" baseline="30000"/>
              <a:t>2</a:t>
            </a:r>
            <a:r>
              <a:rPr lang="en-US"/>
              <a:t> (mg/l)</a:t>
            </a:r>
          </a:p>
        </c:rich>
      </c:tx>
      <c:overlay val="0"/>
    </c:title>
    <c:autoTitleDeleted val="0"/>
    <c:plotArea>
      <c:layout/>
      <c:barChart>
        <c:barDir val="col"/>
        <c:grouping val="clustered"/>
        <c:varyColors val="0"/>
        <c:ser>
          <c:idx val="0"/>
          <c:order val="0"/>
          <c:tx>
            <c:strRef>
              <c:f>Sheet1!$B$1</c:f>
              <c:strCache>
                <c:ptCount val="1"/>
                <c:pt idx="0">
                  <c:v>Co32 (mg/l)</c:v>
                </c:pt>
              </c:strCache>
            </c:strRef>
          </c:tx>
          <c:invertIfNegative val="0"/>
          <c:dPt>
            <c:idx val="30"/>
            <c:invertIfNegative val="0"/>
            <c:bubble3D val="0"/>
            <c:spPr>
              <a:solidFill>
                <a:schemeClr val="tx1"/>
              </a:solidFill>
              <a:ln>
                <a:solidFill>
                  <a:schemeClr val="tx1"/>
                </a:solidFill>
              </a:ln>
            </c:spPr>
          </c:dPt>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Sheet1!$B$2:$B$32</c:f>
              <c:numCache>
                <c:formatCode>General</c:formatCode>
                <c:ptCount val="3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120</c:v>
                </c:pt>
              </c:numCache>
            </c:numRef>
          </c:val>
        </c:ser>
        <c:dLbls>
          <c:showLegendKey val="0"/>
          <c:showVal val="0"/>
          <c:showCatName val="0"/>
          <c:showSerName val="0"/>
          <c:showPercent val="0"/>
          <c:showBubbleSize val="0"/>
        </c:dLbls>
        <c:gapWidth val="150"/>
        <c:axId val="319622144"/>
        <c:axId val="319623936"/>
      </c:barChart>
      <c:catAx>
        <c:axId val="319622144"/>
        <c:scaling>
          <c:orientation val="minMax"/>
        </c:scaling>
        <c:delete val="0"/>
        <c:axPos val="b"/>
        <c:majorTickMark val="out"/>
        <c:minorTickMark val="none"/>
        <c:tickLblPos val="nextTo"/>
        <c:crossAx val="319623936"/>
        <c:crosses val="autoZero"/>
        <c:auto val="1"/>
        <c:lblAlgn val="ctr"/>
        <c:lblOffset val="100"/>
        <c:noMultiLvlLbl val="0"/>
      </c:catAx>
      <c:valAx>
        <c:axId val="319623936"/>
        <c:scaling>
          <c:orientation val="minMax"/>
        </c:scaling>
        <c:delete val="0"/>
        <c:axPos val="l"/>
        <c:majorGridlines/>
        <c:numFmt formatCode="General" sourceLinked="1"/>
        <c:majorTickMark val="out"/>
        <c:minorTickMark val="none"/>
        <c:tickLblPos val="nextTo"/>
        <c:crossAx val="319622144"/>
        <c:crosses val="autoZero"/>
        <c:crossBetween val="between"/>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Sheet1!$B$1</c:f>
              <c:strCache>
                <c:ptCount val="1"/>
                <c:pt idx="0">
                  <c:v>Na (ppm)</c:v>
                </c:pt>
              </c:strCache>
            </c:strRef>
          </c:tx>
          <c:spPr>
            <a:solidFill>
              <a:schemeClr val="tx1"/>
            </a:solidFill>
            <a:ln>
              <a:solidFill>
                <a:schemeClr val="tx1"/>
              </a:solidFill>
            </a:ln>
          </c:spPr>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Sheet1!$B$2:$B$32</c:f>
              <c:numCache>
                <c:formatCode>General</c:formatCode>
                <c:ptCount val="31"/>
                <c:pt idx="0">
                  <c:v>12.52</c:v>
                </c:pt>
                <c:pt idx="1">
                  <c:v>9.7399999999999984</c:v>
                </c:pt>
                <c:pt idx="2">
                  <c:v>13.07</c:v>
                </c:pt>
                <c:pt idx="3">
                  <c:v>10.06</c:v>
                </c:pt>
                <c:pt idx="4">
                  <c:v>8.2800000000000011</c:v>
                </c:pt>
                <c:pt idx="5">
                  <c:v>16.68</c:v>
                </c:pt>
                <c:pt idx="6">
                  <c:v>9.49</c:v>
                </c:pt>
                <c:pt idx="7">
                  <c:v>9.42</c:v>
                </c:pt>
                <c:pt idx="8">
                  <c:v>11.83</c:v>
                </c:pt>
                <c:pt idx="9">
                  <c:v>7.2700000000000005</c:v>
                </c:pt>
                <c:pt idx="10">
                  <c:v>17.260000000000002</c:v>
                </c:pt>
                <c:pt idx="11">
                  <c:v>10.02</c:v>
                </c:pt>
                <c:pt idx="12">
                  <c:v>14.62</c:v>
                </c:pt>
                <c:pt idx="13">
                  <c:v>15.53</c:v>
                </c:pt>
                <c:pt idx="14">
                  <c:v>13.870000000000001</c:v>
                </c:pt>
                <c:pt idx="15">
                  <c:v>18.420000000000002</c:v>
                </c:pt>
                <c:pt idx="16">
                  <c:v>19.07</c:v>
                </c:pt>
                <c:pt idx="17">
                  <c:v>19.279999999999998</c:v>
                </c:pt>
                <c:pt idx="18">
                  <c:v>10.46</c:v>
                </c:pt>
                <c:pt idx="19">
                  <c:v>9.5300000000000011</c:v>
                </c:pt>
                <c:pt idx="20">
                  <c:v>12.81</c:v>
                </c:pt>
                <c:pt idx="21">
                  <c:v>10.43</c:v>
                </c:pt>
                <c:pt idx="22">
                  <c:v>12.209999999999999</c:v>
                </c:pt>
                <c:pt idx="23">
                  <c:v>10.66</c:v>
                </c:pt>
                <c:pt idx="24">
                  <c:v>11.17</c:v>
                </c:pt>
                <c:pt idx="25">
                  <c:v>13.06</c:v>
                </c:pt>
                <c:pt idx="26">
                  <c:v>12.38</c:v>
                </c:pt>
                <c:pt idx="27">
                  <c:v>12.31</c:v>
                </c:pt>
                <c:pt idx="28">
                  <c:v>10.62</c:v>
                </c:pt>
                <c:pt idx="29">
                  <c:v>9.91</c:v>
                </c:pt>
                <c:pt idx="30">
                  <c:v>120</c:v>
                </c:pt>
              </c:numCache>
            </c:numRef>
          </c:val>
        </c:ser>
        <c:ser>
          <c:idx val="1"/>
          <c:order val="1"/>
          <c:tx>
            <c:strRef>
              <c:f>Sheet1!$C$1</c:f>
              <c:strCache>
                <c:ptCount val="1"/>
                <c:pt idx="0">
                  <c:v>Column1</c:v>
                </c:pt>
              </c:strCache>
            </c:strRef>
          </c:tx>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Sheet1!$C$2:$C$32</c:f>
            </c:numRef>
          </c:val>
        </c:ser>
        <c:ser>
          <c:idx val="2"/>
          <c:order val="2"/>
          <c:tx>
            <c:strRef>
              <c:f>Sheet1!$D$1</c:f>
              <c:strCache>
                <c:ptCount val="1"/>
                <c:pt idx="0">
                  <c:v>Column2</c:v>
                </c:pt>
              </c:strCache>
            </c:strRef>
          </c:tx>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Sheet1!$D$2:$D$32</c:f>
            </c:numRef>
          </c:val>
        </c:ser>
        <c:dLbls>
          <c:showLegendKey val="0"/>
          <c:showVal val="0"/>
          <c:showCatName val="0"/>
          <c:showSerName val="0"/>
          <c:showPercent val="0"/>
          <c:showBubbleSize val="0"/>
        </c:dLbls>
        <c:gapWidth val="150"/>
        <c:axId val="319666816"/>
        <c:axId val="319676800"/>
      </c:barChart>
      <c:catAx>
        <c:axId val="319666816"/>
        <c:scaling>
          <c:orientation val="minMax"/>
        </c:scaling>
        <c:delete val="0"/>
        <c:axPos val="b"/>
        <c:majorTickMark val="out"/>
        <c:minorTickMark val="none"/>
        <c:tickLblPos val="nextTo"/>
        <c:crossAx val="319676800"/>
        <c:crosses val="autoZero"/>
        <c:auto val="1"/>
        <c:lblAlgn val="ctr"/>
        <c:lblOffset val="100"/>
        <c:noMultiLvlLbl val="0"/>
      </c:catAx>
      <c:valAx>
        <c:axId val="319676800"/>
        <c:scaling>
          <c:orientation val="minMax"/>
        </c:scaling>
        <c:delete val="0"/>
        <c:axPos val="l"/>
        <c:majorGridlines/>
        <c:numFmt formatCode="General" sourceLinked="1"/>
        <c:majorTickMark val="out"/>
        <c:minorTickMark val="none"/>
        <c:tickLblPos val="nextTo"/>
        <c:crossAx val="319666816"/>
        <c:crosses val="autoZero"/>
        <c:crossBetween val="between"/>
      </c:valAx>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Sheet1!$B$1</c:f>
              <c:strCache>
                <c:ptCount val="1"/>
                <c:pt idx="0">
                  <c:v>K (ppm)</c:v>
                </c:pt>
              </c:strCache>
            </c:strRef>
          </c:tx>
          <c:spPr>
            <a:solidFill>
              <a:schemeClr val="tx1"/>
            </a:solidFill>
            <a:ln>
              <a:solidFill>
                <a:schemeClr val="tx1"/>
              </a:solidFill>
            </a:ln>
          </c:spPr>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Sheet1!$B$2:$B$32</c:f>
              <c:numCache>
                <c:formatCode>General</c:formatCode>
                <c:ptCount val="31"/>
                <c:pt idx="0">
                  <c:v>10.030000000000001</c:v>
                </c:pt>
                <c:pt idx="1">
                  <c:v>6.49</c:v>
                </c:pt>
                <c:pt idx="2">
                  <c:v>10.48</c:v>
                </c:pt>
                <c:pt idx="3">
                  <c:v>7.45</c:v>
                </c:pt>
                <c:pt idx="4">
                  <c:v>5.3599999999999994</c:v>
                </c:pt>
                <c:pt idx="5">
                  <c:v>12.54</c:v>
                </c:pt>
                <c:pt idx="6">
                  <c:v>6.9700000000000006</c:v>
                </c:pt>
                <c:pt idx="7">
                  <c:v>6.52</c:v>
                </c:pt>
                <c:pt idx="8">
                  <c:v>8.3500000000000014</c:v>
                </c:pt>
                <c:pt idx="9">
                  <c:v>4.1599999999999993</c:v>
                </c:pt>
                <c:pt idx="10">
                  <c:v>13.01</c:v>
                </c:pt>
                <c:pt idx="11">
                  <c:v>7.1599999999999993</c:v>
                </c:pt>
                <c:pt idx="12">
                  <c:v>11.29</c:v>
                </c:pt>
                <c:pt idx="13">
                  <c:v>11.06</c:v>
                </c:pt>
                <c:pt idx="14">
                  <c:v>10.06</c:v>
                </c:pt>
                <c:pt idx="15">
                  <c:v>12.02</c:v>
                </c:pt>
                <c:pt idx="16">
                  <c:v>11.729999999999999</c:v>
                </c:pt>
                <c:pt idx="17">
                  <c:v>11.94</c:v>
                </c:pt>
                <c:pt idx="18">
                  <c:v>8.58</c:v>
                </c:pt>
                <c:pt idx="19">
                  <c:v>6.79</c:v>
                </c:pt>
                <c:pt idx="20">
                  <c:v>10.09</c:v>
                </c:pt>
                <c:pt idx="21">
                  <c:v>7.91</c:v>
                </c:pt>
                <c:pt idx="22">
                  <c:v>9.32</c:v>
                </c:pt>
                <c:pt idx="23">
                  <c:v>8.91</c:v>
                </c:pt>
                <c:pt idx="24">
                  <c:v>8.15</c:v>
                </c:pt>
                <c:pt idx="25">
                  <c:v>10.040000000000001</c:v>
                </c:pt>
                <c:pt idx="26">
                  <c:v>9.9700000000000006</c:v>
                </c:pt>
                <c:pt idx="27">
                  <c:v>10.02</c:v>
                </c:pt>
                <c:pt idx="28">
                  <c:v>9.82</c:v>
                </c:pt>
                <c:pt idx="29">
                  <c:v>8.7299999999999986</c:v>
                </c:pt>
                <c:pt idx="30">
                  <c:v>160</c:v>
                </c:pt>
              </c:numCache>
            </c:numRef>
          </c:val>
        </c:ser>
        <c:dLbls>
          <c:showLegendKey val="0"/>
          <c:showVal val="0"/>
          <c:showCatName val="0"/>
          <c:showSerName val="0"/>
          <c:showPercent val="0"/>
          <c:showBubbleSize val="0"/>
        </c:dLbls>
        <c:gapWidth val="150"/>
        <c:axId val="325032960"/>
        <c:axId val="325034752"/>
      </c:barChart>
      <c:catAx>
        <c:axId val="325032960"/>
        <c:scaling>
          <c:orientation val="minMax"/>
        </c:scaling>
        <c:delete val="0"/>
        <c:axPos val="b"/>
        <c:majorTickMark val="out"/>
        <c:minorTickMark val="none"/>
        <c:tickLblPos val="nextTo"/>
        <c:crossAx val="325034752"/>
        <c:crosses val="autoZero"/>
        <c:auto val="1"/>
        <c:lblAlgn val="ctr"/>
        <c:lblOffset val="100"/>
        <c:noMultiLvlLbl val="0"/>
      </c:catAx>
      <c:valAx>
        <c:axId val="325034752"/>
        <c:scaling>
          <c:orientation val="minMax"/>
        </c:scaling>
        <c:delete val="0"/>
        <c:axPos val="l"/>
        <c:majorGridlines/>
        <c:numFmt formatCode="General" sourceLinked="1"/>
        <c:majorTickMark val="out"/>
        <c:minorTickMark val="none"/>
        <c:tickLblPos val="nextTo"/>
        <c:crossAx val="32503296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Sheet1!$B$1</c:f>
              <c:strCache>
                <c:ptCount val="1"/>
                <c:pt idx="0">
                  <c:v>CALCIUM HARDNESS (mg/lCaC03</c:v>
                </c:pt>
              </c:strCache>
            </c:strRef>
          </c:tx>
          <c:spPr>
            <a:solidFill>
              <a:schemeClr val="tx1"/>
            </a:solidFill>
            <a:ln>
              <a:solidFill>
                <a:schemeClr val="tx1"/>
              </a:solidFill>
            </a:ln>
          </c:spPr>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Sheet1!$B$2:$B$32</c:f>
              <c:numCache>
                <c:formatCode>General</c:formatCode>
                <c:ptCount val="31"/>
                <c:pt idx="0">
                  <c:v>119.45</c:v>
                </c:pt>
                <c:pt idx="1">
                  <c:v>106.6</c:v>
                </c:pt>
                <c:pt idx="2">
                  <c:v>138.30000000000001</c:v>
                </c:pt>
                <c:pt idx="3">
                  <c:v>115.67999999999999</c:v>
                </c:pt>
                <c:pt idx="4">
                  <c:v>105.88</c:v>
                </c:pt>
                <c:pt idx="5">
                  <c:v>145.69999999999999</c:v>
                </c:pt>
                <c:pt idx="6">
                  <c:v>105.64999999999999</c:v>
                </c:pt>
                <c:pt idx="7">
                  <c:v>106.33</c:v>
                </c:pt>
                <c:pt idx="8">
                  <c:v>121.93</c:v>
                </c:pt>
                <c:pt idx="9">
                  <c:v>105.45</c:v>
                </c:pt>
                <c:pt idx="10">
                  <c:v>150.05000000000001</c:v>
                </c:pt>
                <c:pt idx="11">
                  <c:v>101.14999999999999</c:v>
                </c:pt>
                <c:pt idx="12">
                  <c:v>136.58000000000001</c:v>
                </c:pt>
                <c:pt idx="13">
                  <c:v>143.28</c:v>
                </c:pt>
                <c:pt idx="14">
                  <c:v>129.05000000000001</c:v>
                </c:pt>
                <c:pt idx="15">
                  <c:v>158.28</c:v>
                </c:pt>
                <c:pt idx="16">
                  <c:v>151.43</c:v>
                </c:pt>
                <c:pt idx="17">
                  <c:v>160.19999999999999</c:v>
                </c:pt>
                <c:pt idx="18">
                  <c:v>125.64999999999999</c:v>
                </c:pt>
                <c:pt idx="19">
                  <c:v>106.95</c:v>
                </c:pt>
                <c:pt idx="20">
                  <c:v>120.67999999999999</c:v>
                </c:pt>
                <c:pt idx="21">
                  <c:v>101.83</c:v>
                </c:pt>
                <c:pt idx="22">
                  <c:v>103.78</c:v>
                </c:pt>
                <c:pt idx="23">
                  <c:v>105.1</c:v>
                </c:pt>
                <c:pt idx="24">
                  <c:v>103.48</c:v>
                </c:pt>
                <c:pt idx="25">
                  <c:v>121.55</c:v>
                </c:pt>
                <c:pt idx="26">
                  <c:v>125.05</c:v>
                </c:pt>
                <c:pt idx="27">
                  <c:v>128.28</c:v>
                </c:pt>
                <c:pt idx="28">
                  <c:v>126.85</c:v>
                </c:pt>
                <c:pt idx="29">
                  <c:v>104.08</c:v>
                </c:pt>
                <c:pt idx="30">
                  <c:v>180</c:v>
                </c:pt>
              </c:numCache>
            </c:numRef>
          </c:val>
        </c:ser>
        <c:dLbls>
          <c:showLegendKey val="0"/>
          <c:showVal val="0"/>
          <c:showCatName val="0"/>
          <c:showSerName val="0"/>
          <c:showPercent val="0"/>
          <c:showBubbleSize val="0"/>
        </c:dLbls>
        <c:gapWidth val="150"/>
        <c:axId val="304286336"/>
        <c:axId val="304308608"/>
      </c:barChart>
      <c:catAx>
        <c:axId val="304286336"/>
        <c:scaling>
          <c:orientation val="minMax"/>
        </c:scaling>
        <c:delete val="0"/>
        <c:axPos val="b"/>
        <c:majorTickMark val="out"/>
        <c:minorTickMark val="none"/>
        <c:tickLblPos val="nextTo"/>
        <c:crossAx val="304308608"/>
        <c:crosses val="autoZero"/>
        <c:auto val="1"/>
        <c:lblAlgn val="ctr"/>
        <c:lblOffset val="100"/>
        <c:noMultiLvlLbl val="0"/>
      </c:catAx>
      <c:valAx>
        <c:axId val="304308608"/>
        <c:scaling>
          <c:orientation val="minMax"/>
        </c:scaling>
        <c:delete val="0"/>
        <c:axPos val="l"/>
        <c:majorGridlines/>
        <c:numFmt formatCode="General" sourceLinked="1"/>
        <c:majorTickMark val="out"/>
        <c:minorTickMark val="none"/>
        <c:tickLblPos val="nextTo"/>
        <c:crossAx val="304286336"/>
        <c:crosses val="autoZero"/>
        <c:crossBetween val="between"/>
      </c:valAx>
    </c:plotArea>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Sheet1!$B$1</c:f>
              <c:strCache>
                <c:ptCount val="1"/>
                <c:pt idx="0">
                  <c:v>MAGNESIUM HARDNESS (mg/l CaC03)</c:v>
                </c:pt>
              </c:strCache>
            </c:strRef>
          </c:tx>
          <c:spPr>
            <a:solidFill>
              <a:schemeClr val="tx1"/>
            </a:solidFill>
            <a:ln>
              <a:solidFill>
                <a:schemeClr val="tx1"/>
              </a:solidFill>
            </a:ln>
          </c:spPr>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Sheet1!$B$2:$B$32</c:f>
              <c:numCache>
                <c:formatCode>General</c:formatCode>
                <c:ptCount val="31"/>
                <c:pt idx="0">
                  <c:v>141.86000000000001</c:v>
                </c:pt>
                <c:pt idx="1">
                  <c:v>126.6</c:v>
                </c:pt>
                <c:pt idx="2">
                  <c:v>164.25</c:v>
                </c:pt>
                <c:pt idx="3">
                  <c:v>137.38000000000002</c:v>
                </c:pt>
                <c:pt idx="4">
                  <c:v>125.74000000000001</c:v>
                </c:pt>
                <c:pt idx="5">
                  <c:v>173.04</c:v>
                </c:pt>
                <c:pt idx="6">
                  <c:v>125.48</c:v>
                </c:pt>
                <c:pt idx="7">
                  <c:v>126.28</c:v>
                </c:pt>
                <c:pt idx="8">
                  <c:v>144.80000000000001</c:v>
                </c:pt>
                <c:pt idx="9">
                  <c:v>125.24000000000001</c:v>
                </c:pt>
                <c:pt idx="10">
                  <c:v>178.20999999999998</c:v>
                </c:pt>
                <c:pt idx="11">
                  <c:v>120.13</c:v>
                </c:pt>
                <c:pt idx="12">
                  <c:v>162.19999999999999</c:v>
                </c:pt>
                <c:pt idx="13">
                  <c:v>170.16</c:v>
                </c:pt>
                <c:pt idx="14">
                  <c:v>153.26999999999998</c:v>
                </c:pt>
                <c:pt idx="15">
                  <c:v>187.98000000000002</c:v>
                </c:pt>
                <c:pt idx="16">
                  <c:v>179.84</c:v>
                </c:pt>
                <c:pt idx="17">
                  <c:v>199.26</c:v>
                </c:pt>
                <c:pt idx="18">
                  <c:v>149.22999999999999</c:v>
                </c:pt>
                <c:pt idx="19">
                  <c:v>127.02</c:v>
                </c:pt>
                <c:pt idx="20">
                  <c:v>143.32000000000002</c:v>
                </c:pt>
                <c:pt idx="21">
                  <c:v>120.93</c:v>
                </c:pt>
                <c:pt idx="22">
                  <c:v>123.25</c:v>
                </c:pt>
                <c:pt idx="23">
                  <c:v>124.82</c:v>
                </c:pt>
                <c:pt idx="24">
                  <c:v>122.89</c:v>
                </c:pt>
                <c:pt idx="25">
                  <c:v>144.36000000000001</c:v>
                </c:pt>
                <c:pt idx="26">
                  <c:v>148.52000000000001</c:v>
                </c:pt>
                <c:pt idx="27">
                  <c:v>152.35000000000002</c:v>
                </c:pt>
                <c:pt idx="28">
                  <c:v>150.65</c:v>
                </c:pt>
                <c:pt idx="29">
                  <c:v>123.6</c:v>
                </c:pt>
                <c:pt idx="30">
                  <c:v>300</c:v>
                </c:pt>
              </c:numCache>
            </c:numRef>
          </c:val>
        </c:ser>
        <c:dLbls>
          <c:showLegendKey val="0"/>
          <c:showVal val="0"/>
          <c:showCatName val="0"/>
          <c:showSerName val="0"/>
          <c:showPercent val="0"/>
          <c:showBubbleSize val="0"/>
        </c:dLbls>
        <c:gapWidth val="150"/>
        <c:axId val="304341376"/>
        <c:axId val="304342912"/>
      </c:barChart>
      <c:catAx>
        <c:axId val="304341376"/>
        <c:scaling>
          <c:orientation val="minMax"/>
        </c:scaling>
        <c:delete val="0"/>
        <c:axPos val="b"/>
        <c:majorTickMark val="out"/>
        <c:minorTickMark val="none"/>
        <c:tickLblPos val="nextTo"/>
        <c:crossAx val="304342912"/>
        <c:crosses val="autoZero"/>
        <c:auto val="1"/>
        <c:lblAlgn val="ctr"/>
        <c:lblOffset val="100"/>
        <c:noMultiLvlLbl val="0"/>
      </c:catAx>
      <c:valAx>
        <c:axId val="304342912"/>
        <c:scaling>
          <c:orientation val="minMax"/>
        </c:scaling>
        <c:delete val="0"/>
        <c:axPos val="l"/>
        <c:majorGridlines/>
        <c:numFmt formatCode="General" sourceLinked="1"/>
        <c:majorTickMark val="out"/>
        <c:minorTickMark val="none"/>
        <c:tickLblPos val="nextTo"/>
        <c:crossAx val="304341376"/>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Ca</a:t>
            </a:r>
            <a:r>
              <a:rPr lang="en-US" baseline="30000"/>
              <a:t>2</a:t>
            </a:r>
            <a:r>
              <a:rPr lang="en-US"/>
              <a:t>(ppm)</a:t>
            </a:r>
          </a:p>
        </c:rich>
      </c:tx>
      <c:overlay val="0"/>
    </c:title>
    <c:autoTitleDeleted val="0"/>
    <c:plotArea>
      <c:layout/>
      <c:barChart>
        <c:barDir val="col"/>
        <c:grouping val="clustered"/>
        <c:varyColors val="0"/>
        <c:ser>
          <c:idx val="0"/>
          <c:order val="0"/>
          <c:tx>
            <c:strRef>
              <c:f>Sheet1!$B$1</c:f>
              <c:strCache>
                <c:ptCount val="1"/>
                <c:pt idx="0">
                  <c:v>Ca2(ppm)</c:v>
                </c:pt>
              </c:strCache>
            </c:strRef>
          </c:tx>
          <c:spPr>
            <a:solidFill>
              <a:schemeClr val="tx1"/>
            </a:solidFill>
            <a:ln>
              <a:solidFill>
                <a:schemeClr val="tx1"/>
              </a:solidFill>
            </a:ln>
          </c:spPr>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Sheet1!$B$2:$B$32</c:f>
              <c:numCache>
                <c:formatCode>General</c:formatCode>
                <c:ptCount val="31"/>
                <c:pt idx="0">
                  <c:v>47.78</c:v>
                </c:pt>
                <c:pt idx="1">
                  <c:v>42.64</c:v>
                </c:pt>
                <c:pt idx="2">
                  <c:v>55.32</c:v>
                </c:pt>
                <c:pt idx="3">
                  <c:v>46.27</c:v>
                </c:pt>
                <c:pt idx="4">
                  <c:v>42.349999999999994</c:v>
                </c:pt>
                <c:pt idx="5">
                  <c:v>58.28</c:v>
                </c:pt>
                <c:pt idx="6">
                  <c:v>42.260000000000005</c:v>
                </c:pt>
                <c:pt idx="7">
                  <c:v>42.53</c:v>
                </c:pt>
                <c:pt idx="8">
                  <c:v>48.77</c:v>
                </c:pt>
                <c:pt idx="9">
                  <c:v>42.18</c:v>
                </c:pt>
                <c:pt idx="10">
                  <c:v>60.02</c:v>
                </c:pt>
                <c:pt idx="11">
                  <c:v>40.46</c:v>
                </c:pt>
                <c:pt idx="12">
                  <c:v>54.63</c:v>
                </c:pt>
                <c:pt idx="13">
                  <c:v>57.309999999999995</c:v>
                </c:pt>
                <c:pt idx="14">
                  <c:v>51.620000000000005</c:v>
                </c:pt>
                <c:pt idx="15">
                  <c:v>63.309999999999995</c:v>
                </c:pt>
                <c:pt idx="16">
                  <c:v>60.57</c:v>
                </c:pt>
                <c:pt idx="17">
                  <c:v>64.08</c:v>
                </c:pt>
                <c:pt idx="18">
                  <c:v>50.260000000000005</c:v>
                </c:pt>
                <c:pt idx="19">
                  <c:v>42.78</c:v>
                </c:pt>
                <c:pt idx="20">
                  <c:v>48.27</c:v>
                </c:pt>
                <c:pt idx="21">
                  <c:v>40.730000000000011</c:v>
                </c:pt>
                <c:pt idx="22">
                  <c:v>41.51</c:v>
                </c:pt>
                <c:pt idx="23">
                  <c:v>42.04</c:v>
                </c:pt>
                <c:pt idx="24">
                  <c:v>41.39</c:v>
                </c:pt>
                <c:pt idx="25">
                  <c:v>48.620000000000005</c:v>
                </c:pt>
                <c:pt idx="26">
                  <c:v>50.02</c:v>
                </c:pt>
                <c:pt idx="27">
                  <c:v>51.309999999999995</c:v>
                </c:pt>
                <c:pt idx="28">
                  <c:v>50.74</c:v>
                </c:pt>
                <c:pt idx="29">
                  <c:v>41.63</c:v>
                </c:pt>
                <c:pt idx="30">
                  <c:v>500</c:v>
                </c:pt>
              </c:numCache>
            </c:numRef>
          </c:val>
        </c:ser>
        <c:ser>
          <c:idx val="1"/>
          <c:order val="1"/>
          <c:tx>
            <c:strRef>
              <c:f>Sheet1!$C$1</c:f>
              <c:strCache>
                <c:ptCount val="1"/>
                <c:pt idx="0">
                  <c:v>Column1</c:v>
                </c:pt>
              </c:strCache>
            </c:strRef>
          </c:tx>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Sheet1!$C$2:$C$32</c:f>
            </c:numRef>
          </c:val>
        </c:ser>
        <c:ser>
          <c:idx val="2"/>
          <c:order val="2"/>
          <c:tx>
            <c:strRef>
              <c:f>Sheet1!$D$1</c:f>
              <c:strCache>
                <c:ptCount val="1"/>
                <c:pt idx="0">
                  <c:v>Column2</c:v>
                </c:pt>
              </c:strCache>
            </c:strRef>
          </c:tx>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Sheet1!$D$2:$D$32</c:f>
            </c:numRef>
          </c:val>
        </c:ser>
        <c:dLbls>
          <c:showLegendKey val="0"/>
          <c:showVal val="0"/>
          <c:showCatName val="0"/>
          <c:showSerName val="0"/>
          <c:showPercent val="0"/>
          <c:showBubbleSize val="0"/>
        </c:dLbls>
        <c:gapWidth val="150"/>
        <c:axId val="304480256"/>
        <c:axId val="304481792"/>
      </c:barChart>
      <c:catAx>
        <c:axId val="304480256"/>
        <c:scaling>
          <c:orientation val="minMax"/>
        </c:scaling>
        <c:delete val="0"/>
        <c:axPos val="b"/>
        <c:majorTickMark val="out"/>
        <c:minorTickMark val="none"/>
        <c:tickLblPos val="nextTo"/>
        <c:crossAx val="304481792"/>
        <c:crosses val="autoZero"/>
        <c:auto val="1"/>
        <c:lblAlgn val="ctr"/>
        <c:lblOffset val="100"/>
        <c:noMultiLvlLbl val="0"/>
      </c:catAx>
      <c:valAx>
        <c:axId val="304481792"/>
        <c:scaling>
          <c:orientation val="minMax"/>
        </c:scaling>
        <c:delete val="0"/>
        <c:axPos val="l"/>
        <c:majorGridlines/>
        <c:numFmt formatCode="General" sourceLinked="1"/>
        <c:majorTickMark val="out"/>
        <c:minorTickMark val="none"/>
        <c:tickLblPos val="nextTo"/>
        <c:crossAx val="304480256"/>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Mg</a:t>
            </a:r>
            <a:r>
              <a:rPr lang="en-US" baseline="30000"/>
              <a:t>2</a:t>
            </a:r>
            <a:r>
              <a:rPr lang="en-US"/>
              <a:t>(ppm)</a:t>
            </a:r>
          </a:p>
        </c:rich>
      </c:tx>
      <c:overlay val="0"/>
    </c:title>
    <c:autoTitleDeleted val="0"/>
    <c:plotArea>
      <c:layout/>
      <c:barChart>
        <c:barDir val="col"/>
        <c:grouping val="clustered"/>
        <c:varyColors val="0"/>
        <c:ser>
          <c:idx val="0"/>
          <c:order val="0"/>
          <c:tx>
            <c:strRef>
              <c:f>Sheet1!$B$1</c:f>
              <c:strCache>
                <c:ptCount val="1"/>
                <c:pt idx="0">
                  <c:v>Mg2(ppm)</c:v>
                </c:pt>
              </c:strCache>
            </c:strRef>
          </c:tx>
          <c:spPr>
            <a:solidFill>
              <a:schemeClr val="tx1"/>
            </a:solidFill>
            <a:ln>
              <a:solidFill>
                <a:schemeClr val="tx1"/>
              </a:solidFill>
            </a:ln>
          </c:spPr>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Sheet1!$B$2:$B$32</c:f>
              <c:numCache>
                <c:formatCode>General</c:formatCode>
                <c:ptCount val="31"/>
                <c:pt idx="0">
                  <c:v>20.16</c:v>
                </c:pt>
                <c:pt idx="1">
                  <c:v>16.18</c:v>
                </c:pt>
                <c:pt idx="2">
                  <c:v>21.35</c:v>
                </c:pt>
                <c:pt idx="3">
                  <c:v>15.629999999999999</c:v>
                </c:pt>
                <c:pt idx="4">
                  <c:v>13.61</c:v>
                </c:pt>
                <c:pt idx="5">
                  <c:v>24.37</c:v>
                </c:pt>
                <c:pt idx="6">
                  <c:v>14.12</c:v>
                </c:pt>
                <c:pt idx="7">
                  <c:v>13.96</c:v>
                </c:pt>
                <c:pt idx="8">
                  <c:v>18.82</c:v>
                </c:pt>
                <c:pt idx="9">
                  <c:v>12.129999999999999</c:v>
                </c:pt>
                <c:pt idx="10">
                  <c:v>27.29</c:v>
                </c:pt>
                <c:pt idx="11">
                  <c:v>13.55</c:v>
                </c:pt>
                <c:pt idx="12">
                  <c:v>21.73</c:v>
                </c:pt>
                <c:pt idx="13">
                  <c:v>22.479999999999997</c:v>
                </c:pt>
                <c:pt idx="14">
                  <c:v>19.420000000000002</c:v>
                </c:pt>
                <c:pt idx="15">
                  <c:v>28.259999999999998</c:v>
                </c:pt>
                <c:pt idx="16">
                  <c:v>27.34</c:v>
                </c:pt>
                <c:pt idx="17">
                  <c:v>28.919999999999998</c:v>
                </c:pt>
                <c:pt idx="18">
                  <c:v>16.439999999999998</c:v>
                </c:pt>
                <c:pt idx="19">
                  <c:v>12.56</c:v>
                </c:pt>
                <c:pt idx="20">
                  <c:v>15.729999999999999</c:v>
                </c:pt>
                <c:pt idx="21">
                  <c:v>15.39</c:v>
                </c:pt>
                <c:pt idx="22">
                  <c:v>14.870000000000001</c:v>
                </c:pt>
                <c:pt idx="23">
                  <c:v>16.73</c:v>
                </c:pt>
                <c:pt idx="24">
                  <c:v>17.04</c:v>
                </c:pt>
                <c:pt idx="25">
                  <c:v>19.73</c:v>
                </c:pt>
                <c:pt idx="26">
                  <c:v>19.82</c:v>
                </c:pt>
                <c:pt idx="27">
                  <c:v>20.05</c:v>
                </c:pt>
                <c:pt idx="28">
                  <c:v>19.79</c:v>
                </c:pt>
                <c:pt idx="29">
                  <c:v>13.739999999999998</c:v>
                </c:pt>
                <c:pt idx="30">
                  <c:v>30</c:v>
                </c:pt>
              </c:numCache>
            </c:numRef>
          </c:val>
        </c:ser>
        <c:dLbls>
          <c:showLegendKey val="0"/>
          <c:showVal val="0"/>
          <c:showCatName val="0"/>
          <c:showSerName val="0"/>
          <c:showPercent val="0"/>
          <c:showBubbleSize val="0"/>
        </c:dLbls>
        <c:gapWidth val="150"/>
        <c:axId val="304533888"/>
        <c:axId val="304535424"/>
      </c:barChart>
      <c:catAx>
        <c:axId val="304533888"/>
        <c:scaling>
          <c:orientation val="minMax"/>
        </c:scaling>
        <c:delete val="0"/>
        <c:axPos val="b"/>
        <c:majorTickMark val="out"/>
        <c:minorTickMark val="none"/>
        <c:tickLblPos val="nextTo"/>
        <c:crossAx val="304535424"/>
        <c:crosses val="autoZero"/>
        <c:auto val="1"/>
        <c:lblAlgn val="ctr"/>
        <c:lblOffset val="100"/>
        <c:noMultiLvlLbl val="0"/>
      </c:catAx>
      <c:valAx>
        <c:axId val="304535424"/>
        <c:scaling>
          <c:orientation val="minMax"/>
        </c:scaling>
        <c:delete val="0"/>
        <c:axPos val="l"/>
        <c:majorGridlines/>
        <c:numFmt formatCode="General" sourceLinked="1"/>
        <c:majorTickMark val="out"/>
        <c:minorTickMark val="none"/>
        <c:tickLblPos val="nextTo"/>
        <c:crossAx val="304533888"/>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Hco</a:t>
            </a:r>
            <a:r>
              <a:rPr lang="en-US" baseline="-25000"/>
              <a:t>3</a:t>
            </a:r>
            <a:r>
              <a:rPr lang="en-US"/>
              <a:t> (mg/l)</a:t>
            </a:r>
          </a:p>
        </c:rich>
      </c:tx>
      <c:overlay val="0"/>
    </c:title>
    <c:autoTitleDeleted val="0"/>
    <c:plotArea>
      <c:layout/>
      <c:barChart>
        <c:barDir val="col"/>
        <c:grouping val="clustered"/>
        <c:varyColors val="0"/>
        <c:ser>
          <c:idx val="0"/>
          <c:order val="0"/>
          <c:tx>
            <c:strRef>
              <c:f>Sheet1!$B$1</c:f>
              <c:strCache>
                <c:ptCount val="1"/>
                <c:pt idx="0">
                  <c:v>Hco3 (mg/l)</c:v>
                </c:pt>
              </c:strCache>
            </c:strRef>
          </c:tx>
          <c:spPr>
            <a:solidFill>
              <a:schemeClr val="tx1"/>
            </a:solidFill>
            <a:ln>
              <a:solidFill>
                <a:schemeClr val="tx1"/>
              </a:solidFill>
            </a:ln>
          </c:spPr>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Sheet1!$B$2:$B$32</c:f>
              <c:numCache>
                <c:formatCode>General</c:formatCode>
                <c:ptCount val="31"/>
                <c:pt idx="0">
                  <c:v>174</c:v>
                </c:pt>
                <c:pt idx="1">
                  <c:v>160</c:v>
                </c:pt>
                <c:pt idx="2">
                  <c:v>138</c:v>
                </c:pt>
                <c:pt idx="3">
                  <c:v>176</c:v>
                </c:pt>
                <c:pt idx="4">
                  <c:v>162</c:v>
                </c:pt>
                <c:pt idx="5">
                  <c:v>246</c:v>
                </c:pt>
                <c:pt idx="6">
                  <c:v>156</c:v>
                </c:pt>
                <c:pt idx="7">
                  <c:v>154</c:v>
                </c:pt>
                <c:pt idx="8">
                  <c:v>164</c:v>
                </c:pt>
                <c:pt idx="9">
                  <c:v>142</c:v>
                </c:pt>
                <c:pt idx="10">
                  <c:v>250</c:v>
                </c:pt>
                <c:pt idx="11">
                  <c:v>158</c:v>
                </c:pt>
                <c:pt idx="12">
                  <c:v>186</c:v>
                </c:pt>
                <c:pt idx="13">
                  <c:v>192</c:v>
                </c:pt>
                <c:pt idx="14">
                  <c:v>188</c:v>
                </c:pt>
                <c:pt idx="15">
                  <c:v>226</c:v>
                </c:pt>
                <c:pt idx="16">
                  <c:v>226</c:v>
                </c:pt>
                <c:pt idx="17">
                  <c:v>232</c:v>
                </c:pt>
                <c:pt idx="18">
                  <c:v>186</c:v>
                </c:pt>
                <c:pt idx="19">
                  <c:v>160</c:v>
                </c:pt>
                <c:pt idx="20">
                  <c:v>180</c:v>
                </c:pt>
                <c:pt idx="21">
                  <c:v>172</c:v>
                </c:pt>
                <c:pt idx="22">
                  <c:v>174</c:v>
                </c:pt>
                <c:pt idx="23">
                  <c:v>176</c:v>
                </c:pt>
                <c:pt idx="24">
                  <c:v>174</c:v>
                </c:pt>
                <c:pt idx="25">
                  <c:v>186</c:v>
                </c:pt>
                <c:pt idx="26">
                  <c:v>190</c:v>
                </c:pt>
                <c:pt idx="27">
                  <c:v>194</c:v>
                </c:pt>
                <c:pt idx="28">
                  <c:v>180</c:v>
                </c:pt>
                <c:pt idx="29">
                  <c:v>174</c:v>
                </c:pt>
                <c:pt idx="30">
                  <c:v>500</c:v>
                </c:pt>
              </c:numCache>
            </c:numRef>
          </c:val>
        </c:ser>
        <c:dLbls>
          <c:showLegendKey val="0"/>
          <c:showVal val="0"/>
          <c:showCatName val="0"/>
          <c:showSerName val="0"/>
          <c:showPercent val="0"/>
          <c:showBubbleSize val="0"/>
        </c:dLbls>
        <c:gapWidth val="150"/>
        <c:axId val="266200576"/>
        <c:axId val="266202112"/>
      </c:barChart>
      <c:catAx>
        <c:axId val="266200576"/>
        <c:scaling>
          <c:orientation val="minMax"/>
        </c:scaling>
        <c:delete val="0"/>
        <c:axPos val="b"/>
        <c:majorTickMark val="out"/>
        <c:minorTickMark val="none"/>
        <c:tickLblPos val="nextTo"/>
        <c:crossAx val="266202112"/>
        <c:crosses val="autoZero"/>
        <c:auto val="1"/>
        <c:lblAlgn val="ctr"/>
        <c:lblOffset val="100"/>
        <c:noMultiLvlLbl val="0"/>
      </c:catAx>
      <c:valAx>
        <c:axId val="266202112"/>
        <c:scaling>
          <c:orientation val="minMax"/>
        </c:scaling>
        <c:delete val="0"/>
        <c:axPos val="l"/>
        <c:majorGridlines/>
        <c:numFmt formatCode="General" sourceLinked="1"/>
        <c:majorTickMark val="out"/>
        <c:minorTickMark val="none"/>
        <c:tickLblPos val="nextTo"/>
        <c:crossAx val="266200576"/>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SO</a:t>
            </a:r>
            <a:r>
              <a:rPr lang="en-US" baseline="30000"/>
              <a:t>2</a:t>
            </a:r>
            <a:r>
              <a:rPr lang="en-US"/>
              <a:t> (mg/l)</a:t>
            </a:r>
          </a:p>
        </c:rich>
      </c:tx>
      <c:overlay val="0"/>
    </c:title>
    <c:autoTitleDeleted val="0"/>
    <c:plotArea>
      <c:layout/>
      <c:barChart>
        <c:barDir val="col"/>
        <c:grouping val="clustered"/>
        <c:varyColors val="0"/>
        <c:ser>
          <c:idx val="0"/>
          <c:order val="0"/>
          <c:tx>
            <c:strRef>
              <c:f>Sheet1!$B$1</c:f>
              <c:strCache>
                <c:ptCount val="1"/>
                <c:pt idx="0">
                  <c:v>SO2 (mg/l)</c:v>
                </c:pt>
              </c:strCache>
            </c:strRef>
          </c:tx>
          <c:spPr>
            <a:solidFill>
              <a:schemeClr val="tx1"/>
            </a:solidFill>
            <a:ln>
              <a:solidFill>
                <a:schemeClr val="tx1"/>
              </a:solidFill>
            </a:ln>
          </c:spPr>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Sheet1!$B$2:$B$32</c:f>
              <c:numCache>
                <c:formatCode>General</c:formatCode>
                <c:ptCount val="31"/>
                <c:pt idx="0">
                  <c:v>36</c:v>
                </c:pt>
                <c:pt idx="1">
                  <c:v>26</c:v>
                </c:pt>
                <c:pt idx="2">
                  <c:v>30</c:v>
                </c:pt>
                <c:pt idx="3">
                  <c:v>24</c:v>
                </c:pt>
                <c:pt idx="4">
                  <c:v>20</c:v>
                </c:pt>
                <c:pt idx="5">
                  <c:v>30</c:v>
                </c:pt>
                <c:pt idx="6">
                  <c:v>18</c:v>
                </c:pt>
                <c:pt idx="7">
                  <c:v>18</c:v>
                </c:pt>
                <c:pt idx="8">
                  <c:v>30</c:v>
                </c:pt>
                <c:pt idx="9">
                  <c:v>14</c:v>
                </c:pt>
                <c:pt idx="10">
                  <c:v>40</c:v>
                </c:pt>
                <c:pt idx="11">
                  <c:v>16</c:v>
                </c:pt>
                <c:pt idx="12">
                  <c:v>36</c:v>
                </c:pt>
                <c:pt idx="13">
                  <c:v>38</c:v>
                </c:pt>
                <c:pt idx="14">
                  <c:v>30</c:v>
                </c:pt>
                <c:pt idx="15">
                  <c:v>42</c:v>
                </c:pt>
                <c:pt idx="16">
                  <c:v>40</c:v>
                </c:pt>
                <c:pt idx="17">
                  <c:v>44</c:v>
                </c:pt>
                <c:pt idx="18">
                  <c:v>18</c:v>
                </c:pt>
                <c:pt idx="19">
                  <c:v>14</c:v>
                </c:pt>
                <c:pt idx="20">
                  <c:v>20</c:v>
                </c:pt>
                <c:pt idx="21">
                  <c:v>14</c:v>
                </c:pt>
                <c:pt idx="22">
                  <c:v>16</c:v>
                </c:pt>
                <c:pt idx="23">
                  <c:v>16</c:v>
                </c:pt>
                <c:pt idx="24">
                  <c:v>18</c:v>
                </c:pt>
                <c:pt idx="25">
                  <c:v>28</c:v>
                </c:pt>
                <c:pt idx="26">
                  <c:v>28</c:v>
                </c:pt>
                <c:pt idx="27">
                  <c:v>30</c:v>
                </c:pt>
                <c:pt idx="28">
                  <c:v>28</c:v>
                </c:pt>
                <c:pt idx="29">
                  <c:v>14</c:v>
                </c:pt>
                <c:pt idx="30">
                  <c:v>300</c:v>
                </c:pt>
              </c:numCache>
            </c:numRef>
          </c:val>
        </c:ser>
        <c:dLbls>
          <c:showLegendKey val="0"/>
          <c:showVal val="0"/>
          <c:showCatName val="0"/>
          <c:showSerName val="0"/>
          <c:showPercent val="0"/>
          <c:showBubbleSize val="0"/>
        </c:dLbls>
        <c:gapWidth val="150"/>
        <c:axId val="315243136"/>
        <c:axId val="315244928"/>
      </c:barChart>
      <c:catAx>
        <c:axId val="315243136"/>
        <c:scaling>
          <c:orientation val="minMax"/>
        </c:scaling>
        <c:delete val="0"/>
        <c:axPos val="b"/>
        <c:majorTickMark val="out"/>
        <c:minorTickMark val="none"/>
        <c:tickLblPos val="nextTo"/>
        <c:crossAx val="315244928"/>
        <c:crosses val="autoZero"/>
        <c:auto val="1"/>
        <c:lblAlgn val="ctr"/>
        <c:lblOffset val="100"/>
        <c:noMultiLvlLbl val="0"/>
      </c:catAx>
      <c:valAx>
        <c:axId val="315244928"/>
        <c:scaling>
          <c:orientation val="minMax"/>
        </c:scaling>
        <c:delete val="0"/>
        <c:axPos val="l"/>
        <c:majorGridlines/>
        <c:numFmt formatCode="General" sourceLinked="1"/>
        <c:majorTickMark val="out"/>
        <c:minorTickMark val="none"/>
        <c:tickLblPos val="nextTo"/>
        <c:crossAx val="315243136"/>
        <c:crosses val="autoZero"/>
        <c:crossBetween val="between"/>
      </c:valAx>
    </c:plotArea>
    <c:plotVisOnly val="1"/>
    <c:dispBlanksAs val="gap"/>
    <c:showDLblsOverMax val="0"/>
  </c:chart>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Sheet1!$B$1</c:f>
              <c:strCache>
                <c:ptCount val="1"/>
                <c:pt idx="0">
                  <c:v>Cl (mg/l)</c:v>
                </c:pt>
              </c:strCache>
            </c:strRef>
          </c:tx>
          <c:spPr>
            <a:solidFill>
              <a:schemeClr val="tx1"/>
            </a:solidFill>
            <a:ln>
              <a:solidFill>
                <a:schemeClr val="tx1"/>
              </a:solidFill>
            </a:ln>
          </c:spPr>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Sheet1!$B$2:$B$32</c:f>
              <c:numCache>
                <c:formatCode>General</c:formatCode>
                <c:ptCount val="31"/>
                <c:pt idx="0">
                  <c:v>33.51</c:v>
                </c:pt>
                <c:pt idx="1">
                  <c:v>20.779999999999998</c:v>
                </c:pt>
                <c:pt idx="2">
                  <c:v>44.27</c:v>
                </c:pt>
                <c:pt idx="3">
                  <c:v>19.45</c:v>
                </c:pt>
                <c:pt idx="4">
                  <c:v>12.89</c:v>
                </c:pt>
                <c:pt idx="5">
                  <c:v>35.07</c:v>
                </c:pt>
                <c:pt idx="6">
                  <c:v>23</c:v>
                </c:pt>
                <c:pt idx="7">
                  <c:v>22.35</c:v>
                </c:pt>
                <c:pt idx="8">
                  <c:v>35.57</c:v>
                </c:pt>
                <c:pt idx="9">
                  <c:v>20.650000000000002</c:v>
                </c:pt>
                <c:pt idx="10">
                  <c:v>47.01</c:v>
                </c:pt>
                <c:pt idx="11">
                  <c:v>18.979999999999997</c:v>
                </c:pt>
                <c:pt idx="12">
                  <c:v>43.790000000000006</c:v>
                </c:pt>
                <c:pt idx="13">
                  <c:v>44.47</c:v>
                </c:pt>
                <c:pt idx="14">
                  <c:v>32.870000000000005</c:v>
                </c:pt>
                <c:pt idx="15">
                  <c:v>54.37</c:v>
                </c:pt>
                <c:pt idx="16">
                  <c:v>50.620000000000005</c:v>
                </c:pt>
                <c:pt idx="17">
                  <c:v>53.91</c:v>
                </c:pt>
                <c:pt idx="18">
                  <c:v>27.53</c:v>
                </c:pt>
                <c:pt idx="19">
                  <c:v>18.959999999999997</c:v>
                </c:pt>
                <c:pt idx="20">
                  <c:v>28.57</c:v>
                </c:pt>
                <c:pt idx="21">
                  <c:v>19.45</c:v>
                </c:pt>
                <c:pt idx="22">
                  <c:v>20.38</c:v>
                </c:pt>
                <c:pt idx="23">
                  <c:v>22.32</c:v>
                </c:pt>
                <c:pt idx="24">
                  <c:v>22.69</c:v>
                </c:pt>
                <c:pt idx="25">
                  <c:v>31.79</c:v>
                </c:pt>
                <c:pt idx="26">
                  <c:v>30.97</c:v>
                </c:pt>
                <c:pt idx="27">
                  <c:v>31.21</c:v>
                </c:pt>
                <c:pt idx="28">
                  <c:v>31.759999999999998</c:v>
                </c:pt>
                <c:pt idx="29">
                  <c:v>16.87</c:v>
                </c:pt>
                <c:pt idx="30">
                  <c:v>250</c:v>
                </c:pt>
              </c:numCache>
            </c:numRef>
          </c:val>
        </c:ser>
        <c:dLbls>
          <c:showLegendKey val="0"/>
          <c:showVal val="0"/>
          <c:showCatName val="0"/>
          <c:showSerName val="0"/>
          <c:showPercent val="0"/>
          <c:showBubbleSize val="0"/>
        </c:dLbls>
        <c:gapWidth val="150"/>
        <c:axId val="315257216"/>
        <c:axId val="315258752"/>
      </c:barChart>
      <c:catAx>
        <c:axId val="315257216"/>
        <c:scaling>
          <c:orientation val="minMax"/>
        </c:scaling>
        <c:delete val="0"/>
        <c:axPos val="b"/>
        <c:majorTickMark val="out"/>
        <c:minorTickMark val="none"/>
        <c:tickLblPos val="nextTo"/>
        <c:crossAx val="315258752"/>
        <c:crosses val="autoZero"/>
        <c:auto val="1"/>
        <c:lblAlgn val="ctr"/>
        <c:lblOffset val="100"/>
        <c:noMultiLvlLbl val="0"/>
      </c:catAx>
      <c:valAx>
        <c:axId val="315258752"/>
        <c:scaling>
          <c:orientation val="minMax"/>
        </c:scaling>
        <c:delete val="0"/>
        <c:axPos val="l"/>
        <c:majorGridlines/>
        <c:numFmt formatCode="General" sourceLinked="1"/>
        <c:majorTickMark val="out"/>
        <c:minorTickMark val="none"/>
        <c:tickLblPos val="nextTo"/>
        <c:crossAx val="315257216"/>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NO</a:t>
            </a:r>
            <a:r>
              <a:rPr lang="en-US" baseline="30000"/>
              <a:t>3</a:t>
            </a:r>
            <a:r>
              <a:rPr lang="en-US"/>
              <a:t> (mg/l)</a:t>
            </a:r>
          </a:p>
        </c:rich>
      </c:tx>
      <c:overlay val="0"/>
    </c:title>
    <c:autoTitleDeleted val="0"/>
    <c:plotArea>
      <c:layout/>
      <c:barChart>
        <c:barDir val="col"/>
        <c:grouping val="clustered"/>
        <c:varyColors val="0"/>
        <c:ser>
          <c:idx val="0"/>
          <c:order val="0"/>
          <c:tx>
            <c:strRef>
              <c:f>Sheet1!$B$1</c:f>
              <c:strCache>
                <c:ptCount val="1"/>
                <c:pt idx="0">
                  <c:v>NO3 (mg/l)</c:v>
                </c:pt>
              </c:strCache>
            </c:strRef>
          </c:tx>
          <c:spPr>
            <a:solidFill>
              <a:schemeClr val="tx1"/>
            </a:solidFill>
            <a:ln>
              <a:solidFill>
                <a:schemeClr val="tx1"/>
              </a:solidFill>
            </a:ln>
          </c:spPr>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Sheet1!$B$2:$B$32</c:f>
              <c:numCache>
                <c:formatCode>General</c:formatCode>
                <c:ptCount val="31"/>
                <c:pt idx="0">
                  <c:v>0.7400000000000001</c:v>
                </c:pt>
                <c:pt idx="1">
                  <c:v>1.05</c:v>
                </c:pt>
                <c:pt idx="2">
                  <c:v>4.83</c:v>
                </c:pt>
                <c:pt idx="3">
                  <c:v>1.03</c:v>
                </c:pt>
                <c:pt idx="4">
                  <c:v>0.48000000000000004</c:v>
                </c:pt>
                <c:pt idx="5">
                  <c:v>2.5099999999999998</c:v>
                </c:pt>
                <c:pt idx="6">
                  <c:v>0.67000000000000015</c:v>
                </c:pt>
                <c:pt idx="7">
                  <c:v>0.85000000000000009</c:v>
                </c:pt>
                <c:pt idx="8">
                  <c:v>6.3599999999999994</c:v>
                </c:pt>
                <c:pt idx="9">
                  <c:v>0.72000000000000008</c:v>
                </c:pt>
                <c:pt idx="10">
                  <c:v>6.63</c:v>
                </c:pt>
                <c:pt idx="11">
                  <c:v>1.07</c:v>
                </c:pt>
                <c:pt idx="12">
                  <c:v>6.68</c:v>
                </c:pt>
                <c:pt idx="13">
                  <c:v>8.7399999999999984</c:v>
                </c:pt>
                <c:pt idx="14">
                  <c:v>5.49</c:v>
                </c:pt>
                <c:pt idx="15">
                  <c:v>10.81</c:v>
                </c:pt>
                <c:pt idx="16">
                  <c:v>6.75</c:v>
                </c:pt>
                <c:pt idx="17">
                  <c:v>9.7299999999999986</c:v>
                </c:pt>
                <c:pt idx="18">
                  <c:v>3.52</c:v>
                </c:pt>
                <c:pt idx="19">
                  <c:v>0.7400000000000001</c:v>
                </c:pt>
                <c:pt idx="20">
                  <c:v>2.73</c:v>
                </c:pt>
                <c:pt idx="21">
                  <c:v>0.98</c:v>
                </c:pt>
                <c:pt idx="22">
                  <c:v>1.03</c:v>
                </c:pt>
                <c:pt idx="23">
                  <c:v>0.94000000000000006</c:v>
                </c:pt>
                <c:pt idx="24">
                  <c:v>0.63000000000000012</c:v>
                </c:pt>
                <c:pt idx="25">
                  <c:v>3.4099999999999997</c:v>
                </c:pt>
                <c:pt idx="26">
                  <c:v>4.1599999999999993</c:v>
                </c:pt>
                <c:pt idx="27">
                  <c:v>3.46</c:v>
                </c:pt>
                <c:pt idx="28">
                  <c:v>3.19</c:v>
                </c:pt>
                <c:pt idx="29">
                  <c:v>0.75000000000000011</c:v>
                </c:pt>
                <c:pt idx="30">
                  <c:v>50</c:v>
                </c:pt>
              </c:numCache>
            </c:numRef>
          </c:val>
        </c:ser>
        <c:dLbls>
          <c:showLegendKey val="0"/>
          <c:showVal val="0"/>
          <c:showCatName val="0"/>
          <c:showSerName val="0"/>
          <c:showPercent val="0"/>
          <c:showBubbleSize val="0"/>
        </c:dLbls>
        <c:gapWidth val="150"/>
        <c:axId val="319374848"/>
        <c:axId val="319376384"/>
      </c:barChart>
      <c:catAx>
        <c:axId val="319374848"/>
        <c:scaling>
          <c:orientation val="minMax"/>
        </c:scaling>
        <c:delete val="0"/>
        <c:axPos val="b"/>
        <c:majorTickMark val="out"/>
        <c:minorTickMark val="none"/>
        <c:tickLblPos val="nextTo"/>
        <c:crossAx val="319376384"/>
        <c:crosses val="autoZero"/>
        <c:auto val="1"/>
        <c:lblAlgn val="ctr"/>
        <c:lblOffset val="100"/>
        <c:noMultiLvlLbl val="0"/>
      </c:catAx>
      <c:valAx>
        <c:axId val="319376384"/>
        <c:scaling>
          <c:orientation val="minMax"/>
        </c:scaling>
        <c:delete val="0"/>
        <c:axPos val="l"/>
        <c:majorGridlines/>
        <c:numFmt formatCode="General" sourceLinked="1"/>
        <c:majorTickMark val="out"/>
        <c:minorTickMark val="none"/>
        <c:tickLblPos val="nextTo"/>
        <c:crossAx val="319374848"/>
        <c:crosses val="autoZero"/>
        <c:crossBetween val="between"/>
      </c:valAx>
    </c:plotArea>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0.05669</cdr:x>
      <cdr:y>0.5002</cdr:y>
    </cdr:from>
    <cdr:to>
      <cdr:x>0.97682</cdr:x>
      <cdr:y>0.51139</cdr:y>
    </cdr:to>
    <cdr:sp macro="" textlink="">
      <cdr:nvSpPr>
        <cdr:cNvPr id="5" name="Straight Connector 4"/>
        <cdr:cNvSpPr/>
      </cdr:nvSpPr>
      <cdr:spPr>
        <a:xfrm xmlns:a="http://schemas.openxmlformats.org/drawingml/2006/main" rot="10800000" flipV="1">
          <a:off x="532980" y="2265380"/>
          <a:ext cx="8650556" cy="50672"/>
        </a:xfrm>
        <a:prstGeom xmlns:a="http://schemas.openxmlformats.org/drawingml/2006/main" prst="line">
          <a:avLst/>
        </a:prstGeom>
        <a:ln xmlns:a="http://schemas.openxmlformats.org/drawingml/2006/main" w="3810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userShapes>
</file>

<file path=word/drawings/drawing2.xml><?xml version="1.0" encoding="utf-8"?>
<c:userShapes xmlns:c="http://schemas.openxmlformats.org/drawingml/2006/chart">
  <cdr:relSizeAnchor xmlns:cdr="http://schemas.openxmlformats.org/drawingml/2006/chartDrawing">
    <cdr:from>
      <cdr:x>0.0466</cdr:x>
      <cdr:y>0.17426</cdr:y>
    </cdr:from>
    <cdr:to>
      <cdr:x>0.97649</cdr:x>
      <cdr:y>0.17455</cdr:y>
    </cdr:to>
    <cdr:sp macro="" textlink="">
      <cdr:nvSpPr>
        <cdr:cNvPr id="7" name="Straight Connector 6"/>
        <cdr:cNvSpPr/>
      </cdr:nvSpPr>
      <cdr:spPr>
        <a:xfrm xmlns:a="http://schemas.openxmlformats.org/drawingml/2006/main" rot="10800000">
          <a:off x="440793" y="946112"/>
          <a:ext cx="8795154" cy="1590"/>
        </a:xfrm>
        <a:prstGeom xmlns:a="http://schemas.openxmlformats.org/drawingml/2006/main" prst="line">
          <a:avLst/>
        </a:prstGeom>
        <a:ln xmlns:a="http://schemas.openxmlformats.org/drawingml/2006/main" w="3810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userShapes>
</file>

<file path=word/drawings/drawing3.xml><?xml version="1.0" encoding="utf-8"?>
<c:userShapes xmlns:c="http://schemas.openxmlformats.org/drawingml/2006/chart">
  <cdr:relSizeAnchor xmlns:cdr="http://schemas.openxmlformats.org/drawingml/2006/chartDrawing">
    <cdr:from>
      <cdr:x>0.0515</cdr:x>
      <cdr:y>0.21495</cdr:y>
    </cdr:from>
    <cdr:to>
      <cdr:x>0.97366</cdr:x>
      <cdr:y>0.2153</cdr:y>
    </cdr:to>
    <cdr:sp macro="" textlink="">
      <cdr:nvSpPr>
        <cdr:cNvPr id="3" name="Straight Connector 2"/>
        <cdr:cNvSpPr/>
      </cdr:nvSpPr>
      <cdr:spPr>
        <a:xfrm xmlns:a="http://schemas.openxmlformats.org/drawingml/2006/main">
          <a:off x="465044" y="989704"/>
          <a:ext cx="8326419" cy="1588"/>
        </a:xfrm>
        <a:prstGeom xmlns:a="http://schemas.openxmlformats.org/drawingml/2006/main" prst="line">
          <a:avLst/>
        </a:prstGeom>
        <a:ln xmlns:a="http://schemas.openxmlformats.org/drawingml/2006/main" w="3810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264</TotalTime>
  <Pages>47</Pages>
  <Words>7700</Words>
  <Characters>43891</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IfeTemiNikan</dc:creator>
  <cp:lastModifiedBy>IfeTemiNikan</cp:lastModifiedBy>
  <cp:revision>17</cp:revision>
  <cp:lastPrinted>2025-08-12T04:19:00Z</cp:lastPrinted>
  <dcterms:created xsi:type="dcterms:W3CDTF">2025-08-11T15:43:00Z</dcterms:created>
  <dcterms:modified xsi:type="dcterms:W3CDTF">2025-08-13T13:21:00Z</dcterms:modified>
</cp:coreProperties>
</file>