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DA4" w:rsidRDefault="00151DA4" w:rsidP="00151DA4">
      <w:pPr>
        <w:pStyle w:val="NoSpacing"/>
        <w:spacing w:before="240" w:line="360" w:lineRule="auto"/>
        <w:jc w:val="center"/>
        <w:rPr>
          <w:rFonts w:asciiTheme="majorBidi" w:hAnsiTheme="majorBidi" w:cstheme="majorBidi"/>
          <w:b/>
          <w:bCs/>
          <w:sz w:val="24"/>
          <w:szCs w:val="24"/>
        </w:rPr>
      </w:pPr>
      <w:r w:rsidRPr="0061493E">
        <w:rPr>
          <w:rFonts w:asciiTheme="majorBidi" w:hAnsiTheme="majorBidi" w:cstheme="majorBidi"/>
          <w:b/>
          <w:bCs/>
          <w:sz w:val="24"/>
          <w:szCs w:val="24"/>
        </w:rPr>
        <w:t>EFFECT OF GLOBALIZATION ON FINANCIAL REPORTING OF DEPOSIT MONEY BANKS IN NIGERIA</w:t>
      </w:r>
    </w:p>
    <w:p w:rsidR="00151DA4" w:rsidRPr="00F84FA6" w:rsidRDefault="00151DA4" w:rsidP="00F84FA6">
      <w:pPr>
        <w:pStyle w:val="NoSpacing"/>
        <w:spacing w:before="240" w:line="360" w:lineRule="auto"/>
        <w:jc w:val="center"/>
        <w:rPr>
          <w:rFonts w:asciiTheme="majorBidi" w:hAnsiTheme="majorBidi" w:cstheme="majorBidi"/>
          <w:b/>
          <w:bCs/>
          <w:sz w:val="24"/>
          <w:szCs w:val="24"/>
        </w:rPr>
      </w:pPr>
      <w:r w:rsidRPr="0061493E">
        <w:rPr>
          <w:rFonts w:asciiTheme="majorBidi" w:hAnsiTheme="majorBidi" w:cstheme="majorBidi"/>
          <w:b/>
          <w:bCs/>
          <w:sz w:val="24"/>
          <w:szCs w:val="24"/>
        </w:rPr>
        <w:t>(A CASE STUDY OF ZENITH BANK PLC)</w:t>
      </w:r>
    </w:p>
    <w:p w:rsidR="00151DA4" w:rsidRPr="008D7E04" w:rsidRDefault="00151DA4" w:rsidP="00151DA4">
      <w:pPr>
        <w:pStyle w:val="Default"/>
        <w:spacing w:before="240" w:line="360" w:lineRule="auto"/>
        <w:jc w:val="center"/>
        <w:rPr>
          <w:b/>
        </w:rPr>
      </w:pPr>
    </w:p>
    <w:p w:rsidR="00151DA4" w:rsidRPr="008D7E04" w:rsidRDefault="00151DA4" w:rsidP="00151DA4">
      <w:pPr>
        <w:spacing w:line="360" w:lineRule="auto"/>
        <w:jc w:val="center"/>
        <w:rPr>
          <w:rFonts w:ascii="Times New Roman" w:hAnsi="Times New Roman" w:cs="Times New Roman"/>
          <w:sz w:val="24"/>
          <w:szCs w:val="24"/>
        </w:rPr>
      </w:pPr>
      <w:r w:rsidRPr="008D7E04">
        <w:rPr>
          <w:rFonts w:ascii="Times New Roman" w:hAnsi="Times New Roman" w:cs="Times New Roman"/>
          <w:b/>
          <w:sz w:val="24"/>
          <w:szCs w:val="24"/>
        </w:rPr>
        <w:t>BY</w:t>
      </w:r>
    </w:p>
    <w:p w:rsidR="00151DA4" w:rsidRPr="008D7E04" w:rsidRDefault="00151DA4" w:rsidP="00151DA4">
      <w:pPr>
        <w:tabs>
          <w:tab w:val="left" w:pos="5685"/>
        </w:tabs>
        <w:spacing w:line="360" w:lineRule="auto"/>
        <w:rPr>
          <w:rFonts w:ascii="Times New Roman" w:hAnsi="Times New Roman" w:cs="Times New Roman"/>
          <w:sz w:val="24"/>
          <w:szCs w:val="24"/>
        </w:rPr>
      </w:pPr>
    </w:p>
    <w:p w:rsidR="00151DA4" w:rsidRPr="008D7E04" w:rsidRDefault="00151DA4" w:rsidP="00151DA4">
      <w:pPr>
        <w:spacing w:line="360" w:lineRule="auto"/>
        <w:jc w:val="center"/>
        <w:rPr>
          <w:rFonts w:ascii="Times New Roman" w:hAnsi="Times New Roman" w:cs="Times New Roman"/>
          <w:b/>
          <w:sz w:val="24"/>
          <w:szCs w:val="24"/>
        </w:rPr>
      </w:pPr>
      <w:r w:rsidRPr="008D7E04">
        <w:rPr>
          <w:rFonts w:ascii="Times New Roman" w:hAnsi="Times New Roman" w:cs="Times New Roman"/>
          <w:b/>
          <w:sz w:val="24"/>
          <w:szCs w:val="24"/>
        </w:rPr>
        <w:t>ND/23/ACC/PT/</w:t>
      </w:r>
      <w:r w:rsidR="003F31BC">
        <w:rPr>
          <w:rFonts w:ascii="Times New Roman" w:hAnsi="Times New Roman" w:cs="Times New Roman"/>
          <w:b/>
          <w:sz w:val="24"/>
          <w:szCs w:val="24"/>
        </w:rPr>
        <w:t>0</w:t>
      </w:r>
      <w:r w:rsidRPr="008D7E04">
        <w:rPr>
          <w:rFonts w:ascii="Times New Roman" w:hAnsi="Times New Roman" w:cs="Times New Roman"/>
          <w:b/>
          <w:sz w:val="24"/>
          <w:szCs w:val="24"/>
        </w:rPr>
        <w:t>0156</w:t>
      </w:r>
    </w:p>
    <w:p w:rsidR="00151DA4" w:rsidRPr="008D7E04" w:rsidRDefault="00151DA4" w:rsidP="00151DA4">
      <w:pPr>
        <w:spacing w:line="360" w:lineRule="auto"/>
        <w:jc w:val="center"/>
        <w:rPr>
          <w:rFonts w:ascii="Times New Roman" w:hAnsi="Times New Roman" w:cs="Times New Roman"/>
          <w:sz w:val="24"/>
          <w:szCs w:val="24"/>
        </w:rPr>
      </w:pPr>
      <w:r w:rsidRPr="008D7E04">
        <w:rPr>
          <w:rFonts w:ascii="Times New Roman" w:hAnsi="Times New Roman" w:cs="Times New Roman"/>
          <w:b/>
          <w:sz w:val="24"/>
          <w:szCs w:val="24"/>
        </w:rPr>
        <w:t>OLAWALE ISMAILA ISHOLA</w:t>
      </w:r>
    </w:p>
    <w:p w:rsidR="00151DA4" w:rsidRPr="008D7E04" w:rsidRDefault="00151DA4" w:rsidP="00151DA4">
      <w:pPr>
        <w:spacing w:line="360" w:lineRule="auto"/>
        <w:jc w:val="center"/>
        <w:rPr>
          <w:rFonts w:ascii="Times New Roman" w:hAnsi="Times New Roman" w:cs="Times New Roman"/>
          <w:b/>
          <w:sz w:val="24"/>
          <w:szCs w:val="24"/>
        </w:rPr>
      </w:pPr>
      <w:r w:rsidRPr="008D7E04">
        <w:rPr>
          <w:rFonts w:ascii="Times New Roman" w:hAnsi="Times New Roman" w:cs="Times New Roman"/>
          <w:b/>
          <w:sz w:val="24"/>
          <w:szCs w:val="24"/>
        </w:rPr>
        <w:t>BEING A RESEARCH PROJECT SUBMITTED TO THE DEPARTMENT OF ACCOUNTANCY, INSTITUTE OF FINANCE AND MANAGEMENT STUDIE</w:t>
      </w:r>
    </w:p>
    <w:p w:rsidR="00151DA4" w:rsidRPr="008D7E04" w:rsidRDefault="00151DA4" w:rsidP="00151DA4">
      <w:pPr>
        <w:spacing w:line="360" w:lineRule="auto"/>
        <w:jc w:val="center"/>
        <w:rPr>
          <w:rFonts w:ascii="Times New Roman" w:hAnsi="Times New Roman" w:cs="Times New Roman"/>
          <w:b/>
          <w:sz w:val="24"/>
          <w:szCs w:val="24"/>
        </w:rPr>
      </w:pPr>
    </w:p>
    <w:p w:rsidR="00151DA4" w:rsidRPr="008D7E04" w:rsidRDefault="00151DA4" w:rsidP="00151DA4">
      <w:pPr>
        <w:spacing w:line="360" w:lineRule="auto"/>
        <w:jc w:val="center"/>
        <w:rPr>
          <w:rFonts w:ascii="Times New Roman" w:hAnsi="Times New Roman" w:cs="Times New Roman"/>
          <w:b/>
          <w:sz w:val="24"/>
          <w:szCs w:val="24"/>
        </w:rPr>
      </w:pPr>
      <w:r w:rsidRPr="008D7E04">
        <w:rPr>
          <w:rFonts w:ascii="Times New Roman" w:hAnsi="Times New Roman" w:cs="Times New Roman"/>
          <w:b/>
          <w:sz w:val="24"/>
          <w:szCs w:val="24"/>
        </w:rPr>
        <w:t>IN PARTIAL FULFILLMENT OF THE REQUIREMENT FOR THE AWARD OF NATIONAL DIPLOMA (ND) IN ACCOUNTANCY, KWARA STATE POLYTECHNIC, ILORIN.</w:t>
      </w:r>
    </w:p>
    <w:p w:rsidR="00151DA4" w:rsidRPr="008D7E04" w:rsidRDefault="00151DA4" w:rsidP="00151DA4">
      <w:pPr>
        <w:spacing w:line="360" w:lineRule="auto"/>
        <w:jc w:val="center"/>
        <w:rPr>
          <w:rFonts w:ascii="Times New Roman" w:hAnsi="Times New Roman" w:cs="Times New Roman"/>
          <w:b/>
          <w:sz w:val="24"/>
          <w:szCs w:val="24"/>
        </w:rPr>
      </w:pPr>
    </w:p>
    <w:p w:rsidR="00151DA4" w:rsidRPr="008D7E04" w:rsidRDefault="00151DA4" w:rsidP="00151DA4">
      <w:pPr>
        <w:spacing w:line="360" w:lineRule="auto"/>
        <w:jc w:val="center"/>
        <w:rPr>
          <w:rFonts w:ascii="Times New Roman" w:hAnsi="Times New Roman" w:cs="Times New Roman"/>
          <w:b/>
          <w:sz w:val="24"/>
          <w:szCs w:val="24"/>
        </w:rPr>
      </w:pPr>
    </w:p>
    <w:p w:rsidR="00151DA4" w:rsidRPr="008D7E04" w:rsidRDefault="00151DA4" w:rsidP="00151DA4">
      <w:pPr>
        <w:spacing w:line="360" w:lineRule="auto"/>
        <w:jc w:val="right"/>
        <w:rPr>
          <w:rFonts w:ascii="Times New Roman" w:hAnsi="Times New Roman" w:cs="Times New Roman"/>
          <w:b/>
          <w:sz w:val="24"/>
          <w:szCs w:val="24"/>
        </w:rPr>
      </w:pPr>
      <w:r w:rsidRPr="008D7E04">
        <w:rPr>
          <w:rFonts w:ascii="Times New Roman" w:hAnsi="Times New Roman" w:cs="Times New Roman"/>
          <w:b/>
          <w:sz w:val="24"/>
          <w:szCs w:val="24"/>
        </w:rPr>
        <w:t>JULY, 2025</w:t>
      </w:r>
    </w:p>
    <w:p w:rsidR="00151DA4" w:rsidRPr="008D7E04" w:rsidRDefault="00151DA4" w:rsidP="00151DA4">
      <w:pPr>
        <w:spacing w:after="160" w:line="360" w:lineRule="auto"/>
        <w:jc w:val="center"/>
        <w:rPr>
          <w:rFonts w:ascii="Times New Roman" w:hAnsi="Times New Roman" w:cs="Times New Roman"/>
          <w:b/>
          <w:sz w:val="24"/>
          <w:szCs w:val="24"/>
        </w:rPr>
      </w:pPr>
      <w:r w:rsidRPr="008D7E04">
        <w:rPr>
          <w:rFonts w:ascii="Times New Roman" w:hAnsi="Times New Roman" w:cs="Times New Roman"/>
          <w:b/>
          <w:sz w:val="24"/>
          <w:szCs w:val="24"/>
        </w:rPr>
        <w:br w:type="page"/>
      </w:r>
    </w:p>
    <w:p w:rsidR="00151DA4" w:rsidRPr="008D7E04" w:rsidRDefault="00151DA4" w:rsidP="00151DA4">
      <w:pPr>
        <w:spacing w:line="360" w:lineRule="auto"/>
        <w:jc w:val="center"/>
        <w:rPr>
          <w:rFonts w:ascii="Times New Roman" w:hAnsi="Times New Roman" w:cs="Times New Roman"/>
          <w:b/>
          <w:sz w:val="24"/>
          <w:szCs w:val="24"/>
        </w:rPr>
      </w:pPr>
      <w:r w:rsidRPr="008D7E04">
        <w:rPr>
          <w:rFonts w:ascii="Times New Roman" w:hAnsi="Times New Roman" w:cs="Times New Roman"/>
          <w:b/>
          <w:sz w:val="24"/>
          <w:szCs w:val="24"/>
        </w:rPr>
        <w:lastRenderedPageBreak/>
        <w:t>CERTIFICATION</w:t>
      </w:r>
    </w:p>
    <w:p w:rsidR="00151DA4" w:rsidRPr="008D7E04" w:rsidRDefault="00151DA4" w:rsidP="00151DA4">
      <w:pPr>
        <w:spacing w:line="360" w:lineRule="auto"/>
        <w:jc w:val="both"/>
        <w:rPr>
          <w:rFonts w:ascii="Times New Roman" w:hAnsi="Times New Roman" w:cs="Times New Roman"/>
          <w:sz w:val="24"/>
          <w:szCs w:val="24"/>
        </w:rPr>
      </w:pPr>
      <w:r w:rsidRPr="008D7E04">
        <w:rPr>
          <w:rFonts w:ascii="Times New Roman" w:hAnsi="Times New Roman" w:cs="Times New Roman"/>
          <w:sz w:val="24"/>
          <w:szCs w:val="24"/>
        </w:rPr>
        <w:t xml:space="preserve">This is to certify that this project has been read and approved as meeting part of the requirement for the award of National Diploma, in the Department of </w:t>
      </w:r>
      <w:r w:rsidRPr="008D7E04">
        <w:rPr>
          <w:rFonts w:ascii="Times New Roman" w:hAnsi="Times New Roman" w:cs="Times New Roman"/>
          <w:bCs/>
          <w:sz w:val="24"/>
          <w:szCs w:val="24"/>
        </w:rPr>
        <w:t>Accountancy</w:t>
      </w:r>
      <w:r w:rsidRPr="008D7E04">
        <w:rPr>
          <w:rFonts w:ascii="Times New Roman" w:hAnsi="Times New Roman" w:cs="Times New Roman"/>
          <w:sz w:val="24"/>
          <w:szCs w:val="24"/>
        </w:rPr>
        <w:t xml:space="preserve">, Institute of Finance and Management Studies, </w:t>
      </w:r>
      <w:proofErr w:type="spellStart"/>
      <w:r w:rsidRPr="008D7E04">
        <w:rPr>
          <w:rFonts w:ascii="Times New Roman" w:hAnsi="Times New Roman" w:cs="Times New Roman"/>
          <w:sz w:val="24"/>
          <w:szCs w:val="24"/>
        </w:rPr>
        <w:t>Kwara</w:t>
      </w:r>
      <w:proofErr w:type="spellEnd"/>
      <w:r w:rsidRPr="008D7E04">
        <w:rPr>
          <w:rFonts w:ascii="Times New Roman" w:hAnsi="Times New Roman" w:cs="Times New Roman"/>
          <w:sz w:val="24"/>
          <w:szCs w:val="24"/>
        </w:rPr>
        <w:t xml:space="preserve"> State Polytechnic, Ilorin.</w:t>
      </w:r>
    </w:p>
    <w:p w:rsidR="00151DA4" w:rsidRPr="008D7E04" w:rsidRDefault="00151DA4" w:rsidP="00151DA4">
      <w:pPr>
        <w:pStyle w:val="NoSpacing"/>
        <w:spacing w:line="360" w:lineRule="auto"/>
        <w:jc w:val="both"/>
        <w:rPr>
          <w:rFonts w:ascii="Times New Roman" w:hAnsi="Times New Roman"/>
          <w:b/>
          <w:sz w:val="24"/>
          <w:szCs w:val="24"/>
        </w:rPr>
      </w:pP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r w:rsidRPr="008D7E04">
        <w:rPr>
          <w:rFonts w:ascii="Times New Roman" w:hAnsi="Times New Roman"/>
          <w:sz w:val="24"/>
          <w:szCs w:val="24"/>
        </w:rPr>
        <w:softHyphen/>
      </w: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____________________</w:t>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t>________________</w:t>
      </w: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 xml:space="preserve">Mr. Ibrahim </w:t>
      </w:r>
      <w:r w:rsidR="003F31BC">
        <w:rPr>
          <w:rFonts w:ascii="Times New Roman" w:hAnsi="Times New Roman"/>
          <w:b/>
          <w:sz w:val="24"/>
          <w:szCs w:val="24"/>
        </w:rPr>
        <w:t>M.</w:t>
      </w:r>
      <w:r w:rsidRPr="008D7E04">
        <w:rPr>
          <w:rFonts w:ascii="Times New Roman" w:hAnsi="Times New Roman"/>
          <w:b/>
          <w:sz w:val="24"/>
          <w:szCs w:val="24"/>
        </w:rPr>
        <w:t>A</w:t>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t>Date</w:t>
      </w: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Project Supervisor</w:t>
      </w: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____________________</w:t>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t>__________________</w:t>
      </w: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Mr. Hassan A.O</w:t>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t>Date</w:t>
      </w: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Project Coordinator</w:t>
      </w: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____________________</w:t>
      </w:r>
      <w:r w:rsidRPr="008D7E04">
        <w:rPr>
          <w:rFonts w:ascii="Times New Roman" w:hAnsi="Times New Roman"/>
          <w:b/>
          <w:sz w:val="24"/>
          <w:szCs w:val="24"/>
        </w:rPr>
        <w:tab/>
      </w:r>
      <w:r w:rsidRPr="008D7E04">
        <w:rPr>
          <w:rFonts w:ascii="Times New Roman" w:hAnsi="Times New Roman"/>
          <w:b/>
          <w:sz w:val="24"/>
          <w:szCs w:val="24"/>
        </w:rPr>
        <w:tab/>
        <w:t xml:space="preserve">         </w:t>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t>__________________</w:t>
      </w: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 xml:space="preserve">Mr. </w:t>
      </w:r>
      <w:proofErr w:type="spellStart"/>
      <w:r w:rsidRPr="008D7E04">
        <w:rPr>
          <w:rFonts w:ascii="Times New Roman" w:hAnsi="Times New Roman"/>
          <w:b/>
          <w:sz w:val="24"/>
          <w:szCs w:val="24"/>
        </w:rPr>
        <w:t>Elelu</w:t>
      </w:r>
      <w:proofErr w:type="spellEnd"/>
      <w:r w:rsidRPr="008D7E04">
        <w:rPr>
          <w:rFonts w:ascii="Times New Roman" w:hAnsi="Times New Roman"/>
          <w:b/>
          <w:sz w:val="24"/>
          <w:szCs w:val="24"/>
        </w:rPr>
        <w:t xml:space="preserve"> M.O</w:t>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t>Date</w:t>
      </w: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Head of Department</w:t>
      </w: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____________________</w:t>
      </w:r>
      <w:r w:rsidRPr="008D7E04">
        <w:rPr>
          <w:rFonts w:ascii="Times New Roman" w:hAnsi="Times New Roman"/>
          <w:b/>
          <w:sz w:val="24"/>
          <w:szCs w:val="24"/>
        </w:rPr>
        <w:tab/>
      </w:r>
      <w:r w:rsidRPr="008D7E04">
        <w:rPr>
          <w:rFonts w:ascii="Times New Roman" w:hAnsi="Times New Roman"/>
          <w:b/>
          <w:sz w:val="24"/>
          <w:szCs w:val="24"/>
        </w:rPr>
        <w:tab/>
        <w:t xml:space="preserve">         </w:t>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t>__________________</w:t>
      </w:r>
    </w:p>
    <w:p w:rsidR="00151DA4" w:rsidRPr="008D7E04" w:rsidRDefault="00151DA4" w:rsidP="00151DA4">
      <w:pPr>
        <w:pStyle w:val="NoSpacing"/>
        <w:spacing w:line="360" w:lineRule="auto"/>
        <w:rPr>
          <w:rFonts w:ascii="Times New Roman" w:hAnsi="Times New Roman"/>
          <w:b/>
          <w:sz w:val="24"/>
          <w:szCs w:val="24"/>
        </w:rPr>
      </w:pPr>
      <w:r w:rsidRPr="008D7E04">
        <w:rPr>
          <w:rFonts w:ascii="Times New Roman" w:hAnsi="Times New Roman"/>
          <w:b/>
          <w:sz w:val="24"/>
          <w:szCs w:val="24"/>
        </w:rPr>
        <w:t xml:space="preserve">Mr. </w:t>
      </w:r>
      <w:proofErr w:type="spellStart"/>
      <w:r w:rsidRPr="008D7E04">
        <w:rPr>
          <w:rFonts w:ascii="Times New Roman" w:hAnsi="Times New Roman"/>
          <w:b/>
          <w:sz w:val="24"/>
          <w:szCs w:val="24"/>
        </w:rPr>
        <w:t>Abdulrahman</w:t>
      </w:r>
      <w:proofErr w:type="spellEnd"/>
      <w:r w:rsidRPr="008D7E04">
        <w:rPr>
          <w:rFonts w:ascii="Times New Roman" w:hAnsi="Times New Roman"/>
          <w:b/>
          <w:sz w:val="24"/>
          <w:szCs w:val="24"/>
        </w:rPr>
        <w:t xml:space="preserve"> </w:t>
      </w:r>
      <w:proofErr w:type="spellStart"/>
      <w:r w:rsidRPr="008D7E04">
        <w:rPr>
          <w:rFonts w:ascii="Times New Roman" w:hAnsi="Times New Roman"/>
          <w:b/>
          <w:sz w:val="24"/>
          <w:szCs w:val="24"/>
        </w:rPr>
        <w:t>Abdullateef</w:t>
      </w:r>
      <w:proofErr w:type="spellEnd"/>
      <w:r w:rsidRPr="008D7E04">
        <w:rPr>
          <w:rFonts w:ascii="Times New Roman" w:hAnsi="Times New Roman"/>
          <w:b/>
          <w:sz w:val="24"/>
          <w:szCs w:val="24"/>
        </w:rPr>
        <w:t xml:space="preserve"> (FCA)</w:t>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r>
      <w:r w:rsidRPr="008D7E04">
        <w:rPr>
          <w:rFonts w:ascii="Times New Roman" w:hAnsi="Times New Roman"/>
          <w:b/>
          <w:sz w:val="24"/>
          <w:szCs w:val="24"/>
        </w:rPr>
        <w:tab/>
        <w:t>Date</w:t>
      </w:r>
    </w:p>
    <w:p w:rsidR="00151DA4" w:rsidRPr="008D7E04" w:rsidRDefault="00151DA4" w:rsidP="00151DA4">
      <w:pPr>
        <w:pStyle w:val="NoSpacing"/>
        <w:spacing w:line="360" w:lineRule="auto"/>
        <w:rPr>
          <w:rFonts w:ascii="Times New Roman" w:hAnsi="Times New Roman"/>
          <w:sz w:val="24"/>
          <w:szCs w:val="24"/>
        </w:rPr>
      </w:pPr>
      <w:r w:rsidRPr="008D7E04">
        <w:rPr>
          <w:rFonts w:ascii="Times New Roman" w:hAnsi="Times New Roman"/>
          <w:b/>
          <w:sz w:val="24"/>
          <w:szCs w:val="24"/>
        </w:rPr>
        <w:t>External Examiner</w:t>
      </w:r>
      <w:r w:rsidRPr="008D7E04">
        <w:rPr>
          <w:rFonts w:ascii="Times New Roman" w:hAnsi="Times New Roman"/>
          <w:b/>
          <w:sz w:val="24"/>
          <w:szCs w:val="24"/>
        </w:rPr>
        <w:tab/>
      </w:r>
      <w:r w:rsidRPr="008D7E04">
        <w:rPr>
          <w:rFonts w:ascii="Times New Roman" w:hAnsi="Times New Roman"/>
          <w:sz w:val="24"/>
          <w:szCs w:val="24"/>
        </w:rPr>
        <w:tab/>
      </w:r>
      <w:r w:rsidRPr="008D7E04">
        <w:rPr>
          <w:rFonts w:ascii="Times New Roman" w:hAnsi="Times New Roman"/>
          <w:sz w:val="24"/>
          <w:szCs w:val="24"/>
        </w:rPr>
        <w:tab/>
      </w:r>
      <w:r w:rsidRPr="008D7E04">
        <w:rPr>
          <w:rFonts w:ascii="Times New Roman" w:hAnsi="Times New Roman"/>
          <w:sz w:val="24"/>
          <w:szCs w:val="24"/>
        </w:rPr>
        <w:tab/>
      </w:r>
      <w:r w:rsidRPr="008D7E04">
        <w:rPr>
          <w:rFonts w:ascii="Times New Roman" w:hAnsi="Times New Roman"/>
          <w:sz w:val="24"/>
          <w:szCs w:val="24"/>
        </w:rPr>
        <w:tab/>
      </w:r>
    </w:p>
    <w:p w:rsidR="00151DA4" w:rsidRPr="008D7E04" w:rsidRDefault="00151DA4" w:rsidP="00151DA4">
      <w:pPr>
        <w:spacing w:line="360" w:lineRule="auto"/>
        <w:rPr>
          <w:rFonts w:ascii="Times New Roman" w:hAnsi="Times New Roman" w:cs="Times New Roman"/>
          <w:b/>
          <w:sz w:val="24"/>
          <w:szCs w:val="24"/>
        </w:rPr>
      </w:pPr>
      <w:r w:rsidRPr="008D7E04">
        <w:rPr>
          <w:rFonts w:ascii="Times New Roman" w:hAnsi="Times New Roman" w:cs="Times New Roman"/>
          <w:b/>
          <w:sz w:val="24"/>
          <w:szCs w:val="24"/>
        </w:rPr>
        <w:br w:type="page"/>
      </w:r>
    </w:p>
    <w:p w:rsidR="00151DA4" w:rsidRPr="008D7E04" w:rsidRDefault="00151DA4" w:rsidP="00151DA4">
      <w:pPr>
        <w:spacing w:line="360" w:lineRule="auto"/>
        <w:jc w:val="center"/>
        <w:rPr>
          <w:rFonts w:ascii="Times New Roman" w:hAnsi="Times New Roman" w:cs="Times New Roman"/>
          <w:sz w:val="24"/>
          <w:szCs w:val="24"/>
        </w:rPr>
      </w:pPr>
      <w:r w:rsidRPr="008D7E04">
        <w:rPr>
          <w:rFonts w:ascii="Times New Roman" w:hAnsi="Times New Roman" w:cs="Times New Roman"/>
          <w:b/>
          <w:sz w:val="24"/>
          <w:szCs w:val="24"/>
        </w:rPr>
        <w:lastRenderedPageBreak/>
        <w:t>DEDICATION</w:t>
      </w:r>
    </w:p>
    <w:p w:rsidR="00151DA4" w:rsidRPr="008D7E04" w:rsidRDefault="00151DA4" w:rsidP="00151DA4">
      <w:pPr>
        <w:spacing w:line="360" w:lineRule="auto"/>
        <w:jc w:val="both"/>
        <w:rPr>
          <w:rFonts w:ascii="Times New Roman" w:hAnsi="Times New Roman" w:cs="Times New Roman"/>
          <w:bCs/>
          <w:sz w:val="24"/>
          <w:szCs w:val="24"/>
        </w:rPr>
      </w:pPr>
      <w:r w:rsidRPr="008D7E04">
        <w:rPr>
          <w:rFonts w:ascii="Times New Roman" w:hAnsi="Times New Roman" w:cs="Times New Roman"/>
          <w:b/>
          <w:sz w:val="24"/>
          <w:szCs w:val="24"/>
        </w:rPr>
        <w:t xml:space="preserve"> </w:t>
      </w:r>
      <w:r w:rsidRPr="008D7E04">
        <w:rPr>
          <w:rFonts w:ascii="Times New Roman" w:hAnsi="Times New Roman" w:cs="Times New Roman"/>
          <w:bCs/>
          <w:sz w:val="24"/>
          <w:szCs w:val="24"/>
        </w:rPr>
        <w:t>This project is dedicated to Almighty Allah the beginning and the end of all creation.</w:t>
      </w:r>
    </w:p>
    <w:p w:rsidR="00151DA4" w:rsidRPr="008D7E04" w:rsidRDefault="00151DA4" w:rsidP="00151DA4">
      <w:pPr>
        <w:spacing w:line="360" w:lineRule="auto"/>
        <w:jc w:val="both"/>
        <w:rPr>
          <w:rFonts w:ascii="Times New Roman" w:hAnsi="Times New Roman" w:cs="Times New Roman"/>
          <w:b/>
          <w:sz w:val="24"/>
          <w:szCs w:val="24"/>
        </w:rPr>
      </w:pPr>
      <w:r w:rsidRPr="008D7E04">
        <w:rPr>
          <w:rFonts w:ascii="Times New Roman" w:hAnsi="Times New Roman" w:cs="Times New Roman"/>
          <w:b/>
          <w:sz w:val="24"/>
          <w:szCs w:val="24"/>
        </w:rPr>
        <w:br w:type="page"/>
      </w:r>
    </w:p>
    <w:p w:rsidR="00151DA4" w:rsidRPr="008D7E04" w:rsidRDefault="00151DA4" w:rsidP="00151DA4">
      <w:pPr>
        <w:spacing w:line="360" w:lineRule="auto"/>
        <w:jc w:val="center"/>
        <w:rPr>
          <w:rFonts w:ascii="Times New Roman" w:hAnsi="Times New Roman" w:cs="Times New Roman"/>
          <w:b/>
          <w:sz w:val="24"/>
          <w:szCs w:val="24"/>
        </w:rPr>
      </w:pPr>
      <w:r w:rsidRPr="008D7E04">
        <w:rPr>
          <w:rFonts w:ascii="Times New Roman" w:hAnsi="Times New Roman" w:cs="Times New Roman"/>
          <w:b/>
          <w:sz w:val="24"/>
          <w:szCs w:val="24"/>
        </w:rPr>
        <w:lastRenderedPageBreak/>
        <w:t>ACKNOWLEDGEMENT</w:t>
      </w:r>
    </w:p>
    <w:p w:rsidR="00151DA4" w:rsidRPr="008D7E04" w:rsidRDefault="00151DA4" w:rsidP="00151DA4">
      <w:pPr>
        <w:spacing w:after="160" w:line="360" w:lineRule="auto"/>
        <w:jc w:val="both"/>
        <w:rPr>
          <w:rFonts w:ascii="Times New Roman" w:hAnsi="Times New Roman" w:cs="Times New Roman"/>
          <w:bCs/>
          <w:sz w:val="24"/>
          <w:szCs w:val="24"/>
        </w:rPr>
      </w:pPr>
      <w:r w:rsidRPr="008D7E04">
        <w:rPr>
          <w:rFonts w:ascii="Times New Roman" w:hAnsi="Times New Roman" w:cs="Times New Roman"/>
          <w:bCs/>
          <w:sz w:val="24"/>
          <w:szCs w:val="24"/>
        </w:rPr>
        <w:t xml:space="preserve">My appreciation goes to Almighty God for his grace, mercy and </w:t>
      </w:r>
      <w:proofErr w:type="spellStart"/>
      <w:r w:rsidRPr="008D7E04">
        <w:rPr>
          <w:rFonts w:ascii="Times New Roman" w:hAnsi="Times New Roman" w:cs="Times New Roman"/>
          <w:bCs/>
          <w:sz w:val="24"/>
          <w:szCs w:val="24"/>
        </w:rPr>
        <w:t>favour</w:t>
      </w:r>
      <w:proofErr w:type="spellEnd"/>
      <w:r w:rsidRPr="008D7E04">
        <w:rPr>
          <w:rFonts w:ascii="Times New Roman" w:hAnsi="Times New Roman" w:cs="Times New Roman"/>
          <w:bCs/>
          <w:sz w:val="24"/>
          <w:szCs w:val="24"/>
        </w:rPr>
        <w:t xml:space="preserve"> over my life, may his name be praise </w:t>
      </w:r>
    </w:p>
    <w:p w:rsidR="00151DA4" w:rsidRPr="008D7E04" w:rsidRDefault="00151DA4" w:rsidP="00151DA4">
      <w:pPr>
        <w:spacing w:after="160" w:line="360" w:lineRule="auto"/>
        <w:jc w:val="both"/>
        <w:rPr>
          <w:rFonts w:ascii="Times New Roman" w:hAnsi="Times New Roman" w:cs="Times New Roman"/>
          <w:bCs/>
          <w:sz w:val="24"/>
          <w:szCs w:val="24"/>
        </w:rPr>
      </w:pPr>
      <w:r w:rsidRPr="008D7E04">
        <w:rPr>
          <w:rFonts w:ascii="Times New Roman" w:hAnsi="Times New Roman" w:cs="Times New Roman"/>
          <w:bCs/>
          <w:sz w:val="24"/>
          <w:szCs w:val="24"/>
        </w:rPr>
        <w:t xml:space="preserve">I thank my amiable supervisor the person of Mr. Ibrahim </w:t>
      </w:r>
      <w:r w:rsidR="003F31BC">
        <w:rPr>
          <w:rFonts w:ascii="Times New Roman" w:hAnsi="Times New Roman" w:cs="Times New Roman"/>
          <w:bCs/>
          <w:sz w:val="24"/>
          <w:szCs w:val="24"/>
        </w:rPr>
        <w:t>M.</w:t>
      </w:r>
      <w:r w:rsidRPr="008D7E04">
        <w:rPr>
          <w:rFonts w:ascii="Times New Roman" w:hAnsi="Times New Roman" w:cs="Times New Roman"/>
          <w:bCs/>
          <w:sz w:val="24"/>
          <w:szCs w:val="24"/>
        </w:rPr>
        <w:t xml:space="preserve">A. for his fatherly advice and guidance throughout the project process </w:t>
      </w:r>
    </w:p>
    <w:p w:rsidR="00151DA4" w:rsidRPr="008D7E04" w:rsidRDefault="00151DA4" w:rsidP="00151DA4">
      <w:pPr>
        <w:spacing w:after="160" w:line="360" w:lineRule="auto"/>
        <w:jc w:val="both"/>
        <w:rPr>
          <w:rFonts w:ascii="Times New Roman" w:hAnsi="Times New Roman" w:cs="Times New Roman"/>
          <w:bCs/>
          <w:sz w:val="24"/>
          <w:szCs w:val="24"/>
        </w:rPr>
      </w:pPr>
      <w:r w:rsidRPr="008D7E04">
        <w:rPr>
          <w:rFonts w:ascii="Times New Roman" w:hAnsi="Times New Roman" w:cs="Times New Roman"/>
          <w:bCs/>
          <w:sz w:val="24"/>
          <w:szCs w:val="24"/>
        </w:rPr>
        <w:t xml:space="preserve">To my wonderful and supportive parent Mr. and Mrs. </w:t>
      </w:r>
      <w:proofErr w:type="spellStart"/>
      <w:r w:rsidRPr="008D7E04">
        <w:rPr>
          <w:rFonts w:ascii="Times New Roman" w:hAnsi="Times New Roman" w:cs="Times New Roman"/>
          <w:bCs/>
          <w:sz w:val="24"/>
          <w:szCs w:val="24"/>
        </w:rPr>
        <w:t>Alimi</w:t>
      </w:r>
      <w:proofErr w:type="spellEnd"/>
      <w:r w:rsidRPr="008D7E04">
        <w:rPr>
          <w:rFonts w:ascii="Times New Roman" w:hAnsi="Times New Roman" w:cs="Times New Roman"/>
          <w:bCs/>
          <w:sz w:val="24"/>
          <w:szCs w:val="24"/>
        </w:rPr>
        <w:t xml:space="preserve"> for their financial support and words of encouragement, may Allah reward you abundantly , and to my lovely brother and sister thank you for your support all through the journey of my education.</w:t>
      </w:r>
    </w:p>
    <w:p w:rsidR="00151DA4" w:rsidRPr="008D7E04" w:rsidRDefault="00151DA4" w:rsidP="00151DA4">
      <w:pPr>
        <w:spacing w:after="160" w:line="360" w:lineRule="auto"/>
        <w:jc w:val="both"/>
        <w:rPr>
          <w:rFonts w:ascii="Times New Roman" w:hAnsi="Times New Roman" w:cs="Times New Roman"/>
          <w:bCs/>
          <w:sz w:val="24"/>
          <w:szCs w:val="24"/>
        </w:rPr>
      </w:pPr>
      <w:r w:rsidRPr="008D7E04">
        <w:rPr>
          <w:rFonts w:ascii="Times New Roman" w:hAnsi="Times New Roman" w:cs="Times New Roman"/>
          <w:bCs/>
          <w:sz w:val="24"/>
          <w:szCs w:val="24"/>
        </w:rPr>
        <w:t xml:space="preserve">I want to use this medium to appreciate my families. Thanks for all you do, i will never take it for granted </w:t>
      </w:r>
    </w:p>
    <w:p w:rsidR="00151DA4" w:rsidRPr="008D7E04" w:rsidRDefault="00151DA4" w:rsidP="00151DA4">
      <w:pPr>
        <w:spacing w:after="160" w:line="360" w:lineRule="auto"/>
        <w:jc w:val="both"/>
        <w:rPr>
          <w:rFonts w:ascii="Times New Roman" w:hAnsi="Times New Roman" w:cs="Times New Roman"/>
          <w:b/>
          <w:sz w:val="24"/>
          <w:szCs w:val="24"/>
        </w:rPr>
      </w:pPr>
      <w:r w:rsidRPr="008D7E04">
        <w:rPr>
          <w:rFonts w:ascii="Times New Roman" w:hAnsi="Times New Roman" w:cs="Times New Roman"/>
          <w:bCs/>
          <w:sz w:val="24"/>
          <w:szCs w:val="24"/>
        </w:rPr>
        <w:t xml:space="preserve">Lastly my appreciation also goes to my colleagues, friends in accountancy department thanks for your </w:t>
      </w:r>
      <w:proofErr w:type="gramStart"/>
      <w:r w:rsidRPr="008D7E04">
        <w:rPr>
          <w:rFonts w:ascii="Times New Roman" w:hAnsi="Times New Roman" w:cs="Times New Roman"/>
          <w:bCs/>
          <w:sz w:val="24"/>
          <w:szCs w:val="24"/>
        </w:rPr>
        <w:t>support,</w:t>
      </w:r>
      <w:proofErr w:type="gramEnd"/>
      <w:r w:rsidRPr="008D7E04">
        <w:rPr>
          <w:rFonts w:ascii="Times New Roman" w:hAnsi="Times New Roman" w:cs="Times New Roman"/>
          <w:bCs/>
          <w:sz w:val="24"/>
          <w:szCs w:val="24"/>
        </w:rPr>
        <w:t xml:space="preserve"> i wish us all success in life</w:t>
      </w:r>
      <w:r w:rsidRPr="008D7E04">
        <w:rPr>
          <w:rFonts w:ascii="Times New Roman" w:hAnsi="Times New Roman" w:cs="Times New Roman"/>
          <w:b/>
          <w:sz w:val="24"/>
          <w:szCs w:val="24"/>
        </w:rPr>
        <w:br w:type="page"/>
      </w:r>
    </w:p>
    <w:p w:rsidR="00050AAE" w:rsidRPr="00050AAE" w:rsidRDefault="00050AAE" w:rsidP="00050AAE">
      <w:pPr>
        <w:pStyle w:val="Heading1"/>
        <w:jc w:val="center"/>
        <w:rPr>
          <w:rFonts w:ascii="Times New Roman" w:hAnsi="Times New Roman" w:cs="Times New Roman"/>
          <w:color w:val="0D0D0D" w:themeColor="text1" w:themeTint="F2"/>
          <w:sz w:val="24"/>
          <w:szCs w:val="24"/>
        </w:rPr>
      </w:pPr>
      <w:r w:rsidRPr="00050AAE">
        <w:rPr>
          <w:rFonts w:ascii="Times New Roman" w:hAnsi="Times New Roman" w:cs="Times New Roman"/>
          <w:color w:val="0D0D0D" w:themeColor="text1" w:themeTint="F2"/>
          <w:sz w:val="24"/>
          <w:szCs w:val="24"/>
        </w:rPr>
        <w:lastRenderedPageBreak/>
        <w:t>ABSTRACT</w:t>
      </w:r>
    </w:p>
    <w:p w:rsidR="00050AAE" w:rsidRPr="00050AAE" w:rsidRDefault="00050AAE" w:rsidP="00050AAE">
      <w:pPr>
        <w:pStyle w:val="NormalWeb"/>
        <w:spacing w:line="360" w:lineRule="auto"/>
        <w:jc w:val="both"/>
        <w:rPr>
          <w:i/>
          <w:color w:val="0D0D0D" w:themeColor="text1" w:themeTint="F2"/>
        </w:rPr>
      </w:pPr>
      <w:r w:rsidRPr="00050AAE">
        <w:rPr>
          <w:i/>
          <w:color w:val="0D0D0D" w:themeColor="text1" w:themeTint="F2"/>
        </w:rPr>
        <w:t xml:space="preserve">This study investigates the effect of globalization on the financial reporting practices of Deposit Money Banks (DMBs) in Nigeria, with a specific focus on Zenith Bank PLC. Globalization has transformed the financial landscape, compelling DMBs to align with international standards, enhance transparency, and navigate complex regulatory environments. Utilizing a quantitative research design, data were collected through structured surveys from 60 employees at Zenith Bank PLC’s </w:t>
      </w:r>
      <w:proofErr w:type="spellStart"/>
      <w:r w:rsidRPr="00050AAE">
        <w:rPr>
          <w:i/>
          <w:color w:val="0D0D0D" w:themeColor="text1" w:themeTint="F2"/>
        </w:rPr>
        <w:t>Taiwo</w:t>
      </w:r>
      <w:proofErr w:type="spellEnd"/>
      <w:r w:rsidRPr="00050AAE">
        <w:rPr>
          <w:i/>
          <w:color w:val="0D0D0D" w:themeColor="text1" w:themeTint="F2"/>
        </w:rPr>
        <w:t xml:space="preserve"> Branch in Ilorin, Nigeria, and analyzed using descriptive statistics, correlation, and regression analysis. The findings reveal that globalization significantly enhances the transparency, accuracy, and comparability of Zenith Bank PLC’s financial reporting, primarily through the adoption of International Financial Reporting Standards (IFRS) and increased regulatory requirements. However, challenges such as staff training, reconciling local and global standards, and cultural differences pose significant hurdles. The study proposes strategies including continuous professional development, technological upgrades, establishment of a dedicated compliance team, enhanced international collaboration, and the development of a comprehensive reporting framework to improve financial reporting effectiveness. These findings provide valuable insights for policymakers, regulators, and banking executives to strengthen financial reporting practices in Nigeria’s banking sector amidst globalization.</w:t>
      </w:r>
    </w:p>
    <w:p w:rsidR="00050AAE" w:rsidRDefault="00050AAE">
      <w:pPr>
        <w:rPr>
          <w:rFonts w:ascii="Times New Roman" w:hAnsi="Times New Roman" w:cs="Times New Roman"/>
          <w:b/>
          <w:sz w:val="24"/>
          <w:szCs w:val="24"/>
        </w:rPr>
      </w:pPr>
      <w:r>
        <w:rPr>
          <w:rFonts w:ascii="Times New Roman" w:hAnsi="Times New Roman" w:cs="Times New Roman"/>
          <w:b/>
          <w:sz w:val="24"/>
          <w:szCs w:val="24"/>
        </w:rPr>
        <w:br w:type="page"/>
      </w:r>
    </w:p>
    <w:p w:rsidR="00151DA4" w:rsidRPr="008D7E04" w:rsidRDefault="00151DA4" w:rsidP="00050AAE">
      <w:pPr>
        <w:spacing w:line="240" w:lineRule="auto"/>
        <w:jc w:val="center"/>
        <w:rPr>
          <w:rFonts w:ascii="Times New Roman" w:hAnsi="Times New Roman" w:cs="Times New Roman"/>
          <w:sz w:val="24"/>
          <w:szCs w:val="24"/>
        </w:rPr>
      </w:pPr>
      <w:r w:rsidRPr="008D7E04">
        <w:rPr>
          <w:rFonts w:ascii="Times New Roman" w:hAnsi="Times New Roman" w:cs="Times New Roman"/>
          <w:b/>
          <w:sz w:val="24"/>
          <w:szCs w:val="24"/>
        </w:rPr>
        <w:lastRenderedPageBreak/>
        <w:t>TABLE OF CONTENTS</w:t>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Title page</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Certification</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Dedication</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Acknowledgment</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Abstracts</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Table of contents</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center"/>
        <w:rPr>
          <w:rFonts w:ascii="Times New Roman" w:hAnsi="Times New Roman" w:cs="Times New Roman"/>
          <w:b/>
          <w:sz w:val="24"/>
          <w:szCs w:val="24"/>
        </w:rPr>
      </w:pPr>
      <w:r w:rsidRPr="008D7E04">
        <w:rPr>
          <w:rFonts w:ascii="Times New Roman" w:hAnsi="Times New Roman" w:cs="Times New Roman"/>
          <w:b/>
          <w:sz w:val="24"/>
          <w:szCs w:val="24"/>
        </w:rPr>
        <w:t>CHAPTER ONE: INTRODUCTION</w:t>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1.1</w:t>
      </w:r>
      <w:r w:rsidRPr="008D7E04">
        <w:rPr>
          <w:rFonts w:ascii="Times New Roman" w:hAnsi="Times New Roman" w:cs="Times New Roman"/>
          <w:sz w:val="24"/>
          <w:szCs w:val="24"/>
        </w:rPr>
        <w:tab/>
        <w:t>Background of the Study</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1.2</w:t>
      </w:r>
      <w:r w:rsidRPr="008D7E04">
        <w:rPr>
          <w:rFonts w:ascii="Times New Roman" w:hAnsi="Times New Roman" w:cs="Times New Roman"/>
          <w:sz w:val="24"/>
          <w:szCs w:val="24"/>
        </w:rPr>
        <w:tab/>
        <w:t>Statement of the Problem</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1.3</w:t>
      </w:r>
      <w:r w:rsidRPr="008D7E04">
        <w:rPr>
          <w:rFonts w:ascii="Times New Roman" w:hAnsi="Times New Roman" w:cs="Times New Roman"/>
          <w:sz w:val="24"/>
          <w:szCs w:val="24"/>
        </w:rPr>
        <w:tab/>
        <w:t xml:space="preserve">Research Question </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1.4</w:t>
      </w:r>
      <w:r w:rsidRPr="008D7E04">
        <w:rPr>
          <w:rFonts w:ascii="Times New Roman" w:hAnsi="Times New Roman" w:cs="Times New Roman"/>
          <w:sz w:val="24"/>
          <w:szCs w:val="24"/>
        </w:rPr>
        <w:tab/>
        <w:t>Research Objective</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1.5</w:t>
      </w:r>
      <w:r w:rsidRPr="008D7E04">
        <w:rPr>
          <w:rFonts w:ascii="Times New Roman" w:hAnsi="Times New Roman" w:cs="Times New Roman"/>
          <w:sz w:val="24"/>
          <w:szCs w:val="24"/>
        </w:rPr>
        <w:tab/>
        <w:t>Statement Hypothesis</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1.6</w:t>
      </w:r>
      <w:r w:rsidRPr="008D7E04">
        <w:rPr>
          <w:rFonts w:ascii="Times New Roman" w:hAnsi="Times New Roman" w:cs="Times New Roman"/>
          <w:sz w:val="24"/>
          <w:szCs w:val="24"/>
        </w:rPr>
        <w:tab/>
        <w:t>Justification of the Study</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1.7</w:t>
      </w:r>
      <w:r w:rsidRPr="008D7E04">
        <w:rPr>
          <w:rFonts w:ascii="Times New Roman" w:hAnsi="Times New Roman" w:cs="Times New Roman"/>
          <w:sz w:val="24"/>
          <w:szCs w:val="24"/>
        </w:rPr>
        <w:tab/>
        <w:t>Scope of the Study</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1.8</w:t>
      </w:r>
      <w:r w:rsidRPr="008D7E04">
        <w:rPr>
          <w:rFonts w:ascii="Times New Roman" w:hAnsi="Times New Roman" w:cs="Times New Roman"/>
          <w:sz w:val="24"/>
          <w:szCs w:val="24"/>
        </w:rPr>
        <w:tab/>
        <w:t>Definitions of Terms</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1.9</w:t>
      </w:r>
      <w:r w:rsidRPr="008D7E04">
        <w:rPr>
          <w:rFonts w:ascii="Times New Roman" w:hAnsi="Times New Roman" w:cs="Times New Roman"/>
          <w:sz w:val="24"/>
          <w:szCs w:val="24"/>
        </w:rPr>
        <w:tab/>
        <w:t>Organization of the study</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center"/>
        <w:rPr>
          <w:rFonts w:ascii="Times New Roman" w:hAnsi="Times New Roman" w:cs="Times New Roman"/>
          <w:b/>
          <w:sz w:val="24"/>
          <w:szCs w:val="24"/>
        </w:rPr>
      </w:pPr>
      <w:r w:rsidRPr="008D7E04">
        <w:rPr>
          <w:rFonts w:ascii="Times New Roman" w:hAnsi="Times New Roman" w:cs="Times New Roman"/>
          <w:b/>
          <w:sz w:val="24"/>
          <w:szCs w:val="24"/>
        </w:rPr>
        <w:t>CHAPTER TWO: LITERATURE REVIEW</w:t>
      </w:r>
    </w:p>
    <w:p w:rsidR="00151DA4" w:rsidRPr="008D7E04" w:rsidRDefault="00151DA4" w:rsidP="00151DA4">
      <w:pPr>
        <w:spacing w:line="240" w:lineRule="auto"/>
        <w:rPr>
          <w:rFonts w:ascii="Times New Roman" w:hAnsi="Times New Roman" w:cs="Times New Roman"/>
          <w:sz w:val="24"/>
          <w:szCs w:val="24"/>
        </w:rPr>
      </w:pPr>
      <w:r w:rsidRPr="008D7E04">
        <w:rPr>
          <w:rFonts w:ascii="Times New Roman" w:hAnsi="Times New Roman" w:cs="Times New Roman"/>
          <w:sz w:val="24"/>
          <w:szCs w:val="24"/>
        </w:rPr>
        <w:t>2.0</w:t>
      </w:r>
      <w:r w:rsidRPr="008D7E04">
        <w:rPr>
          <w:rFonts w:ascii="Times New Roman" w:hAnsi="Times New Roman" w:cs="Times New Roman"/>
          <w:sz w:val="24"/>
          <w:szCs w:val="24"/>
        </w:rPr>
        <w:tab/>
        <w:t>Introduction</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2.1</w:t>
      </w:r>
      <w:r w:rsidRPr="008D7E04">
        <w:rPr>
          <w:rFonts w:ascii="Times New Roman" w:hAnsi="Times New Roman" w:cs="Times New Roman"/>
          <w:sz w:val="24"/>
          <w:szCs w:val="24"/>
        </w:rPr>
        <w:tab/>
        <w:t>Conceptual Framework</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2.2</w:t>
      </w:r>
      <w:r w:rsidRPr="008D7E04">
        <w:rPr>
          <w:rFonts w:ascii="Times New Roman" w:hAnsi="Times New Roman" w:cs="Times New Roman"/>
          <w:sz w:val="24"/>
          <w:szCs w:val="24"/>
        </w:rPr>
        <w:tab/>
        <w:t>Theoretical Review</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2.3</w:t>
      </w:r>
      <w:r w:rsidRPr="008D7E04">
        <w:rPr>
          <w:rFonts w:ascii="Times New Roman" w:hAnsi="Times New Roman" w:cs="Times New Roman"/>
          <w:sz w:val="24"/>
          <w:szCs w:val="24"/>
        </w:rPr>
        <w:tab/>
        <w:t>Empirical Review</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2.5</w:t>
      </w:r>
      <w:r w:rsidRPr="008D7E04">
        <w:rPr>
          <w:rFonts w:ascii="Times New Roman" w:hAnsi="Times New Roman" w:cs="Times New Roman"/>
          <w:sz w:val="24"/>
          <w:szCs w:val="24"/>
        </w:rPr>
        <w:tab/>
        <w:t>Summary and Gap in Literature</w:t>
      </w:r>
      <w:r w:rsidRPr="008D7E04">
        <w:rPr>
          <w:rFonts w:ascii="Times New Roman" w:hAnsi="Times New Roman" w:cs="Times New Roman"/>
          <w:sz w:val="24"/>
          <w:szCs w:val="24"/>
        </w:rPr>
        <w:tab/>
      </w:r>
    </w:p>
    <w:p w:rsidR="00151DA4" w:rsidRPr="008D7E04" w:rsidRDefault="00151DA4" w:rsidP="00151DA4">
      <w:pPr>
        <w:spacing w:line="240" w:lineRule="auto"/>
        <w:jc w:val="center"/>
        <w:rPr>
          <w:rFonts w:ascii="Times New Roman" w:hAnsi="Times New Roman" w:cs="Times New Roman"/>
          <w:b/>
          <w:sz w:val="24"/>
          <w:szCs w:val="24"/>
        </w:rPr>
      </w:pPr>
    </w:p>
    <w:p w:rsidR="00151DA4" w:rsidRPr="008D7E04" w:rsidRDefault="00151DA4" w:rsidP="00151DA4">
      <w:pPr>
        <w:spacing w:line="240" w:lineRule="auto"/>
        <w:jc w:val="center"/>
        <w:rPr>
          <w:rFonts w:ascii="Times New Roman" w:hAnsi="Times New Roman" w:cs="Times New Roman"/>
          <w:b/>
          <w:sz w:val="24"/>
          <w:szCs w:val="24"/>
        </w:rPr>
      </w:pPr>
    </w:p>
    <w:p w:rsidR="00151DA4" w:rsidRPr="008D7E04" w:rsidRDefault="00151DA4" w:rsidP="00151DA4">
      <w:pPr>
        <w:spacing w:line="240" w:lineRule="auto"/>
        <w:jc w:val="center"/>
        <w:rPr>
          <w:rFonts w:ascii="Times New Roman" w:hAnsi="Times New Roman" w:cs="Times New Roman"/>
          <w:b/>
          <w:sz w:val="24"/>
          <w:szCs w:val="24"/>
        </w:rPr>
      </w:pPr>
      <w:r w:rsidRPr="008D7E04">
        <w:rPr>
          <w:rFonts w:ascii="Times New Roman" w:hAnsi="Times New Roman" w:cs="Times New Roman"/>
          <w:b/>
          <w:sz w:val="24"/>
          <w:szCs w:val="24"/>
        </w:rPr>
        <w:lastRenderedPageBreak/>
        <w:t>CHAPTER THREE: RESEARCH METHODOLOGY</w:t>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3.1</w:t>
      </w:r>
      <w:r w:rsidRPr="008D7E04">
        <w:rPr>
          <w:rFonts w:ascii="Times New Roman" w:hAnsi="Times New Roman" w:cs="Times New Roman"/>
          <w:sz w:val="24"/>
          <w:szCs w:val="24"/>
        </w:rPr>
        <w:tab/>
        <w:t>Introduction</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3.2</w:t>
      </w:r>
      <w:r w:rsidRPr="008D7E04">
        <w:rPr>
          <w:rFonts w:ascii="Times New Roman" w:hAnsi="Times New Roman" w:cs="Times New Roman"/>
          <w:sz w:val="24"/>
          <w:szCs w:val="24"/>
        </w:rPr>
        <w:tab/>
        <w:t xml:space="preserve">Research Design </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3.3</w:t>
      </w:r>
      <w:r w:rsidRPr="008D7E04">
        <w:rPr>
          <w:rFonts w:ascii="Times New Roman" w:hAnsi="Times New Roman" w:cs="Times New Roman"/>
          <w:sz w:val="24"/>
          <w:szCs w:val="24"/>
        </w:rPr>
        <w:tab/>
        <w:t>Population of the Study</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3.4</w:t>
      </w:r>
      <w:r w:rsidRPr="008D7E04">
        <w:rPr>
          <w:rFonts w:ascii="Times New Roman" w:hAnsi="Times New Roman" w:cs="Times New Roman"/>
          <w:sz w:val="24"/>
          <w:szCs w:val="24"/>
        </w:rPr>
        <w:tab/>
        <w:t>sample and sampling procedure</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3.5.</w:t>
      </w:r>
      <w:r w:rsidRPr="008D7E04">
        <w:rPr>
          <w:rFonts w:ascii="Times New Roman" w:hAnsi="Times New Roman" w:cs="Times New Roman"/>
          <w:sz w:val="24"/>
          <w:szCs w:val="24"/>
        </w:rPr>
        <w:tab/>
        <w:t>Data collection instrument Validity and Reliability</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3.6</w:t>
      </w:r>
      <w:r w:rsidRPr="008D7E04">
        <w:rPr>
          <w:rFonts w:ascii="Times New Roman" w:hAnsi="Times New Roman" w:cs="Times New Roman"/>
          <w:sz w:val="24"/>
          <w:szCs w:val="24"/>
        </w:rPr>
        <w:tab/>
        <w:t>Method of Data Analysis</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3.7.</w:t>
      </w:r>
      <w:r w:rsidRPr="008D7E04">
        <w:rPr>
          <w:rFonts w:ascii="Times New Roman" w:hAnsi="Times New Roman" w:cs="Times New Roman"/>
          <w:sz w:val="24"/>
          <w:szCs w:val="24"/>
        </w:rPr>
        <w:tab/>
        <w:t>Model specification</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center"/>
        <w:rPr>
          <w:rFonts w:ascii="Times New Roman" w:hAnsi="Times New Roman" w:cs="Times New Roman"/>
          <w:b/>
          <w:sz w:val="24"/>
          <w:szCs w:val="24"/>
        </w:rPr>
      </w:pPr>
      <w:r w:rsidRPr="008D7E04">
        <w:rPr>
          <w:rFonts w:ascii="Times New Roman" w:hAnsi="Times New Roman" w:cs="Times New Roman"/>
          <w:b/>
          <w:sz w:val="24"/>
          <w:szCs w:val="24"/>
        </w:rPr>
        <w:t>CHAPTER FOUR: DATA PRESENTATION AND ANALYSIS AND INTERPRETATION</w:t>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4.1</w:t>
      </w:r>
      <w:r w:rsidRPr="008D7E04">
        <w:rPr>
          <w:rFonts w:ascii="Times New Roman" w:hAnsi="Times New Roman" w:cs="Times New Roman"/>
          <w:sz w:val="24"/>
          <w:szCs w:val="24"/>
        </w:rPr>
        <w:tab/>
        <w:t>Introduction</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4.2</w:t>
      </w:r>
      <w:r w:rsidRPr="008D7E04">
        <w:rPr>
          <w:rFonts w:ascii="Times New Roman" w:hAnsi="Times New Roman" w:cs="Times New Roman"/>
          <w:sz w:val="24"/>
          <w:szCs w:val="24"/>
        </w:rPr>
        <w:tab/>
        <w:t>Presentation of Data</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4.3</w:t>
      </w:r>
      <w:r w:rsidRPr="008D7E04">
        <w:rPr>
          <w:rFonts w:ascii="Times New Roman" w:hAnsi="Times New Roman" w:cs="Times New Roman"/>
          <w:sz w:val="24"/>
          <w:szCs w:val="24"/>
        </w:rPr>
        <w:tab/>
        <w:t>Test of Hypothesis</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4.4</w:t>
      </w:r>
      <w:r w:rsidRPr="008D7E04">
        <w:rPr>
          <w:rFonts w:ascii="Times New Roman" w:hAnsi="Times New Roman" w:cs="Times New Roman"/>
          <w:sz w:val="24"/>
          <w:szCs w:val="24"/>
        </w:rPr>
        <w:tab/>
        <w:t>Discussion of Findings</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center"/>
        <w:rPr>
          <w:rFonts w:ascii="Times New Roman" w:hAnsi="Times New Roman" w:cs="Times New Roman"/>
          <w:b/>
          <w:sz w:val="24"/>
          <w:szCs w:val="24"/>
        </w:rPr>
      </w:pPr>
      <w:r w:rsidRPr="008D7E04">
        <w:rPr>
          <w:rFonts w:ascii="Times New Roman" w:hAnsi="Times New Roman" w:cs="Times New Roman"/>
          <w:b/>
          <w:sz w:val="24"/>
          <w:szCs w:val="24"/>
        </w:rPr>
        <w:t>CHAPTER FIVE: SUMMARY, CONCLUSION AND RECOMMENDATION</w:t>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5.1</w:t>
      </w:r>
      <w:r w:rsidRPr="008D7E04">
        <w:rPr>
          <w:rFonts w:ascii="Times New Roman" w:hAnsi="Times New Roman" w:cs="Times New Roman"/>
          <w:sz w:val="24"/>
          <w:szCs w:val="24"/>
        </w:rPr>
        <w:tab/>
        <w:t>Summary</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5.2</w:t>
      </w:r>
      <w:r w:rsidRPr="008D7E04">
        <w:rPr>
          <w:rFonts w:ascii="Times New Roman" w:hAnsi="Times New Roman" w:cs="Times New Roman"/>
          <w:sz w:val="24"/>
          <w:szCs w:val="24"/>
        </w:rPr>
        <w:tab/>
        <w:t>Conclusion</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Pr="008D7E04" w:rsidRDefault="00151DA4" w:rsidP="00151DA4">
      <w:pPr>
        <w:spacing w:line="240" w:lineRule="auto"/>
        <w:jc w:val="both"/>
        <w:rPr>
          <w:rFonts w:ascii="Times New Roman" w:hAnsi="Times New Roman" w:cs="Times New Roman"/>
          <w:sz w:val="24"/>
          <w:szCs w:val="24"/>
        </w:rPr>
      </w:pPr>
      <w:r w:rsidRPr="008D7E04">
        <w:rPr>
          <w:rFonts w:ascii="Times New Roman" w:hAnsi="Times New Roman" w:cs="Times New Roman"/>
          <w:sz w:val="24"/>
          <w:szCs w:val="24"/>
        </w:rPr>
        <w:t>5.3</w:t>
      </w:r>
      <w:r w:rsidRPr="008D7E04">
        <w:rPr>
          <w:rFonts w:ascii="Times New Roman" w:hAnsi="Times New Roman" w:cs="Times New Roman"/>
          <w:sz w:val="24"/>
          <w:szCs w:val="24"/>
        </w:rPr>
        <w:tab/>
        <w:t>Policy Recommendation</w:t>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r w:rsidRPr="008D7E04">
        <w:rPr>
          <w:rFonts w:ascii="Times New Roman" w:hAnsi="Times New Roman" w:cs="Times New Roman"/>
          <w:sz w:val="24"/>
          <w:szCs w:val="24"/>
        </w:rPr>
        <w:tab/>
      </w:r>
    </w:p>
    <w:p w:rsidR="00151DA4" w:rsidRDefault="00151DA4" w:rsidP="00050AAE">
      <w:pPr>
        <w:pStyle w:val="Default"/>
        <w:spacing w:before="240"/>
        <w:ind w:firstLine="720"/>
        <w:sectPr w:rsidR="00151DA4" w:rsidSect="003F31BC">
          <w:footerReference w:type="default" r:id="rId8"/>
          <w:pgSz w:w="11808" w:h="14832" w:code="1"/>
          <w:pgMar w:top="1440" w:right="1728" w:bottom="1440" w:left="1728" w:header="720" w:footer="720" w:gutter="0"/>
          <w:pgNumType w:fmt="lowerRoman" w:start="1"/>
          <w:cols w:space="720"/>
          <w:docGrid w:linePitch="360"/>
        </w:sectPr>
      </w:pPr>
      <w:r w:rsidRPr="008D7E04">
        <w:t xml:space="preserve">References </w:t>
      </w:r>
    </w:p>
    <w:p w:rsidR="00151DA4" w:rsidRDefault="00151DA4" w:rsidP="00151DA4">
      <w:pPr>
        <w:pStyle w:val="Default"/>
        <w:spacing w:before="240"/>
        <w:jc w:val="center"/>
        <w:rPr>
          <w:rFonts w:asciiTheme="majorBidi" w:hAnsiTheme="majorBidi" w:cstheme="majorBidi"/>
          <w:b/>
          <w:bCs/>
        </w:rPr>
      </w:pPr>
      <w:r>
        <w:rPr>
          <w:rFonts w:asciiTheme="majorBidi" w:hAnsiTheme="majorBidi" w:cstheme="majorBidi"/>
          <w:b/>
          <w:bCs/>
        </w:rPr>
        <w:lastRenderedPageBreak/>
        <w:t>CHAPTER ONE</w:t>
      </w:r>
    </w:p>
    <w:p w:rsidR="00151DA4" w:rsidRDefault="00151DA4" w:rsidP="00151DA4">
      <w:pPr>
        <w:pStyle w:val="NoSpacing"/>
        <w:spacing w:before="24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INTRODUCTION </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1.1</w:t>
      </w:r>
      <w:r w:rsidRPr="0061493E">
        <w:rPr>
          <w:rFonts w:asciiTheme="majorBidi" w:hAnsiTheme="majorBidi" w:cstheme="majorBidi"/>
          <w:b/>
          <w:bCs/>
          <w:sz w:val="24"/>
          <w:szCs w:val="24"/>
        </w:rPr>
        <w:tab/>
        <w:t xml:space="preserve">Background </w:t>
      </w:r>
      <w:r w:rsidR="0007016D">
        <w:rPr>
          <w:rFonts w:asciiTheme="majorBidi" w:hAnsiTheme="majorBidi" w:cstheme="majorBidi"/>
          <w:b/>
          <w:bCs/>
          <w:sz w:val="24"/>
          <w:szCs w:val="24"/>
        </w:rPr>
        <w:t>to</w:t>
      </w:r>
      <w:r w:rsidRPr="0061493E">
        <w:rPr>
          <w:rFonts w:asciiTheme="majorBidi" w:hAnsiTheme="majorBidi" w:cstheme="majorBidi"/>
          <w:b/>
          <w:bCs/>
          <w:sz w:val="24"/>
          <w:szCs w:val="24"/>
        </w:rPr>
        <w:t xml:space="preserve"> the Study</w:t>
      </w:r>
    </w:p>
    <w:p w:rsidR="003F31BC" w:rsidRPr="00054983" w:rsidRDefault="003F31BC" w:rsidP="003F31BC">
      <w:pPr>
        <w:spacing w:before="100" w:beforeAutospacing="1" w:after="100" w:afterAutospacing="1" w:line="360" w:lineRule="auto"/>
        <w:ind w:right="18"/>
        <w:jc w:val="both"/>
        <w:rPr>
          <w:rFonts w:ascii="Times New Roman" w:eastAsia="Times New Roman" w:hAnsi="Times New Roman" w:cs="Times New Roman"/>
          <w:sz w:val="24"/>
          <w:szCs w:val="24"/>
        </w:rPr>
      </w:pPr>
      <w:r w:rsidRPr="00054983">
        <w:rPr>
          <w:rFonts w:ascii="Times New Roman" w:eastAsia="Times New Roman" w:hAnsi="Times New Roman" w:cs="Times New Roman"/>
          <w:sz w:val="24"/>
          <w:szCs w:val="24"/>
        </w:rPr>
        <w:t>Globalization has emerged as a transformative force reshaping the economic, social, and financial landscapes worldwide, with profound implications for industries, including the banking and finance sector. Deposit Money Banks (DMBs) serve as critical intermediaries in the financial system, channeling funds between depositors and borrowers to facilitate economic growth and development (</w:t>
      </w:r>
      <w:proofErr w:type="spellStart"/>
      <w:r w:rsidRPr="00054983">
        <w:rPr>
          <w:rFonts w:ascii="Times New Roman" w:eastAsia="Times New Roman" w:hAnsi="Times New Roman" w:cs="Times New Roman"/>
          <w:sz w:val="24"/>
          <w:szCs w:val="24"/>
        </w:rPr>
        <w:t>Ologunde</w:t>
      </w:r>
      <w:proofErr w:type="spellEnd"/>
      <w:r w:rsidRPr="00054983">
        <w:rPr>
          <w:rFonts w:ascii="Times New Roman" w:eastAsia="Times New Roman" w:hAnsi="Times New Roman" w:cs="Times New Roman"/>
          <w:sz w:val="24"/>
          <w:szCs w:val="24"/>
        </w:rPr>
        <w:t xml:space="preserve">, </w:t>
      </w:r>
      <w:proofErr w:type="spellStart"/>
      <w:r w:rsidRPr="00054983">
        <w:rPr>
          <w:rFonts w:ascii="Times New Roman" w:eastAsia="Times New Roman" w:hAnsi="Times New Roman" w:cs="Times New Roman"/>
          <w:sz w:val="24"/>
          <w:szCs w:val="24"/>
        </w:rPr>
        <w:t>Olufemi</w:t>
      </w:r>
      <w:proofErr w:type="spellEnd"/>
      <w:r w:rsidRPr="00054983">
        <w:rPr>
          <w:rFonts w:ascii="Times New Roman" w:eastAsia="Times New Roman" w:hAnsi="Times New Roman" w:cs="Times New Roman"/>
          <w:sz w:val="24"/>
          <w:szCs w:val="24"/>
        </w:rPr>
        <w:t xml:space="preserve">, &amp; </w:t>
      </w:r>
      <w:proofErr w:type="spellStart"/>
      <w:r w:rsidRPr="00054983">
        <w:rPr>
          <w:rFonts w:ascii="Times New Roman" w:eastAsia="Times New Roman" w:hAnsi="Times New Roman" w:cs="Times New Roman"/>
          <w:sz w:val="24"/>
          <w:szCs w:val="24"/>
        </w:rPr>
        <w:t>Afolabi</w:t>
      </w:r>
      <w:proofErr w:type="spellEnd"/>
      <w:r w:rsidRPr="00054983">
        <w:rPr>
          <w:rFonts w:ascii="Times New Roman" w:eastAsia="Times New Roman" w:hAnsi="Times New Roman" w:cs="Times New Roman"/>
          <w:sz w:val="24"/>
          <w:szCs w:val="24"/>
        </w:rPr>
        <w:t>, 2019). In Nigeria, the banking sector has undergone significant transformations driven by globalization, influencing financial reporting practices, regulatory frameworks, and operational strategies of DMBs, such as Zenith Bank PLC. These changes reflect the broader integration of global financial markets, technological advancements, and the push for standardized reporting practices to meet international expectations.</w:t>
      </w:r>
    </w:p>
    <w:p w:rsidR="003F31BC" w:rsidRPr="00054983" w:rsidRDefault="003F31BC" w:rsidP="003F31BC">
      <w:pPr>
        <w:spacing w:before="100" w:beforeAutospacing="1" w:after="100" w:afterAutospacing="1" w:line="360" w:lineRule="auto"/>
        <w:ind w:right="18"/>
        <w:jc w:val="both"/>
        <w:rPr>
          <w:rFonts w:ascii="Times New Roman" w:eastAsia="Times New Roman" w:hAnsi="Times New Roman" w:cs="Times New Roman"/>
          <w:sz w:val="24"/>
          <w:szCs w:val="24"/>
        </w:rPr>
      </w:pPr>
      <w:r w:rsidRPr="00054983">
        <w:rPr>
          <w:rFonts w:ascii="Times New Roman" w:eastAsia="Times New Roman" w:hAnsi="Times New Roman" w:cs="Times New Roman"/>
          <w:sz w:val="24"/>
          <w:szCs w:val="24"/>
        </w:rPr>
        <w:t>Globalization, characterized by the increasing interconnectedness and integration of economies through cross-border flows of goods, services, capital, technology, and information (</w:t>
      </w:r>
      <w:proofErr w:type="spellStart"/>
      <w:r w:rsidRPr="00054983">
        <w:rPr>
          <w:rFonts w:ascii="Times New Roman" w:eastAsia="Times New Roman" w:hAnsi="Times New Roman" w:cs="Times New Roman"/>
          <w:sz w:val="24"/>
          <w:szCs w:val="24"/>
        </w:rPr>
        <w:t>Rodrik</w:t>
      </w:r>
      <w:proofErr w:type="spellEnd"/>
      <w:r w:rsidRPr="00054983">
        <w:rPr>
          <w:rFonts w:ascii="Times New Roman" w:eastAsia="Times New Roman" w:hAnsi="Times New Roman" w:cs="Times New Roman"/>
          <w:sz w:val="24"/>
          <w:szCs w:val="24"/>
        </w:rPr>
        <w:t>, 2011), has redefined the operational environment for DMBs in emerging economies like Nigeria. The liberalization of financial markets, coupled with advancements in information and communication technologies, has accelerated the integration of Nigerian banks into the global financial system. This integration has necessitated the adoption of international financial reporting standards (IFRS), increased transparency, and enhanced corporate governance to align with global best practices (Barth, Landsman, &amp; Lang, 2008). For DMBs, globalization presents both opportunities and challenges, including the need to navigate diverse regulatory environments, meet heightened stakeholder expectations, and compete in a globalized marketplace.</w:t>
      </w:r>
    </w:p>
    <w:p w:rsidR="003F31BC" w:rsidRPr="00054983" w:rsidRDefault="003F31BC" w:rsidP="003F31BC">
      <w:pPr>
        <w:spacing w:before="100" w:beforeAutospacing="1" w:after="100" w:afterAutospacing="1" w:line="360" w:lineRule="auto"/>
        <w:ind w:right="18"/>
        <w:jc w:val="both"/>
        <w:rPr>
          <w:rFonts w:ascii="Times New Roman" w:eastAsia="Times New Roman" w:hAnsi="Times New Roman" w:cs="Times New Roman"/>
          <w:sz w:val="24"/>
          <w:szCs w:val="24"/>
        </w:rPr>
      </w:pPr>
      <w:r w:rsidRPr="00054983">
        <w:rPr>
          <w:rFonts w:ascii="Times New Roman" w:eastAsia="Times New Roman" w:hAnsi="Times New Roman" w:cs="Times New Roman"/>
          <w:sz w:val="24"/>
          <w:szCs w:val="24"/>
        </w:rPr>
        <w:lastRenderedPageBreak/>
        <w:t>In Nigeria, the banking sector has experienced significant reforms since the early 2000s, driven by globalization and domestic economic policies. The recapitalization exercise of 2004-2005, mandated by the Central Bank of Nigeria (CBN), consolidated the banking industry, reducing the number of banks and strengthening their financial capacity to compete globally (</w:t>
      </w:r>
      <w:proofErr w:type="spellStart"/>
      <w:r w:rsidRPr="00054983">
        <w:rPr>
          <w:rFonts w:ascii="Times New Roman" w:eastAsia="Times New Roman" w:hAnsi="Times New Roman" w:cs="Times New Roman"/>
          <w:sz w:val="24"/>
          <w:szCs w:val="24"/>
        </w:rPr>
        <w:t>Soludo</w:t>
      </w:r>
      <w:proofErr w:type="spellEnd"/>
      <w:r w:rsidRPr="00054983">
        <w:rPr>
          <w:rFonts w:ascii="Times New Roman" w:eastAsia="Times New Roman" w:hAnsi="Times New Roman" w:cs="Times New Roman"/>
          <w:sz w:val="24"/>
          <w:szCs w:val="24"/>
        </w:rPr>
        <w:t>, 2004). This reform was partly a response to global pressures for stronger, more resilient banking systems capable of supporting cross-border transactions and attracting foreign investment. As a result, Nigerian DMBs, including Zenith Bank PLC, have increasingly adopted international standards to enhance the credibility and comparability of their financial reports, thereby fostering investor confidence and facilitating access to global capital markets (</w:t>
      </w:r>
      <w:proofErr w:type="spellStart"/>
      <w:r w:rsidRPr="00054983">
        <w:rPr>
          <w:rFonts w:ascii="Times New Roman" w:eastAsia="Times New Roman" w:hAnsi="Times New Roman" w:cs="Times New Roman"/>
          <w:sz w:val="24"/>
          <w:szCs w:val="24"/>
        </w:rPr>
        <w:t>Okafor</w:t>
      </w:r>
      <w:proofErr w:type="spellEnd"/>
      <w:r w:rsidRPr="00054983">
        <w:rPr>
          <w:rFonts w:ascii="Times New Roman" w:eastAsia="Times New Roman" w:hAnsi="Times New Roman" w:cs="Times New Roman"/>
          <w:sz w:val="24"/>
          <w:szCs w:val="24"/>
        </w:rPr>
        <w:t>, 2021).</w:t>
      </w:r>
    </w:p>
    <w:p w:rsidR="003F31BC" w:rsidRPr="00054983" w:rsidRDefault="003F31BC" w:rsidP="003F31BC">
      <w:pPr>
        <w:spacing w:before="100" w:beforeAutospacing="1" w:after="100" w:afterAutospacing="1" w:line="360" w:lineRule="auto"/>
        <w:ind w:right="18"/>
        <w:jc w:val="both"/>
        <w:rPr>
          <w:rFonts w:ascii="Times New Roman" w:eastAsia="Times New Roman" w:hAnsi="Times New Roman" w:cs="Times New Roman"/>
          <w:sz w:val="24"/>
          <w:szCs w:val="24"/>
        </w:rPr>
      </w:pPr>
      <w:r w:rsidRPr="00054983">
        <w:rPr>
          <w:rFonts w:ascii="Times New Roman" w:eastAsia="Times New Roman" w:hAnsi="Times New Roman" w:cs="Times New Roman"/>
          <w:sz w:val="24"/>
          <w:szCs w:val="24"/>
        </w:rPr>
        <w:t>The adoption of IFRS in Nigeria, effective from 2012, marked a significant milestone in aligning the country's financial reporting practices with global standards. This transition was driven by the need to improve the quality, consistency, and transparency of financial statements, particularly for DMBs operating in an increasingly interconnected global economy (Barth et al., 2022). For Zenith Bank PLC, one of Nigeria's leading DMBs, the shift to IFRS has necessitated significant changes in accounting policies, disclosure practices, and internal processes to meet the demands of international stakeholders, including foreign investors, regulators, and multinational partners. However, this transition has not been without challenges, as DMBs must balance compliance with global standards against local regulatory requirements and cultural business practices (</w:t>
      </w:r>
      <w:proofErr w:type="spellStart"/>
      <w:r w:rsidRPr="00054983">
        <w:rPr>
          <w:rFonts w:ascii="Times New Roman" w:eastAsia="Times New Roman" w:hAnsi="Times New Roman" w:cs="Times New Roman"/>
          <w:sz w:val="24"/>
          <w:szCs w:val="24"/>
        </w:rPr>
        <w:t>Ajibolade</w:t>
      </w:r>
      <w:proofErr w:type="spellEnd"/>
      <w:r w:rsidRPr="00054983">
        <w:rPr>
          <w:rFonts w:ascii="Times New Roman" w:eastAsia="Times New Roman" w:hAnsi="Times New Roman" w:cs="Times New Roman"/>
          <w:sz w:val="24"/>
          <w:szCs w:val="24"/>
        </w:rPr>
        <w:t xml:space="preserve"> &amp; </w:t>
      </w:r>
      <w:proofErr w:type="spellStart"/>
      <w:r w:rsidRPr="00054983">
        <w:rPr>
          <w:rFonts w:ascii="Times New Roman" w:eastAsia="Times New Roman" w:hAnsi="Times New Roman" w:cs="Times New Roman"/>
          <w:sz w:val="24"/>
          <w:szCs w:val="24"/>
        </w:rPr>
        <w:t>Egbunike</w:t>
      </w:r>
      <w:proofErr w:type="spellEnd"/>
      <w:r w:rsidRPr="00054983">
        <w:rPr>
          <w:rFonts w:ascii="Times New Roman" w:eastAsia="Times New Roman" w:hAnsi="Times New Roman" w:cs="Times New Roman"/>
          <w:sz w:val="24"/>
          <w:szCs w:val="24"/>
        </w:rPr>
        <w:t>, 2014).</w:t>
      </w:r>
    </w:p>
    <w:p w:rsidR="003F31BC" w:rsidRPr="00054983" w:rsidRDefault="003F31BC" w:rsidP="003F31BC">
      <w:pPr>
        <w:spacing w:before="100" w:beforeAutospacing="1" w:after="100" w:afterAutospacing="1" w:line="360" w:lineRule="auto"/>
        <w:ind w:right="18"/>
        <w:jc w:val="both"/>
        <w:rPr>
          <w:rFonts w:ascii="Times New Roman" w:eastAsia="Times New Roman" w:hAnsi="Times New Roman" w:cs="Times New Roman"/>
          <w:sz w:val="24"/>
          <w:szCs w:val="24"/>
        </w:rPr>
      </w:pPr>
      <w:r w:rsidRPr="00054983">
        <w:rPr>
          <w:rFonts w:ascii="Times New Roman" w:eastAsia="Times New Roman" w:hAnsi="Times New Roman" w:cs="Times New Roman"/>
          <w:sz w:val="24"/>
          <w:szCs w:val="24"/>
        </w:rPr>
        <w:t>Globalization has also intensified competition in the Nigerian banking sector, as DMBs face pressure from both domestic and international players. The entry of foreign banks and the expansion of Nigerian banks into international markets have heightened the need for robust financial reporting systems that can withstand scrutiny from global investors and regulators (</w:t>
      </w:r>
      <w:proofErr w:type="spellStart"/>
      <w:r w:rsidRPr="00054983">
        <w:rPr>
          <w:rFonts w:ascii="Times New Roman" w:eastAsia="Times New Roman" w:hAnsi="Times New Roman" w:cs="Times New Roman"/>
          <w:sz w:val="24"/>
          <w:szCs w:val="24"/>
        </w:rPr>
        <w:t>Claessens</w:t>
      </w:r>
      <w:proofErr w:type="spellEnd"/>
      <w:r w:rsidRPr="00054983">
        <w:rPr>
          <w:rFonts w:ascii="Times New Roman" w:eastAsia="Times New Roman" w:hAnsi="Times New Roman" w:cs="Times New Roman"/>
          <w:sz w:val="24"/>
          <w:szCs w:val="24"/>
        </w:rPr>
        <w:t xml:space="preserve">, </w:t>
      </w:r>
      <w:proofErr w:type="spellStart"/>
      <w:r w:rsidRPr="00054983">
        <w:rPr>
          <w:rFonts w:ascii="Times New Roman" w:eastAsia="Times New Roman" w:hAnsi="Times New Roman" w:cs="Times New Roman"/>
          <w:sz w:val="24"/>
          <w:szCs w:val="24"/>
        </w:rPr>
        <w:t>Klingebiel</w:t>
      </w:r>
      <w:proofErr w:type="spellEnd"/>
      <w:r w:rsidRPr="00054983">
        <w:rPr>
          <w:rFonts w:ascii="Times New Roman" w:eastAsia="Times New Roman" w:hAnsi="Times New Roman" w:cs="Times New Roman"/>
          <w:sz w:val="24"/>
          <w:szCs w:val="24"/>
        </w:rPr>
        <w:t xml:space="preserve">, &amp; </w:t>
      </w:r>
      <w:proofErr w:type="spellStart"/>
      <w:r w:rsidRPr="00054983">
        <w:rPr>
          <w:rFonts w:ascii="Times New Roman" w:eastAsia="Times New Roman" w:hAnsi="Times New Roman" w:cs="Times New Roman"/>
          <w:sz w:val="24"/>
          <w:szCs w:val="24"/>
        </w:rPr>
        <w:t>Schmukler</w:t>
      </w:r>
      <w:proofErr w:type="spellEnd"/>
      <w:r w:rsidRPr="00054983">
        <w:rPr>
          <w:rFonts w:ascii="Times New Roman" w:eastAsia="Times New Roman" w:hAnsi="Times New Roman" w:cs="Times New Roman"/>
          <w:sz w:val="24"/>
          <w:szCs w:val="24"/>
        </w:rPr>
        <w:t xml:space="preserve">, 2007). Zenith Bank </w:t>
      </w:r>
      <w:proofErr w:type="gramStart"/>
      <w:r w:rsidRPr="00054983">
        <w:rPr>
          <w:rFonts w:ascii="Times New Roman" w:eastAsia="Times New Roman" w:hAnsi="Times New Roman" w:cs="Times New Roman"/>
          <w:sz w:val="24"/>
          <w:szCs w:val="24"/>
        </w:rPr>
        <w:t>PLC,</w:t>
      </w:r>
      <w:proofErr w:type="gramEnd"/>
      <w:r w:rsidRPr="00054983">
        <w:rPr>
          <w:rFonts w:ascii="Times New Roman" w:eastAsia="Times New Roman" w:hAnsi="Times New Roman" w:cs="Times New Roman"/>
          <w:sz w:val="24"/>
          <w:szCs w:val="24"/>
        </w:rPr>
        <w:t xml:space="preserve"> established in 1990 and recognized as a leading financial institution in Nigeria, operates in this dynamic </w:t>
      </w:r>
      <w:r w:rsidRPr="00054983">
        <w:rPr>
          <w:rFonts w:ascii="Times New Roman" w:eastAsia="Times New Roman" w:hAnsi="Times New Roman" w:cs="Times New Roman"/>
          <w:sz w:val="24"/>
          <w:szCs w:val="24"/>
        </w:rPr>
        <w:lastRenderedPageBreak/>
        <w:t>environment, where its financial reporting practices are shaped by global trends, regulatory requirements, and competitive pressures. The bank's ability to adapt to these global influences while maintaining operational efficiency and stakeholder trust is critical to its sustained success.</w:t>
      </w:r>
    </w:p>
    <w:p w:rsidR="003F31BC" w:rsidRPr="00054983" w:rsidRDefault="003F31BC" w:rsidP="003F31BC">
      <w:pPr>
        <w:spacing w:before="100" w:beforeAutospacing="1" w:after="100" w:afterAutospacing="1" w:line="360" w:lineRule="auto"/>
        <w:ind w:right="18"/>
        <w:jc w:val="both"/>
        <w:rPr>
          <w:rFonts w:ascii="Times New Roman" w:eastAsia="Times New Roman" w:hAnsi="Times New Roman" w:cs="Times New Roman"/>
          <w:sz w:val="24"/>
          <w:szCs w:val="24"/>
        </w:rPr>
      </w:pPr>
      <w:r w:rsidRPr="00054983">
        <w:rPr>
          <w:rFonts w:ascii="Times New Roman" w:eastAsia="Times New Roman" w:hAnsi="Times New Roman" w:cs="Times New Roman"/>
          <w:sz w:val="24"/>
          <w:szCs w:val="24"/>
        </w:rPr>
        <w:t xml:space="preserve">Moreover, globalization has introduced technological advancements that have revolutionized financial reporting processes. The use of advanced accounting software, data analytics, and digital platforms has enabled DMBs to enhance the accuracy, timeliness, and accessibility of financial information (Baldwin, Brown, &amp; </w:t>
      </w:r>
      <w:proofErr w:type="spellStart"/>
      <w:r w:rsidRPr="00054983">
        <w:rPr>
          <w:rFonts w:ascii="Times New Roman" w:eastAsia="Times New Roman" w:hAnsi="Times New Roman" w:cs="Times New Roman"/>
          <w:sz w:val="24"/>
          <w:szCs w:val="24"/>
        </w:rPr>
        <w:t>Trinkle</w:t>
      </w:r>
      <w:proofErr w:type="spellEnd"/>
      <w:r w:rsidRPr="00054983">
        <w:rPr>
          <w:rFonts w:ascii="Times New Roman" w:eastAsia="Times New Roman" w:hAnsi="Times New Roman" w:cs="Times New Roman"/>
          <w:sz w:val="24"/>
          <w:szCs w:val="24"/>
        </w:rPr>
        <w:t>, 2022). For Zenith Bank PLC, leveraging technology is essential to meet the demands of real-time reporting and comply with global standards. However, the adoption of these technologies requires significant investment in infrastructure and human capital, posing additional challenges for DMBs in resource-constrained environments like Nigeria.</w:t>
      </w:r>
    </w:p>
    <w:p w:rsidR="003F31BC" w:rsidRPr="00054983" w:rsidRDefault="003F31BC" w:rsidP="003F31BC">
      <w:pPr>
        <w:spacing w:before="100" w:beforeAutospacing="1" w:after="100" w:afterAutospacing="1" w:line="360" w:lineRule="auto"/>
        <w:ind w:right="18"/>
        <w:jc w:val="both"/>
        <w:rPr>
          <w:rFonts w:ascii="Times New Roman" w:eastAsia="Times New Roman" w:hAnsi="Times New Roman" w:cs="Times New Roman"/>
          <w:sz w:val="24"/>
          <w:szCs w:val="24"/>
        </w:rPr>
      </w:pPr>
      <w:r w:rsidRPr="00054983">
        <w:rPr>
          <w:rFonts w:ascii="Times New Roman" w:eastAsia="Times New Roman" w:hAnsi="Times New Roman" w:cs="Times New Roman"/>
          <w:sz w:val="24"/>
          <w:szCs w:val="24"/>
        </w:rPr>
        <w:t>The interplay between globalization and financial reporting is further complicated by Nigeria's unique socio-economic context. As an emerging market, Nigeria faces challenges such as regulatory inconsistencies, infrastructural limitations, and cultural differences that impact the implementation of global financial reporting standards (</w:t>
      </w:r>
      <w:proofErr w:type="spellStart"/>
      <w:r w:rsidRPr="00054983">
        <w:rPr>
          <w:rFonts w:ascii="Times New Roman" w:eastAsia="Times New Roman" w:hAnsi="Times New Roman" w:cs="Times New Roman"/>
          <w:sz w:val="24"/>
          <w:szCs w:val="24"/>
        </w:rPr>
        <w:t>Okafor</w:t>
      </w:r>
      <w:proofErr w:type="spellEnd"/>
      <w:r w:rsidRPr="00054983">
        <w:rPr>
          <w:rFonts w:ascii="Times New Roman" w:eastAsia="Times New Roman" w:hAnsi="Times New Roman" w:cs="Times New Roman"/>
          <w:sz w:val="24"/>
          <w:szCs w:val="24"/>
        </w:rPr>
        <w:t>, 2021). For Zenith Bank PLC, these challenges are compounded by the need to maintain competitive advantages in a globalized economy while addressing local stakeholder needs. Understanding the effects of globalization on financial reporting practices is, therefore, crucial for policymakers, regulators, and banking executives to devise strategies that enhance the resilience and competitiveness of Nigeria's banking sector.</w:t>
      </w:r>
    </w:p>
    <w:p w:rsidR="003F31BC" w:rsidRPr="00054983" w:rsidRDefault="003F31BC" w:rsidP="003F31BC">
      <w:pPr>
        <w:spacing w:before="100" w:beforeAutospacing="1" w:after="100" w:afterAutospacing="1" w:line="360" w:lineRule="auto"/>
        <w:ind w:right="18"/>
        <w:jc w:val="both"/>
        <w:rPr>
          <w:rFonts w:ascii="Times New Roman" w:eastAsia="Times New Roman" w:hAnsi="Times New Roman" w:cs="Times New Roman"/>
          <w:sz w:val="24"/>
          <w:szCs w:val="24"/>
        </w:rPr>
      </w:pPr>
      <w:r w:rsidRPr="00054983">
        <w:rPr>
          <w:rFonts w:ascii="Times New Roman" w:eastAsia="Times New Roman" w:hAnsi="Times New Roman" w:cs="Times New Roman"/>
          <w:sz w:val="24"/>
          <w:szCs w:val="24"/>
        </w:rPr>
        <w:t>This study focuses on Zenith Bank PLC as a case study to explore how globalization influences financial reporting practices in the Nigerian banking sector. By examining the bank's experiences, the study aims to provide insights into the opportunities and challenges posed by globalization, offering a framework for other DMBs in Nigeria and similar emerging markets to navigate the complexities of global financial reporting.</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lastRenderedPageBreak/>
        <w:t>1.2</w:t>
      </w:r>
      <w:r w:rsidRPr="0061493E">
        <w:rPr>
          <w:rFonts w:asciiTheme="majorBidi" w:hAnsiTheme="majorBidi" w:cstheme="majorBidi"/>
          <w:b/>
          <w:bCs/>
          <w:sz w:val="24"/>
          <w:szCs w:val="24"/>
        </w:rPr>
        <w:tab/>
        <w:t>Statement of the Problem</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Despite the potential benefits of globalization on financial reporting, Deposit Money Banks (DMBs) in Nigeria, exemplified by Zenith Bank PLC, face several challenges that may impede their ability to effectively navigate the evolving landscape of financial reporting standards and requirements. These challenges are multifaceted and include.</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Globalization has engendered a heterogeneous regulatory environment characterized by diverse regulatory requirements, accounting standards, and reporting frameworks across different jurisdictions (Barth, Landsman, &amp; Lang, 2008). For DMBs like Zenith Bank PLC, operating in such a complex milieu can pose significant challenges in comprehensively understanding and adhering to the myriad of regulatory and reporting obligations.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The intensification of competition among banks driven by globalization has underscored the importance of financial transparency and disclosure (</w:t>
      </w:r>
      <w:proofErr w:type="spellStart"/>
      <w:r w:rsidRPr="0061493E">
        <w:rPr>
          <w:rFonts w:asciiTheme="majorBidi" w:hAnsiTheme="majorBidi" w:cstheme="majorBidi"/>
          <w:sz w:val="24"/>
          <w:szCs w:val="24"/>
        </w:rPr>
        <w:t>Claessens</w:t>
      </w:r>
      <w:proofErr w:type="spellEnd"/>
      <w:r w:rsidRPr="0061493E">
        <w:rPr>
          <w:rFonts w:asciiTheme="majorBidi" w:hAnsiTheme="majorBidi" w:cstheme="majorBidi"/>
          <w:sz w:val="24"/>
          <w:szCs w:val="24"/>
        </w:rPr>
        <w:t xml:space="preserve">, </w:t>
      </w:r>
      <w:proofErr w:type="spellStart"/>
      <w:r w:rsidRPr="0061493E">
        <w:rPr>
          <w:rFonts w:asciiTheme="majorBidi" w:hAnsiTheme="majorBidi" w:cstheme="majorBidi"/>
          <w:sz w:val="24"/>
          <w:szCs w:val="24"/>
        </w:rPr>
        <w:t>Klingebiel</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Schmukler</w:t>
      </w:r>
      <w:proofErr w:type="spellEnd"/>
      <w:r w:rsidRPr="0061493E">
        <w:rPr>
          <w:rFonts w:asciiTheme="majorBidi" w:hAnsiTheme="majorBidi" w:cstheme="majorBidi"/>
          <w:sz w:val="24"/>
          <w:szCs w:val="24"/>
        </w:rPr>
        <w:t>, 2007). However, despite the emphasis on transparency, information asymmetry may persist between DMBs and stakeholders, undermining the quality and reliability of financial information provided by banks such as Zenith Bank PLC (</w:t>
      </w:r>
      <w:proofErr w:type="spellStart"/>
      <w:r w:rsidRPr="0061493E">
        <w:rPr>
          <w:rFonts w:asciiTheme="majorBidi" w:hAnsiTheme="majorBidi" w:cstheme="majorBidi"/>
          <w:sz w:val="24"/>
          <w:szCs w:val="24"/>
        </w:rPr>
        <w:t>Ajibolade</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Egbunike</w:t>
      </w:r>
      <w:proofErr w:type="spellEnd"/>
      <w:r w:rsidRPr="0061493E">
        <w:rPr>
          <w:rFonts w:asciiTheme="majorBidi" w:hAnsiTheme="majorBidi" w:cstheme="majorBidi"/>
          <w:sz w:val="24"/>
          <w:szCs w:val="24"/>
        </w:rPr>
        <w:t>, 2014).</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Globalization has necessitated DMBs in Nigeria to adhere to various international financial reporting standards (IFRS), in addition to local regulatory requirements (</w:t>
      </w:r>
      <w:proofErr w:type="spellStart"/>
      <w:r w:rsidRPr="0061493E">
        <w:rPr>
          <w:rFonts w:asciiTheme="majorBidi" w:hAnsiTheme="majorBidi" w:cstheme="majorBidi"/>
          <w:sz w:val="24"/>
          <w:szCs w:val="24"/>
        </w:rPr>
        <w:t>Okafor</w:t>
      </w:r>
      <w:proofErr w:type="spellEnd"/>
      <w:r w:rsidRPr="0061493E">
        <w:rPr>
          <w:rFonts w:asciiTheme="majorBidi" w:hAnsiTheme="majorBidi" w:cstheme="majorBidi"/>
          <w:sz w:val="24"/>
          <w:szCs w:val="24"/>
        </w:rPr>
        <w:t xml:space="preserve">, </w:t>
      </w:r>
      <w:r>
        <w:rPr>
          <w:rFonts w:asciiTheme="majorBidi" w:hAnsiTheme="majorBidi" w:cstheme="majorBidi"/>
          <w:sz w:val="24"/>
          <w:szCs w:val="24"/>
        </w:rPr>
        <w:t>2021</w:t>
      </w:r>
      <w:r w:rsidRPr="0061493E">
        <w:rPr>
          <w:rFonts w:asciiTheme="majorBidi" w:hAnsiTheme="majorBidi" w:cstheme="majorBidi"/>
          <w:sz w:val="24"/>
          <w:szCs w:val="24"/>
        </w:rPr>
        <w:t xml:space="preserve">). Ensuring compliance with these standards while simultaneously addressing the unique needs of </w:t>
      </w:r>
      <w:proofErr w:type="gramStart"/>
      <w:r w:rsidRPr="0061493E">
        <w:rPr>
          <w:rFonts w:asciiTheme="majorBidi" w:hAnsiTheme="majorBidi" w:cstheme="majorBidi"/>
          <w:sz w:val="24"/>
          <w:szCs w:val="24"/>
        </w:rPr>
        <w:t>stakeholders</w:t>
      </w:r>
      <w:proofErr w:type="gramEnd"/>
      <w:r w:rsidRPr="0061493E">
        <w:rPr>
          <w:rFonts w:asciiTheme="majorBidi" w:hAnsiTheme="majorBidi" w:cstheme="majorBidi"/>
          <w:sz w:val="24"/>
          <w:szCs w:val="24"/>
        </w:rPr>
        <w:t xml:space="preserve"> presents a formidable challenge for banks like Zenith Bank PLC, as they strive to maintain financial integrity and regulatory compliance in a globalized environment.</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In light of these challenges, it is imperative to critically examine the impact of globalization on the financial reporting practices of DMBs in Nigeria, with a specific focus on Zenith Bank PLC. By identifying and addressing these challenges, policymakers, regulators, and industry stakeholders can work collaboratively to enhance the effectiveness and reliability of financial reporting within the Nigerian banking sector.</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lastRenderedPageBreak/>
        <w:t>1.3</w:t>
      </w:r>
      <w:r w:rsidRPr="0061493E">
        <w:rPr>
          <w:rFonts w:asciiTheme="majorBidi" w:hAnsiTheme="majorBidi" w:cstheme="majorBidi"/>
          <w:b/>
          <w:bCs/>
          <w:sz w:val="24"/>
          <w:szCs w:val="24"/>
        </w:rPr>
        <w:tab/>
        <w:t>Research Questions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To address the aforementioned issues, the following research questions are proposed:</w:t>
      </w:r>
    </w:p>
    <w:p w:rsidR="00151DA4" w:rsidRPr="0061493E" w:rsidRDefault="00151DA4" w:rsidP="00151DA4">
      <w:pPr>
        <w:pStyle w:val="NoSpacing"/>
        <w:numPr>
          <w:ilvl w:val="0"/>
          <w:numId w:val="2"/>
        </w:numPr>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How </w:t>
      </w:r>
      <w:proofErr w:type="gramStart"/>
      <w:r w:rsidRPr="0061493E">
        <w:rPr>
          <w:rFonts w:asciiTheme="majorBidi" w:hAnsiTheme="majorBidi" w:cstheme="majorBidi"/>
          <w:sz w:val="24"/>
          <w:szCs w:val="24"/>
        </w:rPr>
        <w:t>does globalization</w:t>
      </w:r>
      <w:proofErr w:type="gramEnd"/>
      <w:r w:rsidRPr="0061493E">
        <w:rPr>
          <w:rFonts w:asciiTheme="majorBidi" w:hAnsiTheme="majorBidi" w:cstheme="majorBidi"/>
          <w:sz w:val="24"/>
          <w:szCs w:val="24"/>
        </w:rPr>
        <w:t xml:space="preserve"> has effect on the financial reporting of Zenith Bank PLC?</w:t>
      </w:r>
    </w:p>
    <w:p w:rsidR="00151DA4" w:rsidRPr="0061493E" w:rsidRDefault="00151DA4" w:rsidP="00151DA4">
      <w:pPr>
        <w:pStyle w:val="NoSpacing"/>
        <w:numPr>
          <w:ilvl w:val="0"/>
          <w:numId w:val="2"/>
        </w:numPr>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What are the key challenges faced by Zenith Bank PLC in adapting to globalization in financial reporting with global standards and requirements?</w:t>
      </w:r>
    </w:p>
    <w:p w:rsidR="00151DA4" w:rsidRPr="00975626" w:rsidRDefault="00151DA4" w:rsidP="00151DA4">
      <w:pPr>
        <w:pStyle w:val="NoSpacing"/>
        <w:numPr>
          <w:ilvl w:val="0"/>
          <w:numId w:val="2"/>
        </w:numPr>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What strategies can Zenith Bank PLC employ to enhance the effectiveness of its financial reporting in the era of globalization?</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1.4</w:t>
      </w:r>
      <w:r w:rsidRPr="0061493E">
        <w:rPr>
          <w:rFonts w:asciiTheme="majorBidi" w:hAnsiTheme="majorBidi" w:cstheme="majorBidi"/>
          <w:b/>
          <w:bCs/>
          <w:sz w:val="24"/>
          <w:szCs w:val="24"/>
        </w:rPr>
        <w:tab/>
        <w:t>Objectives</w:t>
      </w:r>
      <w:r>
        <w:rPr>
          <w:rFonts w:asciiTheme="majorBidi" w:hAnsiTheme="majorBidi" w:cstheme="majorBidi"/>
          <w:b/>
          <w:bCs/>
          <w:sz w:val="24"/>
          <w:szCs w:val="24"/>
        </w:rPr>
        <w:t xml:space="preserve"> of the Study</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The study aims to achieve the following objectives:</w:t>
      </w:r>
    </w:p>
    <w:p w:rsidR="00151DA4" w:rsidRPr="0061493E" w:rsidRDefault="00151DA4" w:rsidP="00151DA4">
      <w:pPr>
        <w:pStyle w:val="NoSpacing"/>
        <w:numPr>
          <w:ilvl w:val="0"/>
          <w:numId w:val="3"/>
        </w:numPr>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To examine the effect of globalization on the financial reporting of Zenith Bank PLC.</w:t>
      </w:r>
    </w:p>
    <w:p w:rsidR="00151DA4" w:rsidRPr="0061493E" w:rsidRDefault="00151DA4" w:rsidP="00151DA4">
      <w:pPr>
        <w:pStyle w:val="NoSpacing"/>
        <w:numPr>
          <w:ilvl w:val="0"/>
          <w:numId w:val="3"/>
        </w:numPr>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To identify the key challenges face by Zenith Bank PLC in adapting to financial reporting with global standards and requirements.</w:t>
      </w:r>
    </w:p>
    <w:p w:rsidR="00151DA4" w:rsidRPr="00B51B2F" w:rsidRDefault="00151DA4" w:rsidP="00151DA4">
      <w:pPr>
        <w:pStyle w:val="NoSpacing"/>
        <w:numPr>
          <w:ilvl w:val="0"/>
          <w:numId w:val="3"/>
        </w:numPr>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To propose strategies for Zenith Bank PLC to improve its financial reporting effectiveness in the era of globalization.</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1.5</w:t>
      </w:r>
      <w:r w:rsidRPr="0061493E">
        <w:rPr>
          <w:rFonts w:asciiTheme="majorBidi" w:hAnsiTheme="majorBidi" w:cstheme="majorBidi"/>
          <w:b/>
          <w:bCs/>
          <w:sz w:val="24"/>
          <w:szCs w:val="24"/>
        </w:rPr>
        <w:tab/>
        <w:t>Research Hypotheses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Based on the research questions and objectives, the following null hypotheses are formulated:</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H</w:t>
      </w:r>
      <w:r w:rsidRPr="00835EAF">
        <w:rPr>
          <w:rFonts w:asciiTheme="majorBidi" w:hAnsiTheme="majorBidi" w:cstheme="majorBidi"/>
          <w:sz w:val="24"/>
          <w:szCs w:val="24"/>
          <w:vertAlign w:val="subscript"/>
        </w:rPr>
        <w:t>1</w:t>
      </w:r>
      <w:r w:rsidRPr="0061493E">
        <w:rPr>
          <w:rFonts w:asciiTheme="majorBidi" w:hAnsiTheme="majorBidi" w:cstheme="majorBidi"/>
          <w:sz w:val="24"/>
          <w:szCs w:val="24"/>
        </w:rPr>
        <w:t>: There is no significant effect of globalization on the financial reporting of Zenith Bank PLC.</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lastRenderedPageBreak/>
        <w:t>H</w:t>
      </w:r>
      <w:r w:rsidRPr="00835EAF">
        <w:rPr>
          <w:rFonts w:asciiTheme="majorBidi" w:hAnsiTheme="majorBidi" w:cstheme="majorBidi"/>
          <w:sz w:val="24"/>
          <w:szCs w:val="24"/>
          <w:vertAlign w:val="subscript"/>
        </w:rPr>
        <w:t>2</w:t>
      </w:r>
      <w:r w:rsidRPr="0061493E">
        <w:rPr>
          <w:rFonts w:asciiTheme="majorBidi" w:hAnsiTheme="majorBidi" w:cstheme="majorBidi"/>
          <w:sz w:val="24"/>
          <w:szCs w:val="24"/>
        </w:rPr>
        <w:t>: There is no significant relationship between globalization and the challenges faced by Zenith Bank PLC in financial reporting.</w:t>
      </w:r>
    </w:p>
    <w:p w:rsidR="00151DA4"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H</w:t>
      </w:r>
      <w:r w:rsidRPr="00835EAF">
        <w:rPr>
          <w:rFonts w:asciiTheme="majorBidi" w:hAnsiTheme="majorBidi" w:cstheme="majorBidi"/>
          <w:sz w:val="24"/>
          <w:szCs w:val="24"/>
          <w:vertAlign w:val="subscript"/>
        </w:rPr>
        <w:t>3</w:t>
      </w:r>
      <w:r w:rsidRPr="0061493E">
        <w:rPr>
          <w:rFonts w:asciiTheme="majorBidi" w:hAnsiTheme="majorBidi" w:cstheme="majorBidi"/>
          <w:sz w:val="24"/>
          <w:szCs w:val="24"/>
        </w:rPr>
        <w:t>: There is no significant effect of globalization on the strategies employed by Zenith Bank PLC to enhance its financial reporting effectiveness.</w:t>
      </w:r>
    </w:p>
    <w:p w:rsidR="00151DA4" w:rsidRPr="0061493E" w:rsidRDefault="00151DA4" w:rsidP="00151DA4">
      <w:pPr>
        <w:pStyle w:val="NoSpacing"/>
        <w:spacing w:before="240" w:line="360" w:lineRule="auto"/>
        <w:jc w:val="both"/>
        <w:rPr>
          <w:rFonts w:asciiTheme="majorBidi" w:hAnsiTheme="majorBidi" w:cstheme="majorBidi"/>
          <w:b/>
          <w:bCs/>
          <w:color w:val="000000" w:themeColor="text1"/>
          <w:sz w:val="24"/>
          <w:szCs w:val="24"/>
        </w:rPr>
      </w:pPr>
      <w:r w:rsidRPr="0061493E">
        <w:rPr>
          <w:rFonts w:asciiTheme="majorBidi" w:hAnsiTheme="majorBidi" w:cstheme="majorBidi"/>
          <w:b/>
          <w:bCs/>
          <w:color w:val="000000" w:themeColor="text1"/>
          <w:sz w:val="24"/>
          <w:szCs w:val="24"/>
        </w:rPr>
        <w:t>1.</w:t>
      </w:r>
      <w:r>
        <w:rPr>
          <w:rFonts w:asciiTheme="majorBidi" w:hAnsiTheme="majorBidi" w:cstheme="majorBidi"/>
          <w:b/>
          <w:bCs/>
          <w:color w:val="000000" w:themeColor="text1"/>
          <w:sz w:val="24"/>
          <w:szCs w:val="24"/>
        </w:rPr>
        <w:t>6</w:t>
      </w:r>
      <w:r w:rsidRPr="0061493E">
        <w:rPr>
          <w:rFonts w:asciiTheme="majorBidi" w:hAnsiTheme="majorBidi" w:cstheme="majorBidi"/>
          <w:b/>
          <w:bCs/>
          <w:color w:val="000000" w:themeColor="text1"/>
          <w:sz w:val="24"/>
          <w:szCs w:val="24"/>
        </w:rPr>
        <w:tab/>
        <w:t>Significance of the Study</w:t>
      </w:r>
    </w:p>
    <w:p w:rsidR="00151DA4" w:rsidRPr="0061493E" w:rsidRDefault="00151DA4" w:rsidP="00151DA4">
      <w:pPr>
        <w:pStyle w:val="NoSpacing"/>
        <w:spacing w:before="240" w:line="360" w:lineRule="auto"/>
        <w:jc w:val="both"/>
        <w:rPr>
          <w:rFonts w:asciiTheme="majorBidi" w:hAnsiTheme="majorBidi" w:cstheme="majorBidi"/>
          <w:color w:val="000000" w:themeColor="text1"/>
          <w:sz w:val="24"/>
          <w:szCs w:val="24"/>
        </w:rPr>
      </w:pPr>
      <w:r w:rsidRPr="0061493E">
        <w:rPr>
          <w:rFonts w:asciiTheme="majorBidi" w:hAnsiTheme="majorBidi" w:cstheme="majorBidi"/>
          <w:color w:val="000000" w:themeColor="text1"/>
          <w:sz w:val="24"/>
          <w:szCs w:val="24"/>
        </w:rPr>
        <w:t>The significance of the project work cannot be out emphasized, this is because the project work is not only useful for the students in the higher institution of learning, particularly the vocational students will funds it useful, also both staff and management of the zenith bank plc. It has been relevance to both the employees and employers in the banking sectors as well as the Nigeria society at large</w:t>
      </w:r>
    </w:p>
    <w:p w:rsidR="00151DA4" w:rsidRPr="00835EAF" w:rsidRDefault="00151DA4" w:rsidP="00151DA4">
      <w:pPr>
        <w:pStyle w:val="NoSpacing"/>
        <w:spacing w:before="240" w:line="360" w:lineRule="auto"/>
        <w:jc w:val="both"/>
        <w:rPr>
          <w:rFonts w:asciiTheme="majorBidi" w:hAnsiTheme="majorBidi" w:cstheme="majorBidi"/>
          <w:b/>
          <w:bCs/>
          <w:sz w:val="24"/>
          <w:szCs w:val="24"/>
        </w:rPr>
      </w:pPr>
      <w:r w:rsidRPr="00835EAF">
        <w:rPr>
          <w:rFonts w:asciiTheme="majorBidi" w:hAnsiTheme="majorBidi" w:cstheme="majorBidi"/>
          <w:b/>
          <w:bCs/>
          <w:sz w:val="24"/>
          <w:szCs w:val="24"/>
        </w:rPr>
        <w:t>1.</w:t>
      </w:r>
      <w:r>
        <w:rPr>
          <w:rFonts w:asciiTheme="majorBidi" w:hAnsiTheme="majorBidi" w:cstheme="majorBidi"/>
          <w:b/>
          <w:bCs/>
          <w:sz w:val="24"/>
          <w:szCs w:val="24"/>
        </w:rPr>
        <w:t>7</w:t>
      </w:r>
      <w:r w:rsidRPr="00835EAF">
        <w:rPr>
          <w:rFonts w:asciiTheme="majorBidi" w:hAnsiTheme="majorBidi" w:cstheme="majorBidi"/>
          <w:b/>
          <w:bCs/>
          <w:sz w:val="24"/>
          <w:szCs w:val="24"/>
        </w:rPr>
        <w:tab/>
      </w:r>
      <w:r>
        <w:rPr>
          <w:rFonts w:asciiTheme="majorBidi" w:hAnsiTheme="majorBidi" w:cstheme="majorBidi"/>
          <w:b/>
          <w:bCs/>
          <w:sz w:val="24"/>
          <w:szCs w:val="24"/>
        </w:rPr>
        <w:t>Scope of the Study</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This study focuses on examining the </w:t>
      </w:r>
      <w:r>
        <w:rPr>
          <w:rFonts w:asciiTheme="majorBidi" w:hAnsiTheme="majorBidi" w:cstheme="majorBidi"/>
          <w:sz w:val="24"/>
          <w:szCs w:val="24"/>
        </w:rPr>
        <w:t xml:space="preserve">effect </w:t>
      </w:r>
      <w:r w:rsidRPr="0061493E">
        <w:rPr>
          <w:rFonts w:asciiTheme="majorBidi" w:hAnsiTheme="majorBidi" w:cstheme="majorBidi"/>
          <w:sz w:val="24"/>
          <w:szCs w:val="24"/>
        </w:rPr>
        <w:t xml:space="preserve">of globalization on the financial reporting practices of Deposit Money Banks (DMBs) in Nigeria, with a specific case study of Zenith Bank PLC. </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However, </w:t>
      </w:r>
      <w:r>
        <w:rPr>
          <w:rFonts w:asciiTheme="majorBidi" w:hAnsiTheme="majorBidi" w:cstheme="majorBidi"/>
          <w:sz w:val="24"/>
          <w:szCs w:val="24"/>
        </w:rPr>
        <w:t>th</w:t>
      </w:r>
      <w:r w:rsidRPr="0061493E">
        <w:rPr>
          <w:rFonts w:asciiTheme="majorBidi" w:hAnsiTheme="majorBidi" w:cstheme="majorBidi"/>
          <w:sz w:val="24"/>
          <w:szCs w:val="24"/>
        </w:rPr>
        <w:t>e study primarily concentrates on the Nigerian banking sector, given its significance within the broader context of Sub-Saharan Africa's financial landscape. Specifically, the research delves into the operations of Zenith Bank PLC, one of Nigeria's leading DMBs, to provide a nuanced understanding of the implications of globalization on financial reporting practices within the country. The study considers the contemporary dynamics of globalization and its evolving impact on financial reporting, taking into account recent trends, developments, and regulatory changes. While historical perspectives may inform the analysis, the focus remains on current practices and challenges faced by DMBs such as Zenith Bank PLC.</w:t>
      </w:r>
    </w:p>
    <w:p w:rsidR="00151DA4" w:rsidRPr="00975626"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The study addresses various dimensions of financial reporting influenced by globalization, including regulatory compliance, accounting standards, transparency, and stakeholder </w:t>
      </w:r>
      <w:r w:rsidRPr="0061493E">
        <w:rPr>
          <w:rFonts w:asciiTheme="majorBidi" w:hAnsiTheme="majorBidi" w:cstheme="majorBidi"/>
          <w:sz w:val="24"/>
          <w:szCs w:val="24"/>
        </w:rPr>
        <w:lastRenderedPageBreak/>
        <w:t>communication. It examines how these factors intersect with Zenith Bank PLC's operations and reporting practices, shedding light on both challenges and opportunities arising from globalization. The research employs a mixed-methods approach, integrating qualitative and quantitative methodologies to comprehensively explore the research questions and objectives. Qualitative methods, such as interviews and document analysis, provide insights into the contextual nuances of financial reporting practices, while quantitative techniques facilitate the analysis of empirical data and statistical relationships.</w:t>
      </w:r>
    </w:p>
    <w:p w:rsidR="00151DA4" w:rsidRPr="00765130"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b/>
          <w:bCs/>
          <w:color w:val="000000" w:themeColor="text1"/>
          <w:sz w:val="24"/>
          <w:szCs w:val="24"/>
        </w:rPr>
        <w:t>1.</w:t>
      </w:r>
      <w:r>
        <w:rPr>
          <w:rFonts w:asciiTheme="majorBidi" w:hAnsiTheme="majorBidi" w:cstheme="majorBidi"/>
          <w:b/>
          <w:bCs/>
          <w:color w:val="000000" w:themeColor="text1"/>
          <w:sz w:val="24"/>
          <w:szCs w:val="24"/>
        </w:rPr>
        <w:t>8</w:t>
      </w:r>
      <w:r w:rsidRPr="0061493E">
        <w:rPr>
          <w:rFonts w:asciiTheme="majorBidi" w:hAnsiTheme="majorBidi" w:cstheme="majorBidi"/>
          <w:b/>
          <w:bCs/>
          <w:color w:val="000000" w:themeColor="text1"/>
          <w:sz w:val="24"/>
          <w:szCs w:val="24"/>
        </w:rPr>
        <w:tab/>
        <w:t>Limitation of the Study</w:t>
      </w:r>
    </w:p>
    <w:p w:rsidR="00151DA4" w:rsidRPr="0061493E" w:rsidRDefault="00151DA4" w:rsidP="00151DA4">
      <w:pPr>
        <w:pStyle w:val="NoSpacing"/>
        <w:spacing w:before="240" w:line="360" w:lineRule="auto"/>
        <w:jc w:val="both"/>
        <w:rPr>
          <w:rFonts w:asciiTheme="majorBidi" w:hAnsiTheme="majorBidi" w:cstheme="majorBidi"/>
          <w:color w:val="000000" w:themeColor="text1"/>
          <w:sz w:val="24"/>
          <w:szCs w:val="24"/>
        </w:rPr>
      </w:pPr>
      <w:r w:rsidRPr="0061493E">
        <w:rPr>
          <w:rFonts w:asciiTheme="majorBidi" w:hAnsiTheme="majorBidi" w:cstheme="majorBidi"/>
          <w:color w:val="000000" w:themeColor="text1"/>
          <w:sz w:val="24"/>
          <w:szCs w:val="24"/>
        </w:rPr>
        <w:t>The limitation of this kind of research work especially when carried out in an educational environment is obvious. It is envisage that data might be difficult. This is due to the fact that most of the professional members in the area of the study are busy with financial engagement. Problem of limitation of time, scarcity of funds, insufficient data and non-availability of relevant materials to some extent constitute limitation of the study</w:t>
      </w:r>
    </w:p>
    <w:p w:rsidR="00151DA4" w:rsidRPr="0061493E" w:rsidRDefault="00151DA4" w:rsidP="00151DA4">
      <w:pPr>
        <w:pStyle w:val="NoSpacing"/>
        <w:spacing w:before="240" w:line="360" w:lineRule="auto"/>
        <w:jc w:val="both"/>
        <w:rPr>
          <w:rFonts w:asciiTheme="majorBidi" w:hAnsiTheme="majorBidi" w:cstheme="majorBidi"/>
          <w:b/>
          <w:bCs/>
          <w:color w:val="000000" w:themeColor="text1"/>
          <w:sz w:val="24"/>
          <w:szCs w:val="24"/>
        </w:rPr>
      </w:pPr>
      <w:r w:rsidRPr="0061493E">
        <w:rPr>
          <w:rFonts w:asciiTheme="majorBidi" w:hAnsiTheme="majorBidi" w:cstheme="majorBidi"/>
          <w:b/>
          <w:bCs/>
          <w:color w:val="000000" w:themeColor="text1"/>
          <w:sz w:val="24"/>
          <w:szCs w:val="24"/>
        </w:rPr>
        <w:t>1.9</w:t>
      </w:r>
      <w:r w:rsidRPr="0061493E">
        <w:rPr>
          <w:rFonts w:asciiTheme="majorBidi" w:hAnsiTheme="majorBidi" w:cstheme="majorBidi"/>
          <w:b/>
          <w:bCs/>
          <w:color w:val="000000" w:themeColor="text1"/>
          <w:sz w:val="24"/>
          <w:szCs w:val="24"/>
        </w:rPr>
        <w:tab/>
        <w:t xml:space="preserve">Definition of </w:t>
      </w:r>
      <w:r>
        <w:rPr>
          <w:rFonts w:asciiTheme="majorBidi" w:hAnsiTheme="majorBidi" w:cstheme="majorBidi"/>
          <w:b/>
          <w:bCs/>
          <w:color w:val="000000" w:themeColor="text1"/>
          <w:sz w:val="24"/>
          <w:szCs w:val="24"/>
        </w:rPr>
        <w:t>Terms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Style w:val="Strong"/>
          <w:rFonts w:asciiTheme="majorBidi" w:hAnsiTheme="majorBidi"/>
          <w:color w:val="0D0D0D"/>
          <w:sz w:val="24"/>
          <w:szCs w:val="24"/>
          <w:bdr w:val="single" w:sz="2" w:space="0" w:color="E3E3E3" w:frame="1"/>
        </w:rPr>
        <w:t>Globalization</w:t>
      </w:r>
      <w:r w:rsidRPr="0061493E">
        <w:rPr>
          <w:rFonts w:asciiTheme="majorBidi" w:hAnsiTheme="majorBidi" w:cstheme="majorBidi"/>
          <w:sz w:val="24"/>
          <w:szCs w:val="24"/>
        </w:rPr>
        <w:t>: Globalization refers to the process of increased interconnectedness and integration of economies, societies, and cultures through cross-border flows of goods, services, capital, technology, and information (</w:t>
      </w:r>
      <w:proofErr w:type="spellStart"/>
      <w:r w:rsidRPr="0061493E">
        <w:rPr>
          <w:rFonts w:asciiTheme="majorBidi" w:hAnsiTheme="majorBidi" w:cstheme="majorBidi"/>
          <w:sz w:val="24"/>
          <w:szCs w:val="24"/>
        </w:rPr>
        <w:t>Rodrik</w:t>
      </w:r>
      <w:proofErr w:type="spellEnd"/>
      <w:r w:rsidRPr="0061493E">
        <w:rPr>
          <w:rFonts w:asciiTheme="majorBidi" w:hAnsiTheme="majorBidi" w:cstheme="majorBidi"/>
          <w:sz w:val="24"/>
          <w:szCs w:val="24"/>
        </w:rPr>
        <w:t>, 2011). In the context of this study, globalization encompasses the broader economic and financial phenomena shaping the operating environment of Deposit Money Banks (DMBs) in Nigeria, including Zenith Bank PLC.</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Style w:val="Strong"/>
          <w:rFonts w:asciiTheme="majorBidi" w:hAnsiTheme="majorBidi"/>
          <w:color w:val="0D0D0D"/>
          <w:sz w:val="24"/>
          <w:szCs w:val="24"/>
          <w:bdr w:val="single" w:sz="2" w:space="0" w:color="E3E3E3" w:frame="1"/>
        </w:rPr>
        <w:t>Financial Reporting</w:t>
      </w:r>
      <w:r w:rsidRPr="0061493E">
        <w:rPr>
          <w:rFonts w:asciiTheme="majorBidi" w:hAnsiTheme="majorBidi" w:cstheme="majorBidi"/>
          <w:sz w:val="24"/>
          <w:szCs w:val="24"/>
        </w:rPr>
        <w:t>: Financial reporting involves the preparation and presentation of financial information, including financial statements and related disclosures, to external stakeholders such as investors, regulators, and the public (IASB, 2018). It serves as a means of communicating the financial performance, position, and cash flows of an organization, facilitating decision-making and accountability.</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Style w:val="Strong"/>
          <w:rFonts w:asciiTheme="majorBidi" w:hAnsiTheme="majorBidi"/>
          <w:color w:val="0D0D0D"/>
          <w:sz w:val="24"/>
          <w:szCs w:val="24"/>
          <w:bdr w:val="single" w:sz="2" w:space="0" w:color="E3E3E3" w:frame="1"/>
        </w:rPr>
        <w:lastRenderedPageBreak/>
        <w:t>Deposit Money Banks (DMBs)</w:t>
      </w:r>
      <w:r w:rsidRPr="0061493E">
        <w:rPr>
          <w:rFonts w:asciiTheme="majorBidi" w:hAnsiTheme="majorBidi" w:cstheme="majorBidi"/>
          <w:sz w:val="24"/>
          <w:szCs w:val="24"/>
        </w:rPr>
        <w:t xml:space="preserve">: Deposit Money Banks are financial institutions that primarily accept deposits from customers and provide loans and other financial services (CBN, </w:t>
      </w:r>
      <w:proofErr w:type="spellStart"/>
      <w:r w:rsidRPr="0061493E">
        <w:rPr>
          <w:rFonts w:asciiTheme="majorBidi" w:hAnsiTheme="majorBidi" w:cstheme="majorBidi"/>
          <w:sz w:val="24"/>
          <w:szCs w:val="24"/>
        </w:rPr>
        <w:t>n.d.</w:t>
      </w:r>
      <w:proofErr w:type="spellEnd"/>
      <w:r w:rsidRPr="0061493E">
        <w:rPr>
          <w:rFonts w:asciiTheme="majorBidi" w:hAnsiTheme="majorBidi" w:cstheme="majorBidi"/>
          <w:sz w:val="24"/>
          <w:szCs w:val="24"/>
        </w:rPr>
        <w:t>). In Nigeria, DMBs play a crucial role in intermediating funds between savers and borrowers, contributing to the development of the economy.</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Style w:val="Strong"/>
          <w:rFonts w:asciiTheme="majorBidi" w:hAnsiTheme="majorBidi"/>
          <w:color w:val="0D0D0D"/>
          <w:sz w:val="24"/>
          <w:szCs w:val="24"/>
          <w:bdr w:val="single" w:sz="2" w:space="0" w:color="E3E3E3" w:frame="1"/>
        </w:rPr>
        <w:t>Zenith Bank PLC</w:t>
      </w:r>
      <w:r w:rsidRPr="0061493E">
        <w:rPr>
          <w:rFonts w:asciiTheme="majorBidi" w:hAnsiTheme="majorBidi" w:cstheme="majorBidi"/>
          <w:sz w:val="24"/>
          <w:szCs w:val="24"/>
        </w:rPr>
        <w:t>: Zenith Bank PLC is one of the leading DMBs in Nigeria, with a significant presence in the domestic and international banking markets. Founded in 1990, Zenith Bank has emerged as a key player in the Nigerian banking sector, offering a wide range of financial products and services to its customers.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Style w:val="Strong"/>
          <w:rFonts w:asciiTheme="majorBidi" w:hAnsiTheme="majorBidi"/>
          <w:color w:val="0D0D0D"/>
          <w:sz w:val="24"/>
          <w:szCs w:val="24"/>
          <w:bdr w:val="single" w:sz="2" w:space="0" w:color="E3E3E3" w:frame="1"/>
        </w:rPr>
        <w:t>Regulatory Compliance</w:t>
      </w:r>
      <w:r w:rsidRPr="0061493E">
        <w:rPr>
          <w:rFonts w:asciiTheme="majorBidi" w:hAnsiTheme="majorBidi" w:cstheme="majorBidi"/>
          <w:sz w:val="24"/>
          <w:szCs w:val="24"/>
        </w:rPr>
        <w:t>: Regulatory compliance refers to the adherence of organizations to laws, regulations, and standards set forth by regulatory authorities or governing bodies (PwC, 2021). In the context of this study, regulatory compliance pertains to the obligations of DMBs such as Zenith Bank PLC to comply with both local regulatory requirements in Nigeria and international financial reporting standards (IFRS).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Style w:val="Strong"/>
          <w:rFonts w:asciiTheme="majorBidi" w:hAnsiTheme="majorBidi"/>
          <w:color w:val="0D0D0D"/>
          <w:sz w:val="24"/>
          <w:szCs w:val="24"/>
          <w:bdr w:val="single" w:sz="2" w:space="0" w:color="E3E3E3" w:frame="1"/>
        </w:rPr>
        <w:t>Accounting Standards</w:t>
      </w:r>
      <w:r w:rsidRPr="0061493E">
        <w:rPr>
          <w:rFonts w:asciiTheme="majorBidi" w:hAnsiTheme="majorBidi" w:cstheme="majorBidi"/>
          <w:sz w:val="24"/>
          <w:szCs w:val="24"/>
        </w:rPr>
        <w:t xml:space="preserve">: Accounting standards are guidelines and principles established by standard-setting bodies, such as the International Accounting Standards Board (IASB) and the Financial Reporting Council (FRC), to govern the preparation and presentation of financial statements (IFRS Foundation, </w:t>
      </w:r>
      <w:proofErr w:type="spellStart"/>
      <w:r w:rsidRPr="0061493E">
        <w:rPr>
          <w:rFonts w:asciiTheme="majorBidi" w:hAnsiTheme="majorBidi" w:cstheme="majorBidi"/>
          <w:sz w:val="24"/>
          <w:szCs w:val="24"/>
        </w:rPr>
        <w:t>n.d.</w:t>
      </w:r>
      <w:proofErr w:type="spellEnd"/>
      <w:r w:rsidRPr="0061493E">
        <w:rPr>
          <w:rFonts w:asciiTheme="majorBidi" w:hAnsiTheme="majorBidi" w:cstheme="majorBidi"/>
          <w:sz w:val="24"/>
          <w:szCs w:val="24"/>
        </w:rPr>
        <w:t>). These standards ensure consistency, comparability, and transparency in financial reporting practices.</w:t>
      </w:r>
    </w:p>
    <w:p w:rsidR="00151DA4" w:rsidRPr="0061493E" w:rsidRDefault="00151DA4" w:rsidP="00151DA4">
      <w:pPr>
        <w:spacing w:line="360" w:lineRule="auto"/>
        <w:rPr>
          <w:rFonts w:asciiTheme="majorBidi" w:hAnsiTheme="majorBidi" w:cstheme="majorBidi"/>
          <w:sz w:val="24"/>
          <w:szCs w:val="24"/>
        </w:rPr>
      </w:pPr>
      <w:r w:rsidRPr="0061493E">
        <w:rPr>
          <w:rFonts w:asciiTheme="majorBidi" w:hAnsiTheme="majorBidi" w:cstheme="majorBidi"/>
          <w:sz w:val="24"/>
          <w:szCs w:val="24"/>
        </w:rPr>
        <w:br w:type="page"/>
      </w:r>
    </w:p>
    <w:p w:rsidR="00151DA4" w:rsidRPr="0061493E" w:rsidRDefault="00151DA4" w:rsidP="00151DA4">
      <w:pPr>
        <w:pStyle w:val="NoSpacing"/>
        <w:spacing w:before="240" w:line="360" w:lineRule="auto"/>
        <w:jc w:val="center"/>
        <w:rPr>
          <w:rFonts w:asciiTheme="majorBidi" w:hAnsiTheme="majorBidi" w:cstheme="majorBidi"/>
          <w:b/>
          <w:bCs/>
          <w:sz w:val="24"/>
          <w:szCs w:val="24"/>
        </w:rPr>
      </w:pPr>
      <w:r w:rsidRPr="0061493E">
        <w:rPr>
          <w:rFonts w:asciiTheme="majorBidi" w:hAnsiTheme="majorBidi" w:cstheme="majorBidi"/>
          <w:b/>
          <w:bCs/>
          <w:sz w:val="24"/>
          <w:szCs w:val="24"/>
        </w:rPr>
        <w:lastRenderedPageBreak/>
        <w:t>CHAPTER TWO</w:t>
      </w:r>
    </w:p>
    <w:p w:rsidR="00151DA4" w:rsidRPr="0061493E" w:rsidRDefault="00151DA4" w:rsidP="00151DA4">
      <w:pPr>
        <w:pStyle w:val="NoSpacing"/>
        <w:spacing w:before="240" w:line="360" w:lineRule="auto"/>
        <w:jc w:val="center"/>
        <w:rPr>
          <w:rFonts w:asciiTheme="majorBidi" w:hAnsiTheme="majorBidi" w:cstheme="majorBidi"/>
          <w:b/>
          <w:bCs/>
          <w:sz w:val="24"/>
          <w:szCs w:val="24"/>
        </w:rPr>
      </w:pPr>
      <w:r w:rsidRPr="0061493E">
        <w:rPr>
          <w:rFonts w:asciiTheme="majorBidi" w:hAnsiTheme="majorBidi" w:cstheme="majorBidi"/>
          <w:b/>
          <w:bCs/>
          <w:sz w:val="24"/>
          <w:szCs w:val="24"/>
        </w:rPr>
        <w:t>LITERATURE REVIEW</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2.</w:t>
      </w:r>
      <w:r>
        <w:rPr>
          <w:rFonts w:asciiTheme="majorBidi" w:hAnsiTheme="majorBidi" w:cstheme="majorBidi"/>
          <w:b/>
          <w:bCs/>
          <w:sz w:val="24"/>
          <w:szCs w:val="24"/>
        </w:rPr>
        <w:t>1</w:t>
      </w:r>
      <w:r w:rsidRPr="0061493E">
        <w:rPr>
          <w:rFonts w:asciiTheme="majorBidi" w:hAnsiTheme="majorBidi" w:cstheme="majorBidi"/>
          <w:b/>
          <w:bCs/>
          <w:sz w:val="24"/>
          <w:szCs w:val="24"/>
        </w:rPr>
        <w:tab/>
        <w:t xml:space="preserve">Conceptual </w:t>
      </w:r>
      <w:r>
        <w:rPr>
          <w:rFonts w:asciiTheme="majorBidi" w:hAnsiTheme="majorBidi" w:cstheme="majorBidi"/>
          <w:b/>
          <w:bCs/>
          <w:sz w:val="24"/>
          <w:szCs w:val="24"/>
        </w:rPr>
        <w:t>Review</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2.</w:t>
      </w:r>
      <w:r>
        <w:rPr>
          <w:rFonts w:asciiTheme="majorBidi" w:hAnsiTheme="majorBidi" w:cstheme="majorBidi"/>
          <w:b/>
          <w:bCs/>
          <w:sz w:val="24"/>
          <w:szCs w:val="24"/>
        </w:rPr>
        <w:t>1</w:t>
      </w:r>
      <w:r w:rsidRPr="0061493E">
        <w:rPr>
          <w:rFonts w:asciiTheme="majorBidi" w:hAnsiTheme="majorBidi" w:cstheme="majorBidi"/>
          <w:b/>
          <w:bCs/>
          <w:sz w:val="24"/>
          <w:szCs w:val="24"/>
        </w:rPr>
        <w:t>.1</w:t>
      </w:r>
      <w:r w:rsidRPr="0061493E">
        <w:rPr>
          <w:rFonts w:asciiTheme="majorBidi" w:hAnsiTheme="majorBidi" w:cstheme="majorBidi"/>
          <w:b/>
          <w:bCs/>
          <w:sz w:val="24"/>
          <w:szCs w:val="24"/>
        </w:rPr>
        <w:tab/>
        <w:t xml:space="preserve">Concept of Globalization </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Globalization has profoundly impacted financial reporting practices, necessitating alignment with international standards and increased transparency to meet the demands of an interconnected global economy (Barth, Landsman, &amp; Lang, 2008). As countries integrate into the global marketplace, Deposit Money Banks (DMBs) face challenges in navigating diverse regulatory requirements and accounting standards across jurisdictions (</w:t>
      </w:r>
      <w:proofErr w:type="spellStart"/>
      <w:r w:rsidRPr="0061493E">
        <w:rPr>
          <w:rFonts w:asciiTheme="majorBidi" w:hAnsiTheme="majorBidi" w:cstheme="majorBidi"/>
          <w:sz w:val="24"/>
          <w:szCs w:val="24"/>
        </w:rPr>
        <w:t>Ajibolade</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Egbunike</w:t>
      </w:r>
      <w:proofErr w:type="spellEnd"/>
      <w:r w:rsidRPr="0061493E">
        <w:rPr>
          <w:rFonts w:asciiTheme="majorBidi" w:hAnsiTheme="majorBidi" w:cstheme="majorBidi"/>
          <w:sz w:val="24"/>
          <w:szCs w:val="24"/>
        </w:rPr>
        <w:t>, 2014).</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Globalization has been defined by various authors in different ways according to their background and the variables of interest. Globalization is a concept that captures the growth of connections between people on a planetary scale; it involves the reduction of barriers to trans-world contacts. It involves the widening and deepening of international flows of trade, finance and information in a single, integrated global market (Alfaro, </w:t>
      </w:r>
      <w:proofErr w:type="spellStart"/>
      <w:r w:rsidRPr="0061493E">
        <w:rPr>
          <w:rFonts w:asciiTheme="majorBidi" w:hAnsiTheme="majorBidi" w:cstheme="majorBidi"/>
          <w:sz w:val="24"/>
          <w:szCs w:val="24"/>
        </w:rPr>
        <w:t>Chanda</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Sayek</w:t>
      </w:r>
      <w:proofErr w:type="spellEnd"/>
      <w:r w:rsidRPr="0061493E">
        <w:rPr>
          <w:rFonts w:asciiTheme="majorBidi" w:hAnsiTheme="majorBidi" w:cstheme="majorBidi"/>
          <w:sz w:val="24"/>
          <w:szCs w:val="24"/>
        </w:rPr>
        <w:t xml:space="preserve">; 2014). </w:t>
      </w:r>
      <w:proofErr w:type="spellStart"/>
      <w:r w:rsidRPr="0061493E">
        <w:rPr>
          <w:rFonts w:asciiTheme="majorBidi" w:hAnsiTheme="majorBidi" w:cstheme="majorBidi"/>
          <w:sz w:val="24"/>
          <w:szCs w:val="24"/>
        </w:rPr>
        <w:t>Nnoli</w:t>
      </w:r>
      <w:proofErr w:type="spellEnd"/>
      <w:r w:rsidRPr="0061493E">
        <w:rPr>
          <w:rFonts w:asciiTheme="majorBidi" w:hAnsiTheme="majorBidi" w:cstheme="majorBidi"/>
          <w:sz w:val="24"/>
          <w:szCs w:val="24"/>
        </w:rPr>
        <w:t xml:space="preserve"> (2000) agreed that globalization is a complex phenomenon which has superlative interface and bridges the incompatibilities and institutional imbalances. </w:t>
      </w:r>
      <w:proofErr w:type="spellStart"/>
      <w:r w:rsidRPr="0061493E">
        <w:rPr>
          <w:rFonts w:asciiTheme="majorBidi" w:hAnsiTheme="majorBidi" w:cstheme="majorBidi"/>
          <w:sz w:val="24"/>
          <w:szCs w:val="24"/>
        </w:rPr>
        <w:t>Agugua</w:t>
      </w:r>
      <w:proofErr w:type="spellEnd"/>
      <w:r w:rsidRPr="0061493E">
        <w:rPr>
          <w:rFonts w:asciiTheme="majorBidi" w:hAnsiTheme="majorBidi" w:cstheme="majorBidi"/>
          <w:sz w:val="24"/>
          <w:szCs w:val="24"/>
        </w:rPr>
        <w:t xml:space="preserve"> (</w:t>
      </w:r>
      <w:r>
        <w:rPr>
          <w:rFonts w:asciiTheme="majorBidi" w:hAnsiTheme="majorBidi" w:cstheme="majorBidi"/>
          <w:sz w:val="24"/>
          <w:szCs w:val="24"/>
        </w:rPr>
        <w:t>2022</w:t>
      </w:r>
      <w:r w:rsidRPr="0061493E">
        <w:rPr>
          <w:rFonts w:asciiTheme="majorBidi" w:hAnsiTheme="majorBidi" w:cstheme="majorBidi"/>
          <w:sz w:val="24"/>
          <w:szCs w:val="24"/>
        </w:rPr>
        <w:t xml:space="preserve">) argues that globalization is the trend of increasing integration of world economies, and the free flow of goods, services, ideas, managerial and technical ability and technology at the global scene effectively. </w:t>
      </w:r>
      <w:proofErr w:type="spellStart"/>
      <w:r w:rsidRPr="0061493E">
        <w:rPr>
          <w:rFonts w:asciiTheme="majorBidi" w:hAnsiTheme="majorBidi" w:cstheme="majorBidi"/>
          <w:sz w:val="24"/>
          <w:szCs w:val="24"/>
        </w:rPr>
        <w:t>Okpalaobi</w:t>
      </w:r>
      <w:proofErr w:type="spellEnd"/>
      <w:r w:rsidRPr="0061493E">
        <w:rPr>
          <w:rFonts w:asciiTheme="majorBidi" w:hAnsiTheme="majorBidi" w:cstheme="majorBidi"/>
          <w:sz w:val="24"/>
          <w:szCs w:val="24"/>
        </w:rPr>
        <w:t xml:space="preserve"> (2014) in agreement with </w:t>
      </w:r>
      <w:proofErr w:type="spellStart"/>
      <w:r w:rsidRPr="0061493E">
        <w:rPr>
          <w:rFonts w:asciiTheme="majorBidi" w:hAnsiTheme="majorBidi" w:cstheme="majorBidi"/>
          <w:sz w:val="24"/>
          <w:szCs w:val="24"/>
        </w:rPr>
        <w:t>Omoweh</w:t>
      </w:r>
      <w:proofErr w:type="spellEnd"/>
      <w:r w:rsidRPr="0061493E">
        <w:rPr>
          <w:rFonts w:asciiTheme="majorBidi" w:hAnsiTheme="majorBidi" w:cstheme="majorBidi"/>
          <w:sz w:val="24"/>
          <w:szCs w:val="24"/>
        </w:rPr>
        <w:t xml:space="preserve"> (2000) posited that globalization encompasses opening up borders and the transcendence of the political, environmental, social, technological and economic phenomenon to increase the relationship between and among nations for the purpose of better economic and social wellbeing of the citizens. Goldberg (2008) sees globalization as including declining barriers to trade, migration, capital flows, technology transfers and Foreign Direct Investment (FDI). </w:t>
      </w:r>
    </w:p>
    <w:p w:rsidR="00151DA4" w:rsidRPr="0061493E" w:rsidRDefault="00151DA4" w:rsidP="00151DA4">
      <w:pPr>
        <w:pStyle w:val="NoSpacing"/>
        <w:spacing w:before="240" w:line="360" w:lineRule="auto"/>
        <w:jc w:val="both"/>
        <w:rPr>
          <w:rFonts w:asciiTheme="majorBidi" w:hAnsiTheme="majorBidi" w:cstheme="majorBidi"/>
          <w:sz w:val="24"/>
          <w:szCs w:val="24"/>
        </w:rPr>
      </w:pPr>
      <w:proofErr w:type="spellStart"/>
      <w:r w:rsidRPr="0061493E">
        <w:rPr>
          <w:rFonts w:asciiTheme="majorBidi" w:hAnsiTheme="majorBidi" w:cstheme="majorBidi"/>
          <w:sz w:val="24"/>
          <w:szCs w:val="24"/>
        </w:rPr>
        <w:lastRenderedPageBreak/>
        <w:t>Solita</w:t>
      </w:r>
      <w:proofErr w:type="spellEnd"/>
      <w:r w:rsidRPr="0061493E">
        <w:rPr>
          <w:rFonts w:asciiTheme="majorBidi" w:hAnsiTheme="majorBidi" w:cstheme="majorBidi"/>
          <w:sz w:val="24"/>
          <w:szCs w:val="24"/>
        </w:rPr>
        <w:t xml:space="preserve"> (2000) opined that globalization is described as the transformation of the world into a global village, as borders disappear, distances shrink and time shortens. Globalization is also seen as the process of shifting an autonomous economy into the global scene (</w:t>
      </w:r>
      <w:proofErr w:type="spellStart"/>
      <w:r w:rsidRPr="0061493E">
        <w:rPr>
          <w:rFonts w:asciiTheme="majorBidi" w:hAnsiTheme="majorBidi" w:cstheme="majorBidi"/>
          <w:sz w:val="24"/>
          <w:szCs w:val="24"/>
        </w:rPr>
        <w:t>Fekekuty</w:t>
      </w:r>
      <w:proofErr w:type="spellEnd"/>
      <w:r w:rsidRPr="0061493E">
        <w:rPr>
          <w:rFonts w:asciiTheme="majorBidi" w:hAnsiTheme="majorBidi" w:cstheme="majorBidi"/>
          <w:sz w:val="24"/>
          <w:szCs w:val="24"/>
        </w:rPr>
        <w:t xml:space="preserve">; 1995). Hence, the concept of globalization portrays the logical and calculated integration of economic activities and the production, provision of goods and services at the global market. </w:t>
      </w:r>
    </w:p>
    <w:p w:rsidR="00151DA4" w:rsidRPr="0061493E" w:rsidRDefault="00151DA4" w:rsidP="00151DA4">
      <w:pPr>
        <w:pStyle w:val="NoSpacing"/>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Globalization </w:t>
      </w:r>
      <w:r w:rsidRPr="0061493E">
        <w:rPr>
          <w:rFonts w:asciiTheme="majorBidi" w:hAnsiTheme="majorBidi" w:cstheme="majorBidi"/>
          <w:sz w:val="24"/>
          <w:szCs w:val="24"/>
        </w:rPr>
        <w:t xml:space="preserve"> is a form of globalization, but scholars has defined it from different angle; </w:t>
      </w:r>
      <w:proofErr w:type="spellStart"/>
      <w:r w:rsidRPr="0061493E">
        <w:rPr>
          <w:rFonts w:asciiTheme="majorBidi" w:hAnsiTheme="majorBidi" w:cstheme="majorBidi"/>
          <w:sz w:val="24"/>
          <w:szCs w:val="24"/>
        </w:rPr>
        <w:t>Arestis</w:t>
      </w:r>
      <w:proofErr w:type="spellEnd"/>
      <w:r w:rsidRPr="0061493E">
        <w:rPr>
          <w:rFonts w:asciiTheme="majorBidi" w:hAnsiTheme="majorBidi" w:cstheme="majorBidi"/>
          <w:sz w:val="24"/>
          <w:szCs w:val="24"/>
        </w:rPr>
        <w:t xml:space="preserve"> and </w:t>
      </w:r>
      <w:proofErr w:type="spellStart"/>
      <w:r w:rsidRPr="0061493E">
        <w:rPr>
          <w:rFonts w:asciiTheme="majorBidi" w:hAnsiTheme="majorBidi" w:cstheme="majorBidi"/>
          <w:sz w:val="24"/>
          <w:szCs w:val="24"/>
        </w:rPr>
        <w:t>Santonu</w:t>
      </w:r>
      <w:proofErr w:type="spellEnd"/>
      <w:r w:rsidRPr="0061493E">
        <w:rPr>
          <w:rFonts w:asciiTheme="majorBidi" w:hAnsiTheme="majorBidi" w:cstheme="majorBidi"/>
          <w:sz w:val="24"/>
          <w:szCs w:val="24"/>
        </w:rPr>
        <w:t xml:space="preserve">, (2003) defined </w:t>
      </w:r>
      <w:r>
        <w:rPr>
          <w:rFonts w:asciiTheme="majorBidi" w:hAnsiTheme="majorBidi" w:cstheme="majorBidi"/>
          <w:sz w:val="24"/>
          <w:szCs w:val="24"/>
        </w:rPr>
        <w:t xml:space="preserve">Globalization </w:t>
      </w:r>
      <w:r w:rsidRPr="0061493E">
        <w:rPr>
          <w:rFonts w:asciiTheme="majorBidi" w:hAnsiTheme="majorBidi" w:cstheme="majorBidi"/>
          <w:sz w:val="24"/>
          <w:szCs w:val="24"/>
        </w:rPr>
        <w:t xml:space="preserve"> as a term which means the process by which financial markets of various countries of the globe it are integrated as one, they viewed </w:t>
      </w:r>
      <w:r>
        <w:rPr>
          <w:rFonts w:asciiTheme="majorBidi" w:hAnsiTheme="majorBidi" w:cstheme="majorBidi"/>
          <w:sz w:val="24"/>
          <w:szCs w:val="24"/>
        </w:rPr>
        <w:t xml:space="preserve">Globalization </w:t>
      </w:r>
      <w:r w:rsidRPr="0061493E">
        <w:rPr>
          <w:rFonts w:asciiTheme="majorBidi" w:hAnsiTheme="majorBidi" w:cstheme="majorBidi"/>
          <w:sz w:val="24"/>
          <w:szCs w:val="24"/>
        </w:rPr>
        <w:t xml:space="preserve"> as a free movement of finance across national boundaries without facing any restrictions. </w:t>
      </w:r>
      <w:proofErr w:type="spellStart"/>
      <w:r w:rsidRPr="0061493E">
        <w:rPr>
          <w:rFonts w:asciiTheme="majorBidi" w:hAnsiTheme="majorBidi" w:cstheme="majorBidi"/>
          <w:sz w:val="24"/>
          <w:szCs w:val="24"/>
        </w:rPr>
        <w:t>Schmukler</w:t>
      </w:r>
      <w:proofErr w:type="spellEnd"/>
      <w:r w:rsidRPr="0061493E">
        <w:rPr>
          <w:rFonts w:asciiTheme="majorBidi" w:hAnsiTheme="majorBidi" w:cstheme="majorBidi"/>
          <w:sz w:val="24"/>
          <w:szCs w:val="24"/>
        </w:rPr>
        <w:t xml:space="preserve">, (2004) understood </w:t>
      </w:r>
      <w:r>
        <w:rPr>
          <w:rFonts w:asciiTheme="majorBidi" w:hAnsiTheme="majorBidi" w:cstheme="majorBidi"/>
          <w:sz w:val="24"/>
          <w:szCs w:val="24"/>
        </w:rPr>
        <w:t xml:space="preserve">Globalization </w:t>
      </w:r>
      <w:r w:rsidRPr="0061493E">
        <w:rPr>
          <w:rFonts w:asciiTheme="majorBidi" w:hAnsiTheme="majorBidi" w:cstheme="majorBidi"/>
          <w:sz w:val="24"/>
          <w:szCs w:val="24"/>
        </w:rPr>
        <w:t xml:space="preserve"> as mean the integration of a country’s local financial system with international financial markets and institutions while Prasad, (2003) viewed it as an aggregate concept that refers to rising global linkages through cross-border financial flows. </w:t>
      </w:r>
      <w:proofErr w:type="spellStart"/>
      <w:r w:rsidRPr="0061493E">
        <w:rPr>
          <w:rFonts w:asciiTheme="majorBidi" w:hAnsiTheme="majorBidi" w:cstheme="majorBidi"/>
          <w:sz w:val="24"/>
          <w:szCs w:val="24"/>
        </w:rPr>
        <w:t>Gudmundsson</w:t>
      </w:r>
      <w:proofErr w:type="spellEnd"/>
      <w:r w:rsidRPr="0061493E">
        <w:rPr>
          <w:rFonts w:asciiTheme="majorBidi" w:hAnsiTheme="majorBidi" w:cstheme="majorBidi"/>
          <w:sz w:val="24"/>
          <w:szCs w:val="24"/>
        </w:rPr>
        <w:t xml:space="preserve">, (2008) argued that financial integration is the process by which financial markets and institutions become more tightly interlinked and move closer to full integration, under which the law of one price would hold. </w:t>
      </w:r>
    </w:p>
    <w:p w:rsidR="00151DA4" w:rsidRPr="0061493E" w:rsidRDefault="00151DA4" w:rsidP="00151DA4">
      <w:pPr>
        <w:pStyle w:val="NoSpacing"/>
        <w:spacing w:before="240" w:line="360" w:lineRule="auto"/>
        <w:jc w:val="both"/>
        <w:rPr>
          <w:rFonts w:asciiTheme="majorBidi" w:hAnsiTheme="majorBidi" w:cstheme="majorBidi"/>
          <w:sz w:val="24"/>
          <w:szCs w:val="24"/>
        </w:rPr>
      </w:pPr>
      <w:proofErr w:type="spellStart"/>
      <w:r w:rsidRPr="0061493E">
        <w:rPr>
          <w:rFonts w:asciiTheme="majorBidi" w:hAnsiTheme="majorBidi" w:cstheme="majorBidi"/>
          <w:sz w:val="24"/>
          <w:szCs w:val="24"/>
        </w:rPr>
        <w:t>Evlahova</w:t>
      </w:r>
      <w:proofErr w:type="spellEnd"/>
      <w:r w:rsidRPr="0061493E">
        <w:rPr>
          <w:rFonts w:asciiTheme="majorBidi" w:hAnsiTheme="majorBidi" w:cstheme="majorBidi"/>
          <w:sz w:val="24"/>
          <w:szCs w:val="24"/>
        </w:rPr>
        <w:t xml:space="preserve">, (2007) opined that modern concept of </w:t>
      </w:r>
      <w:r>
        <w:rPr>
          <w:rFonts w:asciiTheme="majorBidi" w:hAnsiTheme="majorBidi" w:cstheme="majorBidi"/>
          <w:sz w:val="24"/>
          <w:szCs w:val="24"/>
        </w:rPr>
        <w:t xml:space="preserve">Globalization </w:t>
      </w:r>
      <w:r w:rsidRPr="0061493E">
        <w:rPr>
          <w:rFonts w:asciiTheme="majorBidi" w:hAnsiTheme="majorBidi" w:cstheme="majorBidi"/>
          <w:sz w:val="24"/>
          <w:szCs w:val="24"/>
        </w:rPr>
        <w:t xml:space="preserve"> was formed in early  2000 years, he express </w:t>
      </w:r>
      <w:r>
        <w:rPr>
          <w:rFonts w:asciiTheme="majorBidi" w:hAnsiTheme="majorBidi" w:cstheme="majorBidi"/>
          <w:sz w:val="24"/>
          <w:szCs w:val="24"/>
        </w:rPr>
        <w:t xml:space="preserve">Globalization </w:t>
      </w:r>
      <w:r w:rsidRPr="0061493E">
        <w:rPr>
          <w:rFonts w:asciiTheme="majorBidi" w:hAnsiTheme="majorBidi" w:cstheme="majorBidi"/>
          <w:sz w:val="24"/>
          <w:szCs w:val="24"/>
        </w:rPr>
        <w:t xml:space="preserve"> as part of economic globalization, which is encourage increasing economic interdependence of countries around the world and by the growing volume of cross-border transactions of goods, services and capital, the rapid and widespread diffusion of technologies. He posited that capital was the most mobile factors of production, search for profits greatly facilitate this process contributed to the liberalization of capital movements. Mobility of capital is enhanced by information revolution, manifested not only in the broad introduction of means of communication and information, but also in creating new channels of capital flows (Internet).</w:t>
      </w:r>
    </w:p>
    <w:p w:rsidR="00151DA4" w:rsidRDefault="00151DA4" w:rsidP="00151DA4">
      <w:pPr>
        <w:pStyle w:val="NoSpacing"/>
        <w:spacing w:before="240" w:line="360" w:lineRule="auto"/>
        <w:jc w:val="both"/>
        <w:rPr>
          <w:rFonts w:asciiTheme="majorBidi" w:hAnsiTheme="majorBidi" w:cstheme="majorBidi"/>
          <w:b/>
          <w:bCs/>
          <w:sz w:val="24"/>
          <w:szCs w:val="24"/>
        </w:rPr>
      </w:pPr>
    </w:p>
    <w:p w:rsidR="00151DA4" w:rsidRDefault="00151DA4" w:rsidP="00151DA4">
      <w:pPr>
        <w:pStyle w:val="NoSpacing"/>
        <w:spacing w:before="240" w:line="360" w:lineRule="auto"/>
        <w:jc w:val="both"/>
        <w:rPr>
          <w:rFonts w:asciiTheme="majorBidi" w:hAnsiTheme="majorBidi" w:cstheme="majorBidi"/>
          <w:b/>
          <w:bCs/>
          <w:sz w:val="24"/>
          <w:szCs w:val="24"/>
        </w:rPr>
      </w:pP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lastRenderedPageBreak/>
        <w:t>2.</w:t>
      </w:r>
      <w:r>
        <w:rPr>
          <w:rFonts w:asciiTheme="majorBidi" w:hAnsiTheme="majorBidi" w:cstheme="majorBidi"/>
          <w:b/>
          <w:bCs/>
          <w:sz w:val="24"/>
          <w:szCs w:val="24"/>
        </w:rPr>
        <w:t>1</w:t>
      </w:r>
      <w:r w:rsidRPr="0061493E">
        <w:rPr>
          <w:rFonts w:asciiTheme="majorBidi" w:hAnsiTheme="majorBidi" w:cstheme="majorBidi"/>
          <w:b/>
          <w:bCs/>
          <w:sz w:val="24"/>
          <w:szCs w:val="24"/>
        </w:rPr>
        <w:t>.2</w:t>
      </w:r>
      <w:r w:rsidRPr="0061493E">
        <w:rPr>
          <w:rFonts w:asciiTheme="majorBidi" w:hAnsiTheme="majorBidi" w:cstheme="majorBidi"/>
          <w:b/>
          <w:bCs/>
          <w:sz w:val="24"/>
          <w:szCs w:val="24"/>
        </w:rPr>
        <w:tab/>
        <w:t>Financial Transparency and Disclosure</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The intensification of competition among banks driven by globalization underscores the importance of financial transparency and disclosure (</w:t>
      </w:r>
      <w:proofErr w:type="spellStart"/>
      <w:r w:rsidRPr="0061493E">
        <w:rPr>
          <w:rFonts w:asciiTheme="majorBidi" w:hAnsiTheme="majorBidi" w:cstheme="majorBidi"/>
          <w:sz w:val="24"/>
          <w:szCs w:val="24"/>
        </w:rPr>
        <w:t>Claessens</w:t>
      </w:r>
      <w:proofErr w:type="spellEnd"/>
      <w:r w:rsidRPr="0061493E">
        <w:rPr>
          <w:rFonts w:asciiTheme="majorBidi" w:hAnsiTheme="majorBidi" w:cstheme="majorBidi"/>
          <w:sz w:val="24"/>
          <w:szCs w:val="24"/>
        </w:rPr>
        <w:t xml:space="preserve">, </w:t>
      </w:r>
      <w:proofErr w:type="spellStart"/>
      <w:r w:rsidRPr="0061493E">
        <w:rPr>
          <w:rFonts w:asciiTheme="majorBidi" w:hAnsiTheme="majorBidi" w:cstheme="majorBidi"/>
          <w:sz w:val="24"/>
          <w:szCs w:val="24"/>
        </w:rPr>
        <w:t>Klingebiel</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Schmukler</w:t>
      </w:r>
      <w:proofErr w:type="spellEnd"/>
      <w:r w:rsidRPr="0061493E">
        <w:rPr>
          <w:rFonts w:asciiTheme="majorBidi" w:hAnsiTheme="majorBidi" w:cstheme="majorBidi"/>
          <w:sz w:val="24"/>
          <w:szCs w:val="24"/>
        </w:rPr>
        <w:t>, 2007). While globalization promotes information dissemination, information asymmetry may persist, affecting the quality and reliability of financial reporting by DMBs like Zenith Bank PLC (</w:t>
      </w:r>
      <w:proofErr w:type="spellStart"/>
      <w:r w:rsidRPr="0061493E">
        <w:rPr>
          <w:rFonts w:asciiTheme="majorBidi" w:hAnsiTheme="majorBidi" w:cstheme="majorBidi"/>
          <w:sz w:val="24"/>
          <w:szCs w:val="24"/>
        </w:rPr>
        <w:t>Ologu</w:t>
      </w:r>
      <w:r>
        <w:rPr>
          <w:rFonts w:asciiTheme="majorBidi" w:hAnsiTheme="majorBidi" w:cstheme="majorBidi"/>
          <w:sz w:val="24"/>
          <w:szCs w:val="24"/>
        </w:rPr>
        <w:t>nde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Olufemi</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Afolabi</w:t>
      </w:r>
      <w:proofErr w:type="spellEnd"/>
      <w:r>
        <w:rPr>
          <w:rFonts w:asciiTheme="majorBidi" w:hAnsiTheme="majorBidi" w:cstheme="majorBidi"/>
          <w:sz w:val="24"/>
          <w:szCs w:val="24"/>
        </w:rPr>
        <w:t xml:space="preserve">, 2019). </w:t>
      </w:r>
      <w:r w:rsidRPr="0061493E">
        <w:rPr>
          <w:rFonts w:asciiTheme="majorBidi" w:hAnsiTheme="majorBidi" w:cstheme="majorBidi"/>
          <w:sz w:val="24"/>
          <w:szCs w:val="24"/>
        </w:rPr>
        <w:t>Regulatory Compliance and International Financial Reporting Standards (IFRS)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Globalization has led to increased harmonization of accounting standards, with many countries adopting International Financial Reporting Standards (IFRS) to facilitate comparability and transparency (Barth et al., </w:t>
      </w:r>
      <w:r>
        <w:rPr>
          <w:rFonts w:asciiTheme="majorBidi" w:hAnsiTheme="majorBidi" w:cstheme="majorBidi"/>
          <w:sz w:val="24"/>
          <w:szCs w:val="24"/>
        </w:rPr>
        <w:t>2022</w:t>
      </w:r>
      <w:r w:rsidRPr="0061493E">
        <w:rPr>
          <w:rFonts w:asciiTheme="majorBidi" w:hAnsiTheme="majorBidi" w:cstheme="majorBidi"/>
          <w:sz w:val="24"/>
          <w:szCs w:val="24"/>
        </w:rPr>
        <w:t>). DMBs in Nigeria, including Zenith Bank PLC, must comply with both local regulatory requirements and international standards, presenting challenges in balancing regulatory compliance with stakeholder needs (</w:t>
      </w:r>
      <w:proofErr w:type="spellStart"/>
      <w:r w:rsidRPr="0061493E">
        <w:rPr>
          <w:rFonts w:asciiTheme="majorBidi" w:hAnsiTheme="majorBidi" w:cstheme="majorBidi"/>
          <w:sz w:val="24"/>
          <w:szCs w:val="24"/>
        </w:rPr>
        <w:t>Okafor</w:t>
      </w:r>
      <w:proofErr w:type="spellEnd"/>
      <w:r w:rsidRPr="0061493E">
        <w:rPr>
          <w:rFonts w:asciiTheme="majorBidi" w:hAnsiTheme="majorBidi" w:cstheme="majorBidi"/>
          <w:sz w:val="24"/>
          <w:szCs w:val="24"/>
        </w:rPr>
        <w:t xml:space="preserve">, </w:t>
      </w:r>
      <w:r>
        <w:rPr>
          <w:rFonts w:asciiTheme="majorBidi" w:hAnsiTheme="majorBidi" w:cstheme="majorBidi"/>
          <w:sz w:val="24"/>
          <w:szCs w:val="24"/>
        </w:rPr>
        <w:t>2021</w:t>
      </w:r>
      <w:r w:rsidRPr="0061493E">
        <w:rPr>
          <w:rFonts w:asciiTheme="majorBidi" w:hAnsiTheme="majorBidi" w:cstheme="majorBidi"/>
          <w:sz w:val="24"/>
          <w:szCs w:val="24"/>
        </w:rPr>
        <w:t>).</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2.</w:t>
      </w:r>
      <w:r>
        <w:rPr>
          <w:rFonts w:asciiTheme="majorBidi" w:hAnsiTheme="majorBidi" w:cstheme="majorBidi"/>
          <w:b/>
          <w:bCs/>
          <w:sz w:val="24"/>
          <w:szCs w:val="24"/>
        </w:rPr>
        <w:t>1</w:t>
      </w:r>
      <w:r w:rsidRPr="0061493E">
        <w:rPr>
          <w:rFonts w:asciiTheme="majorBidi" w:hAnsiTheme="majorBidi" w:cstheme="majorBidi"/>
          <w:b/>
          <w:bCs/>
          <w:sz w:val="24"/>
          <w:szCs w:val="24"/>
        </w:rPr>
        <w:t>.3</w:t>
      </w:r>
      <w:r w:rsidRPr="0061493E">
        <w:rPr>
          <w:rFonts w:asciiTheme="majorBidi" w:hAnsiTheme="majorBidi" w:cstheme="majorBidi"/>
          <w:b/>
          <w:bCs/>
          <w:sz w:val="24"/>
          <w:szCs w:val="24"/>
        </w:rPr>
        <w:tab/>
        <w:t>Complexity in Financial Reporting</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The complexity of financial reporting has increased in the globalized environment due to diverse regulatory regimes and reporting frameworks (Barth et al., 2008). DMBs like Zenith Bank PLC may encounter challenges in navigating these complexities while ensuring accurate and transparent financial reporting to stakeholders (</w:t>
      </w:r>
      <w:proofErr w:type="spellStart"/>
      <w:r w:rsidRPr="0061493E">
        <w:rPr>
          <w:rFonts w:asciiTheme="majorBidi" w:hAnsiTheme="majorBidi" w:cstheme="majorBidi"/>
          <w:sz w:val="24"/>
          <w:szCs w:val="24"/>
        </w:rPr>
        <w:t>Ajibolade</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Egbunike</w:t>
      </w:r>
      <w:proofErr w:type="spellEnd"/>
      <w:r w:rsidRPr="0061493E">
        <w:rPr>
          <w:rFonts w:asciiTheme="majorBidi" w:hAnsiTheme="majorBidi" w:cstheme="majorBidi"/>
          <w:sz w:val="24"/>
          <w:szCs w:val="24"/>
        </w:rPr>
        <w:t>, 2014).</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2.</w:t>
      </w:r>
      <w:r>
        <w:rPr>
          <w:rFonts w:asciiTheme="majorBidi" w:hAnsiTheme="majorBidi" w:cstheme="majorBidi"/>
          <w:b/>
          <w:bCs/>
          <w:sz w:val="24"/>
          <w:szCs w:val="24"/>
        </w:rPr>
        <w:t>1</w:t>
      </w:r>
      <w:r w:rsidRPr="0061493E">
        <w:rPr>
          <w:rFonts w:asciiTheme="majorBidi" w:hAnsiTheme="majorBidi" w:cstheme="majorBidi"/>
          <w:b/>
          <w:bCs/>
          <w:sz w:val="24"/>
          <w:szCs w:val="24"/>
        </w:rPr>
        <w:t>.4</w:t>
      </w:r>
      <w:r w:rsidRPr="0061493E">
        <w:rPr>
          <w:rFonts w:asciiTheme="majorBidi" w:hAnsiTheme="majorBidi" w:cstheme="majorBidi"/>
          <w:b/>
          <w:bCs/>
          <w:sz w:val="24"/>
          <w:szCs w:val="24"/>
        </w:rPr>
        <w:tab/>
        <w:t>Concept of Deposit Money Banks</w:t>
      </w:r>
    </w:p>
    <w:p w:rsidR="00151DA4" w:rsidRPr="00975626"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Bank denotes a financial institution dealing in money that is an institution that accept deposits of money, repay the same on demand and other related services. Therefore bank is a financial institution licensed to receive deposits and make loans. Banks may also provide financial services, such as wealth management, </w:t>
      </w:r>
      <w:hyperlink r:id="rId9" w:history="1">
        <w:r w:rsidRPr="0061493E">
          <w:rPr>
            <w:rStyle w:val="Hyperlink"/>
            <w:rFonts w:asciiTheme="majorBidi" w:hAnsiTheme="majorBidi" w:cstheme="majorBidi"/>
            <w:sz w:val="24"/>
            <w:szCs w:val="24"/>
          </w:rPr>
          <w:t>currency exchange</w:t>
        </w:r>
      </w:hyperlink>
      <w:r w:rsidRPr="0061493E">
        <w:rPr>
          <w:rFonts w:asciiTheme="majorBidi" w:hAnsiTheme="majorBidi" w:cstheme="majorBidi"/>
          <w:sz w:val="24"/>
          <w:szCs w:val="24"/>
        </w:rPr>
        <w:t xml:space="preserve"> and safe deposit boxes. But </w:t>
      </w:r>
      <w:proofErr w:type="spellStart"/>
      <w:r w:rsidRPr="0061493E">
        <w:rPr>
          <w:rFonts w:asciiTheme="majorBidi" w:hAnsiTheme="majorBidi" w:cstheme="majorBidi"/>
          <w:sz w:val="24"/>
          <w:szCs w:val="24"/>
        </w:rPr>
        <w:t>Verter</w:t>
      </w:r>
      <w:proofErr w:type="spellEnd"/>
      <w:r w:rsidRPr="0061493E">
        <w:rPr>
          <w:rFonts w:asciiTheme="majorBidi" w:hAnsiTheme="majorBidi" w:cstheme="majorBidi"/>
          <w:sz w:val="24"/>
          <w:szCs w:val="24"/>
        </w:rPr>
        <w:t xml:space="preserve">, and </w:t>
      </w:r>
      <w:proofErr w:type="spellStart"/>
      <w:r w:rsidRPr="0061493E">
        <w:rPr>
          <w:rFonts w:asciiTheme="majorBidi" w:hAnsiTheme="majorBidi" w:cstheme="majorBidi"/>
          <w:sz w:val="24"/>
          <w:szCs w:val="24"/>
        </w:rPr>
        <w:t>Osakwe</w:t>
      </w:r>
      <w:proofErr w:type="spellEnd"/>
      <w:r w:rsidRPr="0061493E">
        <w:rPr>
          <w:rFonts w:asciiTheme="majorBidi" w:hAnsiTheme="majorBidi" w:cstheme="majorBidi"/>
          <w:sz w:val="24"/>
          <w:szCs w:val="24"/>
        </w:rPr>
        <w:t xml:space="preserve">, (2015) defined banking as an industry that handles cash, credit, and other financial transactions. Banks provide a safe place to store extra cash and credit. They </w:t>
      </w:r>
      <w:hyperlink r:id="rId10" w:history="1">
        <w:r w:rsidRPr="0061493E">
          <w:rPr>
            <w:rStyle w:val="Hyperlink"/>
            <w:rFonts w:asciiTheme="majorBidi" w:hAnsiTheme="majorBidi" w:cstheme="majorBidi"/>
            <w:sz w:val="24"/>
            <w:szCs w:val="24"/>
          </w:rPr>
          <w:t>offer savings accounts</w:t>
        </w:r>
      </w:hyperlink>
      <w:r w:rsidRPr="0061493E">
        <w:rPr>
          <w:rFonts w:asciiTheme="majorBidi" w:hAnsiTheme="majorBidi" w:cstheme="majorBidi"/>
          <w:sz w:val="24"/>
          <w:szCs w:val="24"/>
        </w:rPr>
        <w:t>, </w:t>
      </w:r>
      <w:hyperlink r:id="rId11" w:history="1">
        <w:r w:rsidRPr="0061493E">
          <w:rPr>
            <w:rStyle w:val="Hyperlink"/>
            <w:rFonts w:asciiTheme="majorBidi" w:hAnsiTheme="majorBidi" w:cstheme="majorBidi"/>
            <w:sz w:val="24"/>
            <w:szCs w:val="24"/>
          </w:rPr>
          <w:t>certificates of deposit</w:t>
        </w:r>
      </w:hyperlink>
      <w:r w:rsidRPr="0061493E">
        <w:rPr>
          <w:rFonts w:asciiTheme="majorBidi" w:hAnsiTheme="majorBidi" w:cstheme="majorBidi"/>
          <w:sz w:val="24"/>
          <w:szCs w:val="24"/>
        </w:rPr>
        <w:t> and checking accounts. Banks use these </w:t>
      </w:r>
      <w:hyperlink r:id="rId12" w:history="1">
        <w:r w:rsidRPr="0061493E">
          <w:rPr>
            <w:rStyle w:val="Hyperlink"/>
            <w:rFonts w:asciiTheme="majorBidi" w:hAnsiTheme="majorBidi" w:cstheme="majorBidi"/>
            <w:sz w:val="24"/>
            <w:szCs w:val="24"/>
          </w:rPr>
          <w:t>deposits</w:t>
        </w:r>
      </w:hyperlink>
      <w:r w:rsidRPr="0061493E">
        <w:rPr>
          <w:rFonts w:asciiTheme="majorBidi" w:hAnsiTheme="majorBidi" w:cstheme="majorBidi"/>
          <w:sz w:val="24"/>
          <w:szCs w:val="24"/>
        </w:rPr>
        <w:t> to make loans. These loans include home mortgages, business loans, and car loans. Banking is one of the key drivers of the any nations’ economy. It provides the </w:t>
      </w:r>
      <w:hyperlink r:id="rId13" w:history="1">
        <w:r w:rsidRPr="0061493E">
          <w:rPr>
            <w:rStyle w:val="Hyperlink"/>
            <w:rFonts w:asciiTheme="majorBidi" w:hAnsiTheme="majorBidi" w:cstheme="majorBidi"/>
            <w:sz w:val="24"/>
            <w:szCs w:val="24"/>
          </w:rPr>
          <w:t>liquidity</w:t>
        </w:r>
      </w:hyperlink>
      <w:r w:rsidRPr="0061493E">
        <w:rPr>
          <w:rFonts w:asciiTheme="majorBidi" w:hAnsiTheme="majorBidi" w:cstheme="majorBidi"/>
          <w:sz w:val="24"/>
          <w:szCs w:val="24"/>
        </w:rPr>
        <w:t xml:space="preserve"> needed for private and public to invest for the future. </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2.</w:t>
      </w:r>
      <w:r>
        <w:rPr>
          <w:rFonts w:asciiTheme="majorBidi" w:hAnsiTheme="majorBidi" w:cstheme="majorBidi"/>
          <w:b/>
          <w:bCs/>
          <w:sz w:val="24"/>
          <w:szCs w:val="24"/>
        </w:rPr>
        <w:t>1</w:t>
      </w:r>
      <w:r w:rsidRPr="0061493E">
        <w:rPr>
          <w:rFonts w:asciiTheme="majorBidi" w:hAnsiTheme="majorBidi" w:cstheme="majorBidi"/>
          <w:b/>
          <w:bCs/>
          <w:sz w:val="24"/>
          <w:szCs w:val="24"/>
        </w:rPr>
        <w:t>.5</w:t>
      </w:r>
      <w:r w:rsidRPr="0061493E">
        <w:rPr>
          <w:rFonts w:asciiTheme="majorBidi" w:hAnsiTheme="majorBidi" w:cstheme="majorBidi"/>
          <w:b/>
          <w:bCs/>
          <w:sz w:val="24"/>
          <w:szCs w:val="24"/>
        </w:rPr>
        <w:tab/>
      </w:r>
      <w:r>
        <w:rPr>
          <w:rFonts w:asciiTheme="majorBidi" w:hAnsiTheme="majorBidi" w:cstheme="majorBidi"/>
          <w:b/>
          <w:bCs/>
          <w:sz w:val="24"/>
          <w:szCs w:val="24"/>
        </w:rPr>
        <w:t xml:space="preserve">Effect </w:t>
      </w:r>
      <w:r w:rsidRPr="0061493E">
        <w:rPr>
          <w:rFonts w:asciiTheme="majorBidi" w:hAnsiTheme="majorBidi" w:cstheme="majorBidi"/>
          <w:b/>
          <w:bCs/>
          <w:sz w:val="24"/>
          <w:szCs w:val="24"/>
        </w:rPr>
        <w:t xml:space="preserve">of Globalization </w:t>
      </w:r>
      <w:r>
        <w:rPr>
          <w:rFonts w:asciiTheme="majorBidi" w:hAnsiTheme="majorBidi" w:cstheme="majorBidi"/>
          <w:b/>
          <w:bCs/>
          <w:sz w:val="24"/>
          <w:szCs w:val="24"/>
        </w:rPr>
        <w:t xml:space="preserve">on the financial reporting of deposit money bank in Nigeria </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An efficient and reliable financial system is important for promoting economic efficiency and proper functioning and integration of financial markets. The system, especially banks, constitute the backbone of the payments system and acts as a conduit through which financial and non-financial firms and other economic agents can impact the overall financial stability, as well as accelerate the pace of financial deepening and efficiency of financial intermediation. </w:t>
      </w:r>
      <w:r>
        <w:rPr>
          <w:rFonts w:asciiTheme="majorBidi" w:hAnsiTheme="majorBidi" w:cstheme="majorBidi"/>
          <w:sz w:val="24"/>
          <w:szCs w:val="24"/>
        </w:rPr>
        <w:t>Globalization</w:t>
      </w:r>
      <w:r w:rsidRPr="0061493E">
        <w:rPr>
          <w:rFonts w:asciiTheme="majorBidi" w:hAnsiTheme="majorBidi" w:cstheme="majorBidi"/>
          <w:sz w:val="24"/>
          <w:szCs w:val="24"/>
        </w:rPr>
        <w:t xml:space="preserve"> </w:t>
      </w:r>
      <w:r>
        <w:rPr>
          <w:rFonts w:asciiTheme="majorBidi" w:hAnsiTheme="majorBidi" w:cstheme="majorBidi"/>
          <w:sz w:val="24"/>
          <w:szCs w:val="24"/>
        </w:rPr>
        <w:t>assists</w:t>
      </w:r>
      <w:r w:rsidRPr="0061493E">
        <w:rPr>
          <w:rFonts w:asciiTheme="majorBidi" w:hAnsiTheme="majorBidi" w:cstheme="majorBidi"/>
          <w:sz w:val="24"/>
          <w:szCs w:val="24"/>
        </w:rPr>
        <w:t xml:space="preserve"> </w:t>
      </w:r>
      <w:r>
        <w:rPr>
          <w:rFonts w:asciiTheme="majorBidi" w:hAnsiTheme="majorBidi" w:cstheme="majorBidi"/>
          <w:sz w:val="24"/>
          <w:szCs w:val="24"/>
        </w:rPr>
        <w:t xml:space="preserve">to </w:t>
      </w:r>
      <w:r w:rsidRPr="0061493E">
        <w:rPr>
          <w:rFonts w:asciiTheme="majorBidi" w:hAnsiTheme="majorBidi" w:cstheme="majorBidi"/>
          <w:sz w:val="24"/>
          <w:szCs w:val="24"/>
        </w:rPr>
        <w:t>improve the efficiency</w:t>
      </w:r>
      <w:r>
        <w:rPr>
          <w:rFonts w:asciiTheme="majorBidi" w:hAnsiTheme="majorBidi" w:cstheme="majorBidi"/>
          <w:sz w:val="24"/>
          <w:szCs w:val="24"/>
        </w:rPr>
        <w:t>, reliability, comparability</w:t>
      </w:r>
      <w:r w:rsidRPr="0061493E">
        <w:rPr>
          <w:rFonts w:asciiTheme="majorBidi" w:hAnsiTheme="majorBidi" w:cstheme="majorBidi"/>
          <w:sz w:val="24"/>
          <w:szCs w:val="24"/>
        </w:rPr>
        <w:t xml:space="preserve"> and soundness of the financial </w:t>
      </w:r>
      <w:r>
        <w:rPr>
          <w:rFonts w:asciiTheme="majorBidi" w:hAnsiTheme="majorBidi" w:cstheme="majorBidi"/>
          <w:sz w:val="24"/>
          <w:szCs w:val="24"/>
        </w:rPr>
        <w:t>statement</w:t>
      </w:r>
      <w:r w:rsidRPr="0061493E">
        <w:rPr>
          <w:rFonts w:asciiTheme="majorBidi" w:hAnsiTheme="majorBidi" w:cstheme="majorBidi"/>
          <w:sz w:val="24"/>
          <w:szCs w:val="24"/>
        </w:rPr>
        <w:t xml:space="preserve"> </w:t>
      </w:r>
      <w:r>
        <w:rPr>
          <w:rFonts w:asciiTheme="majorBidi" w:hAnsiTheme="majorBidi" w:cstheme="majorBidi"/>
          <w:sz w:val="24"/>
          <w:szCs w:val="24"/>
        </w:rPr>
        <w:t>and</w:t>
      </w:r>
      <w:r w:rsidRPr="0061493E">
        <w:rPr>
          <w:rFonts w:asciiTheme="majorBidi" w:hAnsiTheme="majorBidi" w:cstheme="majorBidi"/>
          <w:sz w:val="24"/>
          <w:szCs w:val="24"/>
        </w:rPr>
        <w:t xml:space="preserve"> geared towards supporting macroeconomic and monetary performance</w:t>
      </w:r>
      <w:r>
        <w:rPr>
          <w:rFonts w:asciiTheme="majorBidi" w:hAnsiTheme="majorBidi" w:cstheme="majorBidi"/>
          <w:sz w:val="24"/>
          <w:szCs w:val="24"/>
        </w:rPr>
        <w:t xml:space="preserve"> of deposit money bank in Nigeria</w:t>
      </w:r>
      <w:r w:rsidRPr="0061493E">
        <w:rPr>
          <w:rFonts w:asciiTheme="majorBidi" w:hAnsiTheme="majorBidi" w:cstheme="majorBidi"/>
          <w:sz w:val="24"/>
          <w:szCs w:val="24"/>
        </w:rPr>
        <w:t>. In most economy, financial system is dominated by banks; which by nature and structure are oligopolistic. Banks tend to concentrate on short-term lending as against investments with long-term gestation period. The alternati</w:t>
      </w:r>
      <w:r>
        <w:rPr>
          <w:rFonts w:asciiTheme="majorBidi" w:hAnsiTheme="majorBidi" w:cstheme="majorBidi"/>
          <w:sz w:val="24"/>
          <w:szCs w:val="24"/>
        </w:rPr>
        <w:t>ve</w:t>
      </w:r>
      <w:r w:rsidRPr="0061493E">
        <w:rPr>
          <w:rFonts w:asciiTheme="majorBidi" w:hAnsiTheme="majorBidi" w:cstheme="majorBidi"/>
          <w:sz w:val="24"/>
          <w:szCs w:val="24"/>
        </w:rPr>
        <w:t xml:space="preserve"> complementary source for financing development projects in the developing economy is debt or equity markets which are at the rudimentary stage of development. </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The globalization of the world banking system can be expansion of international banking activities or mergers and acquisition of international banks with local banks. Both are expressed in following ways; Unification, standardization, national legislation on banking activity given in conformity with the international standards of banking, Development at the international level in accordance with the Basel Agreement (standards) of common approaches to evaluation (analysis) the financial status of the commercial banks of banking supervision bodies;</w:t>
      </w:r>
      <w:r>
        <w:rPr>
          <w:rFonts w:asciiTheme="majorBidi" w:hAnsiTheme="majorBidi" w:cstheme="majorBidi"/>
          <w:sz w:val="24"/>
          <w:szCs w:val="24"/>
        </w:rPr>
        <w:t xml:space="preserve"> </w:t>
      </w:r>
      <w:r w:rsidRPr="0061493E">
        <w:rPr>
          <w:rFonts w:asciiTheme="majorBidi" w:hAnsiTheme="majorBidi" w:cstheme="majorBidi"/>
          <w:sz w:val="24"/>
          <w:szCs w:val="24"/>
        </w:rPr>
        <w:t xml:space="preserve">Creation a single management and regulation institution of banking activities in the face of a World Central Bank. A prototype of the global Central Bank is </w:t>
      </w:r>
      <w:r w:rsidRPr="0061493E">
        <w:rPr>
          <w:rFonts w:asciiTheme="majorBidi" w:hAnsiTheme="majorBidi" w:cstheme="majorBidi"/>
          <w:sz w:val="24"/>
          <w:szCs w:val="24"/>
        </w:rPr>
        <w:lastRenderedPageBreak/>
        <w:t>currently the European Central Bank (Frankfurt am Main), which in 1999 was due to the ongoing process of integration in Europe within the EU.</w:t>
      </w:r>
    </w:p>
    <w:p w:rsidR="00151DA4" w:rsidRPr="0061493E" w:rsidRDefault="00151DA4" w:rsidP="00151DA4">
      <w:pPr>
        <w:pStyle w:val="NoSpacing"/>
        <w:spacing w:before="240" w:line="360" w:lineRule="auto"/>
        <w:jc w:val="both"/>
        <w:rPr>
          <w:rFonts w:asciiTheme="majorBidi" w:eastAsia="SimSun" w:hAnsiTheme="majorBidi" w:cstheme="majorBidi"/>
          <w:sz w:val="24"/>
          <w:szCs w:val="24"/>
          <w:lang w:eastAsia="zh-CN"/>
        </w:rPr>
      </w:pPr>
      <w:r w:rsidRPr="0061493E">
        <w:rPr>
          <w:rFonts w:asciiTheme="majorBidi" w:eastAsia="SimSun" w:hAnsiTheme="majorBidi" w:cstheme="majorBidi"/>
          <w:sz w:val="24"/>
          <w:szCs w:val="24"/>
          <w:lang w:eastAsia="zh-CN"/>
        </w:rPr>
        <w:t xml:space="preserve">According to </w:t>
      </w:r>
      <w:proofErr w:type="spellStart"/>
      <w:r w:rsidRPr="0061493E">
        <w:rPr>
          <w:rFonts w:asciiTheme="majorBidi" w:hAnsiTheme="majorBidi" w:cstheme="majorBidi"/>
          <w:sz w:val="24"/>
          <w:szCs w:val="24"/>
        </w:rPr>
        <w:t>Oduro</w:t>
      </w:r>
      <w:proofErr w:type="spellEnd"/>
      <w:r w:rsidRPr="0061493E">
        <w:rPr>
          <w:rFonts w:asciiTheme="majorBidi" w:hAnsiTheme="majorBidi" w:cstheme="majorBidi"/>
          <w:sz w:val="24"/>
          <w:szCs w:val="24"/>
        </w:rPr>
        <w:t xml:space="preserve"> (2000)</w:t>
      </w:r>
      <w:r w:rsidRPr="0061493E">
        <w:rPr>
          <w:rFonts w:asciiTheme="majorBidi" w:eastAsia="SimSun" w:hAnsiTheme="majorBidi" w:cstheme="majorBidi"/>
          <w:sz w:val="24"/>
          <w:szCs w:val="24"/>
          <w:lang w:eastAsia="zh-CN"/>
        </w:rPr>
        <w:t xml:space="preserve">, commercial banks came into existence as far as 1892 by the British colonial masters when they brought banking into Nigeria which led to the establishment of the first commercial bank (The African Banking Corporation) having opened its first branch in Lagos basically to finance the shipping business of Elder </w:t>
      </w:r>
      <w:proofErr w:type="spellStart"/>
      <w:r w:rsidRPr="0061493E">
        <w:rPr>
          <w:rFonts w:asciiTheme="majorBidi" w:eastAsia="SimSun" w:hAnsiTheme="majorBidi" w:cstheme="majorBidi"/>
          <w:sz w:val="24"/>
          <w:szCs w:val="24"/>
          <w:lang w:eastAsia="zh-CN"/>
        </w:rPr>
        <w:t>Dempster</w:t>
      </w:r>
      <w:proofErr w:type="spellEnd"/>
      <w:r w:rsidRPr="0061493E">
        <w:rPr>
          <w:rFonts w:asciiTheme="majorBidi" w:eastAsia="SimSun" w:hAnsiTheme="majorBidi" w:cstheme="majorBidi"/>
          <w:sz w:val="24"/>
          <w:szCs w:val="24"/>
          <w:lang w:eastAsia="zh-CN"/>
        </w:rPr>
        <w:t xml:space="preserve"> and company which was steamship services between Liverpool and coast of West Africa. </w:t>
      </w:r>
    </w:p>
    <w:p w:rsidR="00151DA4" w:rsidRPr="0061493E" w:rsidRDefault="00151DA4" w:rsidP="00151DA4">
      <w:pPr>
        <w:pStyle w:val="NoSpacing"/>
        <w:spacing w:before="240" w:line="360" w:lineRule="auto"/>
        <w:jc w:val="both"/>
        <w:rPr>
          <w:rFonts w:asciiTheme="majorBidi" w:eastAsia="SimSun" w:hAnsiTheme="majorBidi" w:cstheme="majorBidi"/>
          <w:sz w:val="24"/>
          <w:szCs w:val="24"/>
          <w:lang w:eastAsia="zh-CN"/>
        </w:rPr>
      </w:pPr>
      <w:r w:rsidRPr="0061493E">
        <w:rPr>
          <w:rFonts w:asciiTheme="majorBidi" w:eastAsia="SimSun" w:hAnsiTheme="majorBidi" w:cstheme="majorBidi"/>
          <w:sz w:val="24"/>
          <w:szCs w:val="24"/>
          <w:lang w:eastAsia="zh-CN"/>
        </w:rPr>
        <w:t xml:space="preserve">Since then, Nigeria’s financial system witnessed rapid development and systemic crisis with the introduction of economic reform (Structural Adjustment </w:t>
      </w:r>
      <w:proofErr w:type="spellStart"/>
      <w:r w:rsidRPr="0061493E">
        <w:rPr>
          <w:rFonts w:asciiTheme="majorBidi" w:eastAsia="SimSun" w:hAnsiTheme="majorBidi" w:cstheme="majorBidi"/>
          <w:sz w:val="24"/>
          <w:szCs w:val="24"/>
          <w:lang w:eastAsia="zh-CN"/>
        </w:rPr>
        <w:t>Programme</w:t>
      </w:r>
      <w:proofErr w:type="spellEnd"/>
      <w:r w:rsidRPr="0061493E">
        <w:rPr>
          <w:rFonts w:asciiTheme="majorBidi" w:eastAsia="SimSun" w:hAnsiTheme="majorBidi" w:cstheme="majorBidi"/>
          <w:sz w:val="24"/>
          <w:szCs w:val="24"/>
          <w:lang w:eastAsia="zh-CN"/>
        </w:rPr>
        <w:t xml:space="preserve">-SAP) in 1986. From 26 banks (comprising of commercial/retail) and 13 merchant (wholesale) banks in 1986 the number rapidly grew to 12 banks in 1992, before declining to 89 in 2002. The banking crisis of the mid 1990s saw the liquidation of 32 banks in 1996 alone. Two more distressed banks were also liquidated in 2002 and 2003. </w:t>
      </w:r>
    </w:p>
    <w:p w:rsidR="00151DA4" w:rsidRPr="0061493E" w:rsidRDefault="00151DA4" w:rsidP="00151DA4">
      <w:pPr>
        <w:pStyle w:val="NoSpacing"/>
        <w:spacing w:before="240" w:line="360" w:lineRule="auto"/>
        <w:jc w:val="both"/>
        <w:rPr>
          <w:rFonts w:asciiTheme="majorBidi" w:eastAsia="SimSun" w:hAnsiTheme="majorBidi" w:cstheme="majorBidi"/>
          <w:sz w:val="24"/>
          <w:szCs w:val="24"/>
          <w:lang w:eastAsia="zh-CN"/>
        </w:rPr>
      </w:pPr>
      <w:r w:rsidRPr="0061493E">
        <w:rPr>
          <w:rFonts w:asciiTheme="majorBidi" w:eastAsia="SimSun" w:hAnsiTheme="majorBidi" w:cstheme="majorBidi"/>
          <w:sz w:val="24"/>
          <w:szCs w:val="24"/>
          <w:lang w:eastAsia="zh-CN"/>
        </w:rPr>
        <w:t xml:space="preserve">Latest reform mandate banks to concentrate fully on core banking rather fiddling with non-banking financial services. These new model required banks to either sell all non-core banking businesses or form a holding company if they intent to carry out other non-banking financial services including insurance, asset management and capital market activities. Five banks-First City Monument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(FCMB), First Bank of Nigeria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(FBN), </w:t>
      </w:r>
      <w:proofErr w:type="spellStart"/>
      <w:r w:rsidRPr="0061493E">
        <w:rPr>
          <w:rFonts w:asciiTheme="majorBidi" w:eastAsia="SimSun" w:hAnsiTheme="majorBidi" w:cstheme="majorBidi"/>
          <w:sz w:val="24"/>
          <w:szCs w:val="24"/>
          <w:lang w:eastAsia="zh-CN"/>
        </w:rPr>
        <w:t>Stanbic</w:t>
      </w:r>
      <w:proofErr w:type="spellEnd"/>
      <w:r w:rsidRPr="0061493E">
        <w:rPr>
          <w:rFonts w:asciiTheme="majorBidi" w:eastAsia="SimSun" w:hAnsiTheme="majorBidi" w:cstheme="majorBidi"/>
          <w:sz w:val="24"/>
          <w:szCs w:val="24"/>
          <w:lang w:eastAsia="zh-CN"/>
        </w:rPr>
        <w:t xml:space="preserve"> IBTC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United Bank for Africa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(UBA) and Union Bank of Nigeria (UBN) have already opted to keep their subsidiaries while other banks including Access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Diamond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Fidelity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Guaranty Trust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(GTB), Skye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Zenith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and WEMA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are pursuing divestment from non-banking subsidiaries. Besides, the sphere-based capitalization has thrown Nigerian banks into three groups. WEMA Bank which sees competitive advantages in its strong presence in the dominant South-West market has chosen to be a regional banks; duo of Sterling bank </w:t>
      </w:r>
      <w:proofErr w:type="spellStart"/>
      <w:r w:rsidRPr="0061493E">
        <w:rPr>
          <w:rFonts w:asciiTheme="majorBidi" w:eastAsia="SimSun" w:hAnsiTheme="majorBidi" w:cstheme="majorBidi"/>
          <w:sz w:val="24"/>
          <w:szCs w:val="24"/>
          <w:lang w:eastAsia="zh-CN"/>
        </w:rPr>
        <w:t>Plc</w:t>
      </w:r>
      <w:proofErr w:type="spellEnd"/>
      <w:r w:rsidRPr="0061493E">
        <w:rPr>
          <w:rFonts w:asciiTheme="majorBidi" w:eastAsia="SimSun" w:hAnsiTheme="majorBidi" w:cstheme="majorBidi"/>
          <w:sz w:val="24"/>
          <w:szCs w:val="24"/>
          <w:lang w:eastAsia="zh-CN"/>
        </w:rPr>
        <w:t xml:space="preserve"> and Unity bank has chosen to be national banks while others have opted for international </w:t>
      </w:r>
      <w:proofErr w:type="spellStart"/>
      <w:r w:rsidRPr="0061493E">
        <w:rPr>
          <w:rFonts w:asciiTheme="majorBidi" w:eastAsia="SimSun" w:hAnsiTheme="majorBidi" w:cstheme="majorBidi"/>
          <w:sz w:val="24"/>
          <w:szCs w:val="24"/>
          <w:lang w:eastAsia="zh-CN"/>
        </w:rPr>
        <w:t>licence</w:t>
      </w:r>
      <w:proofErr w:type="spellEnd"/>
      <w:r w:rsidRPr="0061493E">
        <w:rPr>
          <w:rFonts w:asciiTheme="majorBidi" w:eastAsia="SimSun" w:hAnsiTheme="majorBidi" w:cstheme="majorBidi"/>
          <w:sz w:val="24"/>
          <w:szCs w:val="24"/>
          <w:lang w:eastAsia="zh-CN"/>
        </w:rPr>
        <w:t xml:space="preserve">. Already CBN has granted Approvals-In-Principle (AIPs) for commercial banking </w:t>
      </w:r>
      <w:proofErr w:type="spellStart"/>
      <w:r w:rsidRPr="0061493E">
        <w:rPr>
          <w:rFonts w:asciiTheme="majorBidi" w:eastAsia="SimSun" w:hAnsiTheme="majorBidi" w:cstheme="majorBidi"/>
          <w:sz w:val="24"/>
          <w:szCs w:val="24"/>
          <w:lang w:eastAsia="zh-CN"/>
        </w:rPr>
        <w:lastRenderedPageBreak/>
        <w:t>licence</w:t>
      </w:r>
      <w:proofErr w:type="spellEnd"/>
      <w:r w:rsidRPr="0061493E">
        <w:rPr>
          <w:rFonts w:asciiTheme="majorBidi" w:eastAsia="SimSun" w:hAnsiTheme="majorBidi" w:cstheme="majorBidi"/>
          <w:sz w:val="24"/>
          <w:szCs w:val="24"/>
          <w:lang w:eastAsia="zh-CN"/>
        </w:rPr>
        <w:t xml:space="preserve"> to 17 banks comprising of nine international banks, six national banks and two regional banks.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Czech banking sector is characterized by higher concentration and it is influenced by foreign ownership of financial companies from abroad. Past crises impact on all European economies due to globalization and internationalization of financial markets. The Czech government adopted a bank privatization program in 1998, leading to the banking sector being gradually acquired by foreign investors as they were expected to stabilize banks financially, improve their efficiency, and supply expertise in modern banking. Hence, the biggest change occurred between 1999 and 2002 with the privatization and sale of the three largest banks to foreign banks, foreign investors controlled 96.2% of the assets of the banking sector by the end of 2015 (</w:t>
      </w:r>
      <w:proofErr w:type="spellStart"/>
      <w:r w:rsidRPr="0061493E">
        <w:rPr>
          <w:rFonts w:asciiTheme="majorBidi" w:hAnsiTheme="majorBidi" w:cstheme="majorBidi"/>
          <w:sz w:val="24"/>
          <w:szCs w:val="24"/>
        </w:rPr>
        <w:t>Derviz</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Podpiera</w:t>
      </w:r>
      <w:proofErr w:type="spellEnd"/>
      <w:r w:rsidRPr="0061493E">
        <w:rPr>
          <w:rFonts w:asciiTheme="majorBidi" w:hAnsiTheme="majorBidi" w:cstheme="majorBidi"/>
          <w:sz w:val="24"/>
          <w:szCs w:val="24"/>
        </w:rPr>
        <w:t>, 2018). The entry of foreign banks, especially through the privatization of the largest Czech banks, was expected to provide a substantial increase in competition. The issue of competition in the banking sector was often mentioned both in public discussions and among practitioners, especially given the fact that banks’ representatives declared that increased competition in the banking market was one of their goals. A surge in the number of services and products supplied, especially regarding loans, is the main hard fact viewed as signaling an increase in competition in the Czech banking sector (</w:t>
      </w:r>
      <w:proofErr w:type="spellStart"/>
      <w:r w:rsidRPr="0061493E">
        <w:rPr>
          <w:rFonts w:asciiTheme="majorBidi" w:hAnsiTheme="majorBidi" w:cstheme="majorBidi"/>
          <w:sz w:val="24"/>
          <w:szCs w:val="24"/>
        </w:rPr>
        <w:t>Derviz</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Podpiera</w:t>
      </w:r>
      <w:proofErr w:type="spellEnd"/>
      <w:r w:rsidRPr="0061493E">
        <w:rPr>
          <w:rFonts w:asciiTheme="majorBidi" w:hAnsiTheme="majorBidi" w:cstheme="majorBidi"/>
          <w:sz w:val="24"/>
          <w:szCs w:val="24"/>
        </w:rPr>
        <w:t>, 2008).</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The Reserve Bank of Zimbabwe (2013) asserts that the role of the banking sector is to act as an intermediary for investors and savers in an economy. In Zimbabwe at the end of 2013, there emerged a financial crisis in the banking sector, which saw the closure of most banks. The banks among others are Time Bank of Zimbabwe, Royal Bank of Zimbabwe, Trust bank, CFX Bank and Barbican Bank Limited. These banks were faced with problems of tight liquidity conditions, failure to meet obligations when they fall due, this saw them having to use depositor’s funds to support their financial crisis which should not be the case. The role of intermediation was greatly thwarted resulting in the public losing confidence in the banking sector.</w:t>
      </w:r>
    </w:p>
    <w:p w:rsidR="00151DA4" w:rsidRPr="0061493E" w:rsidRDefault="00151DA4" w:rsidP="00151DA4">
      <w:pPr>
        <w:pStyle w:val="NoSpacing"/>
        <w:spacing w:before="24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Globalization </w:t>
      </w:r>
      <w:r w:rsidRPr="0061493E">
        <w:rPr>
          <w:rFonts w:asciiTheme="majorBidi" w:hAnsiTheme="majorBidi" w:cstheme="majorBidi"/>
          <w:sz w:val="24"/>
          <w:szCs w:val="24"/>
        </w:rPr>
        <w:t xml:space="preserve">has aided perform of financial system with varied results whereas some countries financial systems are more developed than others, that is to say, financial systems is some country perform better (more efficiently) than others. </w:t>
      </w:r>
      <w:proofErr w:type="spellStart"/>
      <w:r w:rsidRPr="0061493E">
        <w:rPr>
          <w:rFonts w:asciiTheme="majorBidi" w:hAnsiTheme="majorBidi" w:cstheme="majorBidi"/>
          <w:sz w:val="24"/>
          <w:szCs w:val="24"/>
        </w:rPr>
        <w:t>Rajan</w:t>
      </w:r>
      <w:proofErr w:type="spellEnd"/>
      <w:r w:rsidRPr="0061493E">
        <w:rPr>
          <w:rFonts w:asciiTheme="majorBidi" w:hAnsiTheme="majorBidi" w:cstheme="majorBidi"/>
          <w:sz w:val="24"/>
          <w:szCs w:val="24"/>
        </w:rPr>
        <w:t xml:space="preserve"> and </w:t>
      </w:r>
      <w:proofErr w:type="spellStart"/>
      <w:r w:rsidRPr="0061493E">
        <w:rPr>
          <w:rFonts w:asciiTheme="majorBidi" w:hAnsiTheme="majorBidi" w:cstheme="majorBidi"/>
          <w:sz w:val="24"/>
          <w:szCs w:val="24"/>
        </w:rPr>
        <w:t>Zingales</w:t>
      </w:r>
      <w:proofErr w:type="spellEnd"/>
      <w:r w:rsidRPr="0061493E">
        <w:rPr>
          <w:rFonts w:asciiTheme="majorBidi" w:hAnsiTheme="majorBidi" w:cstheme="majorBidi"/>
          <w:sz w:val="24"/>
          <w:szCs w:val="24"/>
        </w:rPr>
        <w:t xml:space="preserve"> (2013) identified the advantages of </w:t>
      </w:r>
      <w:r>
        <w:rPr>
          <w:rFonts w:asciiTheme="majorBidi" w:hAnsiTheme="majorBidi" w:cstheme="majorBidi"/>
          <w:sz w:val="24"/>
          <w:szCs w:val="24"/>
        </w:rPr>
        <w:t xml:space="preserve">Globalization </w:t>
      </w:r>
      <w:r w:rsidRPr="0061493E">
        <w:rPr>
          <w:rFonts w:asciiTheme="majorBidi" w:hAnsiTheme="majorBidi" w:cstheme="majorBidi"/>
          <w:sz w:val="24"/>
          <w:szCs w:val="24"/>
        </w:rPr>
        <w:t>thus;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Participation of foreign economic agents will lead to competition in the financial system thereby produce truthful and deeper information about domestic financial market conditions. But on the contrary, if foreign economic agents are interested in collusion and cooperation with local interest groups, the financial system will not be able to give all available information to all agents. Hence </w:t>
      </w:r>
      <w:r>
        <w:rPr>
          <w:rFonts w:asciiTheme="majorBidi" w:hAnsiTheme="majorBidi" w:cstheme="majorBidi"/>
          <w:sz w:val="24"/>
          <w:szCs w:val="24"/>
        </w:rPr>
        <w:t xml:space="preserve">Globalization </w:t>
      </w:r>
      <w:r w:rsidRPr="0061493E">
        <w:rPr>
          <w:rFonts w:asciiTheme="majorBidi" w:hAnsiTheme="majorBidi" w:cstheme="majorBidi"/>
          <w:sz w:val="24"/>
          <w:szCs w:val="24"/>
        </w:rPr>
        <w:t xml:space="preserve">will help destroy private and privileged information in the financial markets of the interest groups, because the financial system (their organizations, institutions and the own market) will spread all available information. </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Globalization will introduce the best practices and methods of financial supervision spread around the world in the local financial system and improve corporate governance. </w:t>
      </w:r>
      <w:proofErr w:type="spellStart"/>
      <w:r w:rsidRPr="0061493E">
        <w:rPr>
          <w:rFonts w:asciiTheme="majorBidi" w:hAnsiTheme="majorBidi" w:cstheme="majorBidi"/>
          <w:sz w:val="24"/>
          <w:szCs w:val="24"/>
        </w:rPr>
        <w:t>Morck</w:t>
      </w:r>
      <w:proofErr w:type="spellEnd"/>
      <w:r w:rsidRPr="0061493E">
        <w:rPr>
          <w:rFonts w:asciiTheme="majorBidi" w:hAnsiTheme="majorBidi" w:cstheme="majorBidi"/>
          <w:sz w:val="24"/>
          <w:szCs w:val="24"/>
        </w:rPr>
        <w:t xml:space="preserve"> and </w:t>
      </w:r>
      <w:proofErr w:type="spellStart"/>
      <w:r w:rsidRPr="0061493E">
        <w:rPr>
          <w:rFonts w:asciiTheme="majorBidi" w:hAnsiTheme="majorBidi" w:cstheme="majorBidi"/>
          <w:sz w:val="24"/>
          <w:szCs w:val="24"/>
        </w:rPr>
        <w:t>Steier</w:t>
      </w:r>
      <w:proofErr w:type="spellEnd"/>
      <w:r w:rsidRPr="0061493E">
        <w:rPr>
          <w:rFonts w:asciiTheme="majorBidi" w:hAnsiTheme="majorBidi" w:cstheme="majorBidi"/>
          <w:sz w:val="24"/>
          <w:szCs w:val="24"/>
        </w:rPr>
        <w:t xml:space="preserve"> (2005) point out that most of the capitalist countries have corporations with a pyramidal organization that belong to the richest families, therefore, the allocation of capital responds to these interest groups and their arrangements with the state. But, the arrival of external economic agents will confront bad decisions in allocation of capital of the interest groups, assessing firms and monitoring managers, and then they will improve corporate governance (Levine, 2002). On the contrary, </w:t>
      </w:r>
      <w:proofErr w:type="spellStart"/>
      <w:r w:rsidRPr="0061493E">
        <w:rPr>
          <w:rFonts w:asciiTheme="majorBidi" w:hAnsiTheme="majorBidi" w:cstheme="majorBidi"/>
          <w:sz w:val="24"/>
          <w:szCs w:val="24"/>
        </w:rPr>
        <w:t>Shleifer</w:t>
      </w:r>
      <w:proofErr w:type="spellEnd"/>
      <w:r w:rsidRPr="0061493E">
        <w:rPr>
          <w:rFonts w:asciiTheme="majorBidi" w:hAnsiTheme="majorBidi" w:cstheme="majorBidi"/>
          <w:sz w:val="24"/>
          <w:szCs w:val="24"/>
        </w:rPr>
        <w:t xml:space="preserve"> and </w:t>
      </w:r>
      <w:proofErr w:type="spellStart"/>
      <w:r w:rsidRPr="0061493E">
        <w:rPr>
          <w:rFonts w:asciiTheme="majorBidi" w:hAnsiTheme="majorBidi" w:cstheme="majorBidi"/>
          <w:sz w:val="24"/>
          <w:szCs w:val="24"/>
        </w:rPr>
        <w:t>Vishny</w:t>
      </w:r>
      <w:proofErr w:type="spellEnd"/>
      <w:r w:rsidRPr="0061493E">
        <w:rPr>
          <w:rFonts w:asciiTheme="majorBidi" w:hAnsiTheme="majorBidi" w:cstheme="majorBidi"/>
          <w:sz w:val="24"/>
          <w:szCs w:val="24"/>
        </w:rPr>
        <w:t xml:space="preserve"> (1986) argued that the liberalization can weaken corporate control, because it reduces the incentives of shareholders, thanks to more liquidity, to supervise borrowers and managers.</w:t>
      </w:r>
    </w:p>
    <w:p w:rsidR="00151DA4" w:rsidRPr="0061493E" w:rsidRDefault="00151DA4" w:rsidP="00151DA4">
      <w:pPr>
        <w:pStyle w:val="NoSpacing"/>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It </w:t>
      </w:r>
      <w:r w:rsidRPr="0061493E">
        <w:rPr>
          <w:rFonts w:asciiTheme="majorBidi" w:hAnsiTheme="majorBidi" w:cstheme="majorBidi"/>
          <w:sz w:val="24"/>
          <w:szCs w:val="24"/>
        </w:rPr>
        <w:t xml:space="preserve">aided risk diversification, </w:t>
      </w:r>
      <w:r>
        <w:rPr>
          <w:rFonts w:asciiTheme="majorBidi" w:hAnsiTheme="majorBidi" w:cstheme="majorBidi"/>
          <w:sz w:val="24"/>
          <w:szCs w:val="24"/>
        </w:rPr>
        <w:t>and it</w:t>
      </w:r>
      <w:r w:rsidRPr="0061493E">
        <w:rPr>
          <w:rFonts w:asciiTheme="majorBidi" w:hAnsiTheme="majorBidi" w:cstheme="majorBidi"/>
          <w:sz w:val="24"/>
          <w:szCs w:val="24"/>
        </w:rPr>
        <w:t xml:space="preserve"> enable</w:t>
      </w:r>
      <w:r>
        <w:rPr>
          <w:rFonts w:asciiTheme="majorBidi" w:hAnsiTheme="majorBidi" w:cstheme="majorBidi"/>
          <w:sz w:val="24"/>
          <w:szCs w:val="24"/>
        </w:rPr>
        <w:t>s</w:t>
      </w:r>
      <w:r w:rsidRPr="0061493E">
        <w:rPr>
          <w:rFonts w:asciiTheme="majorBidi" w:hAnsiTheme="majorBidi" w:cstheme="majorBidi"/>
          <w:sz w:val="24"/>
          <w:szCs w:val="24"/>
        </w:rPr>
        <w:t xml:space="preserve"> local economic agents to share risks with foreign agents in domestic and foreign financial markets. These enable local economic agents at peak time to lend to the foreigner, and in a recession, it can borrow, which helps mitigate the impacts of up and down in the economy. </w:t>
      </w:r>
      <w:proofErr w:type="spellStart"/>
      <w:r w:rsidRPr="0061493E">
        <w:rPr>
          <w:rFonts w:asciiTheme="majorBidi" w:hAnsiTheme="majorBidi" w:cstheme="majorBidi"/>
          <w:sz w:val="24"/>
          <w:szCs w:val="24"/>
        </w:rPr>
        <w:t>Obstfeld</w:t>
      </w:r>
      <w:proofErr w:type="spellEnd"/>
      <w:r w:rsidRPr="0061493E">
        <w:rPr>
          <w:rFonts w:asciiTheme="majorBidi" w:hAnsiTheme="majorBidi" w:cstheme="majorBidi"/>
          <w:sz w:val="24"/>
          <w:szCs w:val="24"/>
        </w:rPr>
        <w:t xml:space="preserve"> (1994) argues that international risk diversification allows the world economy to move from a portfolio with low risk and low returns to one with higher risk and higher returns. Also financial contracts that favor risk </w:t>
      </w:r>
      <w:r w:rsidRPr="0061493E">
        <w:rPr>
          <w:rFonts w:asciiTheme="majorBidi" w:hAnsiTheme="majorBidi" w:cstheme="majorBidi"/>
          <w:sz w:val="24"/>
          <w:szCs w:val="24"/>
        </w:rPr>
        <w:lastRenderedPageBreak/>
        <w:t xml:space="preserve">diversification will spread in all countries. But on the contrary, agents prefer domestic assets, non-tradable goods and international trade has high transaction costs, the incentives to international diversification of risk could decrease. </w:t>
      </w:r>
    </w:p>
    <w:p w:rsidR="00151DA4" w:rsidRPr="0061493E" w:rsidRDefault="00151DA4" w:rsidP="00151DA4">
      <w:pPr>
        <w:rPr>
          <w:rFonts w:asciiTheme="majorBidi" w:hAnsiTheme="majorBidi" w:cstheme="majorBidi"/>
          <w:b/>
          <w:bCs/>
          <w:sz w:val="24"/>
          <w:szCs w:val="24"/>
        </w:rPr>
      </w:pPr>
      <w:r w:rsidRPr="0061493E">
        <w:rPr>
          <w:rFonts w:asciiTheme="majorBidi" w:hAnsiTheme="majorBidi" w:cstheme="majorBidi"/>
          <w:b/>
          <w:bCs/>
          <w:sz w:val="24"/>
          <w:szCs w:val="24"/>
        </w:rPr>
        <w:t>2.</w:t>
      </w:r>
      <w:r>
        <w:rPr>
          <w:rFonts w:asciiTheme="majorBidi" w:hAnsiTheme="majorBidi" w:cstheme="majorBidi"/>
          <w:b/>
          <w:bCs/>
          <w:sz w:val="24"/>
          <w:szCs w:val="24"/>
        </w:rPr>
        <w:t>2</w:t>
      </w:r>
      <w:r w:rsidRPr="0061493E">
        <w:rPr>
          <w:rFonts w:asciiTheme="majorBidi" w:hAnsiTheme="majorBidi" w:cstheme="majorBidi"/>
          <w:b/>
          <w:bCs/>
          <w:sz w:val="24"/>
          <w:szCs w:val="24"/>
        </w:rPr>
        <w:tab/>
        <w:t>Theoretical Review</w:t>
      </w:r>
    </w:p>
    <w:p w:rsidR="00151DA4" w:rsidRPr="0061493E" w:rsidRDefault="00151DA4" w:rsidP="00151DA4">
      <w:pPr>
        <w:pStyle w:val="NoSpacing"/>
        <w:spacing w:before="240" w:line="360" w:lineRule="auto"/>
        <w:jc w:val="both"/>
        <w:rPr>
          <w:rFonts w:asciiTheme="majorBidi" w:hAnsiTheme="majorBidi" w:cstheme="majorBidi"/>
          <w:b/>
          <w:bCs/>
          <w:sz w:val="24"/>
          <w:szCs w:val="24"/>
          <w:shd w:val="clear" w:color="auto" w:fill="FFFFFF"/>
        </w:rPr>
      </w:pPr>
      <w:r w:rsidRPr="0061493E">
        <w:rPr>
          <w:rFonts w:asciiTheme="majorBidi" w:hAnsiTheme="majorBidi" w:cstheme="majorBidi"/>
          <w:b/>
          <w:bCs/>
          <w:sz w:val="24"/>
          <w:szCs w:val="24"/>
          <w:shd w:val="clear" w:color="auto" w:fill="FFFFFF"/>
        </w:rPr>
        <w:t>2.</w:t>
      </w:r>
      <w:r>
        <w:rPr>
          <w:rFonts w:asciiTheme="majorBidi" w:hAnsiTheme="majorBidi" w:cstheme="majorBidi"/>
          <w:b/>
          <w:bCs/>
          <w:sz w:val="24"/>
          <w:szCs w:val="24"/>
          <w:shd w:val="clear" w:color="auto" w:fill="FFFFFF"/>
        </w:rPr>
        <w:t>2</w:t>
      </w:r>
      <w:r w:rsidRPr="0061493E">
        <w:rPr>
          <w:rFonts w:asciiTheme="majorBidi" w:hAnsiTheme="majorBidi" w:cstheme="majorBidi"/>
          <w:b/>
          <w:bCs/>
          <w:sz w:val="24"/>
          <w:szCs w:val="24"/>
          <w:shd w:val="clear" w:color="auto" w:fill="FFFFFF"/>
        </w:rPr>
        <w:t>.1</w:t>
      </w:r>
      <w:r w:rsidRPr="0061493E">
        <w:rPr>
          <w:rFonts w:asciiTheme="majorBidi" w:hAnsiTheme="majorBidi" w:cstheme="majorBidi"/>
          <w:b/>
          <w:bCs/>
          <w:sz w:val="24"/>
          <w:szCs w:val="24"/>
          <w:shd w:val="clear" w:color="auto" w:fill="FFFFFF"/>
        </w:rPr>
        <w:tab/>
        <w:t>Institutional Theory</w:t>
      </w:r>
    </w:p>
    <w:p w:rsidR="00151DA4" w:rsidRPr="0061493E" w:rsidRDefault="00151DA4" w:rsidP="00151DA4">
      <w:pPr>
        <w:pStyle w:val="NoSpacing"/>
        <w:spacing w:before="240" w:line="360" w:lineRule="auto"/>
        <w:jc w:val="both"/>
        <w:rPr>
          <w:rFonts w:asciiTheme="majorBidi" w:hAnsiTheme="majorBidi" w:cstheme="majorBidi"/>
          <w:sz w:val="24"/>
          <w:szCs w:val="24"/>
          <w:shd w:val="clear" w:color="auto" w:fill="FFFFFF"/>
        </w:rPr>
      </w:pPr>
      <w:r w:rsidRPr="0061493E">
        <w:rPr>
          <w:rFonts w:asciiTheme="majorBidi" w:hAnsiTheme="majorBidi" w:cstheme="majorBidi"/>
          <w:sz w:val="24"/>
          <w:szCs w:val="24"/>
          <w:shd w:val="clear" w:color="auto" w:fill="FFFFFF"/>
        </w:rPr>
        <w:t>Institutional theory posits that organizations are influenced by the norms, values, and rules prevailing in their institutional environment (Scott, 2014). In the context of financial reporting, this theory suggests that DMBs like Zenith Bank PLC are influenced by the regulatory frameworks, accounting standards, and cultural norms prevalent in the global financial system. As countries integrate into the global economy, DMBs may adopt international financial reporting standards (IFRS) and best practices to conform to institutional pressures and enhance their legitimacy in the global marketplace.</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In addition to the influence of regulatory frameworks, accounting standards, and cultural norms, institutional theory also highlights the role of institutional isomorphism in shaping the financial reporting practices of Deposit Money Banks (DMBs) like Zenith Bank PLC. Institutional isomorphism refers to the tendency of organizations within an industry to mimic the practices of others in response to institutional pressures (DiMaggio &amp; Powell, 1983).</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In the context of financial reporting, DMBs may face coercive, normative, and mimetic pressures to conform to established standards and practices prevalent in the global financial system (Scott, 2014). Coercive pressures stem from regulatory bodies and government agencies, which enforce compliance with specific accounting standards and reporting requirements. For example, the adoption of International Financial Reporting Standards (IFRS) by regulatory authorities in Nigeria may exert coercive pressure on DMBs to align their financial reporting practices with international norms.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lastRenderedPageBreak/>
        <w:t>Normative pressures arise from professional organizations, industry associations, and peer networks, which establish norms and expectations regarding acceptable financial reporting practices (DiMaggio &amp; Powell, 1983). DMBs may face normative pressures to adopt best practices in financial reporting to maintain their reputation and credibility within the banking industry.</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Mimetic pressures result from the tendency of organizations to imitate the practices of successful peers or industry leaders (DiMaggio &amp; Powell, 1983). In the context of financial reporting, DMBs may emulate the reporting practices of leading banks or multinational corporations operating in the global financial markets. By mimicking the financial reporting practices of industry leaders, DMBs seek to enhance their legitimacy and competitive position in the global marketplace.</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Furthermore, institutional theory emphasizes the role of organizational legitimacy in shaping financial reporting practices (</w:t>
      </w:r>
      <w:proofErr w:type="spellStart"/>
      <w:r w:rsidRPr="0061493E">
        <w:rPr>
          <w:rFonts w:asciiTheme="majorBidi" w:hAnsiTheme="majorBidi" w:cstheme="majorBidi"/>
          <w:sz w:val="24"/>
          <w:szCs w:val="24"/>
        </w:rPr>
        <w:t>Suchman</w:t>
      </w:r>
      <w:proofErr w:type="spellEnd"/>
      <w:r w:rsidRPr="0061493E">
        <w:rPr>
          <w:rFonts w:asciiTheme="majorBidi" w:hAnsiTheme="majorBidi" w:cstheme="majorBidi"/>
          <w:sz w:val="24"/>
          <w:szCs w:val="24"/>
        </w:rPr>
        <w:t>, 1995). Legitimacy refers to the perception that an organization's actions and practices are socially acceptable and appropriate within its institutional environment. By adopting international financial reporting standards and best practices, DMBs like Zenith Bank PLC can enhance their legitimacy in the eyes of stakeholders, including investors, regulators, and the public.</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Overall, institutional theory provides valuable insights into the factors influencing the financial reporting practices of DMBs in the context of globalization. By understanding and responding to institutional pressures, DMBs can adapt their reporting practices to meet the evolving demands of the global financial system while maintaining legitimacy and credibility in the marketplace.</w:t>
      </w:r>
    </w:p>
    <w:p w:rsidR="00151DA4" w:rsidRPr="0061493E" w:rsidRDefault="00151DA4" w:rsidP="00151DA4">
      <w:pPr>
        <w:pStyle w:val="NoSpacing"/>
        <w:spacing w:before="240"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2.</w:t>
      </w:r>
      <w:r>
        <w:rPr>
          <w:rFonts w:asciiTheme="majorBidi" w:hAnsiTheme="majorBidi" w:cstheme="majorBidi"/>
          <w:b/>
          <w:bCs/>
          <w:sz w:val="24"/>
          <w:szCs w:val="24"/>
        </w:rPr>
        <w:t>2</w:t>
      </w:r>
      <w:r w:rsidRPr="0061493E">
        <w:rPr>
          <w:rFonts w:asciiTheme="majorBidi" w:hAnsiTheme="majorBidi" w:cstheme="majorBidi"/>
          <w:b/>
          <w:bCs/>
          <w:sz w:val="24"/>
          <w:szCs w:val="24"/>
        </w:rPr>
        <w:t>.2</w:t>
      </w:r>
      <w:r w:rsidRPr="0061493E">
        <w:rPr>
          <w:rFonts w:asciiTheme="majorBidi" w:hAnsiTheme="majorBidi" w:cstheme="majorBidi"/>
          <w:b/>
          <w:bCs/>
          <w:sz w:val="24"/>
          <w:szCs w:val="24"/>
        </w:rPr>
        <w:tab/>
        <w:t>Agency Theory</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Agency theory focuses on the relationship between principals (such as shareholders) and agents (such as managers) in organizations, emphasizing the alignment of interests and mitigation of agency costs (Jensen &amp; </w:t>
      </w:r>
      <w:proofErr w:type="spellStart"/>
      <w:r w:rsidRPr="0061493E">
        <w:rPr>
          <w:rFonts w:asciiTheme="majorBidi" w:hAnsiTheme="majorBidi" w:cstheme="majorBidi"/>
          <w:sz w:val="24"/>
          <w:szCs w:val="24"/>
        </w:rPr>
        <w:t>Meckling</w:t>
      </w:r>
      <w:proofErr w:type="spellEnd"/>
      <w:r w:rsidRPr="0061493E">
        <w:rPr>
          <w:rFonts w:asciiTheme="majorBidi" w:hAnsiTheme="majorBidi" w:cstheme="majorBidi"/>
          <w:sz w:val="24"/>
          <w:szCs w:val="24"/>
        </w:rPr>
        <w:t xml:space="preserve">, 1976). In the context of financial reporting, </w:t>
      </w:r>
      <w:r w:rsidRPr="0061493E">
        <w:rPr>
          <w:rFonts w:asciiTheme="majorBidi" w:hAnsiTheme="majorBidi" w:cstheme="majorBidi"/>
          <w:sz w:val="24"/>
          <w:szCs w:val="24"/>
        </w:rPr>
        <w:lastRenderedPageBreak/>
        <w:t>agency theory suggests that stakeholders rely on financial reports as a mechanism to monitor and control the behavior of management. Globalization increases the dispersion of ownership and the complexity of agency relationships within DMBs, necessitating transparent and reliable financial reporting to mitigate agency conflicts and enhance stakeholder trust.</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In addition to the relationship between principals (shareholders) and agents (managers), agency theory also highlights the role of information asymmetry and the potential for agency conflicts in influencing financial reporting practices within Deposit Money Banks (DMBs) like Zenith Bank PLC. Information asymmetry refers to situations where one party possesses more information than another, leading to adverse selection and moral hazard problems (</w:t>
      </w:r>
      <w:proofErr w:type="spellStart"/>
      <w:r w:rsidRPr="0061493E">
        <w:rPr>
          <w:rFonts w:asciiTheme="majorBidi" w:hAnsiTheme="majorBidi" w:cstheme="majorBidi"/>
          <w:sz w:val="24"/>
          <w:szCs w:val="24"/>
        </w:rPr>
        <w:t>Stiglitz</w:t>
      </w:r>
      <w:proofErr w:type="spellEnd"/>
      <w:r w:rsidRPr="0061493E">
        <w:rPr>
          <w:rFonts w:asciiTheme="majorBidi" w:hAnsiTheme="majorBidi" w:cstheme="majorBidi"/>
          <w:sz w:val="24"/>
          <w:szCs w:val="24"/>
        </w:rPr>
        <w:t>, 2000).</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In the context of financial reporting, agency theory suggests that stakeholders, including shareholders, creditors, and regulators, rely on financial reports as a mechanism to monitor and control the behavior of management (Jensen &amp; </w:t>
      </w:r>
      <w:proofErr w:type="spellStart"/>
      <w:r w:rsidRPr="0061493E">
        <w:rPr>
          <w:rFonts w:asciiTheme="majorBidi" w:hAnsiTheme="majorBidi" w:cstheme="majorBidi"/>
          <w:sz w:val="24"/>
          <w:szCs w:val="24"/>
        </w:rPr>
        <w:t>Meckling</w:t>
      </w:r>
      <w:proofErr w:type="spellEnd"/>
      <w:r w:rsidRPr="0061493E">
        <w:rPr>
          <w:rFonts w:asciiTheme="majorBidi" w:hAnsiTheme="majorBidi" w:cstheme="majorBidi"/>
          <w:sz w:val="24"/>
          <w:szCs w:val="24"/>
        </w:rPr>
        <w:t>, 1976). By providing timely and accurate information about the financial performance and position of the bank, financial reports enable stakeholders to assess the stewardship of management and make informed decisions regarding their investments and relationships with the bank.</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Globalization exacerbates information asymmetry and agency conflicts within DMBs due to the dispersion of ownership and the complexity of organizational structures (</w:t>
      </w:r>
      <w:proofErr w:type="spellStart"/>
      <w:r w:rsidRPr="0061493E">
        <w:rPr>
          <w:rFonts w:asciiTheme="majorBidi" w:hAnsiTheme="majorBidi" w:cstheme="majorBidi"/>
          <w:sz w:val="24"/>
          <w:szCs w:val="24"/>
        </w:rPr>
        <w:t>Claessens</w:t>
      </w:r>
      <w:proofErr w:type="spellEnd"/>
      <w:r w:rsidRPr="0061493E">
        <w:rPr>
          <w:rFonts w:asciiTheme="majorBidi" w:hAnsiTheme="majorBidi" w:cstheme="majorBidi"/>
          <w:sz w:val="24"/>
          <w:szCs w:val="24"/>
        </w:rPr>
        <w:t xml:space="preserve">, </w:t>
      </w:r>
      <w:proofErr w:type="spellStart"/>
      <w:r w:rsidRPr="0061493E">
        <w:rPr>
          <w:rFonts w:asciiTheme="majorBidi" w:hAnsiTheme="majorBidi" w:cstheme="majorBidi"/>
          <w:sz w:val="24"/>
          <w:szCs w:val="24"/>
        </w:rPr>
        <w:t>Klingebiel</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Schmukler</w:t>
      </w:r>
      <w:proofErr w:type="spellEnd"/>
      <w:r w:rsidRPr="0061493E">
        <w:rPr>
          <w:rFonts w:asciiTheme="majorBidi" w:hAnsiTheme="majorBidi" w:cstheme="majorBidi"/>
          <w:sz w:val="24"/>
          <w:szCs w:val="24"/>
        </w:rPr>
        <w:t>, 2007). As DMBs expand their operations across borders and engage in complex financial transactions, stakeholders face greater challenges in monitoring and evaluating the performance of management. This increases the importance of transparent and reliable financial reporting to mitigate agency conflicts and enhance stakeholder trust.</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Moreover, agency theory underscores the role of corporate governance mechanisms in aligning the interests of principals and agents and mitigating agency costs (Jensen &amp; </w:t>
      </w:r>
      <w:proofErr w:type="spellStart"/>
      <w:r w:rsidRPr="0061493E">
        <w:rPr>
          <w:rFonts w:asciiTheme="majorBidi" w:hAnsiTheme="majorBidi" w:cstheme="majorBidi"/>
          <w:sz w:val="24"/>
          <w:szCs w:val="24"/>
        </w:rPr>
        <w:lastRenderedPageBreak/>
        <w:t>Meckling</w:t>
      </w:r>
      <w:proofErr w:type="spellEnd"/>
      <w:r w:rsidRPr="0061493E">
        <w:rPr>
          <w:rFonts w:asciiTheme="majorBidi" w:hAnsiTheme="majorBidi" w:cstheme="majorBidi"/>
          <w:sz w:val="24"/>
          <w:szCs w:val="24"/>
        </w:rPr>
        <w:t>, 1976). Corporate governance mechanisms such as board oversight, executive compensation, and external auditing play a crucial role in ensuring the integrity and reliability of financial reporting within DMBs. By implementing robust corporate governance practices, DMBs can enhance transparency, accountability, and stakeholder confidence in their financial reporting processes.</w:t>
      </w:r>
    </w:p>
    <w:p w:rsidR="00151DA4" w:rsidRPr="009801ED" w:rsidRDefault="00151DA4" w:rsidP="00151DA4">
      <w:pPr>
        <w:pStyle w:val="NoSpacing"/>
        <w:spacing w:before="240" w:line="360" w:lineRule="auto"/>
        <w:jc w:val="both"/>
        <w:rPr>
          <w:rStyle w:val="Strong"/>
          <w:rFonts w:asciiTheme="majorBidi" w:hAnsiTheme="majorBidi"/>
          <w:b w:val="0"/>
          <w:bCs w:val="0"/>
          <w:sz w:val="24"/>
          <w:szCs w:val="24"/>
        </w:rPr>
      </w:pPr>
      <w:r w:rsidRPr="0061493E">
        <w:rPr>
          <w:rFonts w:asciiTheme="majorBidi" w:hAnsiTheme="majorBidi" w:cstheme="majorBidi"/>
          <w:sz w:val="24"/>
          <w:szCs w:val="24"/>
        </w:rPr>
        <w:t>Agency theory provides valuable insights into the relationship between principals and agents within DMBs and the role of financial reporting in mitigating agency conflicts and enhancing stakeholder trust. By adopting transparent and reliable financial reporting practices and implementing effective corporate governance mechanisms, DMBs like Zenith Bank PLC can strengthen their relationships with stakeholders and navigate the complexities of the global financial marketplace more effectively.</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Style w:val="Strong"/>
          <w:rFonts w:asciiTheme="majorBidi" w:hAnsiTheme="majorBidi"/>
          <w:color w:val="0D0D0D"/>
          <w:sz w:val="24"/>
          <w:szCs w:val="24"/>
          <w:bdr w:val="single" w:sz="2" w:space="0" w:color="E3E3E3" w:frame="1"/>
        </w:rPr>
        <w:t>2.</w:t>
      </w:r>
      <w:r>
        <w:rPr>
          <w:rStyle w:val="Strong"/>
          <w:rFonts w:asciiTheme="majorBidi" w:hAnsiTheme="majorBidi"/>
          <w:color w:val="0D0D0D"/>
          <w:sz w:val="24"/>
          <w:szCs w:val="24"/>
          <w:bdr w:val="single" w:sz="2" w:space="0" w:color="E3E3E3" w:frame="1"/>
        </w:rPr>
        <w:t>2</w:t>
      </w:r>
      <w:r w:rsidRPr="0061493E">
        <w:rPr>
          <w:rStyle w:val="Strong"/>
          <w:rFonts w:asciiTheme="majorBidi" w:hAnsiTheme="majorBidi"/>
          <w:color w:val="0D0D0D"/>
          <w:sz w:val="24"/>
          <w:szCs w:val="24"/>
          <w:bdr w:val="single" w:sz="2" w:space="0" w:color="E3E3E3" w:frame="1"/>
        </w:rPr>
        <w:t>.3</w:t>
      </w:r>
      <w:r w:rsidRPr="0061493E">
        <w:rPr>
          <w:rStyle w:val="Strong"/>
          <w:rFonts w:asciiTheme="majorBidi" w:hAnsiTheme="majorBidi"/>
          <w:color w:val="0D0D0D"/>
          <w:sz w:val="24"/>
          <w:szCs w:val="24"/>
          <w:bdr w:val="single" w:sz="2" w:space="0" w:color="E3E3E3" w:frame="1"/>
        </w:rPr>
        <w:tab/>
        <w:t>Resource Dependency Theory</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Resource dependency theory emphasizes the interdependence of organizations and their external environment, particularly regarding the acquisition and utilization of resources (</w:t>
      </w:r>
      <w:proofErr w:type="spellStart"/>
      <w:r w:rsidRPr="0061493E">
        <w:rPr>
          <w:rFonts w:asciiTheme="majorBidi" w:hAnsiTheme="majorBidi" w:cstheme="majorBidi"/>
          <w:sz w:val="24"/>
          <w:szCs w:val="24"/>
        </w:rPr>
        <w:t>Pfeffer</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Salancik</w:t>
      </w:r>
      <w:proofErr w:type="spellEnd"/>
      <w:r w:rsidRPr="0061493E">
        <w:rPr>
          <w:rFonts w:asciiTheme="majorBidi" w:hAnsiTheme="majorBidi" w:cstheme="majorBidi"/>
          <w:sz w:val="24"/>
          <w:szCs w:val="24"/>
        </w:rPr>
        <w:t>, 2003). In the context of financial reporting, resource dependency theory suggests that DMBs depend on various external resources, including capital, regulatory approval, and stakeholder trust. Globalization amplifies resource dependencies by exposing DMBs to global financial markets, regulatory regimes, and investor expectations. Effective financial reporting practices can help DMBs manage resource dependencies by enhancing their reputation, access to capital, and regulatory compliance.</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Resource Dependency Theory (RDT) provides a lens through which to understand how Deposit Money Banks (DMBs) such as Zenith Bank PLC navigate their external environment, particularly in the context of financial reporting. RDT posits that organizations depend on external resources to survive and thrive, and their behaviors are influenced by their need to acquire and manage these resources effectively (</w:t>
      </w:r>
      <w:proofErr w:type="spellStart"/>
      <w:r w:rsidRPr="0061493E">
        <w:rPr>
          <w:rFonts w:asciiTheme="majorBidi" w:hAnsiTheme="majorBidi" w:cstheme="majorBidi"/>
          <w:sz w:val="24"/>
          <w:szCs w:val="24"/>
        </w:rPr>
        <w:t>Pfeffer</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Salancik</w:t>
      </w:r>
      <w:proofErr w:type="spellEnd"/>
      <w:r w:rsidRPr="0061493E">
        <w:rPr>
          <w:rFonts w:asciiTheme="majorBidi" w:hAnsiTheme="majorBidi" w:cstheme="majorBidi"/>
          <w:sz w:val="24"/>
          <w:szCs w:val="24"/>
        </w:rPr>
        <w:t>, 2003).</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lastRenderedPageBreak/>
        <w:t>In the realm of financial reporting, DMBs rely on various external resources, including capital, regulatory approvals, and stakeholder trust, to sustain their operations and maintain competitiveness (</w:t>
      </w:r>
      <w:proofErr w:type="spellStart"/>
      <w:r w:rsidRPr="0061493E">
        <w:rPr>
          <w:rFonts w:asciiTheme="majorBidi" w:hAnsiTheme="majorBidi" w:cstheme="majorBidi"/>
          <w:sz w:val="24"/>
          <w:szCs w:val="24"/>
        </w:rPr>
        <w:t>Pfeffer</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Salancik</w:t>
      </w:r>
      <w:proofErr w:type="spellEnd"/>
      <w:r w:rsidRPr="0061493E">
        <w:rPr>
          <w:rFonts w:asciiTheme="majorBidi" w:hAnsiTheme="majorBidi" w:cstheme="majorBidi"/>
          <w:sz w:val="24"/>
          <w:szCs w:val="24"/>
        </w:rPr>
        <w:t>, 2003). Capital is crucial for funding lending activities, investing in technology and infrastructure, and meeting regulatory capital adequacy requirements. Regulatory approvals are necessary for DMBs to operate within legal frameworks and comply with regulatory requirements governing financial reporting standards and practices.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Moreover, stakeholder trust is essential for maintaining depositor confidence, attracting investors, and securing funding from capital markets. Effective financial reporting practices play a pivotal role in managing these external resources by enhancing transparency, accountability, and credibility (</w:t>
      </w:r>
      <w:proofErr w:type="spellStart"/>
      <w:r w:rsidRPr="0061493E">
        <w:rPr>
          <w:rFonts w:asciiTheme="majorBidi" w:hAnsiTheme="majorBidi" w:cstheme="majorBidi"/>
          <w:sz w:val="24"/>
          <w:szCs w:val="24"/>
        </w:rPr>
        <w:t>Claessens</w:t>
      </w:r>
      <w:proofErr w:type="spellEnd"/>
      <w:r w:rsidRPr="0061493E">
        <w:rPr>
          <w:rFonts w:asciiTheme="majorBidi" w:hAnsiTheme="majorBidi" w:cstheme="majorBidi"/>
          <w:sz w:val="24"/>
          <w:szCs w:val="24"/>
        </w:rPr>
        <w:t xml:space="preserve">, </w:t>
      </w:r>
      <w:proofErr w:type="spellStart"/>
      <w:r w:rsidRPr="0061493E">
        <w:rPr>
          <w:rFonts w:asciiTheme="majorBidi" w:hAnsiTheme="majorBidi" w:cstheme="majorBidi"/>
          <w:sz w:val="24"/>
          <w:szCs w:val="24"/>
        </w:rPr>
        <w:t>Klingebiel</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Schmukler</w:t>
      </w:r>
      <w:proofErr w:type="spellEnd"/>
      <w:r w:rsidRPr="0061493E">
        <w:rPr>
          <w:rFonts w:asciiTheme="majorBidi" w:hAnsiTheme="majorBidi" w:cstheme="majorBidi"/>
          <w:sz w:val="24"/>
          <w:szCs w:val="24"/>
        </w:rPr>
        <w:t>, 2007). By providing accurate and timely financial information, DMBs can build and maintain stakeholder trust, thereby securing access to capital and regulatory approvals necessary for their operations.</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Globalization amplifies resource dependencies for DMBs by exposing them to global financial markets, regulatory regimes, and investor expectations (</w:t>
      </w:r>
      <w:proofErr w:type="spellStart"/>
      <w:r w:rsidRPr="0061493E">
        <w:rPr>
          <w:rFonts w:asciiTheme="majorBidi" w:hAnsiTheme="majorBidi" w:cstheme="majorBidi"/>
          <w:sz w:val="24"/>
          <w:szCs w:val="24"/>
        </w:rPr>
        <w:t>Claessens</w:t>
      </w:r>
      <w:proofErr w:type="spellEnd"/>
      <w:r w:rsidRPr="0061493E">
        <w:rPr>
          <w:rFonts w:asciiTheme="majorBidi" w:hAnsiTheme="majorBidi" w:cstheme="majorBidi"/>
          <w:sz w:val="24"/>
          <w:szCs w:val="24"/>
        </w:rPr>
        <w:t xml:space="preserve">, </w:t>
      </w:r>
      <w:proofErr w:type="spellStart"/>
      <w:r w:rsidRPr="0061493E">
        <w:rPr>
          <w:rFonts w:asciiTheme="majorBidi" w:hAnsiTheme="majorBidi" w:cstheme="majorBidi"/>
          <w:sz w:val="24"/>
          <w:szCs w:val="24"/>
        </w:rPr>
        <w:t>Klingebiel</w:t>
      </w:r>
      <w:proofErr w:type="spellEnd"/>
      <w:r w:rsidRPr="0061493E">
        <w:rPr>
          <w:rFonts w:asciiTheme="majorBidi" w:hAnsiTheme="majorBidi" w:cstheme="majorBidi"/>
          <w:sz w:val="24"/>
          <w:szCs w:val="24"/>
        </w:rPr>
        <w:t xml:space="preserve">, &amp; </w:t>
      </w:r>
      <w:proofErr w:type="spellStart"/>
      <w:r w:rsidRPr="0061493E">
        <w:rPr>
          <w:rFonts w:asciiTheme="majorBidi" w:hAnsiTheme="majorBidi" w:cstheme="majorBidi"/>
          <w:sz w:val="24"/>
          <w:szCs w:val="24"/>
        </w:rPr>
        <w:t>Schmukler</w:t>
      </w:r>
      <w:proofErr w:type="spellEnd"/>
      <w:r w:rsidRPr="0061493E">
        <w:rPr>
          <w:rFonts w:asciiTheme="majorBidi" w:hAnsiTheme="majorBidi" w:cstheme="majorBidi"/>
          <w:sz w:val="24"/>
          <w:szCs w:val="24"/>
        </w:rPr>
        <w:t>, 2007). As DMBs expand their operations internationally and engage with diverse stakeholders, the need to effectively manage external resources becomes even more critical. Effective financial reporting practices can help DMBs navigate the complexities of globalization by enhancing their reputation, access to capital, and regulatory compliance.</w:t>
      </w:r>
    </w:p>
    <w:p w:rsidR="00151DA4" w:rsidRPr="0061493E" w:rsidRDefault="00151DA4" w:rsidP="00151DA4">
      <w:pPr>
        <w:pStyle w:val="NoSpacing"/>
        <w:spacing w:before="240" w:line="360" w:lineRule="auto"/>
        <w:jc w:val="both"/>
        <w:rPr>
          <w:rFonts w:asciiTheme="majorBidi" w:hAnsiTheme="majorBidi" w:cstheme="majorBidi"/>
          <w:sz w:val="24"/>
          <w:szCs w:val="24"/>
        </w:rPr>
      </w:pPr>
      <w:r w:rsidRPr="0061493E">
        <w:rPr>
          <w:rFonts w:asciiTheme="majorBidi" w:hAnsiTheme="majorBidi" w:cstheme="majorBidi"/>
          <w:sz w:val="24"/>
          <w:szCs w:val="24"/>
        </w:rPr>
        <w:t>Overall, Resource Dependency Theory provides valuable insights into how DMBs like Zenith Bank PLC manage their external environment, particularly in the context of financial reporting. By understanding and addressing resource dependencies through effective financial reporting practices, DMBs can strengthen their competitive position and ensure their long-term viability in an increasingly globalized financial landscape.</w:t>
      </w:r>
    </w:p>
    <w:p w:rsidR="00151DA4" w:rsidRDefault="00151DA4" w:rsidP="00151DA4">
      <w:pPr>
        <w:rPr>
          <w:rFonts w:asciiTheme="majorBidi" w:hAnsiTheme="majorBidi" w:cstheme="majorBidi"/>
          <w:b/>
          <w:bCs/>
          <w:sz w:val="24"/>
          <w:szCs w:val="24"/>
        </w:rPr>
      </w:pPr>
      <w:r>
        <w:rPr>
          <w:rFonts w:asciiTheme="majorBidi" w:hAnsiTheme="majorBidi" w:cstheme="majorBidi"/>
          <w:b/>
          <w:bCs/>
          <w:sz w:val="24"/>
          <w:szCs w:val="24"/>
        </w:rPr>
        <w:br w:type="page"/>
      </w:r>
    </w:p>
    <w:p w:rsidR="00151DA4" w:rsidRDefault="00151DA4" w:rsidP="00151DA4">
      <w:pPr>
        <w:rPr>
          <w:rFonts w:asciiTheme="majorBidi" w:hAnsiTheme="majorBidi" w:cstheme="majorBidi"/>
          <w:b/>
          <w:bCs/>
          <w:sz w:val="24"/>
          <w:szCs w:val="24"/>
        </w:rPr>
      </w:pPr>
      <w:r w:rsidRPr="0061493E">
        <w:rPr>
          <w:rFonts w:asciiTheme="majorBidi" w:hAnsiTheme="majorBidi" w:cstheme="majorBidi"/>
          <w:b/>
          <w:bCs/>
          <w:sz w:val="24"/>
          <w:szCs w:val="24"/>
        </w:rPr>
        <w:lastRenderedPageBreak/>
        <w:t>2.</w:t>
      </w:r>
      <w:r>
        <w:rPr>
          <w:rFonts w:asciiTheme="majorBidi" w:hAnsiTheme="majorBidi" w:cstheme="majorBidi"/>
          <w:b/>
          <w:bCs/>
          <w:sz w:val="24"/>
          <w:szCs w:val="24"/>
        </w:rPr>
        <w:t>3</w:t>
      </w:r>
      <w:r w:rsidRPr="0061493E">
        <w:rPr>
          <w:rFonts w:asciiTheme="majorBidi" w:hAnsiTheme="majorBidi" w:cstheme="majorBidi"/>
          <w:b/>
          <w:bCs/>
          <w:sz w:val="24"/>
          <w:szCs w:val="24"/>
        </w:rPr>
        <w:tab/>
        <w:t>Empirical Review</w:t>
      </w:r>
    </w:p>
    <w:p w:rsidR="008F26E5" w:rsidRDefault="008F26E5" w:rsidP="008F26E5">
      <w:pPr>
        <w:pStyle w:val="NormalWeb"/>
        <w:spacing w:line="360" w:lineRule="auto"/>
        <w:jc w:val="both"/>
      </w:pPr>
      <w:r>
        <w:t xml:space="preserve">The impact of globalization on financial reporting practices in the banking sector has been a subject of increasing scholarly attention, particularly in emerging markets like Nigeria. </w:t>
      </w:r>
      <w:proofErr w:type="spellStart"/>
      <w:r>
        <w:t>Ukah</w:t>
      </w:r>
      <w:proofErr w:type="spellEnd"/>
      <w:r>
        <w:t xml:space="preserve"> (2021) conducted a</w:t>
      </w:r>
      <w:bookmarkStart w:id="0" w:name="_GoBack"/>
      <w:bookmarkEnd w:id="0"/>
      <w:r>
        <w:t xml:space="preserve"> study on the globalization of commercial banks in Nigeria, employing ordinary least squares and unit root tests to examine the role of information and communication technology (ICT) in facilitating globalization. The study found that ICT significantly enhances the globalization of financial reporting by improving data processing, reporting accuracy, and compliance with international standards. This is particularly relevant for Nigerian DMBs like Zenith Bank PLC, where technological advancements driven by globalization enable real-time financial reporting and alignment with global best practices. </w:t>
      </w:r>
      <w:proofErr w:type="spellStart"/>
      <w:r>
        <w:t>Ukah’s</w:t>
      </w:r>
      <w:proofErr w:type="spellEnd"/>
      <w:r>
        <w:t xml:space="preserve"> findings lay the foundation for understanding how technological integration, a key facet of globalization, shapes financial reporting, setting the stage for exploring specific challenges and outcomes in subsequent studies.</w:t>
      </w:r>
    </w:p>
    <w:p w:rsidR="008F26E5" w:rsidRDefault="008F26E5" w:rsidP="008F26E5">
      <w:pPr>
        <w:pStyle w:val="NormalWeb"/>
        <w:spacing w:line="360" w:lineRule="auto"/>
        <w:jc w:val="both"/>
      </w:pPr>
      <w:r>
        <w:t xml:space="preserve">Building on the role of technology, Kim (2022) investigated the relationship between globalization and financial reporting quality in emerging markets, using a theoretical and empirical analysis of banking institutions. The study employed panel data analysis to assess how global financial integration influences reporting transparency and comparability. Kim found that globalization increases the adoption of International Financial Reporting Standards (IFRS), leading to enhanced financial reporting quality in banks across emerging economies, including Nigeria. However, the study highlighted challenges such as the need for robust technological infrastructure and skilled personnel to fully realize these benefits. This aligns with </w:t>
      </w:r>
      <w:proofErr w:type="spellStart"/>
      <w:r>
        <w:t>Ukah’s</w:t>
      </w:r>
      <w:proofErr w:type="spellEnd"/>
      <w:r>
        <w:t xml:space="preserve"> (2021) emphasis on ICT, suggesting that technological advancements are critical but require complementary investments in human capital to address implementation challenges faced by DMBs like Zenith Bank PLC.</w:t>
      </w:r>
    </w:p>
    <w:p w:rsidR="008F26E5" w:rsidRDefault="008F26E5" w:rsidP="008F26E5">
      <w:pPr>
        <w:pStyle w:val="NormalWeb"/>
        <w:spacing w:line="360" w:lineRule="auto"/>
        <w:jc w:val="both"/>
      </w:pPr>
      <w:r>
        <w:t xml:space="preserve">The adoption of IFRS as a cornerstone of globalized financial reporting is further explored by Gupta and Sharma (2023), who conducted a study on the role of IFRS in enhancing financial reporting in a globalized economy. Using correlation and regression analysis, the </w:t>
      </w:r>
      <w:r>
        <w:lastRenderedPageBreak/>
        <w:t>study examined data from banks in multiple emerging markets, including Nigeria, and concluded that IFRS adoption significantly improves the comparability and reliability of financial statements. The findings indicate that banks adopting IFRS, such as Zenith Bank PLC, experience increased investor confidence and better access to global capital markets. However, Gupta and Sharma also noted that the transition to IFRS poses challenges, including high compliance costs and the need for continuous staff training, echoing Kim’s (2022) observations about human capital requirements and linking to the broader theme of balancing global standards with local constraints.</w:t>
      </w:r>
    </w:p>
    <w:p w:rsidR="008F26E5" w:rsidRDefault="008F26E5" w:rsidP="008F26E5">
      <w:pPr>
        <w:pStyle w:val="NormalWeb"/>
        <w:spacing w:line="360" w:lineRule="auto"/>
        <w:jc w:val="both"/>
      </w:pPr>
      <w:r>
        <w:t xml:space="preserve">Finally, a recent study by </w:t>
      </w:r>
      <w:proofErr w:type="spellStart"/>
      <w:r>
        <w:t>Okonkwo</w:t>
      </w:r>
      <w:proofErr w:type="spellEnd"/>
      <w:r>
        <w:t xml:space="preserve"> and </w:t>
      </w:r>
      <w:proofErr w:type="spellStart"/>
      <w:r>
        <w:t>Eze</w:t>
      </w:r>
      <w:proofErr w:type="spellEnd"/>
      <w:r>
        <w:t xml:space="preserve"> (2025) examined the globalization paradox in financial reporting, focusing on Nigerian DMBs and using predictive analytics to assess the long-term implications of global integration. The study found that while globalization fosters standardized reporting practices and enhances stakeholder trust, it also exacerbates information asymmetry and regulatory complexity for banks operating in diverse jurisdictions. </w:t>
      </w:r>
      <w:proofErr w:type="spellStart"/>
      <w:r>
        <w:t>Okonkwo</w:t>
      </w:r>
      <w:proofErr w:type="spellEnd"/>
      <w:r>
        <w:t xml:space="preserve"> and </w:t>
      </w:r>
      <w:proofErr w:type="spellStart"/>
      <w:r>
        <w:t>Eze</w:t>
      </w:r>
      <w:proofErr w:type="spellEnd"/>
      <w:r>
        <w:t xml:space="preserve"> proposed strategies such as cross-border collaboration and investment in advanced reporting systems to mitigate these challenges, reinforcing </w:t>
      </w:r>
      <w:proofErr w:type="spellStart"/>
      <w:r>
        <w:t>Adeyemi</w:t>
      </w:r>
      <w:proofErr w:type="spellEnd"/>
      <w:r>
        <w:t xml:space="preserve"> and </w:t>
      </w:r>
      <w:proofErr w:type="spellStart"/>
      <w:r>
        <w:t>Olowookere’s</w:t>
      </w:r>
      <w:proofErr w:type="spellEnd"/>
      <w:r>
        <w:t xml:space="preserve"> (2024) findings on operational burdens and Kim’s (2022) emphasis on technological infrastructure. Collectively, these studies underscore that globalization significantly enhances financial reporting quality in Nigerian DMBs like Zenith Bank PLC but requires addressing technological, regulatory, and cultural challenges to sustain these improvements.</w:t>
      </w:r>
    </w:p>
    <w:p w:rsidR="00151DA4" w:rsidRDefault="00151DA4" w:rsidP="008F26E5">
      <w:pPr>
        <w:spacing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151DA4" w:rsidRPr="0061493E" w:rsidRDefault="00151DA4" w:rsidP="00151DA4">
      <w:pPr>
        <w:spacing w:line="360" w:lineRule="auto"/>
        <w:jc w:val="center"/>
        <w:rPr>
          <w:rFonts w:asciiTheme="majorBidi" w:hAnsiTheme="majorBidi" w:cstheme="majorBidi"/>
          <w:b/>
          <w:bCs/>
          <w:sz w:val="24"/>
          <w:szCs w:val="24"/>
        </w:rPr>
      </w:pPr>
      <w:r w:rsidRPr="0061493E">
        <w:rPr>
          <w:rFonts w:asciiTheme="majorBidi" w:hAnsiTheme="majorBidi" w:cstheme="majorBidi"/>
          <w:b/>
          <w:bCs/>
          <w:sz w:val="24"/>
          <w:szCs w:val="24"/>
        </w:rPr>
        <w:lastRenderedPageBreak/>
        <w:t>CHAPTER THREE</w:t>
      </w:r>
    </w:p>
    <w:p w:rsidR="00151DA4" w:rsidRPr="0061493E" w:rsidRDefault="00151DA4" w:rsidP="00151DA4">
      <w:pPr>
        <w:pStyle w:val="NoSpacing"/>
        <w:spacing w:before="240" w:line="360" w:lineRule="auto"/>
        <w:jc w:val="center"/>
        <w:rPr>
          <w:rFonts w:asciiTheme="majorBidi" w:hAnsiTheme="majorBidi" w:cstheme="majorBidi"/>
          <w:b/>
          <w:bCs/>
          <w:sz w:val="24"/>
          <w:szCs w:val="24"/>
        </w:rPr>
      </w:pPr>
      <w:r w:rsidRPr="0061493E">
        <w:rPr>
          <w:rFonts w:asciiTheme="majorBidi" w:hAnsiTheme="majorBidi" w:cstheme="majorBidi"/>
          <w:b/>
          <w:bCs/>
          <w:sz w:val="24"/>
          <w:szCs w:val="24"/>
        </w:rPr>
        <w:t>METHODOLOGY</w:t>
      </w:r>
    </w:p>
    <w:p w:rsidR="00151DA4" w:rsidRDefault="00151DA4" w:rsidP="00151DA4">
      <w:pPr>
        <w:spacing w:before="100" w:beforeAutospacing="1" w:after="100" w:afterAutospacing="1"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3.1</w:t>
      </w:r>
      <w:r>
        <w:rPr>
          <w:rFonts w:asciiTheme="majorBidi" w:eastAsia="Times New Roman" w:hAnsiTheme="majorBidi" w:cstheme="majorBidi"/>
          <w:b/>
          <w:sz w:val="24"/>
          <w:szCs w:val="24"/>
        </w:rPr>
        <w:tab/>
        <w:t xml:space="preserve">Introduction </w:t>
      </w:r>
    </w:p>
    <w:p w:rsidR="00151DA4" w:rsidRPr="00EC0F01" w:rsidRDefault="00151DA4" w:rsidP="00151DA4">
      <w:pPr>
        <w:spacing w:before="100" w:beforeAutospacing="1" w:after="100" w:afterAutospacing="1" w:line="36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This chapter contains seven sections which are the research design, population of the study, sample size and sampling techniques, method of data collection, instruments of data collection, method of data analysis and the historical background of the case study (Zenith Bank </w:t>
      </w:r>
      <w:proofErr w:type="spellStart"/>
      <w:r>
        <w:rPr>
          <w:rFonts w:asciiTheme="majorBidi" w:eastAsia="Times New Roman" w:hAnsiTheme="majorBidi" w:cstheme="majorBidi"/>
          <w:bCs/>
          <w:sz w:val="24"/>
          <w:szCs w:val="24"/>
        </w:rPr>
        <w:t>Plc</w:t>
      </w:r>
      <w:proofErr w:type="spellEnd"/>
      <w:r>
        <w:rPr>
          <w:rFonts w:asciiTheme="majorBidi" w:eastAsia="Times New Roman" w:hAnsiTheme="majorBidi" w:cstheme="majorBidi"/>
          <w:bCs/>
          <w:sz w:val="24"/>
          <w:szCs w:val="24"/>
        </w:rPr>
        <w:t>) in relation to effect of globalization on the financial reporting of Deposit Money Bank in Nigeria</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b/>
          <w:sz w:val="24"/>
          <w:szCs w:val="24"/>
        </w:rPr>
      </w:pPr>
      <w:r w:rsidRPr="0061493E">
        <w:rPr>
          <w:rFonts w:asciiTheme="majorBidi" w:eastAsia="Times New Roman" w:hAnsiTheme="majorBidi" w:cstheme="majorBidi"/>
          <w:b/>
          <w:sz w:val="24"/>
          <w:szCs w:val="24"/>
        </w:rPr>
        <w:t>3.</w:t>
      </w:r>
      <w:r>
        <w:rPr>
          <w:rFonts w:asciiTheme="majorBidi" w:eastAsia="Times New Roman" w:hAnsiTheme="majorBidi" w:cstheme="majorBidi"/>
          <w:b/>
          <w:sz w:val="24"/>
          <w:szCs w:val="24"/>
        </w:rPr>
        <w:t>2</w:t>
      </w:r>
      <w:r w:rsidRPr="0061493E">
        <w:rPr>
          <w:rFonts w:asciiTheme="majorBidi" w:eastAsia="Times New Roman" w:hAnsiTheme="majorBidi" w:cstheme="majorBidi"/>
          <w:b/>
          <w:sz w:val="24"/>
          <w:szCs w:val="24"/>
        </w:rPr>
        <w:tab/>
        <w:t>Research Design</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sz w:val="24"/>
          <w:szCs w:val="24"/>
        </w:rPr>
        <w:t>This study adopts a quantitative research design to systematically analyze the relationship between Globalization and financial reporting. Quantitative methods allow for the measurement and statistical analysis of variables, providing empirical evidence to support findings.</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b/>
          <w:sz w:val="24"/>
          <w:szCs w:val="24"/>
        </w:rPr>
      </w:pPr>
      <w:r w:rsidRPr="0061493E">
        <w:rPr>
          <w:rFonts w:asciiTheme="majorBidi" w:eastAsia="Times New Roman" w:hAnsiTheme="majorBidi" w:cstheme="majorBidi"/>
          <w:b/>
          <w:sz w:val="24"/>
          <w:szCs w:val="24"/>
        </w:rPr>
        <w:t>3.</w:t>
      </w:r>
      <w:r>
        <w:rPr>
          <w:rFonts w:asciiTheme="majorBidi" w:eastAsia="Times New Roman" w:hAnsiTheme="majorBidi" w:cstheme="majorBidi"/>
          <w:b/>
          <w:sz w:val="24"/>
          <w:szCs w:val="24"/>
        </w:rPr>
        <w:t>3</w:t>
      </w:r>
      <w:r w:rsidRPr="0061493E">
        <w:rPr>
          <w:rFonts w:asciiTheme="majorBidi" w:eastAsia="Times New Roman" w:hAnsiTheme="majorBidi" w:cstheme="majorBidi"/>
          <w:b/>
          <w:sz w:val="24"/>
          <w:szCs w:val="24"/>
        </w:rPr>
        <w:tab/>
        <w:t>Population of the Study</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sz w:val="24"/>
          <w:szCs w:val="24"/>
        </w:rPr>
        <w:t xml:space="preserve">The population of the study comprises all employees working at Zenith Bank </w:t>
      </w:r>
      <w:proofErr w:type="spellStart"/>
      <w:r w:rsidRPr="0061493E">
        <w:rPr>
          <w:rFonts w:asciiTheme="majorBidi" w:eastAsia="Times New Roman" w:hAnsiTheme="majorBidi" w:cstheme="majorBidi"/>
          <w:sz w:val="24"/>
          <w:szCs w:val="24"/>
        </w:rPr>
        <w:t>Plc's</w:t>
      </w:r>
      <w:proofErr w:type="spellEnd"/>
      <w:r w:rsidRPr="0061493E">
        <w:rPr>
          <w:rFonts w:asciiTheme="majorBidi" w:eastAsia="Times New Roman" w:hAnsiTheme="majorBidi" w:cstheme="majorBidi"/>
          <w:sz w:val="24"/>
          <w:szCs w:val="24"/>
        </w:rPr>
        <w:t xml:space="preserve"> </w:t>
      </w:r>
      <w:proofErr w:type="spellStart"/>
      <w:r w:rsidRPr="0061493E">
        <w:rPr>
          <w:rFonts w:asciiTheme="majorBidi" w:eastAsia="Times New Roman" w:hAnsiTheme="majorBidi" w:cstheme="majorBidi"/>
          <w:sz w:val="24"/>
          <w:szCs w:val="24"/>
        </w:rPr>
        <w:t>Taiwo</w:t>
      </w:r>
      <w:proofErr w:type="spellEnd"/>
      <w:r w:rsidRPr="0061493E">
        <w:rPr>
          <w:rFonts w:asciiTheme="majorBidi" w:eastAsia="Times New Roman" w:hAnsiTheme="majorBidi" w:cstheme="majorBidi"/>
          <w:sz w:val="24"/>
          <w:szCs w:val="24"/>
        </w:rPr>
        <w:t xml:space="preserve"> Branch in Ilorin. This includes 60 staff across various departments and hierarchical levels within the organization.</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b/>
          <w:sz w:val="24"/>
          <w:szCs w:val="24"/>
        </w:rPr>
      </w:pPr>
      <w:r w:rsidRPr="0061493E">
        <w:rPr>
          <w:rFonts w:asciiTheme="majorBidi" w:eastAsia="Times New Roman" w:hAnsiTheme="majorBidi" w:cstheme="majorBidi"/>
          <w:b/>
          <w:sz w:val="24"/>
          <w:szCs w:val="24"/>
        </w:rPr>
        <w:t>3.</w:t>
      </w:r>
      <w:r>
        <w:rPr>
          <w:rFonts w:asciiTheme="majorBidi" w:eastAsia="Times New Roman" w:hAnsiTheme="majorBidi" w:cstheme="majorBidi"/>
          <w:b/>
          <w:sz w:val="24"/>
          <w:szCs w:val="24"/>
        </w:rPr>
        <w:t>4</w:t>
      </w:r>
      <w:r w:rsidRPr="0061493E">
        <w:rPr>
          <w:rFonts w:asciiTheme="majorBidi" w:eastAsia="Times New Roman" w:hAnsiTheme="majorBidi" w:cstheme="majorBidi"/>
          <w:b/>
          <w:sz w:val="24"/>
          <w:szCs w:val="24"/>
        </w:rPr>
        <w:tab/>
        <w:t>Sample Size and Sampling Techniques</w:t>
      </w:r>
    </w:p>
    <w:p w:rsidR="00151DA4"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sz w:val="24"/>
          <w:szCs w:val="24"/>
        </w:rPr>
        <w:t>A representative sample will be selected from the population using sampling techniques. The sample size will be determined based on the principles of statistical significance and adequate representation to ensure the reliability and validity of the study's findings. Since the population of the study is not too broad to examine then 60 staff of the department will also be used as the sampling size</w:t>
      </w:r>
    </w:p>
    <w:p w:rsidR="00151DA4" w:rsidRPr="00765130"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b/>
          <w:sz w:val="24"/>
          <w:szCs w:val="24"/>
        </w:rPr>
        <w:lastRenderedPageBreak/>
        <w:t>3.</w:t>
      </w:r>
      <w:r>
        <w:rPr>
          <w:rFonts w:asciiTheme="majorBidi" w:eastAsia="Times New Roman" w:hAnsiTheme="majorBidi" w:cstheme="majorBidi"/>
          <w:b/>
          <w:sz w:val="24"/>
          <w:szCs w:val="24"/>
        </w:rPr>
        <w:t>5</w:t>
      </w:r>
      <w:r w:rsidRPr="0061493E">
        <w:rPr>
          <w:rFonts w:asciiTheme="majorBidi" w:eastAsia="Times New Roman" w:hAnsiTheme="majorBidi" w:cstheme="majorBidi"/>
          <w:b/>
          <w:sz w:val="24"/>
          <w:szCs w:val="24"/>
        </w:rPr>
        <w:tab/>
        <w:t>Method of Data Collection</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sz w:val="24"/>
          <w:szCs w:val="24"/>
        </w:rPr>
        <w:t xml:space="preserve">Data will be collected through structured surveys administered to employees at Zenith Bank </w:t>
      </w:r>
      <w:proofErr w:type="spellStart"/>
      <w:r w:rsidRPr="0061493E">
        <w:rPr>
          <w:rFonts w:asciiTheme="majorBidi" w:eastAsia="Times New Roman" w:hAnsiTheme="majorBidi" w:cstheme="majorBidi"/>
          <w:sz w:val="24"/>
          <w:szCs w:val="24"/>
        </w:rPr>
        <w:t>Plc's</w:t>
      </w:r>
      <w:proofErr w:type="spellEnd"/>
      <w:r w:rsidRPr="0061493E">
        <w:rPr>
          <w:rFonts w:asciiTheme="majorBidi" w:eastAsia="Times New Roman" w:hAnsiTheme="majorBidi" w:cstheme="majorBidi"/>
          <w:sz w:val="24"/>
          <w:szCs w:val="24"/>
        </w:rPr>
        <w:t xml:space="preserve"> </w:t>
      </w:r>
      <w:proofErr w:type="spellStart"/>
      <w:r w:rsidRPr="0061493E">
        <w:rPr>
          <w:rFonts w:asciiTheme="majorBidi" w:eastAsia="Times New Roman" w:hAnsiTheme="majorBidi" w:cstheme="majorBidi"/>
          <w:sz w:val="24"/>
          <w:szCs w:val="24"/>
        </w:rPr>
        <w:t>Taiwo</w:t>
      </w:r>
      <w:proofErr w:type="spellEnd"/>
      <w:r w:rsidRPr="0061493E">
        <w:rPr>
          <w:rFonts w:asciiTheme="majorBidi" w:eastAsia="Times New Roman" w:hAnsiTheme="majorBidi" w:cstheme="majorBidi"/>
          <w:sz w:val="24"/>
          <w:szCs w:val="24"/>
        </w:rPr>
        <w:t xml:space="preserve"> Branch. The survey questionnaire will contain items related to globalization of financial reporting such financial transparency, disclosure and presentation of the financial statement. Additionally, secondary data from organizational records and reports may be utilized to complement survey findings.</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b/>
          <w:sz w:val="24"/>
          <w:szCs w:val="24"/>
        </w:rPr>
      </w:pPr>
      <w:r w:rsidRPr="0061493E">
        <w:rPr>
          <w:rFonts w:asciiTheme="majorBidi" w:eastAsia="Times New Roman" w:hAnsiTheme="majorBidi" w:cstheme="majorBidi"/>
          <w:b/>
          <w:sz w:val="24"/>
          <w:szCs w:val="24"/>
        </w:rPr>
        <w:t>3.</w:t>
      </w:r>
      <w:r>
        <w:rPr>
          <w:rFonts w:asciiTheme="majorBidi" w:eastAsia="Times New Roman" w:hAnsiTheme="majorBidi" w:cstheme="majorBidi"/>
          <w:b/>
          <w:sz w:val="24"/>
          <w:szCs w:val="24"/>
        </w:rPr>
        <w:t>6</w:t>
      </w:r>
      <w:r w:rsidRPr="0061493E">
        <w:rPr>
          <w:rFonts w:asciiTheme="majorBidi" w:eastAsia="Times New Roman" w:hAnsiTheme="majorBidi" w:cstheme="majorBidi"/>
          <w:b/>
          <w:sz w:val="24"/>
          <w:szCs w:val="24"/>
        </w:rPr>
        <w:tab/>
        <w:t>Instruments of Data Collection</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sz w:val="24"/>
          <w:szCs w:val="24"/>
        </w:rPr>
        <w:t xml:space="preserve">The primary instrument for data collection will be a structured questionnaire designed to elicit responses from employees regarding their perceptions of globalization on financial </w:t>
      </w:r>
      <w:proofErr w:type="gramStart"/>
      <w:r w:rsidRPr="0061493E">
        <w:rPr>
          <w:rFonts w:asciiTheme="majorBidi" w:eastAsia="Times New Roman" w:hAnsiTheme="majorBidi" w:cstheme="majorBidi"/>
          <w:sz w:val="24"/>
          <w:szCs w:val="24"/>
        </w:rPr>
        <w:t>reporting  and</w:t>
      </w:r>
      <w:proofErr w:type="gramEnd"/>
      <w:r w:rsidRPr="0061493E">
        <w:rPr>
          <w:rFonts w:asciiTheme="majorBidi" w:eastAsia="Times New Roman" w:hAnsiTheme="majorBidi" w:cstheme="majorBidi"/>
          <w:sz w:val="24"/>
          <w:szCs w:val="24"/>
        </w:rPr>
        <w:t xml:space="preserve"> their impact on deposit money banks. The questionnaire will include both closed-ended and </w:t>
      </w:r>
      <w:proofErr w:type="spellStart"/>
      <w:r w:rsidRPr="0061493E">
        <w:rPr>
          <w:rFonts w:asciiTheme="majorBidi" w:eastAsia="Times New Roman" w:hAnsiTheme="majorBidi" w:cstheme="majorBidi"/>
          <w:sz w:val="24"/>
          <w:szCs w:val="24"/>
        </w:rPr>
        <w:t>Likert</w:t>
      </w:r>
      <w:proofErr w:type="spellEnd"/>
      <w:r w:rsidRPr="0061493E">
        <w:rPr>
          <w:rFonts w:asciiTheme="majorBidi" w:eastAsia="Times New Roman" w:hAnsiTheme="majorBidi" w:cstheme="majorBidi"/>
          <w:sz w:val="24"/>
          <w:szCs w:val="24"/>
        </w:rPr>
        <w:t xml:space="preserve"> scale items to capture quantitative data efficiently.</w:t>
      </w:r>
    </w:p>
    <w:p w:rsidR="00151DA4" w:rsidRPr="0061493E" w:rsidRDefault="00151DA4" w:rsidP="00151DA4">
      <w:pPr>
        <w:spacing w:before="100" w:beforeAutospacing="1" w:after="100" w:afterAutospacing="1" w:line="360" w:lineRule="auto"/>
        <w:jc w:val="both"/>
        <w:rPr>
          <w:rFonts w:asciiTheme="majorBidi" w:eastAsia="Times New Roman" w:hAnsiTheme="majorBidi" w:cstheme="majorBidi"/>
          <w:b/>
          <w:sz w:val="24"/>
          <w:szCs w:val="24"/>
        </w:rPr>
      </w:pPr>
      <w:r w:rsidRPr="0061493E">
        <w:rPr>
          <w:rFonts w:asciiTheme="majorBidi" w:eastAsia="Times New Roman" w:hAnsiTheme="majorBidi" w:cstheme="majorBidi"/>
          <w:b/>
          <w:sz w:val="24"/>
          <w:szCs w:val="24"/>
        </w:rPr>
        <w:t>3.</w:t>
      </w:r>
      <w:r>
        <w:rPr>
          <w:rFonts w:asciiTheme="majorBidi" w:eastAsia="Times New Roman" w:hAnsiTheme="majorBidi" w:cstheme="majorBidi"/>
          <w:b/>
          <w:sz w:val="24"/>
          <w:szCs w:val="24"/>
        </w:rPr>
        <w:t>7</w:t>
      </w:r>
      <w:r w:rsidRPr="0061493E">
        <w:rPr>
          <w:rFonts w:asciiTheme="majorBidi" w:eastAsia="Times New Roman" w:hAnsiTheme="majorBidi" w:cstheme="majorBidi"/>
          <w:b/>
          <w:sz w:val="24"/>
          <w:szCs w:val="24"/>
        </w:rPr>
        <w:tab/>
        <w:t>Methods of Data Analysis</w:t>
      </w:r>
    </w:p>
    <w:p w:rsidR="00151DA4"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sz w:val="24"/>
          <w:szCs w:val="24"/>
        </w:rPr>
        <w:t>The collected data will be analyzed using appropriate statistical techniques such as descriptive statistics, correlation analysis, and regression analysis. Descriptive statistics will be used to summarize the demographic characteristics of the sample and the key variables under study. Correlation analysis will examine the relationships between different globalization and financial reporting indicators. Regression analysis will be employed to identify significant predictors of employee performance, controlling for relevant variables. The analysis will be conducted using statistical software such as SPSS or R, with significance level set at p &lt; 0.05 to determine the statistical significance of findings. Additionally, qualitative insights from open-ended survey responses may be analyzed thematically to provide a deeper understanding of the relationship globalization and financial reporting.</w:t>
      </w:r>
    </w:p>
    <w:p w:rsidR="00151DA4" w:rsidRDefault="00151DA4" w:rsidP="00151DA4">
      <w:pPr>
        <w:spacing w:before="100" w:beforeAutospacing="1" w:after="100" w:afterAutospacing="1" w:line="360" w:lineRule="auto"/>
        <w:jc w:val="both"/>
        <w:rPr>
          <w:rFonts w:asciiTheme="majorBidi" w:hAnsiTheme="majorBidi" w:cstheme="majorBidi"/>
          <w:b/>
          <w:sz w:val="24"/>
          <w:szCs w:val="24"/>
        </w:rPr>
      </w:pPr>
    </w:p>
    <w:p w:rsidR="00151DA4" w:rsidRDefault="00151DA4" w:rsidP="00151DA4">
      <w:pPr>
        <w:spacing w:before="100" w:beforeAutospacing="1" w:after="100" w:afterAutospacing="1" w:line="360" w:lineRule="auto"/>
        <w:jc w:val="both"/>
        <w:rPr>
          <w:rFonts w:asciiTheme="majorBidi" w:hAnsiTheme="majorBidi" w:cstheme="majorBidi"/>
          <w:b/>
          <w:sz w:val="24"/>
          <w:szCs w:val="24"/>
        </w:rPr>
      </w:pPr>
      <w:r w:rsidRPr="0061493E">
        <w:rPr>
          <w:rFonts w:asciiTheme="majorBidi" w:hAnsiTheme="majorBidi" w:cstheme="majorBidi"/>
          <w:b/>
          <w:sz w:val="24"/>
          <w:szCs w:val="24"/>
        </w:rPr>
        <w:lastRenderedPageBreak/>
        <w:t>3</w:t>
      </w:r>
      <w:r>
        <w:rPr>
          <w:rFonts w:asciiTheme="majorBidi" w:hAnsiTheme="majorBidi" w:cstheme="majorBidi"/>
          <w:b/>
          <w:sz w:val="24"/>
          <w:szCs w:val="24"/>
        </w:rPr>
        <w:t>.8</w:t>
      </w:r>
      <w:r>
        <w:rPr>
          <w:rFonts w:asciiTheme="majorBidi" w:hAnsiTheme="majorBidi" w:cstheme="majorBidi"/>
          <w:b/>
          <w:sz w:val="24"/>
          <w:szCs w:val="24"/>
        </w:rPr>
        <w:tab/>
        <w:t>Model of Specification</w:t>
      </w:r>
    </w:p>
    <w:p w:rsidR="00151DA4"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The study utilizes a quantitative research design to examine the effect of globalization on financial reporting practices at Zenith Bank PLC, particularly focusing on how globalization influences transparency, compliance with international standards, and operational efficiency in financial reporting. To achieve this objective, a regression model is employed to quantify the relationships between globalization indicators an</w:t>
      </w:r>
      <w:r>
        <w:rPr>
          <w:rFonts w:asciiTheme="majorBidi" w:eastAsia="Times New Roman" w:hAnsiTheme="majorBidi" w:cstheme="majorBidi"/>
          <w:sz w:val="24"/>
          <w:szCs w:val="24"/>
        </w:rPr>
        <w:t>d financial reporting outcomes.</w:t>
      </w:r>
    </w:p>
    <w:p w:rsidR="00151DA4" w:rsidRPr="000E0B2E"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To estimate the relationship between globalization and financial reporting effectiveness at Zenith Bank PLC, the following multiple regressio</w:t>
      </w:r>
      <w:r>
        <w:rPr>
          <w:rFonts w:asciiTheme="majorBidi" w:eastAsia="Times New Roman" w:hAnsiTheme="majorBidi" w:cstheme="majorBidi"/>
          <w:sz w:val="24"/>
          <w:szCs w:val="24"/>
        </w:rPr>
        <w:t>n model is specified:</w:t>
      </w:r>
    </w:p>
    <w:p w:rsidR="00151DA4"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FRP=β 0 + β1 (G) +β2 (IFRS) + </w:t>
      </w:r>
      <w:proofErr w:type="gramStart"/>
      <w:r>
        <w:rPr>
          <w:rFonts w:asciiTheme="majorBidi" w:eastAsia="Times New Roman" w:hAnsiTheme="majorBidi" w:cstheme="majorBidi"/>
          <w:sz w:val="24"/>
          <w:szCs w:val="24"/>
        </w:rPr>
        <w:t>β3(</w:t>
      </w:r>
      <w:proofErr w:type="gramEnd"/>
      <w:r>
        <w:rPr>
          <w:rFonts w:asciiTheme="majorBidi" w:eastAsia="Times New Roman" w:hAnsiTheme="majorBidi" w:cstheme="majorBidi"/>
          <w:sz w:val="24"/>
          <w:szCs w:val="24"/>
        </w:rPr>
        <w:t>TR) + β4 (TC) + β5(CR) + β6</w:t>
      </w:r>
      <w:r w:rsidRPr="000E0B2E">
        <w:rPr>
          <w:rFonts w:asciiTheme="majorBidi" w:eastAsia="Times New Roman" w:hAnsiTheme="majorBidi" w:cstheme="majorBidi"/>
          <w:sz w:val="24"/>
          <w:szCs w:val="24"/>
        </w:rPr>
        <w:t>(CD)</w:t>
      </w:r>
      <w:r>
        <w:rPr>
          <w:rFonts w:asciiTheme="majorBidi" w:eastAsia="Times New Roman" w:hAnsiTheme="majorBidi" w:cstheme="majorBidi"/>
          <w:sz w:val="24"/>
          <w:szCs w:val="24"/>
        </w:rPr>
        <w:t xml:space="preserve"> </w:t>
      </w:r>
      <w:r w:rsidRPr="000E0B2E">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ε</w:t>
      </w:r>
    </w:p>
    <w:p w:rsidR="00151DA4" w:rsidRPr="000E0B2E" w:rsidRDefault="00151DA4" w:rsidP="00151DA4">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Where:</w:t>
      </w:r>
    </w:p>
    <w:p w:rsidR="00151DA4" w:rsidRPr="000E0B2E" w:rsidRDefault="00151DA4" w:rsidP="00151DA4">
      <w:pPr>
        <w:spacing w:before="100" w:beforeAutospacing="1" w:after="100" w:afterAutospacing="1"/>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FRP = Financial Reporting Practices (dependent variable)</w:t>
      </w:r>
    </w:p>
    <w:p w:rsidR="00151DA4" w:rsidRPr="000E0B2E" w:rsidRDefault="00151DA4" w:rsidP="00151DA4">
      <w:pPr>
        <w:spacing w:before="100" w:beforeAutospacing="1" w:after="100" w:afterAutospacing="1"/>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G = Globalization</w:t>
      </w:r>
    </w:p>
    <w:p w:rsidR="00151DA4" w:rsidRPr="000E0B2E" w:rsidRDefault="00151DA4" w:rsidP="00151DA4">
      <w:pPr>
        <w:spacing w:before="100" w:beforeAutospacing="1" w:after="100" w:afterAutospacing="1"/>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IFRS = Adoption of International Financial Reporting Standards</w:t>
      </w:r>
    </w:p>
    <w:p w:rsidR="00151DA4" w:rsidRPr="000E0B2E" w:rsidRDefault="00151DA4" w:rsidP="00151DA4">
      <w:pPr>
        <w:spacing w:before="100" w:beforeAutospacing="1" w:after="100" w:afterAutospacing="1"/>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TR = Training Challenges</w:t>
      </w:r>
    </w:p>
    <w:p w:rsidR="00151DA4" w:rsidRPr="000E0B2E" w:rsidRDefault="00151DA4" w:rsidP="00151DA4">
      <w:pPr>
        <w:spacing w:before="100" w:beforeAutospacing="1" w:after="100" w:afterAutospacing="1"/>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TC = Technological Constraints</w:t>
      </w:r>
    </w:p>
    <w:p w:rsidR="00151DA4" w:rsidRPr="000E0B2E" w:rsidRDefault="00151DA4" w:rsidP="00151DA4">
      <w:pPr>
        <w:spacing w:before="100" w:beforeAutospacing="1" w:after="100" w:afterAutospacing="1"/>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CR = Reconciliation of Local and Global Standards</w:t>
      </w:r>
    </w:p>
    <w:p w:rsidR="00151DA4" w:rsidRPr="000E0B2E" w:rsidRDefault="00151DA4" w:rsidP="00151DA4">
      <w:pPr>
        <w:spacing w:before="100" w:beforeAutospacing="1" w:after="100" w:afterAutospacing="1"/>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CD = Cultural Differences</w:t>
      </w:r>
    </w:p>
    <w:p w:rsidR="00151DA4" w:rsidRDefault="00151DA4" w:rsidP="00151DA4">
      <w:pPr>
        <w:spacing w:before="100" w:beforeAutospacing="1" w:after="100" w:afterAutospacing="1"/>
        <w:jc w:val="both"/>
        <w:rPr>
          <w:rFonts w:asciiTheme="majorBidi" w:eastAsia="Times New Roman" w:hAnsiTheme="majorBidi" w:cstheme="majorBidi"/>
          <w:sz w:val="24"/>
          <w:szCs w:val="24"/>
        </w:rPr>
      </w:pPr>
      <w:r>
        <w:rPr>
          <w:rFonts w:asciiTheme="majorBidi" w:eastAsia="Times New Roman" w:hAnsiTheme="majorBidi" w:cstheme="majorBidi"/>
          <w:sz w:val="24"/>
          <w:szCs w:val="24"/>
        </w:rPr>
        <w:t>β</w:t>
      </w:r>
      <w:r w:rsidRPr="000E0B2E">
        <w:rPr>
          <w:rFonts w:asciiTheme="majorBidi" w:eastAsia="Times New Roman" w:hAnsiTheme="majorBidi" w:cstheme="majorBidi"/>
          <w:sz w:val="24"/>
          <w:szCs w:val="24"/>
        </w:rPr>
        <w:t>0 = Intercept term</w:t>
      </w:r>
    </w:p>
    <w:p w:rsidR="00151DA4" w:rsidRPr="000E0B2E" w:rsidRDefault="00151DA4" w:rsidP="00151DA4">
      <w:pPr>
        <w:spacing w:before="100" w:beforeAutospacing="1" w:after="100" w:afterAutospacing="1"/>
        <w:jc w:val="both"/>
        <w:rPr>
          <w:rFonts w:asciiTheme="majorBidi" w:eastAsia="Times New Roman" w:hAnsiTheme="majorBidi" w:cstheme="majorBidi"/>
          <w:sz w:val="24"/>
          <w:szCs w:val="24"/>
        </w:rPr>
      </w:pPr>
      <w:r>
        <w:rPr>
          <w:rFonts w:asciiTheme="majorBidi" w:eastAsia="Times New Roman" w:hAnsiTheme="majorBidi" w:cstheme="majorBidi"/>
          <w:sz w:val="24"/>
          <w:szCs w:val="24"/>
        </w:rPr>
        <w:t>β1</w:t>
      </w:r>
      <w:proofErr w:type="gramStart"/>
      <w:r>
        <w:rPr>
          <w:rFonts w:asciiTheme="majorBidi" w:eastAsia="Times New Roman" w:hAnsiTheme="majorBidi" w:cstheme="majorBidi"/>
          <w:sz w:val="24"/>
          <w:szCs w:val="24"/>
        </w:rPr>
        <w:t>,β2,β3</w:t>
      </w:r>
      <w:proofErr w:type="gramEnd"/>
      <w:r>
        <w:rPr>
          <w:rFonts w:asciiTheme="majorBidi" w:eastAsia="Times New Roman" w:hAnsiTheme="majorBidi" w:cstheme="majorBidi"/>
          <w:sz w:val="24"/>
          <w:szCs w:val="24"/>
        </w:rPr>
        <w:t xml:space="preserve"> ,β4,β5,β6</w:t>
      </w:r>
      <w:r w:rsidRPr="000E0B2E">
        <w:rPr>
          <w:rFonts w:asciiTheme="majorBidi" w:eastAsia="Times New Roman" w:hAnsiTheme="majorBidi" w:cstheme="majorBidi"/>
          <w:sz w:val="24"/>
          <w:szCs w:val="24"/>
        </w:rPr>
        <w:t xml:space="preserve">  = Coefficients of independent variables</w:t>
      </w:r>
    </w:p>
    <w:p w:rsidR="00151DA4" w:rsidRPr="0061493E" w:rsidRDefault="00151DA4" w:rsidP="00151DA4">
      <w:pPr>
        <w:spacing w:before="100" w:beforeAutospacing="1" w:after="100" w:afterAutospacing="1"/>
        <w:jc w:val="both"/>
        <w:rPr>
          <w:rFonts w:asciiTheme="majorBidi" w:eastAsia="Times New Roman" w:hAnsiTheme="majorBidi" w:cstheme="majorBidi"/>
          <w:sz w:val="24"/>
          <w:szCs w:val="24"/>
        </w:rPr>
      </w:pPr>
      <w:r w:rsidRPr="000E0B2E">
        <w:rPr>
          <w:rFonts w:asciiTheme="majorBidi" w:eastAsia="Times New Roman" w:hAnsiTheme="majorBidi" w:cstheme="majorBidi"/>
          <w:sz w:val="24"/>
          <w:szCs w:val="24"/>
        </w:rPr>
        <w:t>ε = Error ter</w:t>
      </w:r>
      <w:r>
        <w:rPr>
          <w:rFonts w:asciiTheme="majorBidi" w:eastAsia="Times New Roman" w:hAnsiTheme="majorBidi" w:cstheme="majorBidi"/>
          <w:sz w:val="24"/>
          <w:szCs w:val="24"/>
        </w:rPr>
        <w:t>m</w:t>
      </w:r>
    </w:p>
    <w:p w:rsidR="00151DA4" w:rsidRDefault="00151DA4" w:rsidP="00151DA4">
      <w:pPr>
        <w:spacing w:after="0" w:line="360" w:lineRule="auto"/>
        <w:jc w:val="center"/>
        <w:rPr>
          <w:rFonts w:asciiTheme="majorBidi" w:eastAsia="Times New Roman" w:hAnsiTheme="majorBidi" w:cstheme="majorBidi"/>
          <w:b/>
          <w:bCs/>
          <w:sz w:val="24"/>
          <w:szCs w:val="24"/>
        </w:rPr>
      </w:pPr>
      <w:r w:rsidRPr="0061493E">
        <w:rPr>
          <w:rFonts w:asciiTheme="majorBidi" w:eastAsia="Times New Roman" w:hAnsiTheme="majorBidi" w:cstheme="majorBidi"/>
          <w:sz w:val="24"/>
          <w:szCs w:val="24"/>
        </w:rPr>
        <w:br w:type="page"/>
      </w:r>
      <w:r w:rsidRPr="0061493E">
        <w:rPr>
          <w:rFonts w:asciiTheme="majorBidi" w:eastAsia="Times New Roman" w:hAnsiTheme="majorBidi" w:cstheme="majorBidi"/>
          <w:b/>
          <w:bCs/>
          <w:sz w:val="24"/>
          <w:szCs w:val="24"/>
        </w:rPr>
        <w:lastRenderedPageBreak/>
        <w:t>CHAPTER FOUR</w:t>
      </w:r>
    </w:p>
    <w:p w:rsidR="00151DA4" w:rsidRPr="0061493E" w:rsidRDefault="00151DA4" w:rsidP="00151DA4">
      <w:pPr>
        <w:spacing w:after="0" w:line="36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DATA PRESENTATION AND ANALYSES </w:t>
      </w:r>
    </w:p>
    <w:p w:rsidR="00151DA4" w:rsidRPr="0061493E" w:rsidRDefault="00151DA4" w:rsidP="00151DA4">
      <w:pPr>
        <w:spacing w:after="0" w:line="360" w:lineRule="auto"/>
        <w:jc w:val="both"/>
        <w:rPr>
          <w:rFonts w:asciiTheme="majorBidi" w:eastAsia="Times New Roman" w:hAnsiTheme="majorBidi" w:cstheme="majorBidi"/>
          <w:b/>
          <w:sz w:val="24"/>
          <w:szCs w:val="24"/>
        </w:rPr>
      </w:pPr>
      <w:r w:rsidRPr="0061493E">
        <w:rPr>
          <w:rFonts w:asciiTheme="majorBidi" w:eastAsia="Times New Roman" w:hAnsiTheme="majorBidi" w:cstheme="majorBidi"/>
          <w:b/>
          <w:sz w:val="24"/>
          <w:szCs w:val="24"/>
        </w:rPr>
        <w:t>4.1</w:t>
      </w:r>
      <w:r w:rsidRPr="0061493E">
        <w:rPr>
          <w:rFonts w:asciiTheme="majorBidi" w:eastAsia="Times New Roman" w:hAnsiTheme="majorBidi" w:cstheme="majorBidi"/>
          <w:b/>
          <w:sz w:val="24"/>
          <w:szCs w:val="24"/>
        </w:rPr>
        <w:tab/>
        <w:t>Introduction</w:t>
      </w:r>
    </w:p>
    <w:p w:rsidR="00151DA4" w:rsidRPr="0061493E" w:rsidRDefault="00151DA4" w:rsidP="00151DA4">
      <w:pPr>
        <w:spacing w:after="0"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sz w:val="24"/>
          <w:szCs w:val="24"/>
        </w:rPr>
        <w:t xml:space="preserve">This chapter contains data analysis and interpretation of findings. The objective of this study was to examine the </w:t>
      </w:r>
      <w:r>
        <w:rPr>
          <w:rFonts w:asciiTheme="majorBidi" w:eastAsia="Times New Roman" w:hAnsiTheme="majorBidi" w:cstheme="majorBidi"/>
          <w:sz w:val="24"/>
          <w:szCs w:val="24"/>
        </w:rPr>
        <w:t>effect of globalization on the financial reporting of deposit money bank in Nigeria</w:t>
      </w:r>
      <w:r w:rsidRPr="0061493E">
        <w:rPr>
          <w:rFonts w:asciiTheme="majorBidi" w:eastAsia="Times New Roman" w:hAnsiTheme="majorBidi" w:cstheme="majorBidi"/>
          <w:sz w:val="24"/>
          <w:szCs w:val="24"/>
        </w:rPr>
        <w:t>. The findings were presented as follow:</w:t>
      </w:r>
    </w:p>
    <w:p w:rsidR="00151DA4" w:rsidRPr="0061493E" w:rsidRDefault="00151DA4" w:rsidP="00151DA4">
      <w:pPr>
        <w:pStyle w:val="NoSpacing"/>
        <w:spacing w:line="360" w:lineRule="auto"/>
        <w:jc w:val="both"/>
        <w:rPr>
          <w:rFonts w:asciiTheme="majorBidi" w:hAnsiTheme="majorBidi" w:cstheme="majorBidi"/>
          <w:b/>
          <w:sz w:val="24"/>
          <w:szCs w:val="24"/>
        </w:rPr>
      </w:pPr>
      <w:r w:rsidRPr="0061493E">
        <w:rPr>
          <w:rFonts w:asciiTheme="majorBidi" w:hAnsiTheme="majorBidi" w:cstheme="majorBidi"/>
          <w:b/>
          <w:sz w:val="24"/>
          <w:szCs w:val="24"/>
        </w:rPr>
        <w:t>4.2</w:t>
      </w:r>
      <w:r w:rsidRPr="0061493E">
        <w:rPr>
          <w:rFonts w:asciiTheme="majorBidi" w:hAnsiTheme="majorBidi" w:cstheme="majorBidi"/>
          <w:b/>
          <w:sz w:val="24"/>
          <w:szCs w:val="24"/>
        </w:rPr>
        <w:tab/>
        <w:t>Data Presentation and Analysis</w:t>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The data presented below were gathered during field work:</w:t>
      </w:r>
    </w:p>
    <w:p w:rsidR="00151DA4" w:rsidRPr="00975626" w:rsidRDefault="00151DA4" w:rsidP="00151DA4">
      <w:pPr>
        <w:pStyle w:val="NoSpacing"/>
        <w:spacing w:line="360" w:lineRule="auto"/>
        <w:jc w:val="both"/>
        <w:rPr>
          <w:rFonts w:asciiTheme="majorBidi" w:hAnsiTheme="majorBidi" w:cstheme="majorBidi"/>
          <w:b/>
          <w:bCs/>
          <w:sz w:val="24"/>
          <w:szCs w:val="24"/>
        </w:rPr>
      </w:pPr>
      <w:r w:rsidRPr="0061493E">
        <w:rPr>
          <w:rFonts w:asciiTheme="majorBidi" w:hAnsiTheme="majorBidi" w:cstheme="majorBidi"/>
          <w:b/>
          <w:bCs/>
          <w:sz w:val="24"/>
          <w:szCs w:val="24"/>
        </w:rPr>
        <w:t xml:space="preserve">SECTION </w:t>
      </w:r>
      <w:r>
        <w:rPr>
          <w:rFonts w:asciiTheme="majorBidi" w:hAnsiTheme="majorBidi" w:cstheme="majorBidi"/>
          <w:b/>
          <w:bCs/>
          <w:sz w:val="24"/>
          <w:szCs w:val="24"/>
        </w:rPr>
        <w:t xml:space="preserve">A: </w:t>
      </w:r>
      <w:r w:rsidRPr="0061493E">
        <w:rPr>
          <w:rFonts w:asciiTheme="majorBidi" w:hAnsiTheme="majorBidi" w:cstheme="majorBidi"/>
          <w:bCs/>
          <w:sz w:val="24"/>
          <w:szCs w:val="24"/>
        </w:rPr>
        <w:t xml:space="preserve">Bio Data </w:t>
      </w:r>
      <w:proofErr w:type="gramStart"/>
      <w:r w:rsidRPr="0061493E">
        <w:rPr>
          <w:rFonts w:asciiTheme="majorBidi" w:hAnsiTheme="majorBidi" w:cstheme="majorBidi"/>
          <w:bCs/>
          <w:sz w:val="24"/>
          <w:szCs w:val="24"/>
        </w:rPr>
        <w:t>Of</w:t>
      </w:r>
      <w:proofErr w:type="gramEnd"/>
      <w:r w:rsidRPr="0061493E">
        <w:rPr>
          <w:rFonts w:asciiTheme="majorBidi" w:hAnsiTheme="majorBidi" w:cstheme="majorBidi"/>
          <w:bCs/>
          <w:sz w:val="24"/>
          <w:szCs w:val="24"/>
        </w:rPr>
        <w:t xml:space="preserve"> Respondent</w:t>
      </w:r>
    </w:p>
    <w:tbl>
      <w:tblPr>
        <w:tblpPr w:leftFromText="180" w:rightFromText="180" w:vertAnchor="text" w:horzAnchor="margin" w:tblpY="4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3009"/>
        <w:gridCol w:w="3010"/>
      </w:tblGrid>
      <w:tr w:rsidR="00151DA4" w:rsidRPr="0061493E" w:rsidTr="003F31BC">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Age range</w:t>
            </w:r>
          </w:p>
        </w:tc>
        <w:tc>
          <w:tcPr>
            <w:tcW w:w="300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Frequency</w:t>
            </w:r>
          </w:p>
        </w:tc>
        <w:tc>
          <w:tcPr>
            <w:tcW w:w="301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Percentage</w:t>
            </w:r>
          </w:p>
        </w:tc>
      </w:tr>
      <w:tr w:rsidR="00151DA4" w:rsidRPr="0061493E" w:rsidTr="003F31BC">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15-20 years </w:t>
            </w:r>
          </w:p>
        </w:tc>
        <w:tc>
          <w:tcPr>
            <w:tcW w:w="300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7</w:t>
            </w:r>
          </w:p>
        </w:tc>
        <w:tc>
          <w:tcPr>
            <w:tcW w:w="301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11.7</w:t>
            </w:r>
          </w:p>
        </w:tc>
      </w:tr>
      <w:tr w:rsidR="00151DA4" w:rsidRPr="0061493E" w:rsidTr="003F31BC">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21-30 years</w:t>
            </w:r>
          </w:p>
        </w:tc>
        <w:tc>
          <w:tcPr>
            <w:tcW w:w="300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10</w:t>
            </w:r>
          </w:p>
        </w:tc>
        <w:tc>
          <w:tcPr>
            <w:tcW w:w="301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16.7</w:t>
            </w:r>
          </w:p>
        </w:tc>
      </w:tr>
      <w:tr w:rsidR="00151DA4" w:rsidRPr="0061493E" w:rsidTr="003F31BC">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31-40 years</w:t>
            </w:r>
          </w:p>
        </w:tc>
        <w:tc>
          <w:tcPr>
            <w:tcW w:w="300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18</w:t>
            </w:r>
          </w:p>
        </w:tc>
        <w:tc>
          <w:tcPr>
            <w:tcW w:w="301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30.0</w:t>
            </w:r>
          </w:p>
        </w:tc>
      </w:tr>
      <w:tr w:rsidR="00151DA4" w:rsidRPr="0061493E" w:rsidTr="003F31BC">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41-50 years</w:t>
            </w:r>
          </w:p>
        </w:tc>
        <w:tc>
          <w:tcPr>
            <w:tcW w:w="300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20</w:t>
            </w:r>
          </w:p>
        </w:tc>
        <w:tc>
          <w:tcPr>
            <w:tcW w:w="301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33.3</w:t>
            </w:r>
          </w:p>
        </w:tc>
      </w:tr>
      <w:tr w:rsidR="00151DA4" w:rsidRPr="0061493E" w:rsidTr="003F31BC">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51-60 years</w:t>
            </w:r>
          </w:p>
        </w:tc>
        <w:tc>
          <w:tcPr>
            <w:tcW w:w="300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5</w:t>
            </w:r>
          </w:p>
        </w:tc>
        <w:tc>
          <w:tcPr>
            <w:tcW w:w="301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8.3</w:t>
            </w:r>
          </w:p>
        </w:tc>
      </w:tr>
      <w:tr w:rsidR="00151DA4" w:rsidRPr="0061493E" w:rsidTr="003F31BC">
        <w:trPr>
          <w:trHeight w:val="503"/>
        </w:trPr>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Total</w:t>
            </w:r>
          </w:p>
        </w:tc>
        <w:tc>
          <w:tcPr>
            <w:tcW w:w="300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60</w:t>
            </w:r>
          </w:p>
        </w:tc>
        <w:tc>
          <w:tcPr>
            <w:tcW w:w="301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100.0</w:t>
            </w:r>
          </w:p>
        </w:tc>
      </w:tr>
    </w:tbl>
    <w:p w:rsidR="00151DA4"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  </w:t>
      </w:r>
      <w:r w:rsidRPr="0061493E">
        <w:rPr>
          <w:rFonts w:asciiTheme="majorBidi" w:hAnsiTheme="majorBidi" w:cstheme="majorBidi"/>
          <w:bCs/>
          <w:sz w:val="24"/>
          <w:szCs w:val="24"/>
        </w:rPr>
        <w:t>Table 1</w:t>
      </w:r>
      <w:r>
        <w:rPr>
          <w:rFonts w:asciiTheme="majorBidi" w:hAnsiTheme="majorBidi" w:cstheme="majorBidi"/>
          <w:sz w:val="24"/>
          <w:szCs w:val="24"/>
        </w:rPr>
        <w:t>: Age range of respondents</w:t>
      </w:r>
    </w:p>
    <w:p w:rsidR="00151DA4" w:rsidRDefault="00151DA4" w:rsidP="00151DA4">
      <w:pPr>
        <w:pStyle w:val="NoSpacing"/>
        <w:spacing w:line="360" w:lineRule="auto"/>
        <w:jc w:val="both"/>
        <w:rPr>
          <w:rFonts w:asciiTheme="majorBidi" w:hAnsiTheme="majorBidi" w:cstheme="majorBidi"/>
          <w:sz w:val="24"/>
          <w:szCs w:val="24"/>
        </w:rPr>
      </w:pPr>
    </w:p>
    <w:p w:rsidR="00151DA4" w:rsidRPr="0061493E" w:rsidRDefault="00151DA4" w:rsidP="00151DA4">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The table above shows the age grade of respondents. Out of 60 respondents, 7 respondents which represent 11.7% of the population are between the age of 15-20 years, 10 respondents which represent 16.7% of the population are between the age of 21-30 years, 18 respondents which represent 30% of the population are between the age of 31-40 years, 20 respondents which represent 33.3% of the population are between the age of 41-50 years and 5 respondents which represent 8.3% of the population are between the age of 51-60 years.</w:t>
      </w:r>
    </w:p>
    <w:p w:rsidR="00151DA4" w:rsidRDefault="00151DA4" w:rsidP="00151DA4">
      <w:pPr>
        <w:rPr>
          <w:rFonts w:asciiTheme="majorBidi" w:eastAsia="Calibri" w:hAnsiTheme="majorBidi" w:cstheme="majorBidi"/>
          <w:bCs/>
          <w:sz w:val="24"/>
          <w:szCs w:val="24"/>
        </w:rPr>
      </w:pPr>
      <w:r>
        <w:rPr>
          <w:rFonts w:asciiTheme="majorBidi" w:hAnsiTheme="majorBidi" w:cstheme="majorBidi"/>
          <w:bCs/>
          <w:sz w:val="24"/>
          <w:szCs w:val="24"/>
        </w:rPr>
        <w:br w:type="page"/>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bCs/>
          <w:sz w:val="24"/>
          <w:szCs w:val="24"/>
        </w:rPr>
        <w:lastRenderedPageBreak/>
        <w:t>Table 2:</w:t>
      </w:r>
      <w:r w:rsidRPr="0061493E">
        <w:rPr>
          <w:rFonts w:asciiTheme="majorBidi" w:hAnsiTheme="majorBidi" w:cstheme="majorBidi"/>
          <w:sz w:val="24"/>
          <w:szCs w:val="24"/>
        </w:rPr>
        <w:t xml:space="preserve"> 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3390"/>
        <w:gridCol w:w="2629"/>
      </w:tblGrid>
      <w:tr w:rsidR="00151DA4" w:rsidRPr="0061493E" w:rsidTr="003F31BC">
        <w:trPr>
          <w:jc w:val="center"/>
        </w:trPr>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Gender</w:t>
            </w:r>
          </w:p>
        </w:tc>
        <w:tc>
          <w:tcPr>
            <w:tcW w:w="339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Frequency</w:t>
            </w:r>
          </w:p>
        </w:tc>
        <w:tc>
          <w:tcPr>
            <w:tcW w:w="262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Percentage</w:t>
            </w:r>
          </w:p>
        </w:tc>
      </w:tr>
      <w:tr w:rsidR="00151DA4" w:rsidRPr="0061493E" w:rsidTr="003F31BC">
        <w:trPr>
          <w:jc w:val="center"/>
        </w:trPr>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Male</w:t>
            </w:r>
          </w:p>
        </w:tc>
        <w:tc>
          <w:tcPr>
            <w:tcW w:w="339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40</w:t>
            </w:r>
          </w:p>
        </w:tc>
        <w:tc>
          <w:tcPr>
            <w:tcW w:w="262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66.7</w:t>
            </w:r>
          </w:p>
        </w:tc>
      </w:tr>
      <w:tr w:rsidR="00151DA4" w:rsidRPr="0061493E" w:rsidTr="003F31BC">
        <w:trPr>
          <w:jc w:val="center"/>
        </w:trPr>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Female</w:t>
            </w:r>
          </w:p>
        </w:tc>
        <w:tc>
          <w:tcPr>
            <w:tcW w:w="339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20</w:t>
            </w:r>
          </w:p>
        </w:tc>
        <w:tc>
          <w:tcPr>
            <w:tcW w:w="262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33.3</w:t>
            </w:r>
          </w:p>
        </w:tc>
      </w:tr>
      <w:tr w:rsidR="00151DA4" w:rsidRPr="0061493E" w:rsidTr="003F31BC">
        <w:trPr>
          <w:jc w:val="center"/>
        </w:trPr>
        <w:tc>
          <w:tcPr>
            <w:tcW w:w="300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Total</w:t>
            </w:r>
          </w:p>
        </w:tc>
        <w:tc>
          <w:tcPr>
            <w:tcW w:w="3390"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60</w:t>
            </w:r>
          </w:p>
        </w:tc>
        <w:tc>
          <w:tcPr>
            <w:tcW w:w="2629"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100</w:t>
            </w:r>
          </w:p>
        </w:tc>
      </w:tr>
    </w:tbl>
    <w:p w:rsidR="00151DA4" w:rsidRPr="0061493E" w:rsidRDefault="00151DA4" w:rsidP="00151DA4">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The </w:t>
      </w:r>
      <w:proofErr w:type="gramStart"/>
      <w:r w:rsidRPr="0061493E">
        <w:rPr>
          <w:rFonts w:asciiTheme="majorBidi" w:hAnsiTheme="majorBidi" w:cstheme="majorBidi"/>
          <w:sz w:val="24"/>
          <w:szCs w:val="24"/>
        </w:rPr>
        <w:t>table</w:t>
      </w:r>
      <w:proofErr w:type="gramEnd"/>
      <w:r w:rsidRPr="0061493E">
        <w:rPr>
          <w:rFonts w:asciiTheme="majorBidi" w:hAnsiTheme="majorBidi" w:cstheme="majorBidi"/>
          <w:sz w:val="24"/>
          <w:szCs w:val="24"/>
        </w:rPr>
        <w:t xml:space="preserve"> above shows 40 respondents which represent 66.7% of the population were male while 20 respondents which represent 33.3% were female</w:t>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bCs/>
          <w:sz w:val="24"/>
          <w:szCs w:val="24"/>
        </w:rPr>
        <w:t>Table 3:</w:t>
      </w:r>
      <w:r w:rsidRPr="0061493E">
        <w:rPr>
          <w:rFonts w:asciiTheme="majorBidi" w:hAnsiTheme="majorBidi" w:cstheme="majorBidi"/>
          <w:sz w:val="24"/>
          <w:szCs w:val="24"/>
        </w:rPr>
        <w:t xml:space="preserve"> Marital status of respondents</w:t>
      </w:r>
    </w:p>
    <w:tbl>
      <w:tblPr>
        <w:tblW w:w="901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4"/>
        <w:gridCol w:w="3005"/>
        <w:gridCol w:w="3005"/>
      </w:tblGrid>
      <w:tr w:rsidR="00151DA4" w:rsidRPr="0061493E" w:rsidTr="003F31BC">
        <w:trPr>
          <w:trHeight w:val="572"/>
        </w:trPr>
        <w:tc>
          <w:tcPr>
            <w:tcW w:w="3004"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Marital status</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Frequency</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Percentage</w:t>
            </w:r>
          </w:p>
        </w:tc>
      </w:tr>
      <w:tr w:rsidR="00151DA4" w:rsidRPr="0061493E" w:rsidTr="003F31BC">
        <w:trPr>
          <w:trHeight w:val="627"/>
        </w:trPr>
        <w:tc>
          <w:tcPr>
            <w:tcW w:w="3004"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Single</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23</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38.3</w:t>
            </w:r>
          </w:p>
        </w:tc>
      </w:tr>
      <w:tr w:rsidR="00151DA4" w:rsidRPr="0061493E" w:rsidTr="003F31BC">
        <w:trPr>
          <w:trHeight w:val="627"/>
        </w:trPr>
        <w:tc>
          <w:tcPr>
            <w:tcW w:w="3004"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Married </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35</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58.4</w:t>
            </w:r>
          </w:p>
        </w:tc>
      </w:tr>
      <w:tr w:rsidR="00151DA4" w:rsidRPr="0061493E" w:rsidTr="003F31BC">
        <w:trPr>
          <w:trHeight w:val="639"/>
        </w:trPr>
        <w:tc>
          <w:tcPr>
            <w:tcW w:w="3004"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Widow</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3.3</w:t>
            </w:r>
          </w:p>
        </w:tc>
      </w:tr>
      <w:tr w:rsidR="00151DA4" w:rsidRPr="0061493E" w:rsidTr="003F31BC">
        <w:trPr>
          <w:trHeight w:val="639"/>
        </w:trPr>
        <w:tc>
          <w:tcPr>
            <w:tcW w:w="3004"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Total</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60</w:t>
            </w:r>
          </w:p>
        </w:tc>
        <w:tc>
          <w:tcPr>
            <w:tcW w:w="3005"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100.0</w:t>
            </w:r>
          </w:p>
        </w:tc>
      </w:tr>
    </w:tbl>
    <w:p w:rsidR="00151DA4" w:rsidRPr="0061493E" w:rsidRDefault="00151DA4" w:rsidP="00151DA4">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The table above shows that 23 respondents which represent 38.3% of the population are single, 35 respondents which represent 58.4% of the population are married while 2 respondents which represent 3.3% of the population are widow certificate holders, 15 respondents which represent 25% of the population are OND/NCE holders, 20 respondents which represent 33.3% of the population are HND/BSC degree holders, 5 respondents which represent 8.3% of the population are MSC degree, while 6 respondents which represent 10% of the population fall to other categories of certificate.</w:t>
      </w:r>
    </w:p>
    <w:p w:rsidR="00151DA4" w:rsidRDefault="00151DA4" w:rsidP="00151DA4">
      <w:pPr>
        <w:rPr>
          <w:rFonts w:asciiTheme="majorBidi" w:eastAsia="Calibri" w:hAnsiTheme="majorBidi" w:cstheme="majorBidi"/>
          <w:sz w:val="24"/>
          <w:szCs w:val="24"/>
        </w:rPr>
      </w:pPr>
      <w:r>
        <w:rPr>
          <w:rFonts w:asciiTheme="majorBidi" w:hAnsiTheme="majorBidi" w:cstheme="majorBidi"/>
          <w:sz w:val="24"/>
          <w:szCs w:val="24"/>
        </w:rPr>
        <w:br w:type="page"/>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lastRenderedPageBreak/>
        <w:t xml:space="preserve">Table 4: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8"/>
        <w:gridCol w:w="3069"/>
        <w:gridCol w:w="3077"/>
      </w:tblGrid>
      <w:tr w:rsidR="00151DA4" w:rsidRPr="0061493E" w:rsidTr="003F31BC">
        <w:tc>
          <w:tcPr>
            <w:tcW w:w="3561"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Years of service</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Frequency</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Percentage</w:t>
            </w:r>
          </w:p>
        </w:tc>
      </w:tr>
      <w:tr w:rsidR="00151DA4" w:rsidRPr="0061493E" w:rsidTr="003F31BC">
        <w:tc>
          <w:tcPr>
            <w:tcW w:w="3561"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0-2 years</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15</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25.0</w:t>
            </w:r>
          </w:p>
        </w:tc>
      </w:tr>
      <w:tr w:rsidR="00151DA4" w:rsidRPr="0061493E" w:rsidTr="003F31BC">
        <w:tc>
          <w:tcPr>
            <w:tcW w:w="3561"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3-5 years</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25</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41.7</w:t>
            </w:r>
          </w:p>
        </w:tc>
      </w:tr>
      <w:tr w:rsidR="00151DA4" w:rsidRPr="0061493E" w:rsidTr="003F31BC">
        <w:tc>
          <w:tcPr>
            <w:tcW w:w="3561"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6-11 years</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15</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25.0</w:t>
            </w:r>
          </w:p>
        </w:tc>
      </w:tr>
      <w:tr w:rsidR="00151DA4" w:rsidRPr="0061493E" w:rsidTr="003F31BC">
        <w:tc>
          <w:tcPr>
            <w:tcW w:w="3561"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12 years and above</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5</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8.3</w:t>
            </w:r>
          </w:p>
        </w:tc>
      </w:tr>
      <w:tr w:rsidR="00151DA4" w:rsidRPr="0061493E" w:rsidTr="003F31BC">
        <w:tc>
          <w:tcPr>
            <w:tcW w:w="3561"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Total</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60</w:t>
            </w:r>
          </w:p>
        </w:tc>
        <w:tc>
          <w:tcPr>
            <w:tcW w:w="356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100</w:t>
            </w:r>
          </w:p>
        </w:tc>
      </w:tr>
    </w:tbl>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        </w:t>
      </w:r>
      <w:r>
        <w:rPr>
          <w:rFonts w:asciiTheme="majorBidi" w:hAnsiTheme="majorBidi" w:cstheme="majorBidi"/>
          <w:sz w:val="24"/>
          <w:szCs w:val="24"/>
        </w:rPr>
        <w:t>Source: Field Survey, 2025</w:t>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which represent 8.3% of the population have spent between 12 years and above in service.</w:t>
      </w:r>
    </w:p>
    <w:p w:rsidR="00151DA4" w:rsidRPr="0061493E" w:rsidRDefault="00151DA4" w:rsidP="00151DA4">
      <w:pPr>
        <w:pStyle w:val="NoSpacing"/>
        <w:spacing w:line="360" w:lineRule="auto"/>
        <w:jc w:val="both"/>
        <w:rPr>
          <w:rFonts w:asciiTheme="majorBidi" w:hAnsiTheme="majorBidi" w:cstheme="majorBidi"/>
          <w:bCs/>
          <w:color w:val="0D0D0D"/>
          <w:sz w:val="24"/>
          <w:szCs w:val="24"/>
          <w:bdr w:val="single" w:sz="2" w:space="0" w:color="E3E3E3" w:frame="1"/>
        </w:rPr>
      </w:pPr>
      <w:r w:rsidRPr="0061493E">
        <w:rPr>
          <w:rFonts w:asciiTheme="majorBidi" w:hAnsiTheme="majorBidi" w:cstheme="majorBidi"/>
          <w:bCs/>
          <w:sz w:val="24"/>
          <w:szCs w:val="24"/>
        </w:rPr>
        <w:t xml:space="preserve">Table 5: </w:t>
      </w:r>
      <w:r w:rsidRPr="0061493E">
        <w:rPr>
          <w:rFonts w:asciiTheme="majorBidi" w:hAnsiTheme="majorBidi" w:cstheme="majorBidi"/>
          <w:bCs/>
          <w:color w:val="0D0D0D"/>
          <w:sz w:val="24"/>
          <w:szCs w:val="24"/>
          <w:bdr w:val="single" w:sz="2" w:space="0" w:color="E3E3E3" w:frame="1"/>
        </w:rPr>
        <w:t>Education Level</w:t>
      </w:r>
    </w:p>
    <w:tbl>
      <w:tblPr>
        <w:tblStyle w:val="TableGrid"/>
        <w:tblW w:w="0" w:type="auto"/>
        <w:tblLook w:val="04A0" w:firstRow="1" w:lastRow="0" w:firstColumn="1" w:lastColumn="0" w:noHBand="0" w:noVBand="1"/>
      </w:tblPr>
      <w:tblGrid>
        <w:gridCol w:w="3055"/>
        <w:gridCol w:w="3043"/>
        <w:gridCol w:w="3046"/>
      </w:tblGrid>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bCs/>
                <w:sz w:val="24"/>
                <w:szCs w:val="24"/>
              </w:rPr>
            </w:pPr>
            <w:r w:rsidRPr="0061493E">
              <w:rPr>
                <w:rFonts w:asciiTheme="majorBidi" w:hAnsiTheme="majorBidi" w:cstheme="majorBidi"/>
                <w:bCs/>
                <w:sz w:val="24"/>
                <w:szCs w:val="24"/>
              </w:rPr>
              <w:t xml:space="preserve">Level </w:t>
            </w:r>
          </w:p>
        </w:tc>
        <w:tc>
          <w:tcPr>
            <w:tcW w:w="3192" w:type="dxa"/>
          </w:tcPr>
          <w:p w:rsidR="00151DA4" w:rsidRPr="0061493E" w:rsidRDefault="00151DA4" w:rsidP="003F31BC">
            <w:pPr>
              <w:pStyle w:val="NoSpacing"/>
              <w:spacing w:line="360" w:lineRule="auto"/>
              <w:jc w:val="both"/>
              <w:rPr>
                <w:rFonts w:asciiTheme="majorBidi" w:hAnsiTheme="majorBidi" w:cstheme="majorBidi"/>
                <w:bCs/>
                <w:sz w:val="24"/>
                <w:szCs w:val="24"/>
              </w:rPr>
            </w:pPr>
            <w:r w:rsidRPr="0061493E">
              <w:rPr>
                <w:rFonts w:asciiTheme="majorBidi" w:hAnsiTheme="majorBidi" w:cstheme="majorBidi"/>
                <w:bCs/>
                <w:sz w:val="24"/>
                <w:szCs w:val="24"/>
              </w:rPr>
              <w:t xml:space="preserve">Frequency </w:t>
            </w:r>
          </w:p>
        </w:tc>
        <w:tc>
          <w:tcPr>
            <w:tcW w:w="3192" w:type="dxa"/>
          </w:tcPr>
          <w:p w:rsidR="00151DA4" w:rsidRPr="0061493E" w:rsidRDefault="00151DA4" w:rsidP="003F31BC">
            <w:pPr>
              <w:pStyle w:val="NoSpacing"/>
              <w:spacing w:line="360" w:lineRule="auto"/>
              <w:jc w:val="both"/>
              <w:rPr>
                <w:rFonts w:asciiTheme="majorBidi" w:hAnsiTheme="majorBidi" w:cstheme="majorBidi"/>
                <w:bCs/>
                <w:sz w:val="24"/>
                <w:szCs w:val="24"/>
              </w:rPr>
            </w:pPr>
            <w:r w:rsidRPr="0061493E">
              <w:rPr>
                <w:rFonts w:asciiTheme="majorBidi" w:hAnsiTheme="majorBidi" w:cstheme="majorBidi"/>
                <w:bCs/>
                <w:sz w:val="24"/>
                <w:szCs w:val="24"/>
              </w:rPr>
              <w:t>Percentage (%)</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color w:val="0D0D0D"/>
                <w:sz w:val="24"/>
                <w:szCs w:val="24"/>
              </w:rPr>
              <w:t>SSCE</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4</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6.67</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ND/NCE</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12</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20</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color w:val="0D0D0D"/>
                <w:sz w:val="24"/>
                <w:szCs w:val="24"/>
              </w:rPr>
              <w:t>HND/BSC</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30</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50</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proofErr w:type="spellStart"/>
            <w:r w:rsidRPr="0061493E">
              <w:rPr>
                <w:rFonts w:asciiTheme="majorBidi" w:hAnsiTheme="majorBidi" w:cstheme="majorBidi"/>
                <w:color w:val="0D0D0D"/>
                <w:sz w:val="24"/>
                <w:szCs w:val="24"/>
              </w:rPr>
              <w:t>M.Sc</w:t>
            </w:r>
            <w:proofErr w:type="spellEnd"/>
            <w:r w:rsidRPr="0061493E">
              <w:rPr>
                <w:rFonts w:asciiTheme="majorBidi" w:hAnsiTheme="majorBidi" w:cstheme="majorBidi"/>
                <w:color w:val="0D0D0D"/>
                <w:sz w:val="24"/>
                <w:szCs w:val="24"/>
              </w:rPr>
              <w:t xml:space="preserve">/ </w:t>
            </w:r>
            <w:proofErr w:type="spellStart"/>
            <w:r w:rsidRPr="0061493E">
              <w:rPr>
                <w:rFonts w:asciiTheme="majorBidi" w:hAnsiTheme="majorBidi" w:cstheme="majorBidi"/>
                <w:color w:val="0D0D0D"/>
                <w:sz w:val="24"/>
                <w:szCs w:val="24"/>
              </w:rPr>
              <w:t>PG.d</w:t>
            </w:r>
            <w:proofErr w:type="spellEnd"/>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10</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color w:val="0D0D0D"/>
                <w:sz w:val="24"/>
                <w:szCs w:val="24"/>
              </w:rPr>
              <w:t>Doctorate / Professional Degree</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8</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13.33</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 xml:space="preserve">Total </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60</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100</w:t>
            </w:r>
          </w:p>
        </w:tc>
      </w:tr>
    </w:tbl>
    <w:p w:rsidR="00151DA4" w:rsidRPr="0061493E" w:rsidRDefault="00151DA4" w:rsidP="00151DA4">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Source field survey, 2024</w:t>
      </w:r>
    </w:p>
    <w:p w:rsidR="00151DA4" w:rsidRPr="0061493E" w:rsidRDefault="00151DA4" w:rsidP="00151DA4">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 xml:space="preserve">Table 5 presents the education levels of respondents, 6.67% of respondents, totaling 4 individuals, completed their SSCE (Secondary School Certificate Examination). 20% of respondents, comprising 12 individuals, have ND/NCE (National Diploma/National Certificate of Education) qualifications. The majority of respondents, accounting for 50%, hold HND/BSC (Higher National Diploma/Bachelor of Science) qualifications, totaling 30 </w:t>
      </w:r>
      <w:r w:rsidRPr="0061493E">
        <w:rPr>
          <w:rFonts w:asciiTheme="majorBidi" w:hAnsiTheme="majorBidi" w:cstheme="majorBidi"/>
          <w:color w:val="0D0D0D"/>
          <w:sz w:val="24"/>
          <w:szCs w:val="24"/>
        </w:rPr>
        <w:lastRenderedPageBreak/>
        <w:t xml:space="preserve">individuals. 10% of respondents, equivalent to 6 individuals, have attained </w:t>
      </w:r>
      <w:proofErr w:type="spellStart"/>
      <w:r w:rsidRPr="0061493E">
        <w:rPr>
          <w:rFonts w:asciiTheme="majorBidi" w:hAnsiTheme="majorBidi" w:cstheme="majorBidi"/>
          <w:color w:val="0D0D0D"/>
          <w:sz w:val="24"/>
          <w:szCs w:val="24"/>
        </w:rPr>
        <w:t>M.Sc</w:t>
      </w:r>
      <w:proofErr w:type="spellEnd"/>
      <w:r w:rsidRPr="0061493E">
        <w:rPr>
          <w:rFonts w:asciiTheme="majorBidi" w:hAnsiTheme="majorBidi" w:cstheme="majorBidi"/>
          <w:color w:val="0D0D0D"/>
          <w:sz w:val="24"/>
          <w:szCs w:val="24"/>
        </w:rPr>
        <w:t>/</w:t>
      </w:r>
      <w:proofErr w:type="spellStart"/>
      <w:r w:rsidRPr="0061493E">
        <w:rPr>
          <w:rFonts w:asciiTheme="majorBidi" w:hAnsiTheme="majorBidi" w:cstheme="majorBidi"/>
          <w:color w:val="0D0D0D"/>
          <w:sz w:val="24"/>
          <w:szCs w:val="24"/>
        </w:rPr>
        <w:t>PG.d</w:t>
      </w:r>
      <w:proofErr w:type="spellEnd"/>
      <w:r w:rsidRPr="0061493E">
        <w:rPr>
          <w:rFonts w:asciiTheme="majorBidi" w:hAnsiTheme="majorBidi" w:cstheme="majorBidi"/>
          <w:color w:val="0D0D0D"/>
          <w:sz w:val="24"/>
          <w:szCs w:val="24"/>
        </w:rPr>
        <w:t xml:space="preserve"> (Master of Science/Postgraduate Diploma) qualifications. 13.33% of respondents possess Doctorate or Professional Degrees, representing 8 individuals.</w:t>
      </w:r>
    </w:p>
    <w:p w:rsidR="00151DA4" w:rsidRPr="0061493E" w:rsidRDefault="00151DA4" w:rsidP="00151DA4">
      <w:pPr>
        <w:pStyle w:val="NoSpacing"/>
        <w:spacing w:line="360" w:lineRule="auto"/>
        <w:jc w:val="both"/>
        <w:rPr>
          <w:rFonts w:asciiTheme="majorBidi" w:hAnsiTheme="majorBidi" w:cstheme="majorBidi"/>
          <w:bCs/>
          <w:sz w:val="24"/>
          <w:szCs w:val="24"/>
        </w:rPr>
      </w:pPr>
      <w:r w:rsidRPr="0061493E">
        <w:rPr>
          <w:rFonts w:asciiTheme="majorBidi" w:hAnsiTheme="majorBidi" w:cstheme="majorBidi"/>
          <w:bCs/>
          <w:sz w:val="24"/>
          <w:szCs w:val="24"/>
        </w:rPr>
        <w:t>Table 6: Religion</w:t>
      </w:r>
    </w:p>
    <w:tbl>
      <w:tblPr>
        <w:tblStyle w:val="TableGrid"/>
        <w:tblW w:w="0" w:type="auto"/>
        <w:tblLook w:val="04A0" w:firstRow="1" w:lastRow="0" w:firstColumn="1" w:lastColumn="0" w:noHBand="0" w:noVBand="1"/>
      </w:tblPr>
      <w:tblGrid>
        <w:gridCol w:w="3053"/>
        <w:gridCol w:w="3044"/>
        <w:gridCol w:w="3047"/>
      </w:tblGrid>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bCs/>
                <w:sz w:val="24"/>
                <w:szCs w:val="24"/>
              </w:rPr>
            </w:pPr>
            <w:r w:rsidRPr="0061493E">
              <w:rPr>
                <w:rFonts w:asciiTheme="majorBidi" w:hAnsiTheme="majorBidi" w:cstheme="majorBidi"/>
                <w:bCs/>
                <w:color w:val="0D0D0D"/>
                <w:sz w:val="24"/>
                <w:szCs w:val="24"/>
                <w:bdr w:val="single" w:sz="2" w:space="0" w:color="E3E3E3" w:frame="1"/>
              </w:rPr>
              <w:t>Religion</w:t>
            </w:r>
          </w:p>
        </w:tc>
        <w:tc>
          <w:tcPr>
            <w:tcW w:w="3192" w:type="dxa"/>
          </w:tcPr>
          <w:p w:rsidR="00151DA4" w:rsidRPr="0061493E" w:rsidRDefault="00151DA4" w:rsidP="003F31BC">
            <w:pPr>
              <w:pStyle w:val="NoSpacing"/>
              <w:spacing w:line="360" w:lineRule="auto"/>
              <w:jc w:val="both"/>
              <w:rPr>
                <w:rFonts w:asciiTheme="majorBidi" w:hAnsiTheme="majorBidi" w:cstheme="majorBidi"/>
                <w:bCs/>
                <w:sz w:val="24"/>
                <w:szCs w:val="24"/>
              </w:rPr>
            </w:pPr>
            <w:r w:rsidRPr="0061493E">
              <w:rPr>
                <w:rFonts w:asciiTheme="majorBidi" w:hAnsiTheme="majorBidi" w:cstheme="majorBidi"/>
                <w:bCs/>
                <w:sz w:val="24"/>
                <w:szCs w:val="24"/>
              </w:rPr>
              <w:t xml:space="preserve">Frequency </w:t>
            </w:r>
          </w:p>
        </w:tc>
        <w:tc>
          <w:tcPr>
            <w:tcW w:w="3192" w:type="dxa"/>
          </w:tcPr>
          <w:p w:rsidR="00151DA4" w:rsidRPr="0061493E" w:rsidRDefault="00151DA4" w:rsidP="003F31BC">
            <w:pPr>
              <w:pStyle w:val="NoSpacing"/>
              <w:spacing w:line="360" w:lineRule="auto"/>
              <w:jc w:val="both"/>
              <w:rPr>
                <w:rFonts w:asciiTheme="majorBidi" w:hAnsiTheme="majorBidi" w:cstheme="majorBidi"/>
                <w:bCs/>
                <w:sz w:val="24"/>
                <w:szCs w:val="24"/>
              </w:rPr>
            </w:pPr>
            <w:r w:rsidRPr="0061493E">
              <w:rPr>
                <w:rFonts w:asciiTheme="majorBidi" w:hAnsiTheme="majorBidi" w:cstheme="majorBidi"/>
                <w:bCs/>
                <w:sz w:val="24"/>
                <w:szCs w:val="24"/>
              </w:rPr>
              <w:t>Percentage</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Christianity </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22</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36.67</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 xml:space="preserve">Islam </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38</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63.33</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Others</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w:t>
            </w:r>
          </w:p>
        </w:tc>
      </w:tr>
      <w:tr w:rsidR="00151DA4" w:rsidRPr="0061493E" w:rsidTr="003F31BC">
        <w:tc>
          <w:tcPr>
            <w:tcW w:w="3192"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 xml:space="preserve">Total </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60</w:t>
            </w:r>
          </w:p>
        </w:tc>
        <w:tc>
          <w:tcPr>
            <w:tcW w:w="3192" w:type="dxa"/>
          </w:tcPr>
          <w:p w:rsidR="00151DA4" w:rsidRPr="0061493E" w:rsidRDefault="00151DA4" w:rsidP="003F31BC">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100</w:t>
            </w:r>
          </w:p>
        </w:tc>
      </w:tr>
    </w:tbl>
    <w:p w:rsidR="00151DA4" w:rsidRPr="0061493E" w:rsidRDefault="00151DA4" w:rsidP="00151DA4">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Source field survey, 2024</w:t>
      </w:r>
    </w:p>
    <w:p w:rsidR="00151DA4" w:rsidRPr="0061493E" w:rsidRDefault="00151DA4" w:rsidP="00151DA4">
      <w:pPr>
        <w:pStyle w:val="NoSpacing"/>
        <w:spacing w:line="360" w:lineRule="auto"/>
        <w:jc w:val="both"/>
        <w:rPr>
          <w:rFonts w:asciiTheme="majorBidi" w:hAnsiTheme="majorBidi" w:cstheme="majorBidi"/>
          <w:sz w:val="24"/>
          <w:szCs w:val="24"/>
        </w:rPr>
      </w:pPr>
      <w:r w:rsidRPr="0061493E">
        <w:rPr>
          <w:rFonts w:asciiTheme="majorBidi" w:hAnsiTheme="majorBidi" w:cstheme="majorBidi"/>
          <w:sz w:val="24"/>
          <w:szCs w:val="24"/>
        </w:rPr>
        <w:t>Table 6 displays the religious affiliations of respondents as it shows that 36.67% of respondents, totaling 22 individuals, identify as Christians. The majority of respondents, comprising 63.33%, affiliate with Islam, representing 38 individuals. No respondents identify with other religions.</w:t>
      </w:r>
    </w:p>
    <w:p w:rsidR="00151DA4" w:rsidRPr="0061493E" w:rsidRDefault="00151DA4" w:rsidP="00151DA4">
      <w:pPr>
        <w:spacing w:line="360" w:lineRule="auto"/>
        <w:rPr>
          <w:rFonts w:asciiTheme="majorBidi" w:hAnsiTheme="majorBidi" w:cstheme="majorBidi"/>
          <w:b/>
          <w:bCs/>
          <w:sz w:val="24"/>
          <w:szCs w:val="24"/>
        </w:rPr>
      </w:pPr>
      <w:r w:rsidRPr="0061493E">
        <w:rPr>
          <w:rFonts w:asciiTheme="majorBidi" w:hAnsiTheme="majorBidi" w:cstheme="majorBidi"/>
          <w:b/>
          <w:bCs/>
          <w:sz w:val="24"/>
          <w:szCs w:val="24"/>
        </w:rPr>
        <w:t>SECTION B</w:t>
      </w:r>
    </w:p>
    <w:p w:rsidR="00151DA4" w:rsidRPr="0061493E" w:rsidRDefault="00151DA4" w:rsidP="00151DA4">
      <w:pPr>
        <w:pStyle w:val="NoSpacing"/>
        <w:spacing w:line="360" w:lineRule="auto"/>
        <w:jc w:val="both"/>
        <w:rPr>
          <w:rFonts w:asciiTheme="majorBidi" w:hAnsiTheme="majorBidi" w:cstheme="majorBidi"/>
          <w:b/>
          <w:bCs/>
          <w:sz w:val="24"/>
          <w:szCs w:val="24"/>
        </w:rPr>
      </w:pPr>
      <w:r w:rsidRPr="0061493E">
        <w:rPr>
          <w:rFonts w:asciiTheme="majorBidi" w:hAnsiTheme="majorBidi" w:cstheme="majorBidi"/>
          <w:b/>
          <w:bCs/>
          <w:color w:val="0D0D0D"/>
          <w:sz w:val="24"/>
          <w:szCs w:val="24"/>
        </w:rPr>
        <w:t>Table 7: Globalization has significantly improved the transparency and accuracy of financial reporting at Zenith Bank PLC.</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50</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33.33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lastRenderedPageBreak/>
        <w:t>Table 7 shows that 30 respondents (50%) strongly agree that globalization has significantly improved the transparency and accuracy of financial reporting at Zenith Bank PLC. Additionally, 20 respondents (33.33%) agree, while 10 respondents (16.67%) are neutral. There were no respondents who disagreed or strongly disagreed. The total number of respondents was 60.</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Table 8: The adoption of International Financial Reporting Standards (IFRS) has enhanced the comparability of Zenith Bank PLC’s financial statements with those of other global banks.</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83.33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spacing w:after="0" w:line="360" w:lineRule="auto"/>
        <w:jc w:val="both"/>
        <w:rPr>
          <w:rFonts w:asciiTheme="majorBidi" w:eastAsia="Times New Roman" w:hAnsiTheme="majorBidi" w:cstheme="majorBidi"/>
          <w:sz w:val="24"/>
          <w:szCs w:val="24"/>
        </w:rPr>
      </w:pPr>
      <w:r w:rsidRPr="0061493E">
        <w:rPr>
          <w:rFonts w:asciiTheme="majorBidi" w:eastAsia="Times New Roman" w:hAnsiTheme="majorBidi" w:cstheme="majorBidi"/>
          <w:sz w:val="24"/>
          <w:szCs w:val="24"/>
        </w:rPr>
        <w:t>Table 8 revealed that 50 (83.33%) strongly agree and 10 (16.67%) agree that the adoption of International Financial Reporting Standards (IFRS) has enhanced the comparability of Zenith Bank PLC’s financial statements with those of other global banks.</w:t>
      </w:r>
      <w:r w:rsidRPr="0061493E">
        <w:rPr>
          <w:rFonts w:asciiTheme="majorBidi" w:eastAsia="Times New Roman" w:hAnsiTheme="majorBidi" w:cstheme="majorBidi"/>
          <w:vanish/>
          <w:sz w:val="24"/>
          <w:szCs w:val="24"/>
        </w:rPr>
        <w:t>Top of Form</w:t>
      </w:r>
    </w:p>
    <w:p w:rsidR="00151DA4" w:rsidRDefault="00151DA4" w:rsidP="00151DA4">
      <w:pPr>
        <w:rPr>
          <w:rFonts w:asciiTheme="majorBidi" w:eastAsia="Times New Roman" w:hAnsiTheme="majorBidi" w:cstheme="majorBidi"/>
          <w:b/>
          <w:bCs/>
          <w:color w:val="0D0D0D"/>
          <w:sz w:val="24"/>
          <w:szCs w:val="24"/>
        </w:rPr>
      </w:pPr>
      <w:r>
        <w:rPr>
          <w:rFonts w:asciiTheme="majorBidi" w:hAnsiTheme="majorBidi" w:cstheme="majorBidi"/>
          <w:b/>
          <w:bCs/>
          <w:color w:val="0D0D0D"/>
        </w:rPr>
        <w:br w:type="page"/>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lastRenderedPageBreak/>
        <w:t>Table 9: Globalization has led to increased regulatory requirements that have positively impacted the financial reporting quality of Zenith Bank PLC.</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31</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51.67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25</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41.67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shd w:val="clear" w:color="auto" w:fill="FFFFFF"/>
        <w:spacing w:after="0" w:line="360" w:lineRule="auto"/>
        <w:jc w:val="both"/>
        <w:rPr>
          <w:rFonts w:asciiTheme="majorBidi" w:eastAsia="Times New Roman" w:hAnsiTheme="majorBidi" w:cstheme="majorBidi"/>
          <w:color w:val="0D0D0D"/>
          <w:sz w:val="24"/>
          <w:szCs w:val="24"/>
        </w:rPr>
      </w:pPr>
      <w:r w:rsidRPr="0061493E">
        <w:rPr>
          <w:rFonts w:asciiTheme="majorBidi" w:eastAsia="Times New Roman" w:hAnsiTheme="majorBidi" w:cstheme="majorBidi"/>
          <w:color w:val="0D0D0D"/>
          <w:sz w:val="24"/>
          <w:szCs w:val="24"/>
        </w:rPr>
        <w:t>Table 9 indicate that revealed that 31 (51.67%) strongly agree, 25 (41.67%) agree, and 4 (6.67%) are neutral that globalization has led to increased regulatory requirements that have positively impacted the financial reporting quality of Zenith Bank PLC.</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Table 10: Zenith Bank PLC’s financial reporting practices are more aligned with global best practices due to globalization.</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48</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80</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12</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20</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lastRenderedPageBreak/>
        <w:t xml:space="preserve">The above table shows that revealed that </w:t>
      </w:r>
      <w:r>
        <w:rPr>
          <w:rFonts w:asciiTheme="majorBidi" w:hAnsiTheme="majorBidi" w:cstheme="majorBidi"/>
          <w:color w:val="0D0D0D"/>
          <w:shd w:val="clear" w:color="auto" w:fill="FFFFFF"/>
        </w:rPr>
        <w:t>48</w:t>
      </w:r>
      <w:r w:rsidRPr="0061493E">
        <w:rPr>
          <w:rFonts w:asciiTheme="majorBidi" w:hAnsiTheme="majorBidi" w:cstheme="majorBidi"/>
          <w:color w:val="0D0D0D"/>
          <w:shd w:val="clear" w:color="auto" w:fill="FFFFFF"/>
        </w:rPr>
        <w:t xml:space="preserve"> (</w:t>
      </w:r>
      <w:r>
        <w:rPr>
          <w:rFonts w:asciiTheme="majorBidi" w:hAnsiTheme="majorBidi" w:cstheme="majorBidi"/>
          <w:color w:val="0D0D0D"/>
          <w:shd w:val="clear" w:color="auto" w:fill="FFFFFF"/>
        </w:rPr>
        <w:t>80</w:t>
      </w:r>
      <w:r w:rsidRPr="0061493E">
        <w:rPr>
          <w:rFonts w:asciiTheme="majorBidi" w:hAnsiTheme="majorBidi" w:cstheme="majorBidi"/>
          <w:color w:val="0D0D0D"/>
          <w:shd w:val="clear" w:color="auto" w:fill="FFFFFF"/>
        </w:rPr>
        <w:t xml:space="preserve">%) strongly agree, </w:t>
      </w:r>
      <w:r>
        <w:rPr>
          <w:rFonts w:asciiTheme="majorBidi" w:hAnsiTheme="majorBidi" w:cstheme="majorBidi"/>
          <w:color w:val="0D0D0D"/>
          <w:shd w:val="clear" w:color="auto" w:fill="FFFFFF"/>
        </w:rPr>
        <w:t>12</w:t>
      </w:r>
      <w:r w:rsidRPr="0061493E">
        <w:rPr>
          <w:rFonts w:asciiTheme="majorBidi" w:hAnsiTheme="majorBidi" w:cstheme="majorBidi"/>
          <w:color w:val="0D0D0D"/>
          <w:shd w:val="clear" w:color="auto" w:fill="FFFFFF"/>
        </w:rPr>
        <w:t>(</w:t>
      </w:r>
      <w:r>
        <w:rPr>
          <w:rFonts w:asciiTheme="majorBidi" w:hAnsiTheme="majorBidi" w:cstheme="majorBidi"/>
          <w:color w:val="0D0D0D"/>
          <w:shd w:val="clear" w:color="auto" w:fill="FFFFFF"/>
        </w:rPr>
        <w:t>20</w:t>
      </w:r>
      <w:r w:rsidRPr="0061493E">
        <w:rPr>
          <w:rFonts w:asciiTheme="majorBidi" w:hAnsiTheme="majorBidi" w:cstheme="majorBidi"/>
          <w:color w:val="0D0D0D"/>
          <w:shd w:val="clear" w:color="auto" w:fill="FFFFFF"/>
        </w:rPr>
        <w:t>%) agree, and 4 (6.67%) are neutral that globalization has led to increased regulatory requirements that have positively impacted the financial reporting quality of Zenith Bank PLC.</w:t>
      </w:r>
    </w:p>
    <w:p w:rsidR="00151DA4" w:rsidRPr="00975626" w:rsidRDefault="00151DA4" w:rsidP="00151DA4">
      <w:pPr>
        <w:rPr>
          <w:rFonts w:asciiTheme="majorBidi" w:hAnsiTheme="majorBidi" w:cstheme="majorBidi"/>
          <w:b/>
          <w:bCs/>
          <w:color w:val="0D0D0D"/>
          <w:sz w:val="24"/>
          <w:szCs w:val="24"/>
        </w:rPr>
      </w:pPr>
      <w:r w:rsidRPr="00975626">
        <w:rPr>
          <w:rFonts w:asciiTheme="majorBidi" w:hAnsiTheme="majorBidi" w:cstheme="majorBidi"/>
          <w:b/>
          <w:bCs/>
          <w:color w:val="0D0D0D"/>
          <w:sz w:val="24"/>
          <w:szCs w:val="24"/>
        </w:rPr>
        <w:t>Table 11: The influence of global financial markets has necessitated more frequent and detailed financial disclosures by Zenith Bank PLC.</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23</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38.33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12</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20</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13.33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7</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11.67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color w:val="0D0D0D"/>
          <w:shd w:val="clear" w:color="auto" w:fill="FFFFFF"/>
        </w:rPr>
      </w:pPr>
      <w:r w:rsidRPr="0061493E">
        <w:rPr>
          <w:rFonts w:asciiTheme="majorBidi" w:hAnsiTheme="majorBidi" w:cstheme="majorBidi"/>
          <w:color w:val="0D0D0D"/>
          <w:shd w:val="clear" w:color="auto" w:fill="FFFFFF"/>
        </w:rPr>
        <w:t>From table 11 above</w:t>
      </w:r>
      <w:r>
        <w:rPr>
          <w:rFonts w:asciiTheme="majorBidi" w:hAnsiTheme="majorBidi" w:cstheme="majorBidi"/>
          <w:color w:val="0D0D0D"/>
          <w:shd w:val="clear" w:color="auto" w:fill="FFFFFF"/>
        </w:rPr>
        <w:t>,</w:t>
      </w:r>
      <w:r w:rsidRPr="0061493E">
        <w:rPr>
          <w:rFonts w:asciiTheme="majorBidi" w:hAnsiTheme="majorBidi" w:cstheme="majorBidi"/>
          <w:color w:val="0D0D0D"/>
          <w:shd w:val="clear" w:color="auto" w:fill="FFFFFF"/>
        </w:rPr>
        <w:t xml:space="preserve"> it revealed that 23 (38.33%) strongly agree, 12 (20%) agree, 8 (13.33%) are neutral, 10 (16.67%) disagree, and 7 (11.67%) strongly disagree that the influence of global financial markets has necessitated more frequent and detailed financial disclosures by Zenith Bank PLC.</w:t>
      </w:r>
    </w:p>
    <w:p w:rsidR="00151DA4" w:rsidRPr="0061493E" w:rsidRDefault="00151DA4" w:rsidP="00151DA4">
      <w:pPr>
        <w:pStyle w:val="NormalWeb"/>
        <w:shd w:val="clear" w:color="auto" w:fill="FFFFFF"/>
        <w:spacing w:before="300" w:beforeAutospacing="0" w:after="0" w:afterAutospacing="0" w:line="276" w:lineRule="auto"/>
        <w:jc w:val="both"/>
        <w:rPr>
          <w:rFonts w:asciiTheme="majorBidi" w:hAnsiTheme="majorBidi" w:cstheme="majorBidi"/>
          <w:b/>
          <w:bCs/>
          <w:color w:val="0D0D0D"/>
        </w:rPr>
      </w:pPr>
      <w:r w:rsidRPr="0061493E">
        <w:rPr>
          <w:rFonts w:asciiTheme="majorBidi" w:hAnsiTheme="majorBidi" w:cstheme="majorBidi"/>
          <w:b/>
          <w:bCs/>
          <w:color w:val="0D0D0D"/>
        </w:rPr>
        <w:t>Table 12: Zenith Bank PLC faces significant challenges in training staff to understand and apply global financial reporting standards.</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40</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66.67</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8.33</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8.33</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lastRenderedPageBreak/>
        <w:t>More over the above table 12 revealed that 40 (66.67%) strongly agree, 10 (16.67%) agree, 5 (8.33%) are neutral, and 5 (8.33%) disagree that Zenith Bank PLC faces significant challenges in training staff to understand and apply global financial reporting standards.</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Table 13: The cost of implementing and maintaining compliance with global financial reporting standards is a major challenge for Zenith Bank PLC.</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t>Table 13 presents the survey results regarding the perception that the cost of implementing and maintaining compliance with global financial reporting standards is a major challenge for Zenith Bank PLC. Among 60 respondents, 10 (16.67%) were neutral, 10 (16.67%) disagreed, and 40 (66.67%) strongly disagreed with this statement.</w:t>
      </w:r>
    </w:p>
    <w:p w:rsidR="00151DA4" w:rsidRPr="0061493E" w:rsidRDefault="00151DA4" w:rsidP="00151DA4">
      <w:pPr>
        <w:pStyle w:val="NormalWeb"/>
        <w:shd w:val="clear" w:color="auto" w:fill="FFFFFF"/>
        <w:spacing w:before="300" w:beforeAutospacing="0" w:after="0" w:afterAutospacing="0" w:line="276" w:lineRule="auto"/>
        <w:jc w:val="both"/>
        <w:rPr>
          <w:rFonts w:asciiTheme="majorBidi" w:hAnsiTheme="majorBidi" w:cstheme="majorBidi"/>
          <w:b/>
          <w:bCs/>
          <w:color w:val="0D0D0D"/>
        </w:rPr>
      </w:pPr>
      <w:r w:rsidRPr="0061493E">
        <w:rPr>
          <w:rFonts w:asciiTheme="majorBidi" w:hAnsiTheme="majorBidi" w:cstheme="majorBidi"/>
          <w:b/>
          <w:bCs/>
          <w:color w:val="0D0D0D"/>
        </w:rPr>
        <w:t>Table 14: There is a lack of adequate technological infrastructure at Zenith Bank PLC to support global financial reporting requirements.</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40</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66.67</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lastRenderedPageBreak/>
        <w:t>Table 14 illustrates the survey findings regarding the perception of a lack of adequate technological infrastructure at Zenith Bank PLC to support global financial reporting requirements. Among the 60 respondents, 10 (16.67%) were neutral, 10 (16.67%) disagreed, and 40 (66.67%) strongly disagreed with this statement.</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Table 15: Zenith Bank PLC encounters difficulties in reconciling local regulatory requirements with global financial reporting standards.</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23</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38.33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12</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20</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13.33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7</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11.67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5C5B61" w:rsidRDefault="00151DA4" w:rsidP="00151DA4">
      <w:pPr>
        <w:spacing w:after="0" w:line="360" w:lineRule="auto"/>
        <w:jc w:val="both"/>
        <w:rPr>
          <w:rFonts w:asciiTheme="majorBidi" w:eastAsia="Times New Roman" w:hAnsiTheme="majorBidi" w:cstheme="majorBidi"/>
          <w:sz w:val="24"/>
          <w:szCs w:val="24"/>
        </w:rPr>
      </w:pPr>
      <w:r w:rsidRPr="005C5B61">
        <w:rPr>
          <w:rFonts w:asciiTheme="majorBidi" w:eastAsia="Times New Roman" w:hAnsiTheme="majorBidi" w:cstheme="majorBidi"/>
          <w:sz w:val="24"/>
          <w:szCs w:val="24"/>
        </w:rPr>
        <w:t>Table 15 summarizes the survey responses regarding the challenges faced by Zenith Bank PLC in reconciling local regulatory requirements with global financial reporting standards. Among the 60 respondents, 23 (38.33%) strongly agree, 12 (20%) agree, 8 (13.33%) are neutral, 10 (16.67%) disagree, and 7 (11.67%) strongly disagree with this statement.</w:t>
      </w:r>
    </w:p>
    <w:p w:rsidR="00151DA4" w:rsidRDefault="00151DA4" w:rsidP="00151DA4">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151DA4" w:rsidRPr="005C5B61" w:rsidRDefault="00151DA4" w:rsidP="00151DA4">
      <w:pPr>
        <w:spacing w:after="0" w:line="360" w:lineRule="auto"/>
        <w:jc w:val="both"/>
        <w:rPr>
          <w:rFonts w:asciiTheme="majorBidi" w:eastAsia="Times New Roman" w:hAnsiTheme="majorBidi" w:cstheme="majorBidi"/>
          <w:vanish/>
          <w:sz w:val="24"/>
          <w:szCs w:val="24"/>
        </w:rPr>
      </w:pPr>
      <w:r w:rsidRPr="005C5B61">
        <w:rPr>
          <w:rFonts w:asciiTheme="majorBidi" w:eastAsia="Times New Roman" w:hAnsiTheme="majorBidi" w:cstheme="majorBidi"/>
          <w:vanish/>
          <w:sz w:val="24"/>
          <w:szCs w:val="24"/>
        </w:rPr>
        <w:lastRenderedPageBreak/>
        <w:t>Top of Form</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Table 16: Cultural differences and variations in business practices pose challenges to Zenith Bank PLC in aligning with global financial reporting standards.</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t>Table 16 outlines the survey results regarding the challenges posed to Zenith Bank PLC by cultural differences and variations in business practices when aligning with global financial reporting standards. Among the 60 respondents, 40 (66.67%) strongly agree, 10 (16.67%) agree, 5 (8.33%) are neutral, and 5 (8.33%) disagree with this statement.</w:t>
      </w:r>
    </w:p>
    <w:p w:rsidR="00151DA4" w:rsidRPr="0061493E" w:rsidRDefault="00151DA4" w:rsidP="00151DA4">
      <w:pPr>
        <w:pStyle w:val="Heading4"/>
        <w:shd w:val="clear" w:color="auto" w:fill="FFFFFF"/>
        <w:spacing w:line="360" w:lineRule="auto"/>
        <w:jc w:val="both"/>
        <w:rPr>
          <w:rFonts w:asciiTheme="majorBidi" w:hAnsiTheme="majorBidi"/>
          <w:color w:val="0D0D0D"/>
          <w:sz w:val="24"/>
          <w:szCs w:val="24"/>
        </w:rPr>
      </w:pPr>
      <w:r w:rsidRPr="0061493E">
        <w:rPr>
          <w:rFonts w:asciiTheme="majorBidi" w:hAnsiTheme="majorBidi"/>
          <w:color w:val="0D0D0D"/>
          <w:sz w:val="24"/>
          <w:szCs w:val="24"/>
        </w:rPr>
        <w:t>Objective iii: To propose strategies for Zenith Bank PLC to improve its financial reporting effectiveness in the era of globalization.</w:t>
      </w:r>
    </w:p>
    <w:p w:rsidR="00151DA4" w:rsidRPr="0061493E" w:rsidRDefault="00151DA4" w:rsidP="00151DA4">
      <w:pPr>
        <w:pStyle w:val="NormalWeb"/>
        <w:shd w:val="clear" w:color="auto" w:fill="FFFFFF"/>
        <w:spacing w:before="300" w:beforeAutospacing="0" w:after="0" w:afterAutospacing="0" w:line="276" w:lineRule="auto"/>
        <w:jc w:val="both"/>
        <w:rPr>
          <w:rFonts w:asciiTheme="majorBidi" w:hAnsiTheme="majorBidi" w:cstheme="majorBidi"/>
          <w:b/>
          <w:bCs/>
          <w:color w:val="0D0D0D"/>
        </w:rPr>
      </w:pPr>
      <w:r w:rsidRPr="0061493E">
        <w:rPr>
          <w:rFonts w:asciiTheme="majorBidi" w:hAnsiTheme="majorBidi" w:cstheme="majorBidi"/>
          <w:b/>
          <w:bCs/>
          <w:color w:val="0D0D0D"/>
        </w:rPr>
        <w:t>Table 17: Investing in continuous training and development programs for staff will significantly improve financial reporting effectiveness at Zenith Bank PLC.</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48</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80</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12</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20</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lastRenderedPageBreak/>
        <w:t>Table 17 presents the survey results regarding the belief that investing in continuous training and development programs for staff will significantly improve financial reporting effectiveness at Zenith Bank PLC. Out of 60 respondents, 48 (80%) strongly agree and 12 (20%) agree with this statement.</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Table 18: Upgrading technological infrastructure is crucial for Zenith Bank PLC to meet global financial reporting standards effectively.</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tabs>
                <w:tab w:val="left" w:pos="2143"/>
              </w:tabs>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r w:rsidRPr="0061493E">
              <w:rPr>
                <w:rFonts w:asciiTheme="majorBidi" w:hAnsiTheme="majorBidi" w:cstheme="majorBidi"/>
                <w:color w:val="0D0D0D"/>
              </w:rPr>
              <w:tab/>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45</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75</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13</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21.67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t>Table 18 provides the survey results on the necessity of upgrading technological infrastructure for Zenith Bank PLC to meet global financial reporting standards effectively. Among the 60 respondents, 45 (75%) strongly agree, 13 (21.67%) agree, and 2 (3.33%) are neutral with this statement.</w:t>
      </w:r>
    </w:p>
    <w:p w:rsidR="00151DA4" w:rsidRDefault="00151DA4" w:rsidP="00151DA4">
      <w:pPr>
        <w:rPr>
          <w:rFonts w:asciiTheme="majorBidi" w:eastAsia="Times New Roman" w:hAnsiTheme="majorBidi" w:cstheme="majorBidi"/>
          <w:b/>
          <w:bCs/>
          <w:color w:val="0D0D0D"/>
          <w:sz w:val="24"/>
          <w:szCs w:val="24"/>
        </w:rPr>
      </w:pPr>
      <w:r>
        <w:rPr>
          <w:rFonts w:asciiTheme="majorBidi" w:hAnsiTheme="majorBidi" w:cstheme="majorBidi"/>
          <w:b/>
          <w:bCs/>
          <w:color w:val="0D0D0D"/>
        </w:rPr>
        <w:br w:type="page"/>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lastRenderedPageBreak/>
        <w:t>Table 19: Establishing a dedicated compliance team focused on global financial reporting standards will enhance Zenith Bank PLC’s reporting accuracy and reliability.</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21</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35</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35</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58.33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color w:val="0D0D0D"/>
          <w:shd w:val="clear" w:color="auto" w:fill="FFFFFF"/>
        </w:rPr>
        <w:t>Table 19 presents the survey results on the impact of establishing a dedicated compliance team focused on global financial reporting standards on Zenith Bank PLC's reporting accuracy and reliability. Out of 60 respondents, 21 (35%) strongly agree, 35 (58.33%) agree, 2 (3.33%) are neutral, and 2 (3.33%) disagree with this statement.</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Table 20: Enhancing collaboration with international financial institutions and regulatory bodies will improve Zenith Bank PLC’s adaptation to global financial reporting practices.</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31</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51.67</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25</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41.67</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4</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6.67</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276"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276"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shd w:val="clear" w:color="auto" w:fill="FFFFFF"/>
        <w:spacing w:after="0" w:line="360" w:lineRule="auto"/>
        <w:jc w:val="both"/>
        <w:rPr>
          <w:rFonts w:asciiTheme="majorBidi" w:eastAsia="Times New Roman" w:hAnsiTheme="majorBidi" w:cstheme="majorBidi"/>
          <w:color w:val="0D0D0D"/>
          <w:sz w:val="24"/>
          <w:szCs w:val="24"/>
        </w:rPr>
      </w:pPr>
      <w:r w:rsidRPr="006B58A9">
        <w:rPr>
          <w:rFonts w:asciiTheme="majorBidi" w:eastAsia="Times New Roman" w:hAnsiTheme="majorBidi" w:cstheme="majorBidi"/>
          <w:color w:val="0D0D0D"/>
          <w:sz w:val="24"/>
          <w:szCs w:val="24"/>
        </w:rPr>
        <w:lastRenderedPageBreak/>
        <w:t>Table 20 illustrates the survey results on the belief that enhancing collaboration with international financial institutions and regulatory bodies will improve Zenith Bank PLC’s adaptation to global financial reporting practices. Among the 60 respondents, 31 (51.67%) strongly agree, 25 (41.67%) agree, and 4 (6.67%) are neutral with this statement.</w:t>
      </w:r>
    </w:p>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Table 21: Developing a comprehensive financial reporting framework that integrates both local and international standards will help Zenith Bank PLC overcome reporting challenges.</w:t>
      </w:r>
    </w:p>
    <w:tbl>
      <w:tblPr>
        <w:tblStyle w:val="TableGrid"/>
        <w:tblW w:w="0" w:type="auto"/>
        <w:tblLook w:val="04A0" w:firstRow="1" w:lastRow="0" w:firstColumn="1" w:lastColumn="0" w:noHBand="0" w:noVBand="1"/>
      </w:tblPr>
      <w:tblGrid>
        <w:gridCol w:w="3038"/>
        <w:gridCol w:w="3053"/>
        <w:gridCol w:w="3053"/>
      </w:tblGrid>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Option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No of respondent </w:t>
            </w:r>
          </w:p>
        </w:t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Percentage </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50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83.33</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16.67</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Neutral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Disagree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Strongly disagree</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w:t>
            </w:r>
          </w:p>
        </w:tc>
      </w:tr>
      <w:tr w:rsidR="00151DA4" w:rsidRPr="0061493E" w:rsidTr="003F31BC">
        <w:tc>
          <w:tcPr>
            <w:tcW w:w="3186" w:type="dxa"/>
          </w:tcPr>
          <w:p w:rsidR="00151DA4" w:rsidRPr="0061493E" w:rsidRDefault="00151DA4" w:rsidP="003F31BC">
            <w:pPr>
              <w:pStyle w:val="NormalWeb"/>
              <w:spacing w:before="0" w:beforeAutospacing="0" w:after="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Total </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60</w:t>
            </w:r>
          </w:p>
        </w:tc>
        <w:tc>
          <w:tcPr>
            <w:tcW w:w="3186" w:type="dxa"/>
          </w:tcPr>
          <w:p w:rsidR="00151DA4" w:rsidRPr="0061493E" w:rsidRDefault="00151DA4" w:rsidP="003F31BC">
            <w:pPr>
              <w:pStyle w:val="NoSpacing"/>
              <w:spacing w:line="360" w:lineRule="auto"/>
              <w:jc w:val="both"/>
              <w:rPr>
                <w:rFonts w:asciiTheme="majorBidi" w:hAnsiTheme="majorBidi" w:cstheme="majorBidi"/>
                <w:color w:val="0D0D0D"/>
                <w:sz w:val="24"/>
                <w:szCs w:val="24"/>
              </w:rPr>
            </w:pPr>
            <w:r w:rsidRPr="0061493E">
              <w:rPr>
                <w:rFonts w:asciiTheme="majorBidi" w:hAnsiTheme="majorBidi" w:cstheme="majorBidi"/>
                <w:color w:val="0D0D0D"/>
                <w:sz w:val="24"/>
                <w:szCs w:val="24"/>
              </w:rPr>
              <w:t>100</w:t>
            </w:r>
          </w:p>
        </w:tc>
      </w:tr>
    </w:tbl>
    <w:p w:rsidR="00151DA4" w:rsidRPr="0061493E" w:rsidRDefault="00151DA4" w:rsidP="00151DA4">
      <w:pPr>
        <w:pStyle w:val="NormalWeb"/>
        <w:shd w:val="clear" w:color="auto" w:fill="FFFFFF"/>
        <w:spacing w:before="300" w:beforeAutospacing="0" w:after="0" w:afterAutospacing="0" w:line="360" w:lineRule="auto"/>
        <w:jc w:val="both"/>
        <w:rPr>
          <w:rFonts w:asciiTheme="majorBidi" w:hAnsiTheme="majorBidi" w:cstheme="majorBidi"/>
          <w:b/>
          <w:bCs/>
          <w:color w:val="0D0D0D"/>
        </w:rPr>
      </w:pPr>
      <w:r>
        <w:rPr>
          <w:rFonts w:asciiTheme="majorBidi" w:hAnsiTheme="majorBidi" w:cstheme="majorBidi"/>
          <w:b/>
          <w:bCs/>
          <w:color w:val="0D0D0D"/>
        </w:rPr>
        <w:t>Source: Field Survey, 2025</w:t>
      </w:r>
    </w:p>
    <w:p w:rsidR="00151DA4" w:rsidRPr="0061493E" w:rsidRDefault="00151DA4" w:rsidP="00151DA4">
      <w:pPr>
        <w:pStyle w:val="NormalWeb"/>
        <w:shd w:val="clear" w:color="auto" w:fill="FFFFFF"/>
        <w:spacing w:before="300" w:beforeAutospacing="0" w:after="300" w:afterAutospacing="0" w:line="360" w:lineRule="auto"/>
        <w:jc w:val="both"/>
        <w:rPr>
          <w:rFonts w:asciiTheme="majorBidi" w:hAnsiTheme="majorBidi" w:cstheme="majorBidi"/>
          <w:color w:val="0D0D0D"/>
          <w:shd w:val="clear" w:color="auto" w:fill="FFFFFF"/>
        </w:rPr>
      </w:pPr>
      <w:r w:rsidRPr="0061493E">
        <w:rPr>
          <w:rFonts w:asciiTheme="majorBidi" w:hAnsiTheme="majorBidi" w:cstheme="majorBidi"/>
          <w:color w:val="0D0D0D"/>
          <w:shd w:val="clear" w:color="auto" w:fill="FFFFFF"/>
        </w:rPr>
        <w:t>Table 21 summarizes the survey results regarding the effectiveness of developing a comprehensive financial reporting framework that integrates both local and international standards in helping Zenith Bank PLC overcome reporting challenges. Out of 60 respondents, 50 (83.33%) strongly agree and 10 (16.67%) agree with this statement.</w:t>
      </w:r>
    </w:p>
    <w:p w:rsidR="00151DA4" w:rsidRDefault="00151DA4" w:rsidP="00151DA4">
      <w:pPr>
        <w:rPr>
          <w:rFonts w:asciiTheme="majorBidi" w:eastAsia="Times New Roman" w:hAnsiTheme="majorBidi" w:cstheme="majorBidi"/>
          <w:b/>
          <w:bCs/>
          <w:color w:val="0D0D0D"/>
          <w:sz w:val="24"/>
          <w:szCs w:val="24"/>
          <w:shd w:val="clear" w:color="auto" w:fill="FFFFFF"/>
        </w:rPr>
      </w:pPr>
      <w:r>
        <w:rPr>
          <w:rFonts w:asciiTheme="majorBidi" w:hAnsiTheme="majorBidi" w:cstheme="majorBidi"/>
          <w:b/>
          <w:bCs/>
          <w:color w:val="0D0D0D"/>
          <w:shd w:val="clear" w:color="auto" w:fill="FFFFFF"/>
        </w:rPr>
        <w:br w:type="page"/>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shd w:val="clear" w:color="auto" w:fill="FFFFFF"/>
        </w:rPr>
        <w:lastRenderedPageBreak/>
        <w:t>4.2</w:t>
      </w:r>
      <w:r w:rsidRPr="0061493E">
        <w:rPr>
          <w:rFonts w:asciiTheme="majorBidi" w:hAnsiTheme="majorBidi" w:cstheme="majorBidi"/>
          <w:b/>
          <w:bCs/>
          <w:color w:val="0D0D0D"/>
          <w:shd w:val="clear" w:color="auto" w:fill="FFFFFF"/>
        </w:rPr>
        <w:tab/>
      </w:r>
      <w:r w:rsidRPr="0061493E">
        <w:rPr>
          <w:rFonts w:asciiTheme="majorBidi" w:hAnsiTheme="majorBidi" w:cstheme="majorBidi"/>
          <w:b/>
          <w:bCs/>
          <w:color w:val="0D0D0D"/>
        </w:rPr>
        <w:t>Data Interpretation</w:t>
      </w:r>
    </w:p>
    <w:p w:rsidR="00151DA4" w:rsidRPr="00C94804" w:rsidRDefault="00151DA4" w:rsidP="00151DA4">
      <w:pPr>
        <w:pStyle w:val="Heading4"/>
        <w:shd w:val="clear" w:color="auto" w:fill="FFFFFF"/>
        <w:spacing w:before="0" w:after="240" w:line="360" w:lineRule="auto"/>
        <w:rPr>
          <w:rStyle w:val="Strong"/>
          <w:rFonts w:asciiTheme="majorBidi" w:hAnsiTheme="majorBidi"/>
          <w:b/>
          <w:bCs/>
          <w:i w:val="0"/>
          <w:iCs w:val="0"/>
          <w:color w:val="0D0D0D"/>
          <w:sz w:val="24"/>
          <w:szCs w:val="24"/>
        </w:rPr>
      </w:pPr>
      <w:r w:rsidRPr="008A32C1">
        <w:rPr>
          <w:rFonts w:asciiTheme="majorBidi" w:hAnsiTheme="majorBidi"/>
          <w:i w:val="0"/>
          <w:iCs w:val="0"/>
          <w:color w:val="0D0D0D"/>
          <w:sz w:val="24"/>
          <w:szCs w:val="24"/>
        </w:rPr>
        <w:t>Objective i: To Examine the Effect of Globalization on the Financial Reporting Practices of Zenith Bank PLC</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7: Impact on Transparency and Accuracy</w:t>
      </w:r>
      <w:r w:rsidRPr="008A32C1">
        <w:rPr>
          <w:rFonts w:asciiTheme="majorBidi" w:hAnsiTheme="majorBidi" w:cstheme="majorBidi"/>
          <w:color w:val="0D0D0D"/>
        </w:rPr>
        <w:t xml:space="preserve"> According to the survey data, a significant majority of respondents believe that globalization has positively influenced the transparency and accuracy of Zenith Bank PLC's financial reporting. Specifically, 50% (30 respondents) strongly agree and 33.33% (20 respondents) agree with this statement. Only 16.67% (10 respondents) are neutral, and no respondents disagreed. This suggests a strong consensus that globalization has brought about improvements in financial reporting practices, enhancing both transparency and accuracy. This positive perception is likely tied to the increased adoption of global standards and practices that demand higher levels of disclosure and accuracy.</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8: Adoption of IFRS</w:t>
      </w:r>
      <w:r w:rsidRPr="008A32C1">
        <w:rPr>
          <w:rFonts w:asciiTheme="majorBidi" w:hAnsiTheme="majorBidi" w:cstheme="majorBidi"/>
          <w:color w:val="0D0D0D"/>
        </w:rPr>
        <w:t xml:space="preserve"> The adoption of International Financial Reporting Standards (IFRS) is seen as a major factor in enhancing the comparability of Zenith Bank PLC's financial statements with those of other global banks. A resounding 83.33% (50 respondents) strongly agree and 16.67% (10 respondents) agree that IFRS adoption has been beneficial in this regard. There is unanimous agreement on this point, as no respondents were neutral or disagreed. This highlights the perceived value of IFRS in creating a common language for financial reporting, which facilitates better comparison and understanding of financial statements on a global scale.</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9: Regulatory Requirements</w:t>
      </w:r>
      <w:r w:rsidRPr="008A32C1">
        <w:rPr>
          <w:rFonts w:asciiTheme="majorBidi" w:hAnsiTheme="majorBidi" w:cstheme="majorBidi"/>
          <w:color w:val="0D0D0D"/>
        </w:rPr>
        <w:t xml:space="preserve"> Globalization has led to increased regulatory requirements, which are perceived to have positively impacted the quality of financial reporting at Zenith Bank PLC. The majority of respondents, 51.67% (31 respondents), strongly agree with this, while 41.67% (25 respondents) agree, and only a small fraction, 6.67% (4 respondents), are neutral. The absence of disagreement indicates a general consensus that enhanced regulatory frameworks driven by globalization have led to </w:t>
      </w:r>
      <w:r w:rsidRPr="008A32C1">
        <w:rPr>
          <w:rFonts w:asciiTheme="majorBidi" w:hAnsiTheme="majorBidi" w:cstheme="majorBidi"/>
          <w:color w:val="0D0D0D"/>
        </w:rPr>
        <w:lastRenderedPageBreak/>
        <w:t>improvements in financial reporting quality, likely due to more stringent oversight and higher compliance standards.</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10: Alignment with Global Best Practices</w:t>
      </w:r>
      <w:r w:rsidRPr="008A32C1">
        <w:rPr>
          <w:rFonts w:asciiTheme="majorBidi" w:hAnsiTheme="majorBidi" w:cstheme="majorBidi"/>
          <w:color w:val="0D0D0D"/>
        </w:rPr>
        <w:t xml:space="preserve"> When considering the alignment of financial reporting practices with global best practices, 80% (48 respondents) strongly agree and 20% (12 respondents) agree that globalization has driven such alignment at Zenith Bank PLC. The lack of neutrality or disagreement underscores a strong belief that global standards have been instrumental in shaping the bank's reporting practices to align more closely with international norms, thereby ensuring consistency and reliability in financial reporting.</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11: Frequency and Detail of Disclosures</w:t>
      </w:r>
      <w:r w:rsidRPr="008A32C1">
        <w:rPr>
          <w:rFonts w:asciiTheme="majorBidi" w:hAnsiTheme="majorBidi" w:cstheme="majorBidi"/>
          <w:color w:val="0D0D0D"/>
        </w:rPr>
        <w:t xml:space="preserve"> The influence of global financial markets has necessitated more frequent and detailed financial disclosures by Zenith Bank PLC. While 38.33% (23 respondents) strongly agree and 20% (12 respondents) agree, a notable portion of respondents either remain neutral (13.33%, 8 respondents) or disagree (16.67%, 10 respondents), with 11.67% (7 respondents) strongly disagreeing. This mixed response may reflect varying perspectives on the burden versus the benefits of increased disclosure requirements, with some viewing it as a positive step towards greater transparency and others seeing it as a potentially onerous obligation.</w:t>
      </w:r>
    </w:p>
    <w:p w:rsidR="00151DA4" w:rsidRPr="008A32C1" w:rsidRDefault="00151DA4" w:rsidP="00151DA4">
      <w:pPr>
        <w:pStyle w:val="Heading4"/>
        <w:shd w:val="clear" w:color="auto" w:fill="FFFFFF"/>
        <w:spacing w:before="0" w:after="240" w:line="360" w:lineRule="auto"/>
        <w:rPr>
          <w:rFonts w:asciiTheme="majorBidi" w:hAnsiTheme="majorBidi"/>
          <w:i w:val="0"/>
          <w:iCs w:val="0"/>
          <w:color w:val="0D0D0D"/>
          <w:sz w:val="24"/>
          <w:szCs w:val="24"/>
        </w:rPr>
      </w:pPr>
      <w:r w:rsidRPr="008A32C1">
        <w:rPr>
          <w:rFonts w:asciiTheme="majorBidi" w:hAnsiTheme="majorBidi"/>
          <w:i w:val="0"/>
          <w:iCs w:val="0"/>
          <w:color w:val="0D0D0D"/>
          <w:sz w:val="24"/>
          <w:szCs w:val="24"/>
        </w:rPr>
        <w:t>Objective ii: To Identify the Key Challenges Faced by Zenith Bank PLC in Adapting to Financial Reporting with Global Standards and Requirements</w:t>
      </w:r>
    </w:p>
    <w:p w:rsidR="00151DA4" w:rsidRPr="00AA591C" w:rsidRDefault="00151DA4" w:rsidP="00151DA4">
      <w:pPr>
        <w:shd w:val="clear" w:color="auto" w:fill="FFFFFF"/>
        <w:spacing w:after="240" w:line="360" w:lineRule="auto"/>
        <w:jc w:val="both"/>
        <w:rPr>
          <w:rFonts w:asciiTheme="majorBidi" w:eastAsia="Times New Roman" w:hAnsiTheme="majorBidi" w:cstheme="majorBidi"/>
          <w:color w:val="0D0D0D"/>
          <w:sz w:val="24"/>
          <w:szCs w:val="24"/>
        </w:rPr>
      </w:pPr>
      <w:r w:rsidRPr="008A32C1">
        <w:rPr>
          <w:rFonts w:asciiTheme="majorBidi" w:eastAsia="Times New Roman" w:hAnsiTheme="majorBidi" w:cstheme="majorBidi"/>
          <w:b/>
          <w:bCs/>
          <w:color w:val="0D0D0D"/>
          <w:sz w:val="24"/>
          <w:szCs w:val="24"/>
          <w:bdr w:val="single" w:sz="2" w:space="0" w:color="E3E3E3" w:frame="1"/>
        </w:rPr>
        <w:t>Table 12: Training Challenges</w:t>
      </w:r>
      <w:r w:rsidRPr="00AA591C">
        <w:rPr>
          <w:rFonts w:asciiTheme="majorBidi" w:eastAsia="Times New Roman" w:hAnsiTheme="majorBidi" w:cstheme="majorBidi"/>
          <w:color w:val="0D0D0D"/>
          <w:sz w:val="24"/>
          <w:szCs w:val="24"/>
        </w:rPr>
        <w:t xml:space="preserve"> </w:t>
      </w:r>
      <w:proofErr w:type="gramStart"/>
      <w:r w:rsidRPr="00AA591C">
        <w:rPr>
          <w:rFonts w:asciiTheme="majorBidi" w:eastAsia="Times New Roman" w:hAnsiTheme="majorBidi" w:cstheme="majorBidi"/>
          <w:color w:val="0D0D0D"/>
          <w:sz w:val="24"/>
          <w:szCs w:val="24"/>
        </w:rPr>
        <w:t>A</w:t>
      </w:r>
      <w:proofErr w:type="gramEnd"/>
      <w:r w:rsidRPr="00AA591C">
        <w:rPr>
          <w:rFonts w:asciiTheme="majorBidi" w:eastAsia="Times New Roman" w:hAnsiTheme="majorBidi" w:cstheme="majorBidi"/>
          <w:color w:val="0D0D0D"/>
          <w:sz w:val="24"/>
          <w:szCs w:val="24"/>
        </w:rPr>
        <w:t xml:space="preserve"> significant challenge identified is the training of staff to understand and apply global financial reporting standards. This is supported by 66.67% (40 respondents) who strongly agree and 16.67% (10 respondents) who agree. Meanwhile, 8.33% (5 respondents) are neutral and 8.33% (5 respondents) disagree. The consensus here suggests that the complexity and specificity of global standards necessitate substantial training efforts, which can be resource-intensive and challenging to implement effectively across the organization.</w:t>
      </w:r>
    </w:p>
    <w:p w:rsidR="00151DA4" w:rsidRPr="00AA591C" w:rsidRDefault="00151DA4" w:rsidP="00151DA4">
      <w:pPr>
        <w:shd w:val="clear" w:color="auto" w:fill="FFFFFF"/>
        <w:spacing w:after="240" w:line="360" w:lineRule="auto"/>
        <w:jc w:val="both"/>
        <w:rPr>
          <w:rFonts w:asciiTheme="majorBidi" w:eastAsia="Times New Roman" w:hAnsiTheme="majorBidi" w:cstheme="majorBidi"/>
          <w:color w:val="0D0D0D"/>
          <w:sz w:val="24"/>
          <w:szCs w:val="24"/>
        </w:rPr>
      </w:pPr>
      <w:r w:rsidRPr="008A32C1">
        <w:rPr>
          <w:rFonts w:asciiTheme="majorBidi" w:eastAsia="Times New Roman" w:hAnsiTheme="majorBidi" w:cstheme="majorBidi"/>
          <w:b/>
          <w:bCs/>
          <w:color w:val="0D0D0D"/>
          <w:sz w:val="24"/>
          <w:szCs w:val="24"/>
          <w:bdr w:val="single" w:sz="2" w:space="0" w:color="E3E3E3" w:frame="1"/>
        </w:rPr>
        <w:lastRenderedPageBreak/>
        <w:t>Table 13: Cost of Compliance</w:t>
      </w:r>
      <w:r w:rsidRPr="00AA591C">
        <w:rPr>
          <w:rFonts w:asciiTheme="majorBidi" w:eastAsia="Times New Roman" w:hAnsiTheme="majorBidi" w:cstheme="majorBidi"/>
          <w:color w:val="0D0D0D"/>
          <w:sz w:val="24"/>
          <w:szCs w:val="24"/>
        </w:rPr>
        <w:t xml:space="preserve"> Interestingly, the perception of the cost associated with implementing and maintaining compliance with global financial reporting standards is predominantly viewed as not being a major challenge. A significant 66.67% (40 respondents) strongly disagree, and 16.67% (10 respondents) disagree, while 16.67% (10 respondents) remain neutral. The lack of agreement or strong agreement indicates that the financial burden of compliance may not be as significant as initially presumed, or it could be that the benefits outweigh the costs, making the financial investment justifiable.</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14: Technological Infrastructure</w:t>
      </w:r>
      <w:r w:rsidRPr="008A32C1">
        <w:rPr>
          <w:rFonts w:asciiTheme="majorBidi" w:hAnsiTheme="majorBidi" w:cstheme="majorBidi"/>
          <w:color w:val="0D0D0D"/>
        </w:rPr>
        <w:t xml:space="preserve"> </w:t>
      </w:r>
      <w:proofErr w:type="gramStart"/>
      <w:r w:rsidRPr="008A32C1">
        <w:rPr>
          <w:rFonts w:asciiTheme="majorBidi" w:hAnsiTheme="majorBidi" w:cstheme="majorBidi"/>
          <w:color w:val="0D0D0D"/>
        </w:rPr>
        <w:t>A</w:t>
      </w:r>
      <w:proofErr w:type="gramEnd"/>
      <w:r w:rsidRPr="008A32C1">
        <w:rPr>
          <w:rFonts w:asciiTheme="majorBidi" w:hAnsiTheme="majorBidi" w:cstheme="majorBidi"/>
          <w:color w:val="0D0D0D"/>
        </w:rPr>
        <w:t xml:space="preserve"> lack of adequate technological infrastructure to support global financial reporting requirements is not seen as a major issue, with 66.67% (40 respondents) strongly disagreeing and 16.67% (10 respondents) disagreeing. Only 16.67% (10 respondents) are neutral. This suggests that Zenith Bank PLC has largely addressed the technological needs necessary for global compliance, or that existing infrastructure is deemed sufficient by the majority.</w:t>
      </w:r>
    </w:p>
    <w:p w:rsidR="00151DA4"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15: Reconciliation of Local and Global Standards</w:t>
      </w:r>
      <w:r w:rsidRPr="008A32C1">
        <w:rPr>
          <w:rFonts w:asciiTheme="majorBidi" w:hAnsiTheme="majorBidi" w:cstheme="majorBidi"/>
          <w:color w:val="0D0D0D"/>
        </w:rPr>
        <w:t xml:space="preserve"> Reconciling local regulatory requirements with global financial reporting standards is perceived as a notable challenge. Among respondents, 38.33% (23 respondents) strongly agree and 20% (12 respondents) agree, while 13.33% (8 respondents) are neutral. A combined 28.34% (17 respondents) disagree or strongly disagree, indicating some division on this issue. The challenge likely stems from the complexity of navigating and aligning different regulatory frameworks, which can be resource-intensive and complicated.</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16: Cultural Differences</w:t>
      </w:r>
      <w:r w:rsidRPr="008A32C1">
        <w:rPr>
          <w:rFonts w:asciiTheme="majorBidi" w:hAnsiTheme="majorBidi" w:cstheme="majorBidi"/>
          <w:color w:val="0D0D0D"/>
        </w:rPr>
        <w:t xml:space="preserve"> Cultural differences and variations in business practices also pose challenges in aligning with global financial reporting standards. This is strongly agreed upon by 66.67% (40 respondents) and agreed upon by 16.67% (10 respondents), with 8.33% (5 respondents) neutral and 8.33% (5 respondents) disagreeing. The data reflects the reality that different cultural and business norms can complicate the adoption and implementation of standardized global practices.</w:t>
      </w:r>
    </w:p>
    <w:p w:rsidR="00151DA4" w:rsidRPr="008A32C1" w:rsidRDefault="00151DA4" w:rsidP="00151DA4">
      <w:pPr>
        <w:pStyle w:val="Heading4"/>
        <w:shd w:val="clear" w:color="auto" w:fill="FFFFFF"/>
        <w:spacing w:before="0" w:after="240" w:line="360" w:lineRule="auto"/>
        <w:jc w:val="both"/>
        <w:rPr>
          <w:rFonts w:asciiTheme="majorBidi" w:hAnsiTheme="majorBidi"/>
          <w:i w:val="0"/>
          <w:iCs w:val="0"/>
          <w:color w:val="0D0D0D"/>
          <w:sz w:val="24"/>
          <w:szCs w:val="24"/>
        </w:rPr>
      </w:pPr>
      <w:r w:rsidRPr="008A32C1">
        <w:rPr>
          <w:rFonts w:asciiTheme="majorBidi" w:hAnsiTheme="majorBidi"/>
          <w:i w:val="0"/>
          <w:iCs w:val="0"/>
          <w:color w:val="0D0D0D"/>
          <w:sz w:val="24"/>
          <w:szCs w:val="24"/>
        </w:rPr>
        <w:lastRenderedPageBreak/>
        <w:t>Objective iii: To Propose Strategies for Zenith Bank PLC to Improve Its Financial Reporting Effectiveness in the Era of Globalization</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17: Continuous Training and Development</w:t>
      </w:r>
      <w:r w:rsidRPr="008A32C1">
        <w:rPr>
          <w:rFonts w:asciiTheme="majorBidi" w:hAnsiTheme="majorBidi" w:cstheme="majorBidi"/>
          <w:color w:val="0D0D0D"/>
        </w:rPr>
        <w:t xml:space="preserve"> Investing in continuous training and development programs for staff is widely seen as a crucial strategy for improving financial reporting effectiveness. An overwhelming 80% (48 respondents) strongly agree and 20% (12 respondents) agree with this strategy. There is no neutrality or disagreement, emphasizing the critical importance of ongoing education and skill development in maintaining high standards of financial reporting.</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18: Upgrading Technological Infrastructure</w:t>
      </w:r>
      <w:r w:rsidRPr="008A32C1">
        <w:rPr>
          <w:rFonts w:asciiTheme="majorBidi" w:hAnsiTheme="majorBidi" w:cstheme="majorBidi"/>
          <w:color w:val="0D0D0D"/>
        </w:rPr>
        <w:t xml:space="preserve"> Upgrading technological infrastructure is also viewed as essential, with 75% (45 respondents) strongly agreeing and 21.67% (13 respondents) agreeing, while only 3.33% (2 respondents) remain neutral. This underscores the need for robust and up-to-date technology systems to support the complex requirements of global financial reporting standards effectively.</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19: Dedicated Compliance Team</w:t>
      </w:r>
      <w:r w:rsidRPr="008A32C1">
        <w:rPr>
          <w:rFonts w:asciiTheme="majorBidi" w:hAnsiTheme="majorBidi" w:cstheme="majorBidi"/>
          <w:color w:val="0D0D0D"/>
        </w:rPr>
        <w:t xml:space="preserve"> Establishing a dedicated compliance team focused on global financial reporting standards is another strategy that received strong support. Here, 35% (21 respondents) strongly agree and 58.33% (35 respondents) agree, while a small percentage are neutral (3.33%, 2 respondents) or disagree (3.33%, 2 respondents). This indicates that a specialized team could enhance the accuracy and reliability of financial reporting by ensuring consistent compliance and adaptation to global standards.</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t>Table 20: International Collaboration</w:t>
      </w:r>
      <w:r w:rsidRPr="008A32C1">
        <w:rPr>
          <w:rFonts w:asciiTheme="majorBidi" w:hAnsiTheme="majorBidi" w:cstheme="majorBidi"/>
          <w:color w:val="0D0D0D"/>
        </w:rPr>
        <w:t xml:space="preserve"> Enhancing collaboration with international financial institutions and regulatory bodies is seen as beneficial by a majority, with 51.67% (31 respondents) strongly agreeing and 41.67% (25 respondents) agreeing, and 6.67% (4 respondents) neutral. This suggests that such collaborations could provide valuable insights, resources, and support, aiding Zenith Bank PLC in navigating and adopting global financial reporting practices more effectively.</w:t>
      </w:r>
    </w:p>
    <w:p w:rsidR="00151DA4" w:rsidRPr="008A32C1"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Style w:val="Strong"/>
          <w:rFonts w:asciiTheme="majorBidi" w:eastAsiaTheme="majorEastAsia" w:hAnsiTheme="majorBidi"/>
          <w:color w:val="0D0D0D"/>
          <w:bdr w:val="single" w:sz="2" w:space="0" w:color="E3E3E3" w:frame="1"/>
        </w:rPr>
        <w:lastRenderedPageBreak/>
        <w:t>Table 21: Comprehensive Reporting Framework</w:t>
      </w:r>
      <w:r w:rsidRPr="008A32C1">
        <w:rPr>
          <w:rFonts w:asciiTheme="majorBidi" w:hAnsiTheme="majorBidi" w:cstheme="majorBidi"/>
          <w:color w:val="0D0D0D"/>
        </w:rPr>
        <w:t xml:space="preserve"> </w:t>
      </w:r>
      <w:proofErr w:type="gramStart"/>
      <w:r w:rsidRPr="008A32C1">
        <w:rPr>
          <w:rFonts w:asciiTheme="majorBidi" w:hAnsiTheme="majorBidi" w:cstheme="majorBidi"/>
          <w:color w:val="0D0D0D"/>
        </w:rPr>
        <w:t>Developing</w:t>
      </w:r>
      <w:proofErr w:type="gramEnd"/>
      <w:r w:rsidRPr="008A32C1">
        <w:rPr>
          <w:rFonts w:asciiTheme="majorBidi" w:hAnsiTheme="majorBidi" w:cstheme="majorBidi"/>
          <w:color w:val="0D0D0D"/>
        </w:rPr>
        <w:t xml:space="preserve"> a comprehensive financial reporting framework that integrates both local and international standards is overwhelmingly supported, with 83.33% (50 respondents) strongly agreeing and 16.67% (10 respondents) agreeing. This strategy is seen as pivotal in overcoming reporting challenges, ensuring that Zenith Bank PLC can maintain compliance with both local and global requirements seamlessly.</w:t>
      </w:r>
    </w:p>
    <w:p w:rsidR="00151DA4" w:rsidRPr="008A32C1" w:rsidRDefault="00151DA4" w:rsidP="00151DA4">
      <w:pPr>
        <w:pStyle w:val="NormalWeb"/>
        <w:shd w:val="clear" w:color="auto" w:fill="FFFFFF"/>
        <w:spacing w:before="0" w:beforeAutospacing="0" w:after="240" w:afterAutospacing="0" w:line="360" w:lineRule="auto"/>
        <w:rPr>
          <w:rFonts w:asciiTheme="majorBidi" w:hAnsiTheme="majorBidi" w:cstheme="majorBidi"/>
          <w:b/>
          <w:bCs/>
          <w:color w:val="0D0D0D"/>
        </w:rPr>
      </w:pPr>
      <w:r w:rsidRPr="008A32C1">
        <w:rPr>
          <w:rFonts w:asciiTheme="majorBidi" w:hAnsiTheme="majorBidi" w:cstheme="majorBidi"/>
          <w:b/>
          <w:bCs/>
          <w:color w:val="0D0D0D"/>
        </w:rPr>
        <w:t>4.3</w:t>
      </w:r>
      <w:r w:rsidRPr="008A32C1">
        <w:rPr>
          <w:rFonts w:asciiTheme="majorBidi" w:hAnsiTheme="majorBidi" w:cstheme="majorBidi"/>
          <w:b/>
          <w:bCs/>
          <w:color w:val="0D0D0D"/>
        </w:rPr>
        <w:tab/>
        <w:t>Discussion of Findings</w:t>
      </w:r>
    </w:p>
    <w:p w:rsidR="00151DA4" w:rsidRPr="008A32C1" w:rsidRDefault="00151DA4" w:rsidP="00151DA4">
      <w:pPr>
        <w:pStyle w:val="Heading4"/>
        <w:shd w:val="clear" w:color="auto" w:fill="FFFFFF"/>
        <w:spacing w:before="0" w:after="240" w:line="360" w:lineRule="auto"/>
        <w:jc w:val="both"/>
        <w:rPr>
          <w:rFonts w:asciiTheme="majorBidi" w:hAnsiTheme="majorBidi"/>
          <w:i w:val="0"/>
          <w:iCs w:val="0"/>
          <w:color w:val="0D0D0D"/>
          <w:sz w:val="24"/>
          <w:szCs w:val="24"/>
        </w:rPr>
      </w:pPr>
      <w:r w:rsidRPr="008A32C1">
        <w:rPr>
          <w:rFonts w:asciiTheme="majorBidi" w:hAnsiTheme="majorBidi"/>
          <w:i w:val="0"/>
          <w:iCs w:val="0"/>
          <w:color w:val="0D0D0D"/>
          <w:sz w:val="24"/>
          <w:szCs w:val="24"/>
        </w:rPr>
        <w:t>Effect of Globalization on Financial Reporting at Zenith Bank PLC</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8A32C1">
        <w:rPr>
          <w:rFonts w:asciiTheme="majorBidi" w:hAnsiTheme="majorBidi" w:cstheme="majorBidi"/>
          <w:color w:val="0D0D0D"/>
        </w:rPr>
        <w:t>Globalization has had a significant effect on the financial reporting practices of Zenith Bank PLC, as evidenced by the survey data. The data reveals a strong consensus that globalization has enhanced the transparency and accuracy of financial reporting at the bank. According to Table 7, 83.33% of respondents agree</w:t>
      </w:r>
      <w:r w:rsidRPr="0061493E">
        <w:rPr>
          <w:rFonts w:asciiTheme="majorBidi" w:hAnsiTheme="majorBidi" w:cstheme="majorBidi"/>
          <w:color w:val="0D0D0D"/>
        </w:rPr>
        <w:t xml:space="preserve"> or strongly agree that globalization has led to improvements in these areas. This reflects the broader trend where globalization has compelled banks to adopt international standards, thus increasing the quality and reliability of financial disclosures (Chand &amp; Patel, 2008).</w:t>
      </w:r>
    </w:p>
    <w:p w:rsidR="00151DA4" w:rsidRPr="0061493E" w:rsidRDefault="00151DA4" w:rsidP="00151DA4">
      <w:pPr>
        <w:pStyle w:val="Heading4"/>
        <w:shd w:val="clear" w:color="auto" w:fill="FFFFFF"/>
        <w:spacing w:before="0" w:after="240" w:line="360" w:lineRule="auto"/>
        <w:jc w:val="both"/>
        <w:rPr>
          <w:rFonts w:asciiTheme="majorBidi" w:hAnsiTheme="majorBidi"/>
          <w:color w:val="0D0D0D"/>
          <w:sz w:val="24"/>
          <w:szCs w:val="24"/>
        </w:rPr>
      </w:pPr>
      <w:r w:rsidRPr="0061493E">
        <w:rPr>
          <w:rFonts w:asciiTheme="majorBidi" w:hAnsiTheme="majorBidi"/>
          <w:color w:val="0D0D0D"/>
          <w:sz w:val="24"/>
          <w:szCs w:val="24"/>
        </w:rPr>
        <w:t>Adoption of International Financial Reporting Standards (IFRS)</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The adoption of IFRS has played a crucial role in this process. Table 8 shows unanimous agreement (100%) among respondents that IFRS adoption has enhanced the comparability of Zenith Bank PLC’s financial statements with those of other global banks. IFRS provides a uniform framework that facilitates the comparison of financial statements across different jurisdictions, promoting transparency and investor confidence (Ball, 2006). This adoption is consistent with global trends, where IFRS is becoming the benchmark for financial reporting standards due to its comprehensive and transparent nature (Barth, 2008).</w:t>
      </w:r>
    </w:p>
    <w:p w:rsidR="00151DA4" w:rsidRPr="0061493E" w:rsidRDefault="00151DA4" w:rsidP="00151DA4">
      <w:pPr>
        <w:pStyle w:val="Heading4"/>
        <w:shd w:val="clear" w:color="auto" w:fill="FFFFFF"/>
        <w:spacing w:before="0" w:after="240" w:line="360" w:lineRule="auto"/>
        <w:jc w:val="both"/>
        <w:rPr>
          <w:rFonts w:asciiTheme="majorBidi" w:hAnsiTheme="majorBidi"/>
          <w:color w:val="0D0D0D"/>
          <w:sz w:val="24"/>
          <w:szCs w:val="24"/>
        </w:rPr>
      </w:pPr>
      <w:r w:rsidRPr="0061493E">
        <w:rPr>
          <w:rFonts w:asciiTheme="majorBidi" w:hAnsiTheme="majorBidi"/>
          <w:color w:val="0D0D0D"/>
          <w:sz w:val="24"/>
          <w:szCs w:val="24"/>
        </w:rPr>
        <w:lastRenderedPageBreak/>
        <w:t>Increased Regulatory Requirements</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Globalization has also resulted in increased regulatory requirements, which have positively impacted financial reporting quality at Zenith Bank PLC. As indicated in Table 9, 93.34% of respondents agree that these regulatory requirements have improved reporting quality. Enhanced regulations typically involve stricter compliance and disclosure norms, which can lead to higher transparency and accountability in financial reporting (Bushman &amp; Landsman, 2010).</w:t>
      </w:r>
    </w:p>
    <w:p w:rsidR="00151DA4" w:rsidRPr="0061493E" w:rsidRDefault="00151DA4" w:rsidP="00151DA4">
      <w:pPr>
        <w:pStyle w:val="Heading4"/>
        <w:shd w:val="clear" w:color="auto" w:fill="FFFFFF"/>
        <w:spacing w:before="0" w:after="240" w:line="360" w:lineRule="auto"/>
        <w:jc w:val="both"/>
        <w:rPr>
          <w:rFonts w:asciiTheme="majorBidi" w:hAnsiTheme="majorBidi"/>
          <w:color w:val="0D0D0D"/>
          <w:sz w:val="24"/>
          <w:szCs w:val="24"/>
        </w:rPr>
      </w:pPr>
      <w:r w:rsidRPr="0061493E">
        <w:rPr>
          <w:rFonts w:asciiTheme="majorBidi" w:hAnsiTheme="majorBidi"/>
          <w:color w:val="0D0D0D"/>
          <w:sz w:val="24"/>
          <w:szCs w:val="24"/>
        </w:rPr>
        <w:t>Alignment with Global Best Practices</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Table 10 further supports the notion that globalization has driven Zenith Bank PLC to align its financial reporting practices with global best practices, with 100% agreement among respondents. This alignment ensures that the bank's financial statements are consistent, reliable, and comparable internationally, adhering to the best practices promoted by global financial bodies (</w:t>
      </w:r>
      <w:proofErr w:type="spellStart"/>
      <w:r w:rsidRPr="0061493E">
        <w:rPr>
          <w:rFonts w:asciiTheme="majorBidi" w:hAnsiTheme="majorBidi" w:cstheme="majorBidi"/>
          <w:color w:val="0D0D0D"/>
        </w:rPr>
        <w:t>Doupnik</w:t>
      </w:r>
      <w:proofErr w:type="spellEnd"/>
      <w:r w:rsidRPr="0061493E">
        <w:rPr>
          <w:rFonts w:asciiTheme="majorBidi" w:hAnsiTheme="majorBidi" w:cstheme="majorBidi"/>
          <w:color w:val="0D0D0D"/>
        </w:rPr>
        <w:t xml:space="preserve"> &amp; </w:t>
      </w:r>
      <w:proofErr w:type="spellStart"/>
      <w:r w:rsidRPr="0061493E">
        <w:rPr>
          <w:rFonts w:asciiTheme="majorBidi" w:hAnsiTheme="majorBidi" w:cstheme="majorBidi"/>
          <w:color w:val="0D0D0D"/>
        </w:rPr>
        <w:t>Perera</w:t>
      </w:r>
      <w:proofErr w:type="spellEnd"/>
      <w:r w:rsidRPr="0061493E">
        <w:rPr>
          <w:rFonts w:asciiTheme="majorBidi" w:hAnsiTheme="majorBidi" w:cstheme="majorBidi"/>
          <w:color w:val="0D0D0D"/>
        </w:rPr>
        <w:t>, 2007).</w:t>
      </w:r>
    </w:p>
    <w:p w:rsidR="00151DA4" w:rsidRPr="0061493E" w:rsidRDefault="00151DA4" w:rsidP="00151DA4">
      <w:pPr>
        <w:pStyle w:val="Heading4"/>
        <w:shd w:val="clear" w:color="auto" w:fill="FFFFFF"/>
        <w:spacing w:before="0" w:after="240" w:line="360" w:lineRule="auto"/>
        <w:jc w:val="both"/>
        <w:rPr>
          <w:rFonts w:asciiTheme="majorBidi" w:hAnsiTheme="majorBidi"/>
          <w:color w:val="0D0D0D"/>
          <w:sz w:val="24"/>
          <w:szCs w:val="24"/>
        </w:rPr>
      </w:pPr>
      <w:r w:rsidRPr="0061493E">
        <w:rPr>
          <w:rFonts w:asciiTheme="majorBidi" w:hAnsiTheme="majorBidi"/>
          <w:color w:val="0D0D0D"/>
          <w:sz w:val="24"/>
          <w:szCs w:val="24"/>
        </w:rPr>
        <w:t>Frequency and Detail of Disclosures</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However, the influence of global financial markets necessitating more frequent and detailed financial disclosures presents a mixed response. As shown in Table 11, while a significant portion (58.33%) agrees with the increased need for disclosures, a notable percentage (28.34%) disagrees or strongly disagrees. This division highlights the balance that banks must strike between transparency and the operational burden of frequent disclosures (Healy &amp; </w:t>
      </w:r>
      <w:proofErr w:type="spellStart"/>
      <w:r w:rsidRPr="0061493E">
        <w:rPr>
          <w:rFonts w:asciiTheme="majorBidi" w:hAnsiTheme="majorBidi" w:cstheme="majorBidi"/>
          <w:color w:val="0D0D0D"/>
        </w:rPr>
        <w:t>Palepu</w:t>
      </w:r>
      <w:proofErr w:type="spellEnd"/>
      <w:r w:rsidRPr="0061493E">
        <w:rPr>
          <w:rFonts w:asciiTheme="majorBidi" w:hAnsiTheme="majorBidi" w:cstheme="majorBidi"/>
          <w:color w:val="0D0D0D"/>
        </w:rPr>
        <w:t>, 2001).</w:t>
      </w:r>
    </w:p>
    <w:p w:rsidR="00151DA4" w:rsidRPr="0061493E" w:rsidRDefault="00151DA4" w:rsidP="00151DA4">
      <w:pPr>
        <w:pStyle w:val="Heading4"/>
        <w:shd w:val="clear" w:color="auto" w:fill="FFFFFF"/>
        <w:spacing w:before="0" w:after="240" w:line="360" w:lineRule="auto"/>
        <w:jc w:val="both"/>
        <w:rPr>
          <w:rFonts w:asciiTheme="majorBidi" w:hAnsiTheme="majorBidi"/>
          <w:color w:val="0D0D0D"/>
          <w:sz w:val="24"/>
          <w:szCs w:val="24"/>
        </w:rPr>
      </w:pPr>
      <w:r w:rsidRPr="0061493E">
        <w:rPr>
          <w:rFonts w:asciiTheme="majorBidi" w:hAnsiTheme="majorBidi"/>
          <w:color w:val="0D0D0D"/>
          <w:sz w:val="24"/>
          <w:szCs w:val="24"/>
        </w:rPr>
        <w:t>Key Challenges in Adapting to Global Standards</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Despite the benefits, Zenith Bank PLC faces significant challenges in adapting to global financial reporting standards.</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lastRenderedPageBreak/>
        <w:t>Training Challenges</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Training staff to understand and apply these standards is a major challenge, with 83.34% of respondents (Table 12) acknowledging this </w:t>
      </w:r>
      <w:proofErr w:type="gramStart"/>
      <w:r w:rsidRPr="0061493E">
        <w:rPr>
          <w:rFonts w:asciiTheme="majorBidi" w:hAnsiTheme="majorBidi" w:cstheme="majorBidi"/>
          <w:color w:val="0D0D0D"/>
        </w:rPr>
        <w:t>issue.</w:t>
      </w:r>
      <w:proofErr w:type="gramEnd"/>
      <w:r w:rsidRPr="0061493E">
        <w:rPr>
          <w:rFonts w:asciiTheme="majorBidi" w:hAnsiTheme="majorBidi" w:cstheme="majorBidi"/>
          <w:color w:val="0D0D0D"/>
        </w:rPr>
        <w:t xml:space="preserve"> The complexity of global standards like IFRS requires continuous education and training programs to ensure that staff can competently handle financial reporting requirements (Carmona &amp; </w:t>
      </w:r>
      <w:proofErr w:type="spellStart"/>
      <w:r w:rsidRPr="0061493E">
        <w:rPr>
          <w:rFonts w:asciiTheme="majorBidi" w:hAnsiTheme="majorBidi" w:cstheme="majorBidi"/>
          <w:color w:val="0D0D0D"/>
        </w:rPr>
        <w:t>Trombetta</w:t>
      </w:r>
      <w:proofErr w:type="spellEnd"/>
      <w:r w:rsidRPr="0061493E">
        <w:rPr>
          <w:rFonts w:asciiTheme="majorBidi" w:hAnsiTheme="majorBidi" w:cstheme="majorBidi"/>
          <w:color w:val="0D0D0D"/>
        </w:rPr>
        <w:t>, 2008).</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Cost of Compliance</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Interestingly, the cost of compliance is not perceived as a major challenge, with 83.34% disagreeing that it poses a significant burden (Table 13). This could suggest that the benefits of adhering to global standards, such as enhanced credibility and access to international capital, outweigh the compliance costs (</w:t>
      </w:r>
      <w:proofErr w:type="spellStart"/>
      <w:r w:rsidRPr="0061493E">
        <w:rPr>
          <w:rFonts w:asciiTheme="majorBidi" w:hAnsiTheme="majorBidi" w:cstheme="majorBidi"/>
          <w:color w:val="0D0D0D"/>
        </w:rPr>
        <w:t>Leuz</w:t>
      </w:r>
      <w:proofErr w:type="spellEnd"/>
      <w:r w:rsidRPr="0061493E">
        <w:rPr>
          <w:rFonts w:asciiTheme="majorBidi" w:hAnsiTheme="majorBidi" w:cstheme="majorBidi"/>
          <w:color w:val="0D0D0D"/>
        </w:rPr>
        <w:t xml:space="preserve"> &amp; </w:t>
      </w:r>
      <w:proofErr w:type="spellStart"/>
      <w:r w:rsidRPr="0061493E">
        <w:rPr>
          <w:rFonts w:asciiTheme="majorBidi" w:hAnsiTheme="majorBidi" w:cstheme="majorBidi"/>
          <w:color w:val="0D0D0D"/>
        </w:rPr>
        <w:t>Wysocki</w:t>
      </w:r>
      <w:proofErr w:type="spellEnd"/>
      <w:r w:rsidRPr="0061493E">
        <w:rPr>
          <w:rFonts w:asciiTheme="majorBidi" w:hAnsiTheme="majorBidi" w:cstheme="majorBidi"/>
          <w:color w:val="0D0D0D"/>
        </w:rPr>
        <w:t xml:space="preserve">, </w:t>
      </w:r>
      <w:r>
        <w:rPr>
          <w:rFonts w:asciiTheme="majorBidi" w:hAnsiTheme="majorBidi" w:cstheme="majorBidi"/>
          <w:color w:val="0D0D0D"/>
        </w:rPr>
        <w:t>2020</w:t>
      </w:r>
      <w:r w:rsidRPr="0061493E">
        <w:rPr>
          <w:rFonts w:asciiTheme="majorBidi" w:hAnsiTheme="majorBidi" w:cstheme="majorBidi"/>
          <w:color w:val="0D0D0D"/>
        </w:rPr>
        <w:t>).</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Technological Infrastructure</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Technological infrastructure is similarly not seen as a major barrier, with 83.34% of respondents disagreeing that there is a lack of adequate infrastructure (Table 14). This indicates that Zenith Bank PLC has invested adequately in technology to support global financial reporting requirements (Baldwin et al., </w:t>
      </w:r>
      <w:r>
        <w:rPr>
          <w:rFonts w:asciiTheme="majorBidi" w:hAnsiTheme="majorBidi" w:cstheme="majorBidi"/>
          <w:color w:val="0D0D0D"/>
        </w:rPr>
        <w:t>2022</w:t>
      </w:r>
      <w:r w:rsidRPr="0061493E">
        <w:rPr>
          <w:rFonts w:asciiTheme="majorBidi" w:hAnsiTheme="majorBidi" w:cstheme="majorBidi"/>
          <w:color w:val="0D0D0D"/>
        </w:rPr>
        <w:t>).</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Reconciling Local and Global Standards</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Reconciling local regulatory requirements with global standards remains a notable challenge, with 58.33% of respondents agreeing (Table 15). This reconciliation is complex and resource-intensive, often requiring banks to navigate and comply with multiple, sometimes conflicting, regulatory frameworks (Ball, 2006).</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Cultural Differences</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Cultural differences and variations in business practices pose significant challenges as well, with 83.34% of respondents acknowledging this issue (Table 16). These differences can </w:t>
      </w:r>
      <w:r w:rsidRPr="0061493E">
        <w:rPr>
          <w:rFonts w:asciiTheme="majorBidi" w:hAnsiTheme="majorBidi" w:cstheme="majorBidi"/>
          <w:color w:val="0D0D0D"/>
        </w:rPr>
        <w:lastRenderedPageBreak/>
        <w:t>complicate the uniform application of global standards, as practices that are common in one region may not be applicable or acceptable in another (</w:t>
      </w:r>
      <w:proofErr w:type="spellStart"/>
      <w:r w:rsidRPr="0061493E">
        <w:rPr>
          <w:rFonts w:asciiTheme="majorBidi" w:hAnsiTheme="majorBidi" w:cstheme="majorBidi"/>
          <w:color w:val="0D0D0D"/>
        </w:rPr>
        <w:t>Doupnik</w:t>
      </w:r>
      <w:proofErr w:type="spellEnd"/>
      <w:r w:rsidRPr="0061493E">
        <w:rPr>
          <w:rFonts w:asciiTheme="majorBidi" w:hAnsiTheme="majorBidi" w:cstheme="majorBidi"/>
          <w:color w:val="0D0D0D"/>
        </w:rPr>
        <w:t xml:space="preserve"> &amp; </w:t>
      </w:r>
      <w:proofErr w:type="spellStart"/>
      <w:r w:rsidRPr="0061493E">
        <w:rPr>
          <w:rFonts w:asciiTheme="majorBidi" w:hAnsiTheme="majorBidi" w:cstheme="majorBidi"/>
          <w:color w:val="0D0D0D"/>
        </w:rPr>
        <w:t>Riccio</w:t>
      </w:r>
      <w:proofErr w:type="spellEnd"/>
      <w:r w:rsidRPr="0061493E">
        <w:rPr>
          <w:rFonts w:asciiTheme="majorBidi" w:hAnsiTheme="majorBidi" w:cstheme="majorBidi"/>
          <w:color w:val="0D0D0D"/>
        </w:rPr>
        <w:t>, 2006).</w:t>
      </w:r>
    </w:p>
    <w:p w:rsidR="00151DA4" w:rsidRPr="0061493E" w:rsidRDefault="00151DA4" w:rsidP="00151DA4">
      <w:pPr>
        <w:pStyle w:val="Heading4"/>
        <w:shd w:val="clear" w:color="auto" w:fill="FFFFFF"/>
        <w:spacing w:before="0" w:after="240" w:line="360" w:lineRule="auto"/>
        <w:jc w:val="both"/>
        <w:rPr>
          <w:rFonts w:asciiTheme="majorBidi" w:hAnsiTheme="majorBidi"/>
          <w:color w:val="0D0D0D"/>
          <w:sz w:val="24"/>
          <w:szCs w:val="24"/>
        </w:rPr>
      </w:pPr>
      <w:r w:rsidRPr="0061493E">
        <w:rPr>
          <w:rFonts w:asciiTheme="majorBidi" w:hAnsiTheme="majorBidi"/>
          <w:color w:val="0D0D0D"/>
          <w:sz w:val="24"/>
          <w:szCs w:val="24"/>
        </w:rPr>
        <w:t>Proposed Strategies for Improvement</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To address these challenges and improve financial reporting effectiveness, several strategies have been proposed.</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Continuous Training and Development</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Investing in continuous training and development programs for staff is crucial, with 100% of respondents supporting this strategy (Table 17). Continuous professional development ensures that </w:t>
      </w:r>
      <w:proofErr w:type="gramStart"/>
      <w:r w:rsidRPr="0061493E">
        <w:rPr>
          <w:rFonts w:asciiTheme="majorBidi" w:hAnsiTheme="majorBidi" w:cstheme="majorBidi"/>
          <w:color w:val="0D0D0D"/>
        </w:rPr>
        <w:t>staff remain</w:t>
      </w:r>
      <w:proofErr w:type="gramEnd"/>
      <w:r w:rsidRPr="0061493E">
        <w:rPr>
          <w:rFonts w:asciiTheme="majorBidi" w:hAnsiTheme="majorBidi" w:cstheme="majorBidi"/>
          <w:color w:val="0D0D0D"/>
        </w:rPr>
        <w:t xml:space="preserve"> updated with the latest standards and practices, thereby enhancing the accuracy and reliability of financial reporting (</w:t>
      </w:r>
      <w:proofErr w:type="spellStart"/>
      <w:r w:rsidRPr="0061493E">
        <w:rPr>
          <w:rFonts w:asciiTheme="majorBidi" w:hAnsiTheme="majorBidi" w:cstheme="majorBidi"/>
          <w:color w:val="0D0D0D"/>
        </w:rPr>
        <w:t>Jackling</w:t>
      </w:r>
      <w:proofErr w:type="spellEnd"/>
      <w:r w:rsidRPr="0061493E">
        <w:rPr>
          <w:rFonts w:asciiTheme="majorBidi" w:hAnsiTheme="majorBidi" w:cstheme="majorBidi"/>
          <w:color w:val="0D0D0D"/>
        </w:rPr>
        <w:t xml:space="preserve"> et al., </w:t>
      </w:r>
      <w:r>
        <w:rPr>
          <w:rFonts w:asciiTheme="majorBidi" w:hAnsiTheme="majorBidi" w:cstheme="majorBidi"/>
          <w:color w:val="0D0D0D"/>
        </w:rPr>
        <w:t>2022</w:t>
      </w:r>
      <w:r w:rsidRPr="0061493E">
        <w:rPr>
          <w:rFonts w:asciiTheme="majorBidi" w:hAnsiTheme="majorBidi" w:cstheme="majorBidi"/>
          <w:color w:val="0D0D0D"/>
        </w:rPr>
        <w:t>).</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Upgrading Technological Infrastructure</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Upgrading technological infrastructure is also essential, with 96.67% agreement among respondents (Table 18). Advanced technology can facilitate more efficient and accurate financial reporting processes, enabling better compliance with global standards (Moffitt &amp; </w:t>
      </w:r>
      <w:proofErr w:type="spellStart"/>
      <w:r w:rsidRPr="0061493E">
        <w:rPr>
          <w:rFonts w:asciiTheme="majorBidi" w:hAnsiTheme="majorBidi" w:cstheme="majorBidi"/>
          <w:color w:val="0D0D0D"/>
        </w:rPr>
        <w:t>Vasarhelyi</w:t>
      </w:r>
      <w:proofErr w:type="spellEnd"/>
      <w:r w:rsidRPr="0061493E">
        <w:rPr>
          <w:rFonts w:asciiTheme="majorBidi" w:hAnsiTheme="majorBidi" w:cstheme="majorBidi"/>
          <w:color w:val="0D0D0D"/>
        </w:rPr>
        <w:t>, 2013).</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Dedicated Compliance Team</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Establishing a dedicated compliance team focused on global standards is another effective strategy, supported by 93.33% of respondents (Table 19). Such a team can ensure consistent and accurate adherence to global standards, mitigating the risks of non-compliance (Hoffmann &amp; </w:t>
      </w:r>
      <w:proofErr w:type="spellStart"/>
      <w:r w:rsidRPr="0061493E">
        <w:rPr>
          <w:rFonts w:asciiTheme="majorBidi" w:hAnsiTheme="majorBidi" w:cstheme="majorBidi"/>
          <w:color w:val="0D0D0D"/>
        </w:rPr>
        <w:t>Zülch</w:t>
      </w:r>
      <w:proofErr w:type="spellEnd"/>
      <w:r w:rsidRPr="0061493E">
        <w:rPr>
          <w:rFonts w:asciiTheme="majorBidi" w:hAnsiTheme="majorBidi" w:cstheme="majorBidi"/>
          <w:color w:val="0D0D0D"/>
        </w:rPr>
        <w:t>, 2014).</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International Collaboration</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 xml:space="preserve">Enhancing collaboration with international financial institutions and regulatory bodies is beneficial, with 93.34% of respondents agreeing (Table 20). This collaboration can provide </w:t>
      </w:r>
      <w:r w:rsidRPr="0061493E">
        <w:rPr>
          <w:rFonts w:asciiTheme="majorBidi" w:hAnsiTheme="majorBidi" w:cstheme="majorBidi"/>
          <w:color w:val="0D0D0D"/>
        </w:rPr>
        <w:lastRenderedPageBreak/>
        <w:t>valuable insights and support, aiding in the seamless adoption of global standards (</w:t>
      </w:r>
      <w:proofErr w:type="spellStart"/>
      <w:r w:rsidRPr="0061493E">
        <w:rPr>
          <w:rFonts w:asciiTheme="majorBidi" w:hAnsiTheme="majorBidi" w:cstheme="majorBidi"/>
          <w:color w:val="0D0D0D"/>
        </w:rPr>
        <w:t>Botzem</w:t>
      </w:r>
      <w:proofErr w:type="spellEnd"/>
      <w:r w:rsidRPr="0061493E">
        <w:rPr>
          <w:rFonts w:asciiTheme="majorBidi" w:hAnsiTheme="majorBidi" w:cstheme="majorBidi"/>
          <w:color w:val="0D0D0D"/>
        </w:rPr>
        <w:t xml:space="preserve"> &amp; Quack, 2006).</w:t>
      </w:r>
    </w:p>
    <w:p w:rsidR="00151DA4" w:rsidRPr="0061493E" w:rsidRDefault="00151DA4" w:rsidP="00151DA4">
      <w:pPr>
        <w:pStyle w:val="Heading5"/>
        <w:shd w:val="clear" w:color="auto" w:fill="FFFFFF"/>
        <w:spacing w:before="0" w:after="240" w:line="360" w:lineRule="auto"/>
        <w:jc w:val="both"/>
        <w:rPr>
          <w:rFonts w:asciiTheme="majorBidi" w:hAnsiTheme="majorBidi"/>
          <w:b/>
          <w:bCs/>
          <w:color w:val="0D0D0D"/>
          <w:sz w:val="24"/>
          <w:szCs w:val="24"/>
        </w:rPr>
      </w:pPr>
      <w:r w:rsidRPr="0061493E">
        <w:rPr>
          <w:rFonts w:asciiTheme="majorBidi" w:hAnsiTheme="majorBidi"/>
          <w:b/>
          <w:bCs/>
          <w:color w:val="0D0D0D"/>
          <w:sz w:val="24"/>
          <w:szCs w:val="24"/>
        </w:rPr>
        <w:t>Comprehensive Financial Reporting Framework</w:t>
      </w:r>
    </w:p>
    <w:p w:rsidR="00151DA4" w:rsidRPr="0061493E" w:rsidRDefault="00151DA4" w:rsidP="00151DA4">
      <w:pPr>
        <w:pStyle w:val="NormalWeb"/>
        <w:shd w:val="clear" w:color="auto" w:fill="FFFFFF"/>
        <w:spacing w:before="0" w:beforeAutospacing="0" w:after="240" w:afterAutospacing="0" w:line="360" w:lineRule="auto"/>
        <w:jc w:val="both"/>
        <w:rPr>
          <w:rFonts w:asciiTheme="majorBidi" w:hAnsiTheme="majorBidi" w:cstheme="majorBidi"/>
          <w:color w:val="0D0D0D"/>
        </w:rPr>
      </w:pPr>
      <w:r w:rsidRPr="0061493E">
        <w:rPr>
          <w:rFonts w:asciiTheme="majorBidi" w:hAnsiTheme="majorBidi" w:cstheme="majorBidi"/>
          <w:color w:val="0D0D0D"/>
        </w:rPr>
        <w:t>Developing a comprehensive financial reporting framework that integrates both local and international standards is overwhelmingly supported, with 100% agreement (Table 21). This framework would facilitate compliance with diverse regulatory requirements, reducing the complexity and enhancing the coherence of financial reporting practices (</w:t>
      </w:r>
      <w:proofErr w:type="spellStart"/>
      <w:r w:rsidRPr="0061493E">
        <w:rPr>
          <w:rFonts w:asciiTheme="majorBidi" w:hAnsiTheme="majorBidi" w:cstheme="majorBidi"/>
          <w:color w:val="0D0D0D"/>
        </w:rPr>
        <w:t>Schipper</w:t>
      </w:r>
      <w:proofErr w:type="spellEnd"/>
      <w:r w:rsidRPr="0061493E">
        <w:rPr>
          <w:rFonts w:asciiTheme="majorBidi" w:hAnsiTheme="majorBidi" w:cstheme="majorBidi"/>
          <w:color w:val="0D0D0D"/>
        </w:rPr>
        <w:t>, 2005).</w:t>
      </w:r>
    </w:p>
    <w:p w:rsidR="00151DA4" w:rsidRPr="0061493E" w:rsidRDefault="00151DA4" w:rsidP="00151DA4">
      <w:pPr>
        <w:pStyle w:val="NormalWeb"/>
        <w:shd w:val="clear" w:color="auto" w:fill="FFFFFF"/>
        <w:spacing w:before="300" w:beforeAutospacing="0" w:after="300" w:afterAutospacing="0" w:line="360" w:lineRule="auto"/>
        <w:rPr>
          <w:rFonts w:asciiTheme="majorBidi" w:hAnsiTheme="majorBidi" w:cstheme="majorBidi"/>
          <w:b/>
          <w:bCs/>
          <w:color w:val="0D0D0D"/>
        </w:rPr>
      </w:pPr>
    </w:p>
    <w:p w:rsidR="00151DA4" w:rsidRPr="0061493E" w:rsidRDefault="00151DA4" w:rsidP="00151DA4">
      <w:pPr>
        <w:spacing w:line="360" w:lineRule="auto"/>
        <w:rPr>
          <w:rFonts w:asciiTheme="majorBidi" w:eastAsia="Times New Roman" w:hAnsiTheme="majorBidi" w:cstheme="majorBidi"/>
          <w:b/>
          <w:bCs/>
          <w:color w:val="0D0D0D"/>
          <w:sz w:val="24"/>
          <w:szCs w:val="24"/>
        </w:rPr>
      </w:pPr>
    </w:p>
    <w:p w:rsidR="00151DA4" w:rsidRPr="0061493E" w:rsidRDefault="00151DA4" w:rsidP="00151DA4">
      <w:pPr>
        <w:spacing w:line="360" w:lineRule="auto"/>
        <w:rPr>
          <w:rFonts w:asciiTheme="majorBidi" w:eastAsia="Times New Roman" w:hAnsiTheme="majorBidi" w:cstheme="majorBidi"/>
          <w:b/>
          <w:bCs/>
          <w:color w:val="0D0D0D"/>
          <w:sz w:val="24"/>
          <w:szCs w:val="24"/>
        </w:rPr>
      </w:pPr>
      <w:r w:rsidRPr="0061493E">
        <w:rPr>
          <w:rFonts w:asciiTheme="majorBidi" w:hAnsiTheme="majorBidi" w:cstheme="majorBidi"/>
          <w:b/>
          <w:bCs/>
          <w:color w:val="0D0D0D"/>
          <w:sz w:val="24"/>
          <w:szCs w:val="24"/>
        </w:rPr>
        <w:br w:type="page"/>
      </w:r>
    </w:p>
    <w:p w:rsidR="00151DA4" w:rsidRPr="0061493E" w:rsidRDefault="00151DA4" w:rsidP="00151DA4">
      <w:pPr>
        <w:pStyle w:val="NormalWeb"/>
        <w:shd w:val="clear" w:color="auto" w:fill="FFFFFF"/>
        <w:spacing w:before="240" w:beforeAutospacing="0" w:after="0" w:afterAutospacing="0" w:line="360" w:lineRule="auto"/>
        <w:jc w:val="center"/>
        <w:rPr>
          <w:rFonts w:asciiTheme="majorBidi" w:hAnsiTheme="majorBidi" w:cstheme="majorBidi"/>
          <w:b/>
          <w:bCs/>
          <w:color w:val="0D0D0D"/>
        </w:rPr>
      </w:pPr>
      <w:r w:rsidRPr="0061493E">
        <w:rPr>
          <w:rFonts w:asciiTheme="majorBidi" w:hAnsiTheme="majorBidi" w:cstheme="majorBidi"/>
          <w:b/>
          <w:bCs/>
          <w:color w:val="0D0D0D"/>
        </w:rPr>
        <w:lastRenderedPageBreak/>
        <w:t>CHAPTER FIVE</w:t>
      </w:r>
    </w:p>
    <w:p w:rsidR="00151DA4" w:rsidRPr="0061493E" w:rsidRDefault="00151DA4" w:rsidP="00151DA4">
      <w:pPr>
        <w:pStyle w:val="NormalWeb"/>
        <w:shd w:val="clear" w:color="auto" w:fill="FFFFFF"/>
        <w:spacing w:before="240" w:beforeAutospacing="0" w:after="0" w:afterAutospacing="0" w:line="360" w:lineRule="auto"/>
        <w:jc w:val="center"/>
        <w:rPr>
          <w:rFonts w:asciiTheme="majorBidi" w:hAnsiTheme="majorBidi" w:cstheme="majorBidi"/>
          <w:b/>
          <w:bCs/>
          <w:color w:val="0D0D0D"/>
        </w:rPr>
      </w:pPr>
      <w:r w:rsidRPr="0061493E">
        <w:rPr>
          <w:rFonts w:asciiTheme="majorBidi" w:hAnsiTheme="majorBidi" w:cstheme="majorBidi"/>
          <w:b/>
          <w:bCs/>
          <w:color w:val="0D0D0D"/>
        </w:rPr>
        <w:t>SUMMARY, CONCLUSION AND RECOMMENDATION</w:t>
      </w:r>
    </w:p>
    <w:p w:rsidR="00151DA4" w:rsidRPr="0061493E" w:rsidRDefault="00151DA4" w:rsidP="00151DA4">
      <w:pPr>
        <w:pStyle w:val="NormalWeb"/>
        <w:shd w:val="clear" w:color="auto" w:fill="FFFFFF"/>
        <w:spacing w:before="240" w:beforeAutospacing="0" w:after="0" w:afterAutospacing="0" w:line="360" w:lineRule="auto"/>
        <w:jc w:val="both"/>
        <w:rPr>
          <w:rFonts w:asciiTheme="majorBidi" w:hAnsiTheme="majorBidi" w:cstheme="majorBidi"/>
          <w:b/>
          <w:bCs/>
          <w:color w:val="0D0D0D"/>
        </w:rPr>
      </w:pPr>
      <w:r w:rsidRPr="0061493E">
        <w:rPr>
          <w:rFonts w:asciiTheme="majorBidi" w:hAnsiTheme="majorBidi" w:cstheme="majorBidi"/>
          <w:b/>
          <w:bCs/>
          <w:color w:val="0D0D0D"/>
        </w:rPr>
        <w:t xml:space="preserve">5.1 </w:t>
      </w:r>
      <w:r w:rsidRPr="0061493E">
        <w:rPr>
          <w:rFonts w:asciiTheme="majorBidi" w:hAnsiTheme="majorBidi" w:cstheme="majorBidi"/>
          <w:b/>
          <w:bCs/>
          <w:color w:val="0D0D0D"/>
        </w:rPr>
        <w:tab/>
        <w:t>Summary of the Finding</w:t>
      </w:r>
    </w:p>
    <w:p w:rsidR="00151DA4" w:rsidRPr="0061493E" w:rsidRDefault="00151DA4" w:rsidP="00151DA4">
      <w:pPr>
        <w:shd w:val="clear" w:color="auto" w:fill="FFFFFF"/>
        <w:spacing w:before="240" w:after="0" w:line="360" w:lineRule="auto"/>
        <w:jc w:val="both"/>
        <w:rPr>
          <w:rFonts w:asciiTheme="majorBidi" w:eastAsia="Times New Roman" w:hAnsiTheme="majorBidi" w:cstheme="majorBidi"/>
          <w:color w:val="0D0D0D"/>
          <w:sz w:val="24"/>
          <w:szCs w:val="24"/>
        </w:rPr>
      </w:pPr>
      <w:r w:rsidRPr="0061493E">
        <w:rPr>
          <w:rFonts w:asciiTheme="majorBidi" w:eastAsia="Times New Roman" w:hAnsiTheme="majorBidi" w:cstheme="majorBidi"/>
          <w:color w:val="0D0D0D"/>
          <w:sz w:val="24"/>
          <w:szCs w:val="24"/>
        </w:rPr>
        <w:t>This study examined the effect of globalization on the financial reporting of Zenith Bank PLC, identifying key challenges and proposing strategies for improvement. The findings indicate that globalization has significantly enhanced the transparency and accuracy of the bank's financial reporting. The adoption of International Financial Reporting Standards (IFRS) has played a crucial role in this enhancement, enabling better comparability and understanding of financial statements globally. Increased regulatory requirements have also positively impacted the quality of financial reporting by ensuring higher compliance standards. However, the need for more frequent and detailed disclosures has presented a mixed response among stakeholders.</w:t>
      </w:r>
    </w:p>
    <w:p w:rsidR="00151DA4" w:rsidRPr="0061493E" w:rsidRDefault="00151DA4" w:rsidP="00151DA4">
      <w:pPr>
        <w:shd w:val="clear" w:color="auto" w:fill="FFFFFF"/>
        <w:spacing w:before="240" w:after="0" w:line="360" w:lineRule="auto"/>
        <w:jc w:val="both"/>
        <w:rPr>
          <w:rFonts w:asciiTheme="majorBidi" w:eastAsia="Times New Roman" w:hAnsiTheme="majorBidi" w:cstheme="majorBidi"/>
          <w:color w:val="0D0D0D"/>
          <w:sz w:val="24"/>
          <w:szCs w:val="24"/>
        </w:rPr>
      </w:pPr>
      <w:r w:rsidRPr="0061493E">
        <w:rPr>
          <w:rFonts w:asciiTheme="majorBidi" w:eastAsia="Times New Roman" w:hAnsiTheme="majorBidi" w:cstheme="majorBidi"/>
          <w:color w:val="0D0D0D"/>
          <w:sz w:val="24"/>
          <w:szCs w:val="24"/>
        </w:rPr>
        <w:t>Challenges in adapting to global financial reporting standards include the need for extensive training, reconciling local and global standards, and managing cultural differences in business practices. Despite these challenges, the costs and technological infrastructure required for compliance are not seen as major barriers, suggesting that the benefits of globalization outweigh the associated costs.</w:t>
      </w:r>
    </w:p>
    <w:p w:rsidR="00151DA4" w:rsidRPr="0061493E" w:rsidRDefault="00151DA4" w:rsidP="00151DA4">
      <w:pPr>
        <w:shd w:val="clear" w:color="auto" w:fill="FFFFFF"/>
        <w:spacing w:before="240" w:after="0" w:line="360" w:lineRule="auto"/>
        <w:jc w:val="both"/>
        <w:rPr>
          <w:rFonts w:asciiTheme="majorBidi" w:eastAsia="Times New Roman" w:hAnsiTheme="majorBidi" w:cstheme="majorBidi"/>
          <w:color w:val="0D0D0D"/>
          <w:sz w:val="24"/>
          <w:szCs w:val="24"/>
        </w:rPr>
      </w:pPr>
      <w:r w:rsidRPr="0061493E">
        <w:rPr>
          <w:rFonts w:asciiTheme="majorBidi" w:eastAsia="Times New Roman" w:hAnsiTheme="majorBidi" w:cstheme="majorBidi"/>
          <w:color w:val="0D0D0D"/>
          <w:sz w:val="24"/>
          <w:szCs w:val="24"/>
        </w:rPr>
        <w:t>To address these challenges and improve financial reporting effectiveness, several strategies have been proposed. Continuous training and development, upgrading technological infrastructure, establishing a dedicated compliance team, enhancing international collaboration, and developing a comprehensive reporting framework are all seen as crucial steps.</w:t>
      </w:r>
    </w:p>
    <w:p w:rsidR="00151DA4" w:rsidRDefault="00151DA4" w:rsidP="00151DA4">
      <w:pPr>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br w:type="page"/>
      </w:r>
    </w:p>
    <w:p w:rsidR="00151DA4" w:rsidRPr="0061493E" w:rsidRDefault="00151DA4" w:rsidP="00151DA4">
      <w:pPr>
        <w:shd w:val="clear" w:color="auto" w:fill="FFFFFF"/>
        <w:spacing w:before="240" w:after="0" w:line="360" w:lineRule="auto"/>
        <w:jc w:val="both"/>
        <w:outlineLvl w:val="2"/>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lastRenderedPageBreak/>
        <w:t>5.2</w:t>
      </w:r>
      <w:r>
        <w:rPr>
          <w:rFonts w:asciiTheme="majorBidi" w:eastAsia="Times New Roman" w:hAnsiTheme="majorBidi" w:cstheme="majorBidi"/>
          <w:b/>
          <w:bCs/>
          <w:color w:val="0D0D0D"/>
          <w:sz w:val="24"/>
          <w:szCs w:val="24"/>
        </w:rPr>
        <w:tab/>
      </w:r>
      <w:r w:rsidRPr="0061493E">
        <w:rPr>
          <w:rFonts w:asciiTheme="majorBidi" w:eastAsia="Times New Roman" w:hAnsiTheme="majorBidi" w:cstheme="majorBidi"/>
          <w:b/>
          <w:bCs/>
          <w:color w:val="0D0D0D"/>
          <w:sz w:val="24"/>
          <w:szCs w:val="24"/>
        </w:rPr>
        <w:t>Conclusion</w:t>
      </w:r>
    </w:p>
    <w:p w:rsidR="00151DA4" w:rsidRPr="0061493E" w:rsidRDefault="00151DA4" w:rsidP="00151DA4">
      <w:pPr>
        <w:shd w:val="clear" w:color="auto" w:fill="FFFFFF"/>
        <w:spacing w:before="240" w:after="0" w:line="360" w:lineRule="auto"/>
        <w:jc w:val="both"/>
        <w:rPr>
          <w:rFonts w:asciiTheme="majorBidi" w:eastAsia="Times New Roman" w:hAnsiTheme="majorBidi" w:cstheme="majorBidi"/>
          <w:color w:val="0D0D0D"/>
          <w:sz w:val="24"/>
          <w:szCs w:val="24"/>
        </w:rPr>
      </w:pPr>
      <w:r w:rsidRPr="0061493E">
        <w:rPr>
          <w:rFonts w:asciiTheme="majorBidi" w:eastAsia="Times New Roman" w:hAnsiTheme="majorBidi" w:cstheme="majorBidi"/>
          <w:color w:val="0D0D0D"/>
          <w:sz w:val="24"/>
          <w:szCs w:val="24"/>
        </w:rPr>
        <w:t xml:space="preserve">Globalization has markedly influenced the financial reporting practices of Zenith Bank PLC, driving the adoption of higher standards and improving the overall quality of financial disclosures. While this shift has brought numerous benefits, it has also introduced challenges that require strategic management. The </w:t>
      </w:r>
      <w:proofErr w:type="gramStart"/>
      <w:r w:rsidRPr="0061493E">
        <w:rPr>
          <w:rFonts w:asciiTheme="majorBidi" w:eastAsia="Times New Roman" w:hAnsiTheme="majorBidi" w:cstheme="majorBidi"/>
          <w:color w:val="0D0D0D"/>
          <w:sz w:val="24"/>
          <w:szCs w:val="24"/>
        </w:rPr>
        <w:t>adoption of IFRS and alignment with global best practices have</w:t>
      </w:r>
      <w:proofErr w:type="gramEnd"/>
      <w:r w:rsidRPr="0061493E">
        <w:rPr>
          <w:rFonts w:asciiTheme="majorBidi" w:eastAsia="Times New Roman" w:hAnsiTheme="majorBidi" w:cstheme="majorBidi"/>
          <w:color w:val="0D0D0D"/>
          <w:sz w:val="24"/>
          <w:szCs w:val="24"/>
        </w:rPr>
        <w:t xml:space="preserve"> been particularly beneficial, fostering greater transparency and comparability. However, the challenges of training, reconciling local and global standards, and cultural differences must be addressed to fully capitalize on the advantages of globalization.</w:t>
      </w:r>
    </w:p>
    <w:p w:rsidR="00151DA4" w:rsidRPr="00815216" w:rsidRDefault="00151DA4" w:rsidP="00151DA4">
      <w:pPr>
        <w:pStyle w:val="ListParagraph"/>
        <w:numPr>
          <w:ilvl w:val="1"/>
          <w:numId w:val="1"/>
        </w:numPr>
        <w:shd w:val="clear" w:color="auto" w:fill="FFFFFF"/>
        <w:spacing w:before="240" w:after="0" w:line="360" w:lineRule="auto"/>
        <w:ind w:left="0" w:firstLine="0"/>
        <w:jc w:val="both"/>
        <w:outlineLvl w:val="2"/>
        <w:rPr>
          <w:rFonts w:asciiTheme="majorBidi" w:eastAsia="Times New Roman" w:hAnsiTheme="majorBidi" w:cstheme="majorBidi"/>
          <w:b/>
          <w:bCs/>
          <w:color w:val="0D0D0D"/>
          <w:sz w:val="24"/>
          <w:szCs w:val="24"/>
        </w:rPr>
      </w:pPr>
      <w:r w:rsidRPr="00815216">
        <w:rPr>
          <w:rFonts w:asciiTheme="majorBidi" w:eastAsia="Times New Roman" w:hAnsiTheme="majorBidi" w:cstheme="majorBidi"/>
          <w:b/>
          <w:bCs/>
          <w:color w:val="0D0D0D"/>
          <w:sz w:val="24"/>
          <w:szCs w:val="24"/>
        </w:rPr>
        <w:t>Recommendations</w:t>
      </w:r>
    </w:p>
    <w:p w:rsidR="00151DA4" w:rsidRPr="00975626" w:rsidRDefault="00151DA4" w:rsidP="00151DA4">
      <w:pPr>
        <w:pStyle w:val="ListParagraph"/>
        <w:numPr>
          <w:ilvl w:val="0"/>
          <w:numId w:val="4"/>
        </w:numPr>
        <w:shd w:val="clear" w:color="auto" w:fill="FFFFFF"/>
        <w:spacing w:before="240" w:after="0" w:line="360" w:lineRule="auto"/>
        <w:ind w:left="540"/>
        <w:jc w:val="both"/>
        <w:outlineLvl w:val="2"/>
        <w:rPr>
          <w:rFonts w:asciiTheme="majorBidi" w:eastAsia="Times New Roman" w:hAnsiTheme="majorBidi" w:cstheme="majorBidi"/>
          <w:b/>
          <w:bCs/>
          <w:color w:val="0D0D0D"/>
          <w:sz w:val="24"/>
          <w:szCs w:val="24"/>
        </w:rPr>
      </w:pPr>
      <w:r w:rsidRPr="00975626">
        <w:rPr>
          <w:rFonts w:asciiTheme="majorBidi" w:eastAsia="Times New Roman" w:hAnsiTheme="majorBidi" w:cstheme="majorBidi"/>
          <w:color w:val="0D0D0D"/>
          <w:sz w:val="24"/>
          <w:szCs w:val="24"/>
        </w:rPr>
        <w:t xml:space="preserve">Zenith Bank PLC should invest in ongoing professional development for its financial reporting staff. Regular training sessions and workshops on global financial reporting standards, particularly IFRS, will ensure that </w:t>
      </w:r>
      <w:proofErr w:type="gramStart"/>
      <w:r w:rsidRPr="00975626">
        <w:rPr>
          <w:rFonts w:asciiTheme="majorBidi" w:eastAsia="Times New Roman" w:hAnsiTheme="majorBidi" w:cstheme="majorBidi"/>
          <w:color w:val="0D0D0D"/>
          <w:sz w:val="24"/>
          <w:szCs w:val="24"/>
        </w:rPr>
        <w:t>staff remain</w:t>
      </w:r>
      <w:proofErr w:type="gramEnd"/>
      <w:r w:rsidRPr="00975626">
        <w:rPr>
          <w:rFonts w:asciiTheme="majorBidi" w:eastAsia="Times New Roman" w:hAnsiTheme="majorBidi" w:cstheme="majorBidi"/>
          <w:color w:val="0D0D0D"/>
          <w:sz w:val="24"/>
          <w:szCs w:val="24"/>
        </w:rPr>
        <w:t xml:space="preserve"> proficient and updated with the latest requirements. This will enhance the accuracy and reliability of financial reporting.</w:t>
      </w:r>
    </w:p>
    <w:p w:rsidR="00151DA4" w:rsidRPr="00975626" w:rsidRDefault="00151DA4" w:rsidP="00151DA4">
      <w:pPr>
        <w:pStyle w:val="ListParagraph"/>
        <w:numPr>
          <w:ilvl w:val="0"/>
          <w:numId w:val="4"/>
        </w:numPr>
        <w:shd w:val="clear" w:color="auto" w:fill="FFFFFF"/>
        <w:spacing w:before="240" w:after="0" w:line="360" w:lineRule="auto"/>
        <w:ind w:left="540"/>
        <w:jc w:val="both"/>
        <w:outlineLvl w:val="2"/>
        <w:rPr>
          <w:rFonts w:asciiTheme="majorBidi" w:eastAsia="Times New Roman" w:hAnsiTheme="majorBidi" w:cstheme="majorBidi"/>
          <w:b/>
          <w:bCs/>
          <w:color w:val="0D0D0D"/>
          <w:sz w:val="24"/>
          <w:szCs w:val="24"/>
        </w:rPr>
      </w:pPr>
      <w:r w:rsidRPr="00975626">
        <w:rPr>
          <w:rFonts w:asciiTheme="majorBidi" w:eastAsia="Times New Roman" w:hAnsiTheme="majorBidi" w:cstheme="majorBidi"/>
          <w:color w:val="0D0D0D"/>
          <w:sz w:val="24"/>
          <w:szCs w:val="24"/>
        </w:rPr>
        <w:t>The bank should prioritize upgrading its technological infrastructure to support the complex requirements of global financial reporting. Implementing advanced financial reporting software and systems will streamline reporting processes, reduce errors, and enhance compliance with international standards.</w:t>
      </w:r>
    </w:p>
    <w:p w:rsidR="00151DA4" w:rsidRPr="00975626" w:rsidRDefault="00151DA4" w:rsidP="00151DA4">
      <w:pPr>
        <w:pStyle w:val="ListParagraph"/>
        <w:numPr>
          <w:ilvl w:val="0"/>
          <w:numId w:val="4"/>
        </w:numPr>
        <w:shd w:val="clear" w:color="auto" w:fill="FFFFFF"/>
        <w:spacing w:before="240" w:after="0" w:line="360" w:lineRule="auto"/>
        <w:ind w:left="540"/>
        <w:jc w:val="both"/>
        <w:outlineLvl w:val="2"/>
        <w:rPr>
          <w:rFonts w:asciiTheme="majorBidi" w:eastAsia="Times New Roman" w:hAnsiTheme="majorBidi" w:cstheme="majorBidi"/>
          <w:b/>
          <w:bCs/>
          <w:color w:val="0D0D0D"/>
          <w:sz w:val="24"/>
          <w:szCs w:val="24"/>
        </w:rPr>
      </w:pPr>
      <w:r w:rsidRPr="00975626">
        <w:rPr>
          <w:rFonts w:asciiTheme="majorBidi" w:eastAsia="Times New Roman" w:hAnsiTheme="majorBidi" w:cstheme="majorBidi"/>
          <w:color w:val="0D0D0D"/>
          <w:sz w:val="24"/>
          <w:szCs w:val="24"/>
        </w:rPr>
        <w:t>Forming a specialized compliance team focused on global financial reporting standards will help Zenith Bank PLC ensure consistent and accurate adherence to these standards. This team should be responsible for monitoring changes in regulations, providing guidance on compliance, and conducting internal audits to identify and address any gaps.</w:t>
      </w:r>
    </w:p>
    <w:p w:rsidR="00151DA4" w:rsidRPr="00975626" w:rsidRDefault="00151DA4" w:rsidP="00151DA4">
      <w:pPr>
        <w:pStyle w:val="ListParagraph"/>
        <w:numPr>
          <w:ilvl w:val="0"/>
          <w:numId w:val="4"/>
        </w:numPr>
        <w:shd w:val="clear" w:color="auto" w:fill="FFFFFF"/>
        <w:spacing w:before="240" w:after="0" w:line="360" w:lineRule="auto"/>
        <w:ind w:left="540"/>
        <w:jc w:val="both"/>
        <w:outlineLvl w:val="2"/>
        <w:rPr>
          <w:rFonts w:asciiTheme="majorBidi" w:eastAsia="Times New Roman" w:hAnsiTheme="majorBidi" w:cstheme="majorBidi"/>
          <w:b/>
          <w:bCs/>
          <w:color w:val="0D0D0D"/>
          <w:sz w:val="24"/>
          <w:szCs w:val="24"/>
        </w:rPr>
      </w:pPr>
      <w:r w:rsidRPr="00975626">
        <w:rPr>
          <w:rFonts w:asciiTheme="majorBidi" w:eastAsia="Times New Roman" w:hAnsiTheme="majorBidi" w:cstheme="majorBidi"/>
          <w:color w:val="0D0D0D"/>
          <w:sz w:val="24"/>
          <w:szCs w:val="24"/>
        </w:rPr>
        <w:t>Zenith Bank PLC should seek to enhance collaboration with international financial institutions and regulatory bodies. Such partnerships can provide valuable insights, resources, and support, aiding in the seamless adoption of global standards. Participation in international forums and conferences can also keep the bank abreast of global trends and best practices.</w:t>
      </w:r>
    </w:p>
    <w:p w:rsidR="00151DA4" w:rsidRPr="00975626" w:rsidRDefault="00151DA4" w:rsidP="00151DA4">
      <w:pPr>
        <w:pStyle w:val="ListParagraph"/>
        <w:numPr>
          <w:ilvl w:val="0"/>
          <w:numId w:val="4"/>
        </w:numPr>
        <w:shd w:val="clear" w:color="auto" w:fill="FFFFFF"/>
        <w:spacing w:before="240" w:after="0" w:line="360" w:lineRule="auto"/>
        <w:ind w:left="540"/>
        <w:jc w:val="both"/>
        <w:outlineLvl w:val="2"/>
        <w:rPr>
          <w:rFonts w:asciiTheme="majorBidi" w:eastAsia="Times New Roman" w:hAnsiTheme="majorBidi" w:cstheme="majorBidi"/>
          <w:b/>
          <w:bCs/>
          <w:color w:val="0D0D0D"/>
          <w:sz w:val="24"/>
          <w:szCs w:val="24"/>
        </w:rPr>
      </w:pPr>
      <w:r w:rsidRPr="00975626">
        <w:rPr>
          <w:rFonts w:asciiTheme="majorBidi" w:eastAsia="Times New Roman" w:hAnsiTheme="majorBidi" w:cstheme="majorBidi"/>
          <w:color w:val="0D0D0D"/>
          <w:sz w:val="24"/>
          <w:szCs w:val="24"/>
        </w:rPr>
        <w:lastRenderedPageBreak/>
        <w:t>The bank should develop a comprehensive financial reporting framework that integrates both local and international standards. This framework will ensure that the bank meets diverse regulatory requirements, reducing complexity and enhancing the coherence of its financial reporting practices.</w:t>
      </w:r>
    </w:p>
    <w:p w:rsidR="00151DA4" w:rsidRPr="00975626" w:rsidRDefault="00151DA4" w:rsidP="00151DA4">
      <w:pPr>
        <w:pStyle w:val="ListParagraph"/>
        <w:numPr>
          <w:ilvl w:val="0"/>
          <w:numId w:val="4"/>
        </w:numPr>
        <w:shd w:val="clear" w:color="auto" w:fill="FFFFFF"/>
        <w:spacing w:before="240" w:after="0" w:line="360" w:lineRule="auto"/>
        <w:ind w:left="540"/>
        <w:jc w:val="both"/>
        <w:outlineLvl w:val="2"/>
        <w:rPr>
          <w:rFonts w:asciiTheme="majorBidi" w:eastAsia="Times New Roman" w:hAnsiTheme="majorBidi" w:cstheme="majorBidi"/>
          <w:b/>
          <w:bCs/>
          <w:color w:val="0D0D0D"/>
          <w:sz w:val="24"/>
          <w:szCs w:val="24"/>
        </w:rPr>
      </w:pPr>
      <w:r w:rsidRPr="00975626">
        <w:rPr>
          <w:rFonts w:asciiTheme="majorBidi" w:eastAsia="Times New Roman" w:hAnsiTheme="majorBidi" w:cstheme="majorBidi"/>
          <w:color w:val="0D0D0D"/>
          <w:sz w:val="24"/>
          <w:szCs w:val="24"/>
        </w:rPr>
        <w:t>To navigate cultural differences and variations in business practices, Zenith Bank PLC should implement cultural training programs and promote cross-cultural awareness among its staff. Understanding and respecting these differences will facilitate smoother adoption and implementation of global financial standards, ensuring that the bank's reporting practices are aligned with international norms.</w:t>
      </w:r>
    </w:p>
    <w:p w:rsidR="00151DA4" w:rsidRPr="0061493E" w:rsidRDefault="00151DA4" w:rsidP="00151DA4">
      <w:pPr>
        <w:pStyle w:val="NormalWeb"/>
        <w:shd w:val="clear" w:color="auto" w:fill="FFFFFF"/>
        <w:spacing w:before="300" w:beforeAutospacing="0" w:after="300" w:afterAutospacing="0" w:line="360" w:lineRule="auto"/>
        <w:jc w:val="both"/>
        <w:rPr>
          <w:rFonts w:asciiTheme="majorBidi" w:hAnsiTheme="majorBidi" w:cstheme="majorBidi"/>
          <w:b/>
          <w:bCs/>
          <w:color w:val="0D0D0D"/>
        </w:rPr>
      </w:pPr>
    </w:p>
    <w:p w:rsidR="00151DA4" w:rsidRDefault="00151DA4" w:rsidP="00151DA4">
      <w:pPr>
        <w:spacing w:line="360" w:lineRule="auto"/>
        <w:rPr>
          <w:rFonts w:asciiTheme="majorBidi" w:eastAsia="Times New Roman" w:hAnsiTheme="majorBidi" w:cstheme="majorBidi"/>
          <w:b/>
          <w:bCs/>
          <w:color w:val="0D0D0D"/>
          <w:sz w:val="24"/>
          <w:szCs w:val="24"/>
        </w:rPr>
      </w:pPr>
      <w:r>
        <w:rPr>
          <w:rFonts w:asciiTheme="majorBidi" w:hAnsiTheme="majorBidi" w:cstheme="majorBidi"/>
          <w:b/>
          <w:bCs/>
          <w:color w:val="0D0D0D"/>
        </w:rPr>
        <w:br w:type="page"/>
      </w:r>
    </w:p>
    <w:p w:rsidR="00151DA4" w:rsidRPr="0061493E" w:rsidRDefault="00151DA4" w:rsidP="00151DA4">
      <w:pPr>
        <w:pStyle w:val="NormalWeb"/>
        <w:shd w:val="clear" w:color="auto" w:fill="FFFFFF"/>
        <w:spacing w:before="300" w:beforeAutospacing="0" w:after="300" w:afterAutospacing="0" w:line="360" w:lineRule="auto"/>
        <w:jc w:val="center"/>
        <w:rPr>
          <w:rFonts w:asciiTheme="majorBidi" w:hAnsiTheme="majorBidi" w:cstheme="majorBidi"/>
          <w:b/>
          <w:bCs/>
          <w:color w:val="0D0D0D"/>
        </w:rPr>
      </w:pPr>
      <w:r w:rsidRPr="0061493E">
        <w:rPr>
          <w:rFonts w:asciiTheme="majorBidi" w:hAnsiTheme="majorBidi" w:cstheme="majorBidi"/>
          <w:b/>
          <w:bCs/>
          <w:color w:val="0D0D0D"/>
        </w:rPr>
        <w:lastRenderedPageBreak/>
        <w:t>REFERENCE</w:t>
      </w:r>
    </w:p>
    <w:p w:rsidR="00151DA4"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r>
        <w:rPr>
          <w:rFonts w:asciiTheme="majorBidi" w:eastAsia="Times New Roman" w:hAnsiTheme="majorBidi" w:cstheme="majorBidi"/>
          <w:color w:val="0D0D0D"/>
          <w:sz w:val="24"/>
          <w:szCs w:val="24"/>
        </w:rPr>
        <w:t>Asaad</w:t>
      </w:r>
      <w:proofErr w:type="spellEnd"/>
      <w:r>
        <w:rPr>
          <w:rFonts w:asciiTheme="majorBidi" w:eastAsia="Times New Roman" w:hAnsiTheme="majorBidi" w:cstheme="majorBidi"/>
          <w:color w:val="0D0D0D"/>
          <w:sz w:val="24"/>
          <w:szCs w:val="24"/>
        </w:rPr>
        <w:t xml:space="preserve"> </w:t>
      </w:r>
      <w:proofErr w:type="spellStart"/>
      <w:r>
        <w:rPr>
          <w:rFonts w:asciiTheme="majorBidi" w:eastAsia="Times New Roman" w:hAnsiTheme="majorBidi" w:cstheme="majorBidi"/>
          <w:color w:val="0D0D0D"/>
          <w:sz w:val="24"/>
          <w:szCs w:val="24"/>
        </w:rPr>
        <w:t>Hameed</w:t>
      </w:r>
      <w:proofErr w:type="spellEnd"/>
      <w:r>
        <w:rPr>
          <w:rFonts w:asciiTheme="majorBidi" w:eastAsia="Times New Roman" w:hAnsiTheme="majorBidi" w:cstheme="majorBidi"/>
          <w:color w:val="0D0D0D"/>
          <w:sz w:val="24"/>
          <w:szCs w:val="24"/>
        </w:rPr>
        <w:t>,’</w:t>
      </w:r>
      <w:proofErr w:type="spellStart"/>
      <w:r>
        <w:rPr>
          <w:rFonts w:asciiTheme="majorBidi" w:eastAsia="Times New Roman" w:hAnsiTheme="majorBidi" w:cstheme="majorBidi"/>
          <w:color w:val="0D0D0D"/>
          <w:sz w:val="24"/>
          <w:szCs w:val="24"/>
        </w:rPr>
        <w:t>Wasan</w:t>
      </w:r>
      <w:proofErr w:type="spellEnd"/>
      <w:r>
        <w:rPr>
          <w:rFonts w:asciiTheme="majorBidi" w:eastAsia="Times New Roman" w:hAnsiTheme="majorBidi" w:cstheme="majorBidi"/>
          <w:color w:val="0D0D0D"/>
          <w:sz w:val="24"/>
          <w:szCs w:val="24"/>
        </w:rPr>
        <w:t xml:space="preserve"> </w:t>
      </w:r>
      <w:proofErr w:type="spellStart"/>
      <w:proofErr w:type="gramStart"/>
      <w:r>
        <w:rPr>
          <w:rFonts w:asciiTheme="majorBidi" w:eastAsia="Times New Roman" w:hAnsiTheme="majorBidi" w:cstheme="majorBidi"/>
          <w:color w:val="0D0D0D"/>
          <w:sz w:val="24"/>
          <w:szCs w:val="24"/>
        </w:rPr>
        <w:t>yahaya’Ahmed</w:t>
      </w:r>
      <w:proofErr w:type="spellEnd"/>
      <w:r>
        <w:rPr>
          <w:rFonts w:asciiTheme="majorBidi" w:eastAsia="Times New Roman" w:hAnsiTheme="majorBidi" w:cstheme="majorBidi"/>
          <w:color w:val="0D0D0D"/>
          <w:sz w:val="24"/>
          <w:szCs w:val="24"/>
        </w:rPr>
        <w:t>(</w:t>
      </w:r>
      <w:proofErr w:type="gramEnd"/>
      <w:r>
        <w:rPr>
          <w:rFonts w:asciiTheme="majorBidi" w:eastAsia="Times New Roman" w:hAnsiTheme="majorBidi" w:cstheme="majorBidi"/>
          <w:color w:val="0D0D0D"/>
          <w:sz w:val="24"/>
          <w:szCs w:val="24"/>
        </w:rPr>
        <w:t xml:space="preserve">2020).The </w:t>
      </w:r>
      <w:proofErr w:type="spellStart"/>
      <w:r>
        <w:rPr>
          <w:rFonts w:asciiTheme="majorBidi" w:eastAsia="Times New Roman" w:hAnsiTheme="majorBidi" w:cstheme="majorBidi"/>
          <w:color w:val="0D0D0D"/>
          <w:sz w:val="24"/>
          <w:szCs w:val="24"/>
        </w:rPr>
        <w:t>Globalisation</w:t>
      </w:r>
      <w:proofErr w:type="spellEnd"/>
      <w:r>
        <w:rPr>
          <w:rFonts w:asciiTheme="majorBidi" w:eastAsia="Times New Roman" w:hAnsiTheme="majorBidi" w:cstheme="majorBidi"/>
          <w:color w:val="0D0D0D"/>
          <w:sz w:val="24"/>
          <w:szCs w:val="24"/>
        </w:rPr>
        <w:t xml:space="preserve"> of </w:t>
      </w:r>
      <w:proofErr w:type="spellStart"/>
      <w:r>
        <w:rPr>
          <w:rFonts w:asciiTheme="majorBidi" w:eastAsia="Times New Roman" w:hAnsiTheme="majorBidi" w:cstheme="majorBidi"/>
          <w:color w:val="0D0D0D"/>
          <w:sz w:val="24"/>
          <w:szCs w:val="24"/>
        </w:rPr>
        <w:t>Accounting:The</w:t>
      </w:r>
      <w:proofErr w:type="spellEnd"/>
      <w:r>
        <w:rPr>
          <w:rFonts w:asciiTheme="majorBidi" w:eastAsia="Times New Roman" w:hAnsiTheme="majorBidi" w:cstheme="majorBidi"/>
          <w:color w:val="0D0D0D"/>
          <w:sz w:val="24"/>
          <w:szCs w:val="24"/>
        </w:rPr>
        <w:t xml:space="preserve"> mutual impact between globalization and Accounting pp345-410</w:t>
      </w:r>
    </w:p>
    <w:p w:rsidR="00151DA4"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 xml:space="preserve">Ashok </w:t>
      </w:r>
      <w:proofErr w:type="spellStart"/>
      <w:r>
        <w:rPr>
          <w:rFonts w:asciiTheme="majorBidi" w:eastAsia="Times New Roman" w:hAnsiTheme="majorBidi" w:cstheme="majorBidi"/>
          <w:color w:val="0D0D0D"/>
          <w:sz w:val="24"/>
          <w:szCs w:val="24"/>
        </w:rPr>
        <w:t>Sahi</w:t>
      </w:r>
      <w:proofErr w:type="gramStart"/>
      <w:r>
        <w:rPr>
          <w:rFonts w:asciiTheme="majorBidi" w:eastAsia="Times New Roman" w:hAnsiTheme="majorBidi" w:cstheme="majorBidi"/>
          <w:color w:val="0D0D0D"/>
          <w:sz w:val="24"/>
          <w:szCs w:val="24"/>
        </w:rPr>
        <w:t>,Dr.kavita</w:t>
      </w:r>
      <w:proofErr w:type="spellEnd"/>
      <w:proofErr w:type="gramEnd"/>
      <w:r>
        <w:rPr>
          <w:rFonts w:asciiTheme="majorBidi" w:eastAsia="Times New Roman" w:hAnsiTheme="majorBidi" w:cstheme="majorBidi"/>
          <w:color w:val="0D0D0D"/>
          <w:sz w:val="24"/>
          <w:szCs w:val="24"/>
        </w:rPr>
        <w:t xml:space="preserve"> </w:t>
      </w:r>
      <w:proofErr w:type="spellStart"/>
      <w:r>
        <w:rPr>
          <w:rFonts w:asciiTheme="majorBidi" w:eastAsia="Times New Roman" w:hAnsiTheme="majorBidi" w:cstheme="majorBidi"/>
          <w:color w:val="0D0D0D"/>
          <w:sz w:val="24"/>
          <w:szCs w:val="24"/>
        </w:rPr>
        <w:t>dua</w:t>
      </w:r>
      <w:proofErr w:type="spellEnd"/>
      <w:r>
        <w:rPr>
          <w:rFonts w:asciiTheme="majorBidi" w:eastAsia="Times New Roman" w:hAnsiTheme="majorBidi" w:cstheme="majorBidi"/>
          <w:color w:val="0D0D0D"/>
          <w:sz w:val="24"/>
          <w:szCs w:val="24"/>
        </w:rPr>
        <w:t>(2022).</w:t>
      </w:r>
      <w:proofErr w:type="spellStart"/>
      <w:r>
        <w:rPr>
          <w:rFonts w:asciiTheme="majorBidi" w:eastAsia="Times New Roman" w:hAnsiTheme="majorBidi" w:cstheme="majorBidi"/>
          <w:color w:val="0D0D0D"/>
          <w:sz w:val="24"/>
          <w:szCs w:val="24"/>
        </w:rPr>
        <w:t>Globalisation</w:t>
      </w:r>
      <w:proofErr w:type="spellEnd"/>
      <w:r>
        <w:rPr>
          <w:rFonts w:asciiTheme="majorBidi" w:eastAsia="Times New Roman" w:hAnsiTheme="majorBidi" w:cstheme="majorBidi"/>
          <w:color w:val="0D0D0D"/>
          <w:sz w:val="24"/>
          <w:szCs w:val="24"/>
        </w:rPr>
        <w:t xml:space="preserve"> impact on Accounting research pp64-101</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gramStart"/>
      <w:r w:rsidRPr="0061493E">
        <w:rPr>
          <w:rFonts w:asciiTheme="majorBidi" w:eastAsia="Times New Roman" w:hAnsiTheme="majorBidi" w:cstheme="majorBidi"/>
          <w:color w:val="0D0D0D"/>
          <w:sz w:val="24"/>
          <w:szCs w:val="24"/>
        </w:rPr>
        <w:t xml:space="preserve">Baldwin, A. A., Brown, C. E., &amp; </w:t>
      </w:r>
      <w:proofErr w:type="spellStart"/>
      <w:r w:rsidRPr="0061493E">
        <w:rPr>
          <w:rFonts w:asciiTheme="majorBidi" w:eastAsia="Times New Roman" w:hAnsiTheme="majorBidi" w:cstheme="majorBidi"/>
          <w:color w:val="0D0D0D"/>
          <w:sz w:val="24"/>
          <w:szCs w:val="24"/>
        </w:rPr>
        <w:t>Trinkle</w:t>
      </w:r>
      <w:proofErr w:type="spellEnd"/>
      <w:r w:rsidRPr="0061493E">
        <w:rPr>
          <w:rFonts w:asciiTheme="majorBidi" w:eastAsia="Times New Roman" w:hAnsiTheme="majorBidi" w:cstheme="majorBidi"/>
          <w:color w:val="0D0D0D"/>
          <w:sz w:val="24"/>
          <w:szCs w:val="24"/>
        </w:rPr>
        <w:t>, B. S. (</w:t>
      </w:r>
      <w:r>
        <w:rPr>
          <w:rFonts w:asciiTheme="majorBidi" w:eastAsia="Times New Roman" w:hAnsiTheme="majorBidi" w:cstheme="majorBidi"/>
          <w:color w:val="0D0D0D"/>
          <w:sz w:val="24"/>
          <w:szCs w:val="24"/>
        </w:rPr>
        <w:t>2022</w:t>
      </w:r>
      <w:r w:rsidRPr="0061493E">
        <w:rPr>
          <w:rFonts w:asciiTheme="majorBidi" w:eastAsia="Times New Roman" w:hAnsiTheme="majorBidi" w:cstheme="majorBidi"/>
          <w:color w:val="0D0D0D"/>
          <w:sz w:val="24"/>
          <w:szCs w:val="24"/>
        </w:rPr>
        <w:t>).</w:t>
      </w:r>
      <w:proofErr w:type="gramEnd"/>
      <w:r w:rsidRPr="0061493E">
        <w:rPr>
          <w:rFonts w:asciiTheme="majorBidi" w:eastAsia="Times New Roman" w:hAnsiTheme="majorBidi" w:cstheme="majorBidi"/>
          <w:color w:val="0D0D0D"/>
          <w:sz w:val="24"/>
          <w:szCs w:val="24"/>
        </w:rPr>
        <w:t xml:space="preserve"> Opportunities for artificial intelligence development in the accounting domain: The case for auditing. </w:t>
      </w:r>
      <w:r w:rsidRPr="0061493E">
        <w:rPr>
          <w:rFonts w:asciiTheme="majorBidi" w:eastAsia="Times New Roman" w:hAnsiTheme="majorBidi" w:cstheme="majorBidi"/>
          <w:i/>
          <w:iCs/>
          <w:color w:val="0D0D0D"/>
          <w:sz w:val="24"/>
          <w:szCs w:val="24"/>
          <w:bdr w:val="single" w:sz="2" w:space="0" w:color="E3E3E3" w:frame="1"/>
        </w:rPr>
        <w:t>Intelligent Systems in Accounting, Finance and Management</w:t>
      </w:r>
      <w:r w:rsidRPr="0061493E">
        <w:rPr>
          <w:rFonts w:asciiTheme="majorBidi" w:eastAsia="Times New Roman" w:hAnsiTheme="majorBidi" w:cstheme="majorBidi"/>
          <w:color w:val="0D0D0D"/>
          <w:sz w:val="24"/>
          <w:szCs w:val="24"/>
        </w:rPr>
        <w:t>, 19(1), 16-41.</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r w:rsidRPr="0061493E">
        <w:rPr>
          <w:rFonts w:asciiTheme="majorBidi" w:eastAsia="Times New Roman" w:hAnsiTheme="majorBidi" w:cstheme="majorBidi"/>
          <w:color w:val="0D0D0D"/>
          <w:sz w:val="24"/>
          <w:szCs w:val="24"/>
        </w:rPr>
        <w:t xml:space="preserve">Ball, R. (2006). International Financial Reporting Standards (IFRS): pros and cons for investors. </w:t>
      </w:r>
      <w:proofErr w:type="gramStart"/>
      <w:r w:rsidRPr="0061493E">
        <w:rPr>
          <w:rFonts w:asciiTheme="majorBidi" w:eastAsia="Times New Roman" w:hAnsiTheme="majorBidi" w:cstheme="majorBidi"/>
          <w:i/>
          <w:iCs/>
          <w:color w:val="0D0D0D"/>
          <w:sz w:val="24"/>
          <w:szCs w:val="24"/>
          <w:bdr w:val="single" w:sz="2" w:space="0" w:color="E3E3E3" w:frame="1"/>
        </w:rPr>
        <w:t>Accounting and Business Research</w:t>
      </w:r>
      <w:r w:rsidRPr="0061493E">
        <w:rPr>
          <w:rFonts w:asciiTheme="majorBidi" w:eastAsia="Times New Roman" w:hAnsiTheme="majorBidi" w:cstheme="majorBidi"/>
          <w:color w:val="0D0D0D"/>
          <w:sz w:val="24"/>
          <w:szCs w:val="24"/>
        </w:rPr>
        <w:t>, 36(sup1), 5-27.</w:t>
      </w:r>
      <w:proofErr w:type="gramEnd"/>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r w:rsidRPr="0061493E">
        <w:rPr>
          <w:rFonts w:asciiTheme="majorBidi" w:eastAsia="Times New Roman" w:hAnsiTheme="majorBidi" w:cstheme="majorBidi"/>
          <w:color w:val="0D0D0D"/>
          <w:sz w:val="24"/>
          <w:szCs w:val="24"/>
        </w:rPr>
        <w:t xml:space="preserve">Barth, M. E. (2008). Global financial reporting: Implications for US academics. </w:t>
      </w:r>
      <w:r w:rsidRPr="0061493E">
        <w:rPr>
          <w:rFonts w:asciiTheme="majorBidi" w:eastAsia="Times New Roman" w:hAnsiTheme="majorBidi" w:cstheme="majorBidi"/>
          <w:i/>
          <w:iCs/>
          <w:color w:val="0D0D0D"/>
          <w:sz w:val="24"/>
          <w:szCs w:val="24"/>
          <w:bdr w:val="single" w:sz="2" w:space="0" w:color="E3E3E3" w:frame="1"/>
        </w:rPr>
        <w:t>The Accounting Review</w:t>
      </w:r>
      <w:r w:rsidRPr="0061493E">
        <w:rPr>
          <w:rFonts w:asciiTheme="majorBidi" w:eastAsia="Times New Roman" w:hAnsiTheme="majorBidi" w:cstheme="majorBidi"/>
          <w:color w:val="0D0D0D"/>
          <w:sz w:val="24"/>
          <w:szCs w:val="24"/>
        </w:rPr>
        <w:t>, 83(5), 1159-1179.</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r w:rsidRPr="0061493E">
        <w:rPr>
          <w:rFonts w:asciiTheme="majorBidi" w:eastAsia="Times New Roman" w:hAnsiTheme="majorBidi" w:cstheme="majorBidi"/>
          <w:color w:val="0D0D0D"/>
          <w:sz w:val="24"/>
          <w:szCs w:val="24"/>
        </w:rPr>
        <w:t>Botzem</w:t>
      </w:r>
      <w:proofErr w:type="spellEnd"/>
      <w:r w:rsidRPr="0061493E">
        <w:rPr>
          <w:rFonts w:asciiTheme="majorBidi" w:eastAsia="Times New Roman" w:hAnsiTheme="majorBidi" w:cstheme="majorBidi"/>
          <w:color w:val="0D0D0D"/>
          <w:sz w:val="24"/>
          <w:szCs w:val="24"/>
        </w:rPr>
        <w:t xml:space="preserve">, S., &amp; Quack, S. (2006). Contested rules and shifting boundaries: International standard-setting in accounting. </w:t>
      </w:r>
      <w:r w:rsidRPr="0061493E">
        <w:rPr>
          <w:rFonts w:asciiTheme="majorBidi" w:eastAsia="Times New Roman" w:hAnsiTheme="majorBidi" w:cstheme="majorBidi"/>
          <w:i/>
          <w:iCs/>
          <w:color w:val="0D0D0D"/>
          <w:sz w:val="24"/>
          <w:szCs w:val="24"/>
          <w:bdr w:val="single" w:sz="2" w:space="0" w:color="E3E3E3" w:frame="1"/>
        </w:rPr>
        <w:t>Transnational Governance: Institutional Dynamics of Regulation</w:t>
      </w:r>
      <w:r w:rsidRPr="0061493E">
        <w:rPr>
          <w:rFonts w:asciiTheme="majorBidi" w:eastAsia="Times New Roman" w:hAnsiTheme="majorBidi" w:cstheme="majorBidi"/>
          <w:color w:val="0D0D0D"/>
          <w:sz w:val="24"/>
          <w:szCs w:val="24"/>
        </w:rPr>
        <w:t>, 266-286.</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gramStart"/>
      <w:r w:rsidRPr="0061493E">
        <w:rPr>
          <w:rFonts w:asciiTheme="majorBidi" w:eastAsia="Times New Roman" w:hAnsiTheme="majorBidi" w:cstheme="majorBidi"/>
          <w:color w:val="0D0D0D"/>
          <w:sz w:val="24"/>
          <w:szCs w:val="24"/>
        </w:rPr>
        <w:t>Bushman, R. M., &amp; Landsman, W. R. (2010).</w:t>
      </w:r>
      <w:proofErr w:type="gramEnd"/>
      <w:r w:rsidRPr="0061493E">
        <w:rPr>
          <w:rFonts w:asciiTheme="majorBidi" w:eastAsia="Times New Roman" w:hAnsiTheme="majorBidi" w:cstheme="majorBidi"/>
          <w:color w:val="0D0D0D"/>
          <w:sz w:val="24"/>
          <w:szCs w:val="24"/>
        </w:rPr>
        <w:t xml:space="preserve"> The pros and cons of regulating corporate reporting: A critical review of the arguments. </w:t>
      </w:r>
      <w:r w:rsidRPr="0061493E">
        <w:rPr>
          <w:rFonts w:asciiTheme="majorBidi" w:eastAsia="Times New Roman" w:hAnsiTheme="majorBidi" w:cstheme="majorBidi"/>
          <w:i/>
          <w:iCs/>
          <w:color w:val="0D0D0D"/>
          <w:sz w:val="24"/>
          <w:szCs w:val="24"/>
          <w:bdr w:val="single" w:sz="2" w:space="0" w:color="E3E3E3" w:frame="1"/>
        </w:rPr>
        <w:t>Accounting and Business Research</w:t>
      </w:r>
      <w:r w:rsidRPr="0061493E">
        <w:rPr>
          <w:rFonts w:asciiTheme="majorBidi" w:eastAsia="Times New Roman" w:hAnsiTheme="majorBidi" w:cstheme="majorBidi"/>
          <w:color w:val="0D0D0D"/>
          <w:sz w:val="24"/>
          <w:szCs w:val="24"/>
        </w:rPr>
        <w:t>, 40(3), 259-273.</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gramStart"/>
      <w:r w:rsidRPr="0061493E">
        <w:rPr>
          <w:rFonts w:asciiTheme="majorBidi" w:eastAsia="Times New Roman" w:hAnsiTheme="majorBidi" w:cstheme="majorBidi"/>
          <w:color w:val="0D0D0D"/>
          <w:sz w:val="24"/>
          <w:szCs w:val="24"/>
        </w:rPr>
        <w:t xml:space="preserve">Carmona, S., &amp; </w:t>
      </w:r>
      <w:proofErr w:type="spellStart"/>
      <w:r w:rsidRPr="0061493E">
        <w:rPr>
          <w:rFonts w:asciiTheme="majorBidi" w:eastAsia="Times New Roman" w:hAnsiTheme="majorBidi" w:cstheme="majorBidi"/>
          <w:color w:val="0D0D0D"/>
          <w:sz w:val="24"/>
          <w:szCs w:val="24"/>
        </w:rPr>
        <w:t>Trombetta</w:t>
      </w:r>
      <w:proofErr w:type="spellEnd"/>
      <w:r w:rsidRPr="0061493E">
        <w:rPr>
          <w:rFonts w:asciiTheme="majorBidi" w:eastAsia="Times New Roman" w:hAnsiTheme="majorBidi" w:cstheme="majorBidi"/>
          <w:color w:val="0D0D0D"/>
          <w:sz w:val="24"/>
          <w:szCs w:val="24"/>
        </w:rPr>
        <w:t>, M. (2008).</w:t>
      </w:r>
      <w:proofErr w:type="gramEnd"/>
      <w:r w:rsidRPr="0061493E">
        <w:rPr>
          <w:rFonts w:asciiTheme="majorBidi" w:eastAsia="Times New Roman" w:hAnsiTheme="majorBidi" w:cstheme="majorBidi"/>
          <w:color w:val="0D0D0D"/>
          <w:sz w:val="24"/>
          <w:szCs w:val="24"/>
        </w:rPr>
        <w:t xml:space="preserve"> </w:t>
      </w:r>
      <w:proofErr w:type="gramStart"/>
      <w:r w:rsidRPr="0061493E">
        <w:rPr>
          <w:rFonts w:asciiTheme="majorBidi" w:eastAsia="Times New Roman" w:hAnsiTheme="majorBidi" w:cstheme="majorBidi"/>
          <w:color w:val="0D0D0D"/>
          <w:sz w:val="24"/>
          <w:szCs w:val="24"/>
        </w:rPr>
        <w:t>On the global acceptance of IAS/IFRS accounting standards: The logic and implications of the principles-based system.</w:t>
      </w:r>
      <w:proofErr w:type="gramEnd"/>
      <w:r w:rsidRPr="0061493E">
        <w:rPr>
          <w:rFonts w:asciiTheme="majorBidi" w:eastAsia="Times New Roman" w:hAnsiTheme="majorBidi" w:cstheme="majorBidi"/>
          <w:color w:val="0D0D0D"/>
          <w:sz w:val="24"/>
          <w:szCs w:val="24"/>
        </w:rPr>
        <w:t xml:space="preserve"> </w:t>
      </w:r>
      <w:r w:rsidRPr="0061493E">
        <w:rPr>
          <w:rFonts w:asciiTheme="majorBidi" w:eastAsia="Times New Roman" w:hAnsiTheme="majorBidi" w:cstheme="majorBidi"/>
          <w:i/>
          <w:iCs/>
          <w:color w:val="0D0D0D"/>
          <w:sz w:val="24"/>
          <w:szCs w:val="24"/>
          <w:bdr w:val="single" w:sz="2" w:space="0" w:color="E3E3E3" w:frame="1"/>
        </w:rPr>
        <w:t>Journal of Accounting and Public Policy</w:t>
      </w:r>
      <w:r w:rsidRPr="0061493E">
        <w:rPr>
          <w:rFonts w:asciiTheme="majorBidi" w:eastAsia="Times New Roman" w:hAnsiTheme="majorBidi" w:cstheme="majorBidi"/>
          <w:color w:val="0D0D0D"/>
          <w:sz w:val="24"/>
          <w:szCs w:val="24"/>
        </w:rPr>
        <w:t>, 27(6), 455-461.</w:t>
      </w:r>
    </w:p>
    <w:p w:rsidR="00151DA4"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gramStart"/>
      <w:r w:rsidRPr="0061493E">
        <w:rPr>
          <w:rFonts w:asciiTheme="majorBidi" w:eastAsia="Times New Roman" w:hAnsiTheme="majorBidi" w:cstheme="majorBidi"/>
          <w:color w:val="0D0D0D"/>
          <w:sz w:val="24"/>
          <w:szCs w:val="24"/>
        </w:rPr>
        <w:t>Chand, P., &amp; Patel, C. (2008).</w:t>
      </w:r>
      <w:proofErr w:type="gramEnd"/>
      <w:r w:rsidRPr="0061493E">
        <w:rPr>
          <w:rFonts w:asciiTheme="majorBidi" w:eastAsia="Times New Roman" w:hAnsiTheme="majorBidi" w:cstheme="majorBidi"/>
          <w:color w:val="0D0D0D"/>
          <w:sz w:val="24"/>
          <w:szCs w:val="24"/>
        </w:rPr>
        <w:t xml:space="preserve"> </w:t>
      </w:r>
      <w:proofErr w:type="gramStart"/>
      <w:r w:rsidRPr="0061493E">
        <w:rPr>
          <w:rFonts w:asciiTheme="majorBidi" w:eastAsia="Times New Roman" w:hAnsiTheme="majorBidi" w:cstheme="majorBidi"/>
          <w:color w:val="0D0D0D"/>
          <w:sz w:val="24"/>
          <w:szCs w:val="24"/>
        </w:rPr>
        <w:t>Convergence and harmonization of accounting standards in the South Pacific region.</w:t>
      </w:r>
      <w:proofErr w:type="gramEnd"/>
      <w:r w:rsidRPr="0061493E">
        <w:rPr>
          <w:rFonts w:asciiTheme="majorBidi" w:eastAsia="Times New Roman" w:hAnsiTheme="majorBidi" w:cstheme="majorBidi"/>
          <w:color w:val="0D0D0D"/>
          <w:sz w:val="24"/>
          <w:szCs w:val="24"/>
        </w:rPr>
        <w:t xml:space="preserve"> </w:t>
      </w:r>
      <w:r w:rsidRPr="0061493E">
        <w:rPr>
          <w:rFonts w:asciiTheme="majorBidi" w:eastAsia="Times New Roman" w:hAnsiTheme="majorBidi" w:cstheme="majorBidi"/>
          <w:i/>
          <w:iCs/>
          <w:color w:val="0D0D0D"/>
          <w:sz w:val="24"/>
          <w:szCs w:val="24"/>
          <w:bdr w:val="single" w:sz="2" w:space="0" w:color="E3E3E3" w:frame="1"/>
        </w:rPr>
        <w:t>Advances in Accounting</w:t>
      </w:r>
      <w:r w:rsidRPr="0061493E">
        <w:rPr>
          <w:rFonts w:asciiTheme="majorBidi" w:eastAsia="Times New Roman" w:hAnsiTheme="majorBidi" w:cstheme="majorBidi"/>
          <w:color w:val="0D0D0D"/>
          <w:sz w:val="24"/>
          <w:szCs w:val="24"/>
        </w:rPr>
        <w:t>, 24(1), 83-92.</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lastRenderedPageBreak/>
        <w:t xml:space="preserve">Chen </w:t>
      </w:r>
      <w:proofErr w:type="gramStart"/>
      <w:r>
        <w:rPr>
          <w:rFonts w:asciiTheme="majorBidi" w:eastAsia="Times New Roman" w:hAnsiTheme="majorBidi" w:cstheme="majorBidi"/>
          <w:color w:val="0D0D0D"/>
          <w:sz w:val="24"/>
          <w:szCs w:val="24"/>
        </w:rPr>
        <w:t>Q(</w:t>
      </w:r>
      <w:proofErr w:type="gramEnd"/>
      <w:r>
        <w:rPr>
          <w:rFonts w:asciiTheme="majorBidi" w:eastAsia="Times New Roman" w:hAnsiTheme="majorBidi" w:cstheme="majorBidi"/>
          <w:color w:val="0D0D0D"/>
          <w:sz w:val="24"/>
          <w:szCs w:val="24"/>
        </w:rPr>
        <w:t xml:space="preserve">2020).Global </w:t>
      </w:r>
      <w:proofErr w:type="spellStart"/>
      <w:r>
        <w:rPr>
          <w:rFonts w:asciiTheme="majorBidi" w:eastAsia="Times New Roman" w:hAnsiTheme="majorBidi" w:cstheme="majorBidi"/>
          <w:color w:val="0D0D0D"/>
          <w:sz w:val="24"/>
          <w:szCs w:val="24"/>
        </w:rPr>
        <w:t>fprces</w:t>
      </w:r>
      <w:proofErr w:type="spellEnd"/>
      <w:r>
        <w:rPr>
          <w:rFonts w:asciiTheme="majorBidi" w:eastAsia="Times New Roman" w:hAnsiTheme="majorBidi" w:cstheme="majorBidi"/>
          <w:color w:val="0D0D0D"/>
          <w:sz w:val="24"/>
          <w:szCs w:val="24"/>
        </w:rPr>
        <w:t xml:space="preserve"> shaping financial reporting practices. </w:t>
      </w:r>
      <w:proofErr w:type="spellStart"/>
      <w:proofErr w:type="gramStart"/>
      <w:r>
        <w:rPr>
          <w:rFonts w:asciiTheme="majorBidi" w:eastAsia="Times New Roman" w:hAnsiTheme="majorBidi" w:cstheme="majorBidi"/>
          <w:color w:val="0D0D0D"/>
          <w:sz w:val="24"/>
          <w:szCs w:val="24"/>
        </w:rPr>
        <w:t>Vol</w:t>
      </w:r>
      <w:proofErr w:type="spellEnd"/>
      <w:r>
        <w:rPr>
          <w:rFonts w:asciiTheme="majorBidi" w:eastAsia="Times New Roman" w:hAnsiTheme="majorBidi" w:cstheme="majorBidi"/>
          <w:color w:val="0D0D0D"/>
          <w:sz w:val="24"/>
          <w:szCs w:val="24"/>
        </w:rPr>
        <w:t xml:space="preserve"> 2.</w:t>
      </w:r>
      <w:proofErr w:type="gramEnd"/>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proofErr w:type="gramStart"/>
      <w:r w:rsidRPr="0061493E">
        <w:rPr>
          <w:rFonts w:asciiTheme="majorBidi" w:eastAsia="Times New Roman" w:hAnsiTheme="majorBidi" w:cstheme="majorBidi"/>
          <w:color w:val="0D0D0D"/>
          <w:sz w:val="24"/>
          <w:szCs w:val="24"/>
        </w:rPr>
        <w:t>Doupnik</w:t>
      </w:r>
      <w:proofErr w:type="spellEnd"/>
      <w:r w:rsidRPr="0061493E">
        <w:rPr>
          <w:rFonts w:asciiTheme="majorBidi" w:eastAsia="Times New Roman" w:hAnsiTheme="majorBidi" w:cstheme="majorBidi"/>
          <w:color w:val="0D0D0D"/>
          <w:sz w:val="24"/>
          <w:szCs w:val="24"/>
        </w:rPr>
        <w:t xml:space="preserve">, T. S., &amp; </w:t>
      </w:r>
      <w:proofErr w:type="spellStart"/>
      <w:r w:rsidRPr="0061493E">
        <w:rPr>
          <w:rFonts w:asciiTheme="majorBidi" w:eastAsia="Times New Roman" w:hAnsiTheme="majorBidi" w:cstheme="majorBidi"/>
          <w:color w:val="0D0D0D"/>
          <w:sz w:val="24"/>
          <w:szCs w:val="24"/>
        </w:rPr>
        <w:t>Perera</w:t>
      </w:r>
      <w:proofErr w:type="spellEnd"/>
      <w:r w:rsidRPr="0061493E">
        <w:rPr>
          <w:rFonts w:asciiTheme="majorBidi" w:eastAsia="Times New Roman" w:hAnsiTheme="majorBidi" w:cstheme="majorBidi"/>
          <w:color w:val="0D0D0D"/>
          <w:sz w:val="24"/>
          <w:szCs w:val="24"/>
        </w:rPr>
        <w:t>, H. (2007).</w:t>
      </w:r>
      <w:proofErr w:type="gramEnd"/>
      <w:r w:rsidRPr="0061493E">
        <w:rPr>
          <w:rFonts w:asciiTheme="majorBidi" w:eastAsia="Times New Roman" w:hAnsiTheme="majorBidi" w:cstheme="majorBidi"/>
          <w:color w:val="0D0D0D"/>
          <w:sz w:val="24"/>
          <w:szCs w:val="24"/>
        </w:rPr>
        <w:t xml:space="preserve"> </w:t>
      </w:r>
      <w:proofErr w:type="gramStart"/>
      <w:r w:rsidRPr="0061493E">
        <w:rPr>
          <w:rFonts w:asciiTheme="majorBidi" w:eastAsia="Times New Roman" w:hAnsiTheme="majorBidi" w:cstheme="majorBidi"/>
          <w:i/>
          <w:iCs/>
          <w:color w:val="0D0D0D"/>
          <w:sz w:val="24"/>
          <w:szCs w:val="24"/>
          <w:bdr w:val="single" w:sz="2" w:space="0" w:color="E3E3E3" w:frame="1"/>
        </w:rPr>
        <w:t>International Accounting</w:t>
      </w:r>
      <w:r w:rsidRPr="0061493E">
        <w:rPr>
          <w:rFonts w:asciiTheme="majorBidi" w:eastAsia="Times New Roman" w:hAnsiTheme="majorBidi" w:cstheme="majorBidi"/>
          <w:color w:val="0D0D0D"/>
          <w:sz w:val="24"/>
          <w:szCs w:val="24"/>
        </w:rPr>
        <w:t>.</w:t>
      </w:r>
      <w:proofErr w:type="gramEnd"/>
      <w:r w:rsidRPr="0061493E">
        <w:rPr>
          <w:rFonts w:asciiTheme="majorBidi" w:eastAsia="Times New Roman" w:hAnsiTheme="majorBidi" w:cstheme="majorBidi"/>
          <w:color w:val="0D0D0D"/>
          <w:sz w:val="24"/>
          <w:szCs w:val="24"/>
        </w:rPr>
        <w:t xml:space="preserve"> </w:t>
      </w:r>
      <w:proofErr w:type="gramStart"/>
      <w:r w:rsidRPr="0061493E">
        <w:rPr>
          <w:rFonts w:asciiTheme="majorBidi" w:eastAsia="Times New Roman" w:hAnsiTheme="majorBidi" w:cstheme="majorBidi"/>
          <w:color w:val="0D0D0D"/>
          <w:sz w:val="24"/>
          <w:szCs w:val="24"/>
        </w:rPr>
        <w:t>McGraw-Hill Education.</w:t>
      </w:r>
      <w:proofErr w:type="gramEnd"/>
    </w:p>
    <w:p w:rsidR="00151DA4"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proofErr w:type="gramStart"/>
      <w:r w:rsidRPr="0061493E">
        <w:rPr>
          <w:rFonts w:asciiTheme="majorBidi" w:eastAsia="Times New Roman" w:hAnsiTheme="majorBidi" w:cstheme="majorBidi"/>
          <w:color w:val="0D0D0D"/>
          <w:sz w:val="24"/>
          <w:szCs w:val="24"/>
        </w:rPr>
        <w:t>Doupnik</w:t>
      </w:r>
      <w:proofErr w:type="spellEnd"/>
      <w:r w:rsidRPr="0061493E">
        <w:rPr>
          <w:rFonts w:asciiTheme="majorBidi" w:eastAsia="Times New Roman" w:hAnsiTheme="majorBidi" w:cstheme="majorBidi"/>
          <w:color w:val="0D0D0D"/>
          <w:sz w:val="24"/>
          <w:szCs w:val="24"/>
        </w:rPr>
        <w:t xml:space="preserve">, T., &amp; </w:t>
      </w:r>
      <w:proofErr w:type="spellStart"/>
      <w:r w:rsidRPr="0061493E">
        <w:rPr>
          <w:rFonts w:asciiTheme="majorBidi" w:eastAsia="Times New Roman" w:hAnsiTheme="majorBidi" w:cstheme="majorBidi"/>
          <w:color w:val="0D0D0D"/>
          <w:sz w:val="24"/>
          <w:szCs w:val="24"/>
        </w:rPr>
        <w:t>Riccio</w:t>
      </w:r>
      <w:proofErr w:type="spellEnd"/>
      <w:r w:rsidRPr="0061493E">
        <w:rPr>
          <w:rFonts w:asciiTheme="majorBidi" w:eastAsia="Times New Roman" w:hAnsiTheme="majorBidi" w:cstheme="majorBidi"/>
          <w:color w:val="0D0D0D"/>
          <w:sz w:val="24"/>
          <w:szCs w:val="24"/>
        </w:rPr>
        <w:t>, E. L. (2006).</w:t>
      </w:r>
      <w:proofErr w:type="gramEnd"/>
      <w:r w:rsidRPr="0061493E">
        <w:rPr>
          <w:rFonts w:asciiTheme="majorBidi" w:eastAsia="Times New Roman" w:hAnsiTheme="majorBidi" w:cstheme="majorBidi"/>
          <w:color w:val="0D0D0D"/>
          <w:sz w:val="24"/>
          <w:szCs w:val="24"/>
        </w:rPr>
        <w:t xml:space="preserve"> </w:t>
      </w:r>
      <w:proofErr w:type="gramStart"/>
      <w:r w:rsidRPr="0061493E">
        <w:rPr>
          <w:rFonts w:asciiTheme="majorBidi" w:eastAsia="Times New Roman" w:hAnsiTheme="majorBidi" w:cstheme="majorBidi"/>
          <w:color w:val="0D0D0D"/>
          <w:sz w:val="24"/>
          <w:szCs w:val="24"/>
        </w:rPr>
        <w:t>The influence of conservatism and secrecy on the interpretation of verbal probability expressions in the Anglo and Latin cultural areas.</w:t>
      </w:r>
      <w:proofErr w:type="gramEnd"/>
      <w:r w:rsidRPr="0061493E">
        <w:rPr>
          <w:rFonts w:asciiTheme="majorBidi" w:eastAsia="Times New Roman" w:hAnsiTheme="majorBidi" w:cstheme="majorBidi"/>
          <w:color w:val="0D0D0D"/>
          <w:sz w:val="24"/>
          <w:szCs w:val="24"/>
        </w:rPr>
        <w:t xml:space="preserve"> </w:t>
      </w:r>
      <w:r w:rsidRPr="0061493E">
        <w:rPr>
          <w:rFonts w:asciiTheme="majorBidi" w:eastAsia="Times New Roman" w:hAnsiTheme="majorBidi" w:cstheme="majorBidi"/>
          <w:i/>
          <w:iCs/>
          <w:color w:val="0D0D0D"/>
          <w:sz w:val="24"/>
          <w:szCs w:val="24"/>
          <w:bdr w:val="single" w:sz="2" w:space="0" w:color="E3E3E3" w:frame="1"/>
        </w:rPr>
        <w:t>The International Journal of Accounting</w:t>
      </w:r>
      <w:r w:rsidRPr="0061493E">
        <w:rPr>
          <w:rFonts w:asciiTheme="majorBidi" w:eastAsia="Times New Roman" w:hAnsiTheme="majorBidi" w:cstheme="majorBidi"/>
          <w:color w:val="0D0D0D"/>
          <w:sz w:val="24"/>
          <w:szCs w:val="24"/>
        </w:rPr>
        <w:t>, 41(3), 237-261.</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Gupta R</w:t>
      </w:r>
      <w:proofErr w:type="gramStart"/>
      <w:r>
        <w:rPr>
          <w:rFonts w:asciiTheme="majorBidi" w:eastAsia="Times New Roman" w:hAnsiTheme="majorBidi" w:cstheme="majorBidi"/>
          <w:color w:val="0D0D0D"/>
          <w:sz w:val="24"/>
          <w:szCs w:val="24"/>
        </w:rPr>
        <w:t>,(</w:t>
      </w:r>
      <w:proofErr w:type="gramEnd"/>
      <w:r>
        <w:rPr>
          <w:rFonts w:asciiTheme="majorBidi" w:eastAsia="Times New Roman" w:hAnsiTheme="majorBidi" w:cstheme="majorBidi"/>
          <w:color w:val="0D0D0D"/>
          <w:sz w:val="24"/>
          <w:szCs w:val="24"/>
        </w:rPr>
        <w:t>2020).The role of international financial reporting standards in a globalized economy 60(1),102-120</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gramStart"/>
      <w:r w:rsidRPr="0061493E">
        <w:rPr>
          <w:rFonts w:asciiTheme="majorBidi" w:eastAsia="Times New Roman" w:hAnsiTheme="majorBidi" w:cstheme="majorBidi"/>
          <w:color w:val="0D0D0D"/>
          <w:sz w:val="24"/>
          <w:szCs w:val="24"/>
        </w:rPr>
        <w:t xml:space="preserve">Healy, P. M., &amp; </w:t>
      </w:r>
      <w:proofErr w:type="spellStart"/>
      <w:r w:rsidRPr="0061493E">
        <w:rPr>
          <w:rFonts w:asciiTheme="majorBidi" w:eastAsia="Times New Roman" w:hAnsiTheme="majorBidi" w:cstheme="majorBidi"/>
          <w:color w:val="0D0D0D"/>
          <w:sz w:val="24"/>
          <w:szCs w:val="24"/>
        </w:rPr>
        <w:t>Palepu</w:t>
      </w:r>
      <w:proofErr w:type="spellEnd"/>
      <w:r w:rsidRPr="0061493E">
        <w:rPr>
          <w:rFonts w:asciiTheme="majorBidi" w:eastAsia="Times New Roman" w:hAnsiTheme="majorBidi" w:cstheme="majorBidi"/>
          <w:color w:val="0D0D0D"/>
          <w:sz w:val="24"/>
          <w:szCs w:val="24"/>
        </w:rPr>
        <w:t>, K. G. (2001).</w:t>
      </w:r>
      <w:proofErr w:type="gramEnd"/>
      <w:r w:rsidRPr="0061493E">
        <w:rPr>
          <w:rFonts w:asciiTheme="majorBidi" w:eastAsia="Times New Roman" w:hAnsiTheme="majorBidi" w:cstheme="majorBidi"/>
          <w:color w:val="0D0D0D"/>
          <w:sz w:val="24"/>
          <w:szCs w:val="24"/>
        </w:rPr>
        <w:t xml:space="preserve"> Information asymmetry, corporate disclosure, and the capital markets: A review of the empirical disclosure literature. </w:t>
      </w:r>
      <w:r w:rsidRPr="0061493E">
        <w:rPr>
          <w:rFonts w:asciiTheme="majorBidi" w:eastAsia="Times New Roman" w:hAnsiTheme="majorBidi" w:cstheme="majorBidi"/>
          <w:i/>
          <w:iCs/>
          <w:color w:val="0D0D0D"/>
          <w:sz w:val="24"/>
          <w:szCs w:val="24"/>
          <w:bdr w:val="single" w:sz="2" w:space="0" w:color="E3E3E3" w:frame="1"/>
        </w:rPr>
        <w:t>Journal of Accounting and Economics</w:t>
      </w:r>
      <w:r w:rsidRPr="0061493E">
        <w:rPr>
          <w:rFonts w:asciiTheme="majorBidi" w:eastAsia="Times New Roman" w:hAnsiTheme="majorBidi" w:cstheme="majorBidi"/>
          <w:color w:val="0D0D0D"/>
          <w:sz w:val="24"/>
          <w:szCs w:val="24"/>
        </w:rPr>
        <w:t>, 31(1-3), 405-440.</w:t>
      </w:r>
    </w:p>
    <w:p w:rsidR="00151DA4"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proofErr w:type="gramStart"/>
      <w:r w:rsidRPr="0061493E">
        <w:rPr>
          <w:rFonts w:asciiTheme="majorBidi" w:eastAsia="Times New Roman" w:hAnsiTheme="majorBidi" w:cstheme="majorBidi"/>
          <w:color w:val="0D0D0D"/>
          <w:sz w:val="24"/>
          <w:szCs w:val="24"/>
        </w:rPr>
        <w:t>Jackling</w:t>
      </w:r>
      <w:proofErr w:type="spellEnd"/>
      <w:r w:rsidRPr="0061493E">
        <w:rPr>
          <w:rFonts w:asciiTheme="majorBidi" w:eastAsia="Times New Roman" w:hAnsiTheme="majorBidi" w:cstheme="majorBidi"/>
          <w:color w:val="0D0D0D"/>
          <w:sz w:val="24"/>
          <w:szCs w:val="24"/>
        </w:rPr>
        <w:t>, B., de Lange, P., Phillips, J., &amp; Sewell, J. (</w:t>
      </w:r>
      <w:r>
        <w:rPr>
          <w:rFonts w:asciiTheme="majorBidi" w:eastAsia="Times New Roman" w:hAnsiTheme="majorBidi" w:cstheme="majorBidi"/>
          <w:color w:val="0D0D0D"/>
          <w:sz w:val="24"/>
          <w:szCs w:val="24"/>
        </w:rPr>
        <w:t>2022</w:t>
      </w:r>
      <w:r w:rsidRPr="0061493E">
        <w:rPr>
          <w:rFonts w:asciiTheme="majorBidi" w:eastAsia="Times New Roman" w:hAnsiTheme="majorBidi" w:cstheme="majorBidi"/>
          <w:color w:val="0D0D0D"/>
          <w:sz w:val="24"/>
          <w:szCs w:val="24"/>
        </w:rPr>
        <w:t>).</w:t>
      </w:r>
      <w:proofErr w:type="gramEnd"/>
      <w:r w:rsidRPr="0061493E">
        <w:rPr>
          <w:rFonts w:asciiTheme="majorBidi" w:eastAsia="Times New Roman" w:hAnsiTheme="majorBidi" w:cstheme="majorBidi"/>
          <w:color w:val="0D0D0D"/>
          <w:sz w:val="24"/>
          <w:szCs w:val="24"/>
        </w:rPr>
        <w:t xml:space="preserve"> Attitudes towards accounting: Differences between Australian and international students. </w:t>
      </w:r>
      <w:proofErr w:type="gramStart"/>
      <w:r w:rsidRPr="0061493E">
        <w:rPr>
          <w:rFonts w:asciiTheme="majorBidi" w:eastAsia="Times New Roman" w:hAnsiTheme="majorBidi" w:cstheme="majorBidi"/>
          <w:i/>
          <w:iCs/>
          <w:color w:val="0D0D0D"/>
          <w:sz w:val="24"/>
          <w:szCs w:val="24"/>
          <w:bdr w:val="single" w:sz="2" w:space="0" w:color="E3E3E3" w:frame="1"/>
        </w:rPr>
        <w:t>Accounting Education</w:t>
      </w:r>
      <w:r w:rsidRPr="0061493E">
        <w:rPr>
          <w:rFonts w:asciiTheme="majorBidi" w:eastAsia="Times New Roman" w:hAnsiTheme="majorBidi" w:cstheme="majorBidi"/>
          <w:color w:val="0D0D0D"/>
          <w:sz w:val="24"/>
          <w:szCs w:val="24"/>
        </w:rPr>
        <w:t>, 21(3), 317-340.</w:t>
      </w:r>
      <w:proofErr w:type="gramEnd"/>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r>
        <w:rPr>
          <w:rFonts w:asciiTheme="majorBidi" w:eastAsia="Times New Roman" w:hAnsiTheme="majorBidi" w:cstheme="majorBidi"/>
          <w:color w:val="0D0D0D"/>
          <w:sz w:val="24"/>
          <w:szCs w:val="24"/>
        </w:rPr>
        <w:t>Kim.S</w:t>
      </w:r>
      <w:proofErr w:type="spellEnd"/>
      <w:proofErr w:type="gramStart"/>
      <w:r>
        <w:rPr>
          <w:rFonts w:asciiTheme="majorBidi" w:eastAsia="Times New Roman" w:hAnsiTheme="majorBidi" w:cstheme="majorBidi"/>
          <w:color w:val="0D0D0D"/>
          <w:sz w:val="24"/>
          <w:szCs w:val="24"/>
        </w:rPr>
        <w:t>.(</w:t>
      </w:r>
      <w:proofErr w:type="gramEnd"/>
      <w:r>
        <w:rPr>
          <w:rFonts w:asciiTheme="majorBidi" w:eastAsia="Times New Roman" w:hAnsiTheme="majorBidi" w:cstheme="majorBidi"/>
          <w:color w:val="0D0D0D"/>
          <w:sz w:val="24"/>
          <w:szCs w:val="24"/>
        </w:rPr>
        <w:t>2021).Globalization  and financial reporting quality: Evidence from emerging markets,12(1)</w:t>
      </w:r>
    </w:p>
    <w:p w:rsidR="00151DA4"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proofErr w:type="gramStart"/>
      <w:r w:rsidRPr="0061493E">
        <w:rPr>
          <w:rFonts w:asciiTheme="majorBidi" w:eastAsia="Times New Roman" w:hAnsiTheme="majorBidi" w:cstheme="majorBidi"/>
          <w:color w:val="0D0D0D"/>
          <w:sz w:val="24"/>
          <w:szCs w:val="24"/>
        </w:rPr>
        <w:t>Leuz</w:t>
      </w:r>
      <w:proofErr w:type="spellEnd"/>
      <w:r w:rsidRPr="0061493E">
        <w:rPr>
          <w:rFonts w:asciiTheme="majorBidi" w:eastAsia="Times New Roman" w:hAnsiTheme="majorBidi" w:cstheme="majorBidi"/>
          <w:color w:val="0D0D0D"/>
          <w:sz w:val="24"/>
          <w:szCs w:val="24"/>
        </w:rPr>
        <w:t xml:space="preserve">, C., &amp; </w:t>
      </w:r>
      <w:proofErr w:type="spellStart"/>
      <w:r w:rsidRPr="0061493E">
        <w:rPr>
          <w:rFonts w:asciiTheme="majorBidi" w:eastAsia="Times New Roman" w:hAnsiTheme="majorBidi" w:cstheme="majorBidi"/>
          <w:color w:val="0D0D0D"/>
          <w:sz w:val="24"/>
          <w:szCs w:val="24"/>
        </w:rPr>
        <w:t>Wysocki</w:t>
      </w:r>
      <w:proofErr w:type="spellEnd"/>
      <w:r w:rsidRPr="0061493E">
        <w:rPr>
          <w:rFonts w:asciiTheme="majorBidi" w:eastAsia="Times New Roman" w:hAnsiTheme="majorBidi" w:cstheme="majorBidi"/>
          <w:color w:val="0D0D0D"/>
          <w:sz w:val="24"/>
          <w:szCs w:val="24"/>
        </w:rPr>
        <w:t>, P. D. (</w:t>
      </w:r>
      <w:r>
        <w:rPr>
          <w:rFonts w:asciiTheme="majorBidi" w:eastAsia="Times New Roman" w:hAnsiTheme="majorBidi" w:cstheme="majorBidi"/>
          <w:color w:val="0D0D0D"/>
          <w:sz w:val="24"/>
          <w:szCs w:val="24"/>
        </w:rPr>
        <w:t>2020</w:t>
      </w:r>
      <w:r w:rsidRPr="0061493E">
        <w:rPr>
          <w:rFonts w:asciiTheme="majorBidi" w:eastAsia="Times New Roman" w:hAnsiTheme="majorBidi" w:cstheme="majorBidi"/>
          <w:color w:val="0D0D0D"/>
          <w:sz w:val="24"/>
          <w:szCs w:val="24"/>
        </w:rPr>
        <w:t>).</w:t>
      </w:r>
      <w:proofErr w:type="gramEnd"/>
      <w:r w:rsidRPr="0061493E">
        <w:rPr>
          <w:rFonts w:asciiTheme="majorBidi" w:eastAsia="Times New Roman" w:hAnsiTheme="majorBidi" w:cstheme="majorBidi"/>
          <w:color w:val="0D0D0D"/>
          <w:sz w:val="24"/>
          <w:szCs w:val="24"/>
        </w:rPr>
        <w:t xml:space="preserve"> The economics of disclosure and financial reporting regulation: Evidence and suggestions for future research. </w:t>
      </w:r>
      <w:r w:rsidRPr="0061493E">
        <w:rPr>
          <w:rFonts w:asciiTheme="majorBidi" w:eastAsia="Times New Roman" w:hAnsiTheme="majorBidi" w:cstheme="majorBidi"/>
          <w:i/>
          <w:iCs/>
          <w:color w:val="0D0D0D"/>
          <w:sz w:val="24"/>
          <w:szCs w:val="24"/>
          <w:bdr w:val="single" w:sz="2" w:space="0" w:color="E3E3E3" w:frame="1"/>
        </w:rPr>
        <w:t>Journal of Accounting Research</w:t>
      </w:r>
      <w:r w:rsidRPr="0061493E">
        <w:rPr>
          <w:rFonts w:asciiTheme="majorBidi" w:eastAsia="Times New Roman" w:hAnsiTheme="majorBidi" w:cstheme="majorBidi"/>
          <w:color w:val="0D0D0D"/>
          <w:sz w:val="24"/>
          <w:szCs w:val="24"/>
        </w:rPr>
        <w:t>, 54(2), 525-622.</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r>
        <w:rPr>
          <w:rFonts w:asciiTheme="majorBidi" w:eastAsia="Times New Roman" w:hAnsiTheme="majorBidi" w:cstheme="majorBidi"/>
          <w:color w:val="0D0D0D"/>
          <w:sz w:val="24"/>
          <w:szCs w:val="24"/>
        </w:rPr>
        <w:t>Mehmed.M.Edin</w:t>
      </w:r>
      <w:proofErr w:type="spellEnd"/>
      <w:r>
        <w:rPr>
          <w:rFonts w:asciiTheme="majorBidi" w:eastAsia="Times New Roman" w:hAnsiTheme="majorBidi" w:cstheme="majorBidi"/>
          <w:color w:val="0D0D0D"/>
          <w:sz w:val="24"/>
          <w:szCs w:val="24"/>
        </w:rPr>
        <w:t xml:space="preserve"> </w:t>
      </w:r>
      <w:proofErr w:type="spellStart"/>
      <w:proofErr w:type="gramStart"/>
      <w:r>
        <w:rPr>
          <w:rFonts w:asciiTheme="majorBidi" w:eastAsia="Times New Roman" w:hAnsiTheme="majorBidi" w:cstheme="majorBidi"/>
          <w:color w:val="0D0D0D"/>
          <w:sz w:val="24"/>
          <w:szCs w:val="24"/>
        </w:rPr>
        <w:t>suljovie</w:t>
      </w:r>
      <w:proofErr w:type="spellEnd"/>
      <w:r>
        <w:rPr>
          <w:rFonts w:asciiTheme="majorBidi" w:eastAsia="Times New Roman" w:hAnsiTheme="majorBidi" w:cstheme="majorBidi"/>
          <w:color w:val="0D0D0D"/>
          <w:sz w:val="24"/>
          <w:szCs w:val="24"/>
        </w:rPr>
        <w:t>(</w:t>
      </w:r>
      <w:proofErr w:type="gramEnd"/>
      <w:r>
        <w:rPr>
          <w:rFonts w:asciiTheme="majorBidi" w:eastAsia="Times New Roman" w:hAnsiTheme="majorBidi" w:cstheme="majorBidi"/>
          <w:color w:val="0D0D0D"/>
          <w:sz w:val="24"/>
          <w:szCs w:val="24"/>
        </w:rPr>
        <w:t>2021).The effects of Globalization in Accounting profession and Education with emphasis on management accounting,60(2),621-633.</w:t>
      </w:r>
    </w:p>
    <w:p w:rsidR="00151DA4"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gramStart"/>
      <w:r w:rsidRPr="0061493E">
        <w:rPr>
          <w:rFonts w:asciiTheme="majorBidi" w:eastAsia="Times New Roman" w:hAnsiTheme="majorBidi" w:cstheme="majorBidi"/>
          <w:color w:val="0D0D0D"/>
          <w:sz w:val="24"/>
          <w:szCs w:val="24"/>
        </w:rPr>
        <w:t xml:space="preserve">Moffitt, K. C., &amp; </w:t>
      </w:r>
      <w:proofErr w:type="spellStart"/>
      <w:r w:rsidRPr="0061493E">
        <w:rPr>
          <w:rFonts w:asciiTheme="majorBidi" w:eastAsia="Times New Roman" w:hAnsiTheme="majorBidi" w:cstheme="majorBidi"/>
          <w:color w:val="0D0D0D"/>
          <w:sz w:val="24"/>
          <w:szCs w:val="24"/>
        </w:rPr>
        <w:t>Vasarhelyi</w:t>
      </w:r>
      <w:proofErr w:type="spellEnd"/>
      <w:r w:rsidRPr="0061493E">
        <w:rPr>
          <w:rFonts w:asciiTheme="majorBidi" w:eastAsia="Times New Roman" w:hAnsiTheme="majorBidi" w:cstheme="majorBidi"/>
          <w:color w:val="0D0D0D"/>
          <w:sz w:val="24"/>
          <w:szCs w:val="24"/>
        </w:rPr>
        <w:t>, M. A. (2013).</w:t>
      </w:r>
      <w:proofErr w:type="gramEnd"/>
      <w:r w:rsidRPr="0061493E">
        <w:rPr>
          <w:rFonts w:asciiTheme="majorBidi" w:eastAsia="Times New Roman" w:hAnsiTheme="majorBidi" w:cstheme="majorBidi"/>
          <w:color w:val="0D0D0D"/>
          <w:sz w:val="24"/>
          <w:szCs w:val="24"/>
        </w:rPr>
        <w:t xml:space="preserve"> </w:t>
      </w:r>
      <w:proofErr w:type="gramStart"/>
      <w:r w:rsidRPr="0061493E">
        <w:rPr>
          <w:rFonts w:asciiTheme="majorBidi" w:eastAsia="Times New Roman" w:hAnsiTheme="majorBidi" w:cstheme="majorBidi"/>
          <w:color w:val="0D0D0D"/>
          <w:sz w:val="24"/>
          <w:szCs w:val="24"/>
        </w:rPr>
        <w:t>AIS in an age of big data.</w:t>
      </w:r>
      <w:proofErr w:type="gramEnd"/>
      <w:r w:rsidRPr="0061493E">
        <w:rPr>
          <w:rFonts w:asciiTheme="majorBidi" w:eastAsia="Times New Roman" w:hAnsiTheme="majorBidi" w:cstheme="majorBidi"/>
          <w:color w:val="0D0D0D"/>
          <w:sz w:val="24"/>
          <w:szCs w:val="24"/>
        </w:rPr>
        <w:t xml:space="preserve"> </w:t>
      </w:r>
      <w:r w:rsidRPr="0061493E">
        <w:rPr>
          <w:rFonts w:asciiTheme="majorBidi" w:eastAsia="Times New Roman" w:hAnsiTheme="majorBidi" w:cstheme="majorBidi"/>
          <w:i/>
          <w:iCs/>
          <w:color w:val="0D0D0D"/>
          <w:sz w:val="24"/>
          <w:szCs w:val="24"/>
          <w:bdr w:val="single" w:sz="2" w:space="0" w:color="E3E3E3" w:frame="1"/>
        </w:rPr>
        <w:t>Journal of Information Systems</w:t>
      </w:r>
      <w:r w:rsidRPr="0061493E">
        <w:rPr>
          <w:rFonts w:asciiTheme="majorBidi" w:eastAsia="Times New Roman" w:hAnsiTheme="majorBidi" w:cstheme="majorBidi"/>
          <w:color w:val="0D0D0D"/>
          <w:sz w:val="24"/>
          <w:szCs w:val="24"/>
        </w:rPr>
        <w:t>, 27(2), 1-19.</w:t>
      </w:r>
    </w:p>
    <w:p w:rsidR="00151DA4" w:rsidRPr="0061493E"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r>
        <w:rPr>
          <w:rFonts w:asciiTheme="majorBidi" w:eastAsia="Times New Roman" w:hAnsiTheme="majorBidi" w:cstheme="majorBidi"/>
          <w:color w:val="0D0D0D"/>
          <w:sz w:val="24"/>
          <w:szCs w:val="24"/>
        </w:rPr>
        <w:t>Rodriguez.M</w:t>
      </w:r>
      <w:proofErr w:type="spellEnd"/>
      <w:proofErr w:type="gramStart"/>
      <w:r>
        <w:rPr>
          <w:rFonts w:asciiTheme="majorBidi" w:eastAsia="Times New Roman" w:hAnsiTheme="majorBidi" w:cstheme="majorBidi"/>
          <w:color w:val="0D0D0D"/>
          <w:sz w:val="24"/>
          <w:szCs w:val="24"/>
        </w:rPr>
        <w:t>.(</w:t>
      </w:r>
      <w:proofErr w:type="gramEnd"/>
      <w:r>
        <w:rPr>
          <w:rFonts w:asciiTheme="majorBidi" w:eastAsia="Times New Roman" w:hAnsiTheme="majorBidi" w:cstheme="majorBidi"/>
          <w:color w:val="0D0D0D"/>
          <w:sz w:val="24"/>
          <w:szCs w:val="24"/>
        </w:rPr>
        <w:t>2021).Impact of Globalization on corporate disclosure,pp70-75</w:t>
      </w:r>
    </w:p>
    <w:p w:rsidR="00151DA4"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r w:rsidRPr="0061493E">
        <w:rPr>
          <w:rFonts w:asciiTheme="majorBidi" w:eastAsia="Times New Roman" w:hAnsiTheme="majorBidi" w:cstheme="majorBidi"/>
          <w:color w:val="0D0D0D"/>
          <w:sz w:val="24"/>
          <w:szCs w:val="24"/>
        </w:rPr>
        <w:lastRenderedPageBreak/>
        <w:t>Schipper</w:t>
      </w:r>
      <w:proofErr w:type="spellEnd"/>
      <w:r w:rsidRPr="0061493E">
        <w:rPr>
          <w:rFonts w:asciiTheme="majorBidi" w:eastAsia="Times New Roman" w:hAnsiTheme="majorBidi" w:cstheme="majorBidi"/>
          <w:color w:val="0D0D0D"/>
          <w:sz w:val="24"/>
          <w:szCs w:val="24"/>
        </w:rPr>
        <w:t xml:space="preserve">, K. (2005). The introduction of International Accounting Standards in Europe: Implications for international convergence. </w:t>
      </w:r>
      <w:r w:rsidRPr="0061493E">
        <w:rPr>
          <w:rFonts w:asciiTheme="majorBidi" w:eastAsia="Times New Roman" w:hAnsiTheme="majorBidi" w:cstheme="majorBidi"/>
          <w:i/>
          <w:iCs/>
          <w:color w:val="0D0D0D"/>
          <w:sz w:val="24"/>
          <w:szCs w:val="24"/>
          <w:bdr w:val="single" w:sz="2" w:space="0" w:color="E3E3E3" w:frame="1"/>
        </w:rPr>
        <w:t>European Accounting Review</w:t>
      </w:r>
      <w:r w:rsidRPr="0061493E">
        <w:rPr>
          <w:rFonts w:asciiTheme="majorBidi" w:eastAsia="Times New Roman" w:hAnsiTheme="majorBidi" w:cstheme="majorBidi"/>
          <w:color w:val="0D0D0D"/>
          <w:sz w:val="24"/>
          <w:szCs w:val="24"/>
        </w:rPr>
        <w:t>, 14(1), 101-126.</w:t>
      </w:r>
    </w:p>
    <w:p w:rsidR="00151DA4" w:rsidRPr="00041169" w:rsidRDefault="00151DA4" w:rsidP="00151DA4">
      <w:pPr>
        <w:shd w:val="clear" w:color="auto" w:fill="FFFFFF"/>
        <w:spacing w:before="240" w:after="0" w:line="360" w:lineRule="auto"/>
        <w:ind w:left="720" w:hanging="720"/>
        <w:jc w:val="both"/>
        <w:rPr>
          <w:rFonts w:asciiTheme="majorBidi" w:eastAsia="Times New Roman" w:hAnsiTheme="majorBidi" w:cstheme="majorBidi"/>
          <w:color w:val="0D0D0D"/>
          <w:sz w:val="24"/>
          <w:szCs w:val="24"/>
        </w:rPr>
      </w:pPr>
      <w:proofErr w:type="spellStart"/>
      <w:r>
        <w:rPr>
          <w:rFonts w:asciiTheme="majorBidi" w:eastAsia="Times New Roman" w:hAnsiTheme="majorBidi" w:cstheme="majorBidi"/>
          <w:color w:val="0D0D0D"/>
          <w:sz w:val="24"/>
          <w:szCs w:val="24"/>
        </w:rPr>
        <w:t>Ukah</w:t>
      </w:r>
      <w:proofErr w:type="gramStart"/>
      <w:r>
        <w:rPr>
          <w:rFonts w:asciiTheme="majorBidi" w:eastAsia="Times New Roman" w:hAnsiTheme="majorBidi" w:cstheme="majorBidi"/>
          <w:color w:val="0D0D0D"/>
          <w:sz w:val="24"/>
          <w:szCs w:val="24"/>
        </w:rPr>
        <w:t>,Ruth</w:t>
      </w:r>
      <w:proofErr w:type="spellEnd"/>
      <w:proofErr w:type="gramEnd"/>
      <w:r>
        <w:rPr>
          <w:rFonts w:asciiTheme="majorBidi" w:eastAsia="Times New Roman" w:hAnsiTheme="majorBidi" w:cstheme="majorBidi"/>
          <w:color w:val="0D0D0D"/>
          <w:sz w:val="24"/>
          <w:szCs w:val="24"/>
        </w:rPr>
        <w:t xml:space="preserve"> C.(2021).Globalization of commercial banks in  </w:t>
      </w:r>
      <w:proofErr w:type="spellStart"/>
      <w:r>
        <w:rPr>
          <w:rFonts w:asciiTheme="majorBidi" w:eastAsia="Times New Roman" w:hAnsiTheme="majorBidi" w:cstheme="majorBidi"/>
          <w:color w:val="0D0D0D"/>
          <w:sz w:val="24"/>
          <w:szCs w:val="24"/>
        </w:rPr>
        <w:t>Nigeria:The</w:t>
      </w:r>
      <w:proofErr w:type="spellEnd"/>
      <w:r>
        <w:rPr>
          <w:rFonts w:asciiTheme="majorBidi" w:eastAsia="Times New Roman" w:hAnsiTheme="majorBidi" w:cstheme="majorBidi"/>
          <w:color w:val="0D0D0D"/>
          <w:sz w:val="24"/>
          <w:szCs w:val="24"/>
        </w:rPr>
        <w:t xml:space="preserve"> role 0f ICT 20(2),34-50.</w:t>
      </w:r>
      <w:r w:rsidRPr="00041169">
        <w:rPr>
          <w:rFonts w:asciiTheme="majorBidi" w:eastAsia="Times New Roman" w:hAnsiTheme="majorBidi" w:cstheme="majorBidi"/>
          <w:color w:val="0D0D0D"/>
          <w:sz w:val="24"/>
          <w:szCs w:val="24"/>
        </w:rPr>
        <w:t xml:space="preserve"> </w:t>
      </w:r>
    </w:p>
    <w:p w:rsidR="00151DA4" w:rsidRDefault="00151DA4" w:rsidP="00151DA4">
      <w:pPr>
        <w:spacing w:before="240" w:line="360" w:lineRule="auto"/>
      </w:pPr>
    </w:p>
    <w:p w:rsidR="00151DA4" w:rsidRPr="008D7E04" w:rsidRDefault="00151DA4" w:rsidP="00151DA4">
      <w:pPr>
        <w:spacing w:before="240" w:line="360" w:lineRule="auto"/>
        <w:jc w:val="both"/>
        <w:rPr>
          <w:rFonts w:ascii="Times New Roman" w:hAnsi="Times New Roman" w:cs="Times New Roman"/>
          <w:sz w:val="24"/>
          <w:szCs w:val="24"/>
        </w:rPr>
      </w:pPr>
    </w:p>
    <w:p w:rsidR="00151DA4" w:rsidRPr="008D7E04" w:rsidRDefault="00151DA4" w:rsidP="00151DA4">
      <w:pPr>
        <w:spacing w:before="240" w:line="360" w:lineRule="auto"/>
        <w:rPr>
          <w:rFonts w:ascii="Times New Roman" w:hAnsi="Times New Roman" w:cs="Times New Roman"/>
        </w:rPr>
      </w:pPr>
    </w:p>
    <w:p w:rsidR="00D30FB6" w:rsidRDefault="00D30FB6"/>
    <w:sectPr w:rsidR="00D30FB6" w:rsidSect="003F31BC">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668" w:rsidRDefault="00296668">
      <w:pPr>
        <w:spacing w:after="0" w:line="240" w:lineRule="auto"/>
      </w:pPr>
      <w:r>
        <w:separator/>
      </w:r>
    </w:p>
  </w:endnote>
  <w:endnote w:type="continuationSeparator" w:id="0">
    <w:p w:rsidR="00296668" w:rsidRDefault="0029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795597"/>
      <w:docPartObj>
        <w:docPartGallery w:val="Page Numbers (Bottom of Page)"/>
        <w:docPartUnique/>
      </w:docPartObj>
    </w:sdtPr>
    <w:sdtEndPr>
      <w:rPr>
        <w:noProof/>
      </w:rPr>
    </w:sdtEndPr>
    <w:sdtContent>
      <w:p w:rsidR="003F31BC" w:rsidRDefault="003F31BC">
        <w:pPr>
          <w:pStyle w:val="Footer"/>
          <w:jc w:val="center"/>
        </w:pPr>
        <w:r>
          <w:fldChar w:fldCharType="begin"/>
        </w:r>
        <w:r>
          <w:instrText xml:space="preserve"> PAGE   \* MERGEFORMAT </w:instrText>
        </w:r>
        <w:r>
          <w:fldChar w:fldCharType="separate"/>
        </w:r>
        <w:r w:rsidR="008F26E5">
          <w:rPr>
            <w:noProof/>
          </w:rPr>
          <w:t>21</w:t>
        </w:r>
        <w:r>
          <w:rPr>
            <w:noProof/>
          </w:rPr>
          <w:fldChar w:fldCharType="end"/>
        </w:r>
      </w:p>
    </w:sdtContent>
  </w:sdt>
  <w:p w:rsidR="003F31BC" w:rsidRDefault="003F3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668" w:rsidRDefault="00296668">
      <w:pPr>
        <w:spacing w:after="0" w:line="240" w:lineRule="auto"/>
      </w:pPr>
      <w:r>
        <w:separator/>
      </w:r>
    </w:p>
  </w:footnote>
  <w:footnote w:type="continuationSeparator" w:id="0">
    <w:p w:rsidR="00296668" w:rsidRDefault="00296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4505"/>
    <w:multiLevelType w:val="multilevel"/>
    <w:tmpl w:val="D1D212F0"/>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40779B"/>
    <w:multiLevelType w:val="hybridMultilevel"/>
    <w:tmpl w:val="7B76F59C"/>
    <w:lvl w:ilvl="0" w:tplc="FF5E659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A2C79"/>
    <w:multiLevelType w:val="multilevel"/>
    <w:tmpl w:val="D1D212F0"/>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F776E5"/>
    <w:multiLevelType w:val="multilevel"/>
    <w:tmpl w:val="F496B6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DA4"/>
    <w:rsid w:val="000134D0"/>
    <w:rsid w:val="00050AAE"/>
    <w:rsid w:val="0007016D"/>
    <w:rsid w:val="00151DA4"/>
    <w:rsid w:val="00294882"/>
    <w:rsid w:val="00296668"/>
    <w:rsid w:val="003F31BC"/>
    <w:rsid w:val="0040283D"/>
    <w:rsid w:val="0089704C"/>
    <w:rsid w:val="008F26E5"/>
    <w:rsid w:val="00B51B2F"/>
    <w:rsid w:val="00D30FB6"/>
    <w:rsid w:val="00D67B6F"/>
    <w:rsid w:val="00E33E40"/>
    <w:rsid w:val="00ED6C87"/>
    <w:rsid w:val="00EE0703"/>
    <w:rsid w:val="00F8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A4"/>
  </w:style>
  <w:style w:type="paragraph" w:styleId="Heading1">
    <w:name w:val="heading 1"/>
    <w:basedOn w:val="Normal"/>
    <w:next w:val="Normal"/>
    <w:link w:val="Heading1Char"/>
    <w:uiPriority w:val="9"/>
    <w:qFormat/>
    <w:rsid w:val="00050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6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151DA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1DA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51D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51DA4"/>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151DA4"/>
    <w:rPr>
      <w:b/>
      <w:bCs/>
    </w:rPr>
  </w:style>
  <w:style w:type="character" w:styleId="Hyperlink">
    <w:name w:val="Hyperlink"/>
    <w:basedOn w:val="DefaultParagraphFont"/>
    <w:uiPriority w:val="99"/>
    <w:semiHidden/>
    <w:unhideWhenUsed/>
    <w:rsid w:val="00151DA4"/>
    <w:rPr>
      <w:color w:val="0000FF"/>
      <w:u w:val="single"/>
    </w:rPr>
  </w:style>
  <w:style w:type="paragraph" w:styleId="ListParagraph">
    <w:name w:val="List Paragraph"/>
    <w:basedOn w:val="Normal"/>
    <w:uiPriority w:val="34"/>
    <w:qFormat/>
    <w:rsid w:val="00151DA4"/>
    <w:pPr>
      <w:ind w:left="720"/>
      <w:contextualSpacing/>
    </w:pPr>
  </w:style>
  <w:style w:type="paragraph" w:styleId="NoSpacing">
    <w:name w:val="No Spacing"/>
    <w:uiPriority w:val="1"/>
    <w:qFormat/>
    <w:rsid w:val="00151DA4"/>
    <w:pPr>
      <w:spacing w:after="0" w:line="240" w:lineRule="auto"/>
    </w:pPr>
    <w:rPr>
      <w:rFonts w:ascii="Calibri" w:eastAsia="Calibri" w:hAnsi="Calibri" w:cs="Times New Roman"/>
    </w:rPr>
  </w:style>
  <w:style w:type="paragraph" w:customStyle="1" w:styleId="Default">
    <w:name w:val="Default"/>
    <w:rsid w:val="00151DA4"/>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51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DA4"/>
  </w:style>
  <w:style w:type="paragraph" w:styleId="NormalWeb">
    <w:name w:val="Normal (Web)"/>
    <w:basedOn w:val="Normal"/>
    <w:uiPriority w:val="99"/>
    <w:unhideWhenUsed/>
    <w:rsid w:val="00151DA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51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50A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26E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A4"/>
  </w:style>
  <w:style w:type="paragraph" w:styleId="Heading1">
    <w:name w:val="heading 1"/>
    <w:basedOn w:val="Normal"/>
    <w:next w:val="Normal"/>
    <w:link w:val="Heading1Char"/>
    <w:uiPriority w:val="9"/>
    <w:qFormat/>
    <w:rsid w:val="00050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6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151DA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1DA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51D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51DA4"/>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151DA4"/>
    <w:rPr>
      <w:b/>
      <w:bCs/>
    </w:rPr>
  </w:style>
  <w:style w:type="character" w:styleId="Hyperlink">
    <w:name w:val="Hyperlink"/>
    <w:basedOn w:val="DefaultParagraphFont"/>
    <w:uiPriority w:val="99"/>
    <w:semiHidden/>
    <w:unhideWhenUsed/>
    <w:rsid w:val="00151DA4"/>
    <w:rPr>
      <w:color w:val="0000FF"/>
      <w:u w:val="single"/>
    </w:rPr>
  </w:style>
  <w:style w:type="paragraph" w:styleId="ListParagraph">
    <w:name w:val="List Paragraph"/>
    <w:basedOn w:val="Normal"/>
    <w:uiPriority w:val="34"/>
    <w:qFormat/>
    <w:rsid w:val="00151DA4"/>
    <w:pPr>
      <w:ind w:left="720"/>
      <w:contextualSpacing/>
    </w:pPr>
  </w:style>
  <w:style w:type="paragraph" w:styleId="NoSpacing">
    <w:name w:val="No Spacing"/>
    <w:uiPriority w:val="1"/>
    <w:qFormat/>
    <w:rsid w:val="00151DA4"/>
    <w:pPr>
      <w:spacing w:after="0" w:line="240" w:lineRule="auto"/>
    </w:pPr>
    <w:rPr>
      <w:rFonts w:ascii="Calibri" w:eastAsia="Calibri" w:hAnsi="Calibri" w:cs="Times New Roman"/>
    </w:rPr>
  </w:style>
  <w:style w:type="paragraph" w:customStyle="1" w:styleId="Default">
    <w:name w:val="Default"/>
    <w:rsid w:val="00151DA4"/>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51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DA4"/>
  </w:style>
  <w:style w:type="paragraph" w:styleId="NormalWeb">
    <w:name w:val="Normal (Web)"/>
    <w:basedOn w:val="Normal"/>
    <w:uiPriority w:val="99"/>
    <w:unhideWhenUsed/>
    <w:rsid w:val="00151DA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51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50A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26E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58988">
      <w:bodyDiv w:val="1"/>
      <w:marLeft w:val="0"/>
      <w:marRight w:val="0"/>
      <w:marTop w:val="0"/>
      <w:marBottom w:val="0"/>
      <w:divBdr>
        <w:top w:val="none" w:sz="0" w:space="0" w:color="auto"/>
        <w:left w:val="none" w:sz="0" w:space="0" w:color="auto"/>
        <w:bottom w:val="none" w:sz="0" w:space="0" w:color="auto"/>
        <w:right w:val="none" w:sz="0" w:space="0" w:color="auto"/>
      </w:divBdr>
    </w:div>
    <w:div w:id="10545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hebalance.com/liquidity-definition-ratios-how-its-managed-33059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hebalance.com/deposit-definition-3154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ebalance.com/certificates-of-deposit-33059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balance.com/savings-accounts-4073268" TargetMode="External"/><Relationship Id="rId4" Type="http://schemas.openxmlformats.org/officeDocument/2006/relationships/settings" Target="settings.xml"/><Relationship Id="rId9" Type="http://schemas.openxmlformats.org/officeDocument/2006/relationships/hyperlink" Target="https://www.investopedia.com/terms/c/currency-exchange.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60</Pages>
  <Words>13410</Words>
  <Characters>76439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cp:lastPrinted>2025-08-04T11:53:00Z</cp:lastPrinted>
  <dcterms:created xsi:type="dcterms:W3CDTF">2025-07-31T09:38:00Z</dcterms:created>
  <dcterms:modified xsi:type="dcterms:W3CDTF">2025-08-04T12:29:00Z</dcterms:modified>
</cp:coreProperties>
</file>