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CD7" w:rsidRPr="009629DD" w:rsidRDefault="009629DD"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THE POTENCY OF </w:t>
      </w:r>
      <w:proofErr w:type="gramStart"/>
      <w:r>
        <w:rPr>
          <w:rFonts w:ascii="Times New Roman" w:hAnsi="Times New Roman" w:cs="Times New Roman"/>
          <w:b/>
          <w:i/>
          <w:sz w:val="28"/>
          <w:szCs w:val="28"/>
        </w:rPr>
        <w:t xml:space="preserve">PENICILLIUM </w:t>
      </w:r>
      <w:r>
        <w:rPr>
          <w:rFonts w:ascii="Times New Roman" w:hAnsi="Times New Roman" w:cs="Times New Roman"/>
          <w:b/>
          <w:sz w:val="28"/>
          <w:szCs w:val="28"/>
        </w:rPr>
        <w:t xml:space="preserve"> PATULIN</w:t>
      </w:r>
      <w:proofErr w:type="gramEnd"/>
      <w:r>
        <w:rPr>
          <w:rFonts w:ascii="Times New Roman" w:hAnsi="Times New Roman" w:cs="Times New Roman"/>
          <w:b/>
          <w:sz w:val="28"/>
          <w:szCs w:val="28"/>
        </w:rPr>
        <w:t xml:space="preserve"> TOXIN</w:t>
      </w:r>
    </w:p>
    <w:p w:rsidR="00AB2CD7" w:rsidRDefault="00AB2CD7" w:rsidP="00AB2CD7">
      <w:pPr>
        <w:spacing w:after="0" w:line="360" w:lineRule="auto"/>
        <w:jc w:val="center"/>
        <w:rPr>
          <w:rFonts w:ascii="Times New Roman" w:hAnsi="Times New Roman" w:cs="Times New Roman"/>
          <w:b/>
          <w:sz w:val="28"/>
          <w:szCs w:val="28"/>
        </w:rPr>
      </w:pPr>
    </w:p>
    <w:p w:rsidR="00AB2CD7" w:rsidRPr="006A21FC" w:rsidRDefault="00AB2CD7" w:rsidP="00AB2CD7">
      <w:pPr>
        <w:spacing w:after="0" w:line="360" w:lineRule="auto"/>
        <w:jc w:val="center"/>
        <w:rPr>
          <w:rFonts w:ascii="Times New Roman" w:hAnsi="Times New Roman" w:cs="Times New Roman"/>
          <w:b/>
          <w:i/>
          <w:sz w:val="28"/>
          <w:szCs w:val="28"/>
        </w:rPr>
      </w:pPr>
      <w:r w:rsidRPr="006A21FC">
        <w:rPr>
          <w:rFonts w:ascii="Times New Roman" w:hAnsi="Times New Roman" w:cs="Times New Roman"/>
          <w:b/>
          <w:i/>
          <w:sz w:val="28"/>
          <w:szCs w:val="28"/>
        </w:rPr>
        <w:t>BY</w:t>
      </w:r>
    </w:p>
    <w:p w:rsidR="00AB2CD7" w:rsidRDefault="00AB2CD7" w:rsidP="00AB2CD7">
      <w:pPr>
        <w:spacing w:after="0" w:line="360" w:lineRule="auto"/>
        <w:jc w:val="center"/>
        <w:rPr>
          <w:rFonts w:ascii="Times New Roman" w:hAnsi="Times New Roman" w:cs="Times New Roman"/>
          <w:b/>
          <w:sz w:val="28"/>
          <w:szCs w:val="28"/>
        </w:rPr>
      </w:pPr>
    </w:p>
    <w:p w:rsidR="009A7075" w:rsidRPr="009A7075" w:rsidRDefault="009A7075" w:rsidP="009A7075">
      <w:pPr>
        <w:spacing w:after="0"/>
        <w:jc w:val="center"/>
        <w:rPr>
          <w:rFonts w:ascii="Arial Black" w:hAnsi="Arial Black" w:cs="Times New Roman"/>
          <w:sz w:val="32"/>
          <w:szCs w:val="28"/>
        </w:rPr>
      </w:pPr>
      <w:r w:rsidRPr="009A7075">
        <w:rPr>
          <w:rFonts w:ascii="Arial Black" w:hAnsi="Arial Black" w:cs="Times New Roman"/>
          <w:sz w:val="32"/>
          <w:szCs w:val="28"/>
        </w:rPr>
        <w:t xml:space="preserve">AFIKUYOMI OLUWADAMILOLA RUTH </w:t>
      </w:r>
    </w:p>
    <w:p w:rsidR="00AB2CD7" w:rsidRPr="009A7075" w:rsidRDefault="009A7075" w:rsidP="009A7075">
      <w:pPr>
        <w:spacing w:after="0"/>
        <w:jc w:val="center"/>
        <w:rPr>
          <w:rFonts w:ascii="Arial Black" w:hAnsi="Arial Black" w:cs="Times New Roman"/>
          <w:sz w:val="32"/>
          <w:szCs w:val="28"/>
        </w:rPr>
      </w:pPr>
      <w:r w:rsidRPr="009A7075">
        <w:rPr>
          <w:rFonts w:ascii="Arial Black" w:hAnsi="Arial Black" w:cs="Times New Roman"/>
          <w:sz w:val="32"/>
          <w:szCs w:val="28"/>
        </w:rPr>
        <w:t>HND/23/SLT/FT/0629</w:t>
      </w:r>
    </w:p>
    <w:p w:rsidR="009A7075" w:rsidRPr="006A21FC" w:rsidRDefault="009A7075" w:rsidP="009A7075">
      <w:pPr>
        <w:spacing w:after="0"/>
        <w:jc w:val="center"/>
        <w:rPr>
          <w:rFonts w:ascii="Arial Black" w:hAnsi="Arial Black" w:cs="Times New Roman"/>
          <w:b/>
          <w:sz w:val="28"/>
          <w:szCs w:val="28"/>
        </w:rPr>
      </w:pP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w:t>
      </w:r>
      <w:r w:rsidR="009629DD">
        <w:rPr>
          <w:rFonts w:ascii="Times New Roman" w:hAnsi="Times New Roman" w:cs="Times New Roman"/>
          <w:b/>
          <w:sz w:val="28"/>
          <w:szCs w:val="28"/>
        </w:rPr>
        <w:t>S</w:t>
      </w:r>
      <w:r>
        <w:rPr>
          <w:rFonts w:ascii="Times New Roman" w:hAnsi="Times New Roman" w:cs="Times New Roman"/>
          <w:b/>
          <w:sz w:val="28"/>
          <w:szCs w:val="28"/>
        </w:rPr>
        <w:t>, KWARA STATE POLYTECHNIC, ILORIN</w:t>
      </w:r>
    </w:p>
    <w:p w:rsidR="00AB2CD7" w:rsidRDefault="009629DD" w:rsidP="009629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rsidR="00AB2CD7" w:rsidRDefault="00AB2CD7" w:rsidP="00AB2CD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w:t>
      </w:r>
      <w:r w:rsidR="009629DD">
        <w:rPr>
          <w:rFonts w:ascii="Times New Roman" w:hAnsi="Times New Roman" w:cs="Times New Roman"/>
          <w:b/>
          <w:sz w:val="28"/>
          <w:szCs w:val="28"/>
        </w:rPr>
        <w:t xml:space="preserve"> (SLT), MICROBIOLOGY UNIT</w:t>
      </w:r>
    </w:p>
    <w:p w:rsidR="006A21FC" w:rsidRDefault="006A21FC" w:rsidP="00AB2CD7">
      <w:pPr>
        <w:spacing w:after="0" w:line="360" w:lineRule="auto"/>
        <w:jc w:val="center"/>
        <w:rPr>
          <w:rFonts w:ascii="Times New Roman" w:hAnsi="Times New Roman" w:cs="Times New Roman"/>
          <w:b/>
          <w:sz w:val="28"/>
          <w:szCs w:val="28"/>
        </w:rPr>
      </w:pPr>
    </w:p>
    <w:p w:rsidR="00AC4A5F" w:rsidRPr="006A21FC" w:rsidRDefault="009629DD" w:rsidP="006A21FC">
      <w:pPr>
        <w:spacing w:after="0" w:line="360" w:lineRule="auto"/>
        <w:jc w:val="right"/>
        <w:rPr>
          <w:rFonts w:ascii="Times New Roman" w:hAnsi="Times New Roman" w:cs="Times New Roman"/>
          <w:b/>
          <w:bCs/>
          <w:sz w:val="28"/>
          <w:szCs w:val="28"/>
        </w:rPr>
      </w:pPr>
      <w:r>
        <w:rPr>
          <w:rFonts w:ascii="Times New Roman" w:hAnsi="Times New Roman" w:cs="Times New Roman"/>
          <w:b/>
          <w:bCs/>
          <w:sz w:val="28"/>
          <w:szCs w:val="28"/>
        </w:rPr>
        <w:t>JULY, 2025</w:t>
      </w:r>
    </w:p>
    <w:p w:rsidR="009629DD" w:rsidRPr="00697F4F" w:rsidRDefault="00697F4F" w:rsidP="00697F4F">
      <w:pPr>
        <w:rPr>
          <w:rFonts w:ascii="Times New Roman" w:hAnsi="Times New Roman" w:cs="Times New Roman"/>
          <w:noProof/>
          <w:sz w:val="28"/>
          <w:szCs w:val="28"/>
        </w:rPr>
      </w:pPr>
      <w:r w:rsidRPr="00697F4F">
        <w:rPr>
          <w:rFonts w:ascii="Times New Roman" w:hAnsi="Times New Roman" w:cs="Times New Roman"/>
          <w:noProof/>
          <w:sz w:val="28"/>
          <w:szCs w:val="28"/>
        </w:rPr>
        <w:lastRenderedPageBreak/>
        <w:drawing>
          <wp:inline distT="0" distB="0" distL="0" distR="0">
            <wp:extent cx="6356350" cy="9080500"/>
            <wp:effectExtent l="0" t="0" r="6350" b="6350"/>
            <wp:docPr id="1" name="Picture 1" descr="C:\Users\BALOGUN JAMIU\AppData\Local\Packages\5319275A.WhatsAppDesktop_cv1g1gvanyjgm\TempState\BE6B8E0440B62DE1C3F19D0A25221974\WhatsApp Image 2025-08-11 at 10.38.59_4cfdbd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AppData\Local\Packages\5319275A.WhatsAppDesktop_cv1g1gvanyjgm\TempState\BE6B8E0440B62DE1C3F19D0A25221974\WhatsApp Image 2025-08-11 at 10.38.59_4cfdbd2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63424" cy="9090606"/>
                    </a:xfrm>
                    <a:prstGeom prst="rect">
                      <a:avLst/>
                    </a:prstGeom>
                    <a:noFill/>
                    <a:ln>
                      <a:noFill/>
                    </a:ln>
                  </pic:spPr>
                </pic:pic>
              </a:graphicData>
            </a:graphic>
          </wp:inline>
        </w:drawing>
      </w:r>
    </w:p>
    <w:p w:rsidR="00AC4A5F" w:rsidRDefault="00AC4A5F" w:rsidP="00697F4F">
      <w:pPr>
        <w:spacing w:line="480" w:lineRule="auto"/>
        <w:jc w:val="center"/>
        <w:rPr>
          <w:rFonts w:ascii="Times New Roman" w:hAnsi="Times New Roman" w:cs="Times New Roman"/>
          <w:sz w:val="28"/>
          <w:szCs w:val="28"/>
        </w:rPr>
      </w:pPr>
      <w:r>
        <w:rPr>
          <w:rFonts w:ascii="Times New Roman" w:hAnsi="Times New Roman" w:cs="Times New Roman"/>
          <w:b/>
          <w:bCs/>
          <w:sz w:val="28"/>
          <w:szCs w:val="28"/>
        </w:rPr>
        <w:t>DEDICATION</w:t>
      </w:r>
    </w:p>
    <w:p w:rsidR="00AC4A5F" w:rsidRDefault="009A7075" w:rsidP="009A7075">
      <w:pPr>
        <w:spacing w:line="480" w:lineRule="auto"/>
        <w:jc w:val="both"/>
        <w:rPr>
          <w:rFonts w:ascii="Times New Roman" w:hAnsi="Times New Roman" w:cs="Times New Roman"/>
          <w:sz w:val="28"/>
          <w:szCs w:val="28"/>
        </w:rPr>
      </w:pPr>
      <w:r w:rsidRPr="009A7075">
        <w:rPr>
          <w:rFonts w:ascii="Times New Roman" w:hAnsi="Times New Roman" w:cs="Times New Roman"/>
          <w:sz w:val="28"/>
          <w:szCs w:val="28"/>
        </w:rPr>
        <w:t>I dedicate this work to Almighty God for His endless grace, strength, and gu</w:t>
      </w:r>
      <w:r>
        <w:rPr>
          <w:rFonts w:ascii="Times New Roman" w:hAnsi="Times New Roman" w:cs="Times New Roman"/>
          <w:sz w:val="28"/>
          <w:szCs w:val="28"/>
        </w:rPr>
        <w:t xml:space="preserve">idance throughout this journey. </w:t>
      </w:r>
      <w:r w:rsidRPr="009A7075">
        <w:rPr>
          <w:rFonts w:ascii="Times New Roman" w:hAnsi="Times New Roman" w:cs="Times New Roman"/>
          <w:sz w:val="28"/>
          <w:szCs w:val="28"/>
        </w:rPr>
        <w:t>To my beloved parents, for their unwavering love, prayers, and support throughout this journey.</w:t>
      </w:r>
    </w:p>
    <w:p w:rsidR="00AC4A5F" w:rsidRDefault="00AC4A5F" w:rsidP="00AC4A5F">
      <w:pPr>
        <w:jc w:val="both"/>
        <w:rPr>
          <w:rFonts w:ascii="Times New Roman" w:hAnsi="Times New Roman" w:cs="Times New Roman"/>
          <w:b/>
          <w:bCs/>
          <w:sz w:val="28"/>
          <w:szCs w:val="28"/>
        </w:rPr>
      </w:pPr>
      <w:r>
        <w:rPr>
          <w:rFonts w:ascii="Times New Roman" w:hAnsi="Times New Roman" w:cs="Times New Roman"/>
          <w:b/>
          <w:bCs/>
          <w:sz w:val="28"/>
          <w:szCs w:val="28"/>
        </w:rPr>
        <w:br w:type="page"/>
      </w:r>
    </w:p>
    <w:p w:rsidR="00AC4A5F" w:rsidRDefault="00AC4A5F" w:rsidP="009A7075">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ACKNOWLEDGEMENTS</w:t>
      </w:r>
    </w:p>
    <w:p w:rsidR="00924B26" w:rsidRPr="00924B26" w:rsidRDefault="00924B26" w:rsidP="00924B26">
      <w:pPr>
        <w:spacing w:line="480" w:lineRule="auto"/>
        <w:jc w:val="both"/>
        <w:rPr>
          <w:rFonts w:ascii="Times New Roman" w:hAnsi="Times New Roman" w:cs="Times New Roman"/>
          <w:sz w:val="28"/>
          <w:szCs w:val="28"/>
        </w:rPr>
      </w:pPr>
      <w:r w:rsidRPr="00924B26">
        <w:rPr>
          <w:rFonts w:ascii="Times New Roman" w:hAnsi="Times New Roman" w:cs="Times New Roman"/>
          <w:sz w:val="28"/>
          <w:szCs w:val="28"/>
        </w:rPr>
        <w:t>All praise and gratitude go to Almighty God for His unending grace, strength, and guidance throughout the course of this project.</w:t>
      </w:r>
    </w:p>
    <w:p w:rsidR="00924B26" w:rsidRPr="00924B26" w:rsidRDefault="00924B26" w:rsidP="00924B26">
      <w:pPr>
        <w:spacing w:line="480" w:lineRule="auto"/>
        <w:jc w:val="both"/>
        <w:rPr>
          <w:rFonts w:ascii="Times New Roman" w:hAnsi="Times New Roman" w:cs="Times New Roman"/>
          <w:sz w:val="28"/>
          <w:szCs w:val="28"/>
        </w:rPr>
      </w:pPr>
      <w:r w:rsidRPr="00924B26">
        <w:rPr>
          <w:rFonts w:ascii="Times New Roman" w:hAnsi="Times New Roman" w:cs="Times New Roman"/>
          <w:sz w:val="28"/>
          <w:szCs w:val="28"/>
        </w:rPr>
        <w:t xml:space="preserve">A special appreciation goes to my beloved parents, Mr. and Mrs. </w:t>
      </w:r>
      <w:proofErr w:type="spellStart"/>
      <w:r w:rsidRPr="00924B26">
        <w:rPr>
          <w:rFonts w:ascii="Times New Roman" w:hAnsi="Times New Roman" w:cs="Times New Roman"/>
          <w:sz w:val="28"/>
          <w:szCs w:val="28"/>
        </w:rPr>
        <w:t>Afikuyomi</w:t>
      </w:r>
      <w:proofErr w:type="spellEnd"/>
      <w:r w:rsidRPr="00924B26">
        <w:rPr>
          <w:rFonts w:ascii="Times New Roman" w:hAnsi="Times New Roman" w:cs="Times New Roman"/>
          <w:sz w:val="28"/>
          <w:szCs w:val="28"/>
        </w:rPr>
        <w:t xml:space="preserve"> for their prayers, love, and </w:t>
      </w:r>
      <w:proofErr w:type="spellStart"/>
      <w:r w:rsidRPr="00924B26">
        <w:rPr>
          <w:rFonts w:ascii="Times New Roman" w:hAnsi="Times New Roman" w:cs="Times New Roman"/>
          <w:sz w:val="28"/>
          <w:szCs w:val="28"/>
        </w:rPr>
        <w:t>sacrifices.Your</w:t>
      </w:r>
      <w:proofErr w:type="spellEnd"/>
      <w:r w:rsidRPr="00924B26">
        <w:rPr>
          <w:rFonts w:ascii="Times New Roman" w:hAnsi="Times New Roman" w:cs="Times New Roman"/>
          <w:sz w:val="28"/>
          <w:szCs w:val="28"/>
        </w:rPr>
        <w:t xml:space="preserve"> support has been my greatest strength.</w:t>
      </w:r>
    </w:p>
    <w:p w:rsidR="00924B26" w:rsidRPr="00924B26" w:rsidRDefault="00924B26" w:rsidP="00924B26">
      <w:pPr>
        <w:spacing w:line="480" w:lineRule="auto"/>
        <w:jc w:val="both"/>
        <w:rPr>
          <w:rFonts w:ascii="Times New Roman" w:hAnsi="Times New Roman" w:cs="Times New Roman"/>
          <w:sz w:val="28"/>
          <w:szCs w:val="28"/>
        </w:rPr>
      </w:pPr>
      <w:r w:rsidRPr="00924B26">
        <w:rPr>
          <w:rFonts w:ascii="Times New Roman" w:hAnsi="Times New Roman" w:cs="Times New Roman"/>
          <w:sz w:val="28"/>
          <w:szCs w:val="28"/>
        </w:rPr>
        <w:t xml:space="preserve"> May almighty </w:t>
      </w:r>
      <w:proofErr w:type="spellStart"/>
      <w:r w:rsidRPr="00924B26">
        <w:rPr>
          <w:rFonts w:ascii="Times New Roman" w:hAnsi="Times New Roman" w:cs="Times New Roman"/>
          <w:sz w:val="28"/>
          <w:szCs w:val="28"/>
        </w:rPr>
        <w:t>Almighty</w:t>
      </w:r>
      <w:proofErr w:type="spellEnd"/>
      <w:r w:rsidRPr="00924B26">
        <w:rPr>
          <w:rFonts w:ascii="Times New Roman" w:hAnsi="Times New Roman" w:cs="Times New Roman"/>
          <w:sz w:val="28"/>
          <w:szCs w:val="28"/>
        </w:rPr>
        <w:t xml:space="preserve"> God continue to grant them good health, joy, and long </w:t>
      </w:r>
      <w:proofErr w:type="gramStart"/>
      <w:r w:rsidRPr="00924B26">
        <w:rPr>
          <w:rFonts w:ascii="Times New Roman" w:hAnsi="Times New Roman" w:cs="Times New Roman"/>
          <w:sz w:val="28"/>
          <w:szCs w:val="28"/>
        </w:rPr>
        <w:t>life(</w:t>
      </w:r>
      <w:proofErr w:type="gramEnd"/>
      <w:r w:rsidRPr="00924B26">
        <w:rPr>
          <w:rFonts w:ascii="Times New Roman" w:hAnsi="Times New Roman" w:cs="Times New Roman"/>
          <w:sz w:val="28"/>
          <w:szCs w:val="28"/>
        </w:rPr>
        <w:t xml:space="preserve">amen) </w:t>
      </w:r>
    </w:p>
    <w:p w:rsidR="00924B26" w:rsidRPr="00924B26" w:rsidRDefault="00924B26" w:rsidP="00924B26">
      <w:pPr>
        <w:spacing w:line="480" w:lineRule="auto"/>
        <w:jc w:val="both"/>
        <w:rPr>
          <w:rFonts w:ascii="Times New Roman" w:hAnsi="Times New Roman" w:cs="Times New Roman"/>
          <w:sz w:val="28"/>
          <w:szCs w:val="28"/>
        </w:rPr>
      </w:pPr>
      <w:r w:rsidRPr="00924B26">
        <w:rPr>
          <w:rFonts w:ascii="Times New Roman" w:hAnsi="Times New Roman" w:cs="Times New Roman"/>
          <w:sz w:val="28"/>
          <w:szCs w:val="28"/>
        </w:rPr>
        <w:t xml:space="preserve">Special thanks to my </w:t>
      </w:r>
      <w:proofErr w:type="spellStart"/>
      <w:r w:rsidRPr="00924B26">
        <w:rPr>
          <w:rFonts w:ascii="Times New Roman" w:hAnsi="Times New Roman" w:cs="Times New Roman"/>
          <w:sz w:val="28"/>
          <w:szCs w:val="28"/>
        </w:rPr>
        <w:t>uncles</w:t>
      </w:r>
      <w:proofErr w:type="gramStart"/>
      <w:r w:rsidRPr="00924B26">
        <w:rPr>
          <w:rFonts w:ascii="Times New Roman" w:hAnsi="Times New Roman" w:cs="Times New Roman"/>
          <w:sz w:val="28"/>
          <w:szCs w:val="28"/>
        </w:rPr>
        <w:t>,Dr</w:t>
      </w:r>
      <w:proofErr w:type="spellEnd"/>
      <w:proofErr w:type="gramEnd"/>
      <w:r w:rsidRPr="00924B26">
        <w:rPr>
          <w:rFonts w:ascii="Times New Roman" w:hAnsi="Times New Roman" w:cs="Times New Roman"/>
          <w:sz w:val="28"/>
          <w:szCs w:val="28"/>
        </w:rPr>
        <w:t xml:space="preserve">. </w:t>
      </w:r>
      <w:proofErr w:type="spellStart"/>
      <w:r w:rsidRPr="00924B26">
        <w:rPr>
          <w:rFonts w:ascii="Times New Roman" w:hAnsi="Times New Roman" w:cs="Times New Roman"/>
          <w:sz w:val="28"/>
          <w:szCs w:val="28"/>
        </w:rPr>
        <w:t>Shangobiyi</w:t>
      </w:r>
      <w:proofErr w:type="spellEnd"/>
      <w:r w:rsidRPr="00924B26">
        <w:rPr>
          <w:rFonts w:ascii="Times New Roman" w:hAnsi="Times New Roman" w:cs="Times New Roman"/>
          <w:sz w:val="28"/>
          <w:szCs w:val="28"/>
        </w:rPr>
        <w:t xml:space="preserve"> </w:t>
      </w:r>
      <w:proofErr w:type="spellStart"/>
      <w:r w:rsidRPr="00924B26">
        <w:rPr>
          <w:rFonts w:ascii="Times New Roman" w:hAnsi="Times New Roman" w:cs="Times New Roman"/>
          <w:sz w:val="28"/>
          <w:szCs w:val="28"/>
        </w:rPr>
        <w:t>Adetokunbo,Mr</w:t>
      </w:r>
      <w:proofErr w:type="spellEnd"/>
      <w:r w:rsidRPr="00924B26">
        <w:rPr>
          <w:rFonts w:ascii="Times New Roman" w:hAnsi="Times New Roman" w:cs="Times New Roman"/>
          <w:sz w:val="28"/>
          <w:szCs w:val="28"/>
        </w:rPr>
        <w:t xml:space="preserve"> </w:t>
      </w:r>
      <w:proofErr w:type="spellStart"/>
      <w:r w:rsidRPr="00924B26">
        <w:rPr>
          <w:rFonts w:ascii="Times New Roman" w:hAnsi="Times New Roman" w:cs="Times New Roman"/>
          <w:sz w:val="28"/>
          <w:szCs w:val="28"/>
        </w:rPr>
        <w:t>Adebiyi,Mr</w:t>
      </w:r>
      <w:proofErr w:type="spellEnd"/>
      <w:r w:rsidRPr="00924B26">
        <w:rPr>
          <w:rFonts w:ascii="Times New Roman" w:hAnsi="Times New Roman" w:cs="Times New Roman"/>
          <w:sz w:val="28"/>
          <w:szCs w:val="28"/>
        </w:rPr>
        <w:t xml:space="preserve"> </w:t>
      </w:r>
      <w:proofErr w:type="spellStart"/>
      <w:r w:rsidRPr="00924B26">
        <w:rPr>
          <w:rFonts w:ascii="Times New Roman" w:hAnsi="Times New Roman" w:cs="Times New Roman"/>
          <w:sz w:val="28"/>
          <w:szCs w:val="28"/>
        </w:rPr>
        <w:t>Adewale</w:t>
      </w:r>
      <w:proofErr w:type="spellEnd"/>
      <w:r w:rsidRPr="00924B26">
        <w:rPr>
          <w:rFonts w:ascii="Times New Roman" w:hAnsi="Times New Roman" w:cs="Times New Roman"/>
          <w:sz w:val="28"/>
          <w:szCs w:val="28"/>
        </w:rPr>
        <w:t xml:space="preserve"> and </w:t>
      </w:r>
      <w:proofErr w:type="spellStart"/>
      <w:r w:rsidRPr="00924B26">
        <w:rPr>
          <w:rFonts w:ascii="Times New Roman" w:hAnsi="Times New Roman" w:cs="Times New Roman"/>
          <w:sz w:val="28"/>
          <w:szCs w:val="28"/>
        </w:rPr>
        <w:t>Mr</w:t>
      </w:r>
      <w:proofErr w:type="spellEnd"/>
      <w:r w:rsidRPr="00924B26">
        <w:rPr>
          <w:rFonts w:ascii="Times New Roman" w:hAnsi="Times New Roman" w:cs="Times New Roman"/>
          <w:sz w:val="28"/>
          <w:szCs w:val="28"/>
        </w:rPr>
        <w:t xml:space="preserve"> </w:t>
      </w:r>
      <w:proofErr w:type="spellStart"/>
      <w:r w:rsidRPr="00924B26">
        <w:rPr>
          <w:rFonts w:ascii="Times New Roman" w:hAnsi="Times New Roman" w:cs="Times New Roman"/>
          <w:sz w:val="28"/>
          <w:szCs w:val="28"/>
        </w:rPr>
        <w:t>Gbenga</w:t>
      </w:r>
      <w:proofErr w:type="spellEnd"/>
      <w:r w:rsidRPr="00924B26">
        <w:rPr>
          <w:rFonts w:ascii="Times New Roman" w:hAnsi="Times New Roman" w:cs="Times New Roman"/>
          <w:sz w:val="28"/>
          <w:szCs w:val="28"/>
        </w:rPr>
        <w:t xml:space="preserve"> for their </w:t>
      </w:r>
      <w:proofErr w:type="spellStart"/>
      <w:r w:rsidRPr="00924B26">
        <w:rPr>
          <w:rFonts w:ascii="Times New Roman" w:hAnsi="Times New Roman" w:cs="Times New Roman"/>
          <w:sz w:val="28"/>
          <w:szCs w:val="28"/>
        </w:rPr>
        <w:t>cooperation,motivation</w:t>
      </w:r>
      <w:proofErr w:type="spellEnd"/>
      <w:r w:rsidRPr="00924B26">
        <w:rPr>
          <w:rFonts w:ascii="Times New Roman" w:hAnsi="Times New Roman" w:cs="Times New Roman"/>
          <w:sz w:val="28"/>
          <w:szCs w:val="28"/>
        </w:rPr>
        <w:t xml:space="preserve">, </w:t>
      </w:r>
      <w:proofErr w:type="spellStart"/>
      <w:r w:rsidRPr="00924B26">
        <w:rPr>
          <w:rFonts w:ascii="Times New Roman" w:hAnsi="Times New Roman" w:cs="Times New Roman"/>
          <w:sz w:val="28"/>
          <w:szCs w:val="28"/>
        </w:rPr>
        <w:t>companionship,and</w:t>
      </w:r>
      <w:proofErr w:type="spellEnd"/>
      <w:r w:rsidRPr="00924B26">
        <w:rPr>
          <w:rFonts w:ascii="Times New Roman" w:hAnsi="Times New Roman" w:cs="Times New Roman"/>
          <w:sz w:val="28"/>
          <w:szCs w:val="28"/>
        </w:rPr>
        <w:t xml:space="preserve"> financial </w:t>
      </w:r>
      <w:proofErr w:type="spellStart"/>
      <w:r w:rsidRPr="00924B26">
        <w:rPr>
          <w:rFonts w:ascii="Times New Roman" w:hAnsi="Times New Roman" w:cs="Times New Roman"/>
          <w:sz w:val="28"/>
          <w:szCs w:val="28"/>
        </w:rPr>
        <w:t>support,may</w:t>
      </w:r>
      <w:proofErr w:type="spellEnd"/>
      <w:r w:rsidRPr="00924B26">
        <w:rPr>
          <w:rFonts w:ascii="Times New Roman" w:hAnsi="Times New Roman" w:cs="Times New Roman"/>
          <w:sz w:val="28"/>
          <w:szCs w:val="28"/>
        </w:rPr>
        <w:t xml:space="preserve"> God’s blessing continue to be with them (amen) </w:t>
      </w:r>
    </w:p>
    <w:p w:rsidR="00924B26" w:rsidRPr="00924B26" w:rsidRDefault="00924B26" w:rsidP="00924B26">
      <w:pPr>
        <w:spacing w:line="480" w:lineRule="auto"/>
        <w:jc w:val="both"/>
        <w:rPr>
          <w:rFonts w:ascii="Times New Roman" w:hAnsi="Times New Roman" w:cs="Times New Roman"/>
          <w:sz w:val="28"/>
          <w:szCs w:val="28"/>
        </w:rPr>
      </w:pPr>
      <w:r w:rsidRPr="00924B26">
        <w:rPr>
          <w:rFonts w:ascii="Times New Roman" w:hAnsi="Times New Roman" w:cs="Times New Roman"/>
          <w:sz w:val="28"/>
          <w:szCs w:val="28"/>
        </w:rPr>
        <w:t xml:space="preserve">I sincerely appreciate the guidance and contributions of my project supervisor MR OLARONGBE </w:t>
      </w:r>
      <w:proofErr w:type="spellStart"/>
      <w:r w:rsidRPr="00924B26">
        <w:rPr>
          <w:rFonts w:ascii="Times New Roman" w:hAnsi="Times New Roman" w:cs="Times New Roman"/>
          <w:sz w:val="28"/>
          <w:szCs w:val="28"/>
        </w:rPr>
        <w:t>G.O</w:t>
      </w:r>
      <w:proofErr w:type="gramStart"/>
      <w:r w:rsidRPr="00924B26">
        <w:rPr>
          <w:rFonts w:ascii="Times New Roman" w:hAnsi="Times New Roman" w:cs="Times New Roman"/>
          <w:sz w:val="28"/>
          <w:szCs w:val="28"/>
        </w:rPr>
        <w:t>,Your</w:t>
      </w:r>
      <w:proofErr w:type="spellEnd"/>
      <w:proofErr w:type="gramEnd"/>
      <w:r w:rsidRPr="00924B26">
        <w:rPr>
          <w:rFonts w:ascii="Times New Roman" w:hAnsi="Times New Roman" w:cs="Times New Roman"/>
          <w:sz w:val="28"/>
          <w:szCs w:val="28"/>
        </w:rPr>
        <w:t xml:space="preserve"> </w:t>
      </w:r>
      <w:proofErr w:type="spellStart"/>
      <w:r w:rsidRPr="00924B26">
        <w:rPr>
          <w:rFonts w:ascii="Times New Roman" w:hAnsi="Times New Roman" w:cs="Times New Roman"/>
          <w:sz w:val="28"/>
          <w:szCs w:val="28"/>
        </w:rPr>
        <w:t>dedication,support,and</w:t>
      </w:r>
      <w:proofErr w:type="spellEnd"/>
      <w:r w:rsidRPr="00924B26">
        <w:rPr>
          <w:rFonts w:ascii="Times New Roman" w:hAnsi="Times New Roman" w:cs="Times New Roman"/>
          <w:sz w:val="28"/>
          <w:szCs w:val="28"/>
        </w:rPr>
        <w:t xml:space="preserve"> leadership have played a significant role in the success of this project.</w:t>
      </w:r>
    </w:p>
    <w:p w:rsidR="00AC4A5F" w:rsidRDefault="00924B26" w:rsidP="00924B26">
      <w:pPr>
        <w:spacing w:line="480" w:lineRule="auto"/>
        <w:jc w:val="both"/>
        <w:rPr>
          <w:rFonts w:ascii="Times New Roman" w:hAnsi="Times New Roman" w:cs="Times New Roman"/>
          <w:sz w:val="28"/>
          <w:szCs w:val="28"/>
        </w:rPr>
      </w:pPr>
      <w:r w:rsidRPr="00924B26">
        <w:rPr>
          <w:rFonts w:ascii="Times New Roman" w:hAnsi="Times New Roman" w:cs="Times New Roman"/>
          <w:sz w:val="28"/>
          <w:szCs w:val="28"/>
        </w:rPr>
        <w:t xml:space="preserve">May God bless them abundantly for their </w:t>
      </w:r>
      <w:proofErr w:type="spellStart"/>
      <w:r w:rsidRPr="00924B26">
        <w:rPr>
          <w:rFonts w:ascii="Times New Roman" w:hAnsi="Times New Roman" w:cs="Times New Roman"/>
          <w:sz w:val="28"/>
          <w:szCs w:val="28"/>
        </w:rPr>
        <w:t>guidan</w:t>
      </w:r>
      <w:r>
        <w:rPr>
          <w:rFonts w:ascii="Times New Roman" w:hAnsi="Times New Roman" w:cs="Times New Roman"/>
          <w:sz w:val="28"/>
          <w:szCs w:val="28"/>
        </w:rPr>
        <w:t>ce,support,and</w:t>
      </w:r>
      <w:proofErr w:type="spellEnd"/>
      <w:r>
        <w:rPr>
          <w:rFonts w:ascii="Times New Roman" w:hAnsi="Times New Roman" w:cs="Times New Roman"/>
          <w:sz w:val="28"/>
          <w:szCs w:val="28"/>
        </w:rPr>
        <w:t xml:space="preserve"> dedication(amen)</w:t>
      </w:r>
      <w:bookmarkStart w:id="0" w:name="_GoBack"/>
      <w:bookmarkEnd w:id="0"/>
      <w:r w:rsidR="009A7075" w:rsidRPr="009A7075">
        <w:rPr>
          <w:rFonts w:ascii="Times New Roman" w:hAnsi="Times New Roman" w:cs="Times New Roman"/>
          <w:sz w:val="28"/>
          <w:szCs w:val="28"/>
        </w:rPr>
        <w:t>.</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9A7075" w:rsidRDefault="009A7075" w:rsidP="009A7075">
      <w:pPr>
        <w:spacing w:line="360" w:lineRule="auto"/>
        <w:rPr>
          <w:rFonts w:ascii="Times New Roman" w:hAnsi="Times New Roman" w:cs="Times New Roman"/>
          <w:b/>
          <w:bCs/>
          <w:sz w:val="28"/>
          <w:szCs w:val="28"/>
        </w:rPr>
      </w:pPr>
    </w:p>
    <w:p w:rsidR="00AC4A5F" w:rsidRDefault="00AC4A5F" w:rsidP="009A7075">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t>TABLE OF CONTENTS</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 xml:space="preserve"> 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423150">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iii</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proofErr w:type="gramStart"/>
      <w:r w:rsidR="00423150">
        <w:rPr>
          <w:rFonts w:ascii="Times New Roman" w:hAnsi="Times New Roman" w:cs="Times New Roman"/>
          <w:sz w:val="28"/>
          <w:szCs w:val="28"/>
        </w:rPr>
        <w:t>i</w:t>
      </w:r>
      <w:r>
        <w:rPr>
          <w:rFonts w:ascii="Times New Roman" w:hAnsi="Times New Roman" w:cs="Times New Roman"/>
          <w:sz w:val="28"/>
          <w:szCs w:val="28"/>
        </w:rPr>
        <w:t>v</w:t>
      </w:r>
      <w:proofErr w:type="gramEnd"/>
      <w:r>
        <w:rPr>
          <w:rFonts w:ascii="Times New Roman" w:hAnsi="Times New Roman" w:cs="Times New Roman"/>
          <w:sz w:val="28"/>
          <w:szCs w:val="28"/>
        </w:rPr>
        <w:tab/>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OF CONTENT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t>v</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sidR="00903995">
        <w:rPr>
          <w:rFonts w:ascii="Times New Roman" w:hAnsi="Times New Roman" w:cs="Times New Roman"/>
          <w:sz w:val="28"/>
          <w:szCs w:val="28"/>
        </w:rPr>
        <w:t>viii</w:t>
      </w:r>
    </w:p>
    <w:p w:rsidR="006B0042" w:rsidRDefault="006B0042"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w:t>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t>ix</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423150">
        <w:rPr>
          <w:rFonts w:ascii="Times New Roman" w:hAnsi="Times New Roman" w:cs="Times New Roman"/>
          <w:sz w:val="28"/>
          <w:szCs w:val="28"/>
        </w:rPr>
        <w:tab/>
      </w:r>
      <w:r w:rsidR="00423150">
        <w:rPr>
          <w:rFonts w:ascii="Times New Roman" w:hAnsi="Times New Roman" w:cs="Times New Roman"/>
          <w:sz w:val="28"/>
          <w:szCs w:val="28"/>
        </w:rPr>
        <w:tab/>
      </w:r>
      <w:r>
        <w:rPr>
          <w:rFonts w:ascii="Times New Roman" w:hAnsi="Times New Roman" w:cs="Times New Roman"/>
          <w:sz w:val="28"/>
          <w:szCs w:val="28"/>
        </w:rPr>
        <w:t>x</w:t>
      </w:r>
    </w:p>
    <w:p w:rsidR="00AC4A5F" w:rsidRDefault="00AC4A5F" w:rsidP="00AC4A5F">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r w:rsidR="00AC4A5F">
        <w:rPr>
          <w:rFonts w:ascii="Times New Roman" w:hAnsi="Times New Roman" w:cs="Times New Roman"/>
          <w:sz w:val="28"/>
          <w:szCs w:val="28"/>
        </w:rPr>
        <w:t xml:space="preserve">                                                  </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r w:rsidR="007764DF">
        <w:rPr>
          <w:rFonts w:ascii="Times New Roman" w:hAnsi="Times New Roman" w:cs="Times New Roman"/>
          <w:sz w:val="28"/>
          <w:szCs w:val="28"/>
        </w:rPr>
        <w:t>Problem statement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10</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Justification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11</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r>
      <w:r w:rsidR="000D1E87">
        <w:rPr>
          <w:rFonts w:ascii="Times New Roman" w:hAnsi="Times New Roman" w:cs="Times New Roman"/>
          <w:sz w:val="28"/>
          <w:szCs w:val="28"/>
        </w:rPr>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12</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r>
      <w:r w:rsidR="000D1E87">
        <w:rPr>
          <w:rFonts w:ascii="Times New Roman" w:hAnsi="Times New Roman" w:cs="Times New Roman"/>
          <w:sz w:val="28"/>
          <w:szCs w:val="28"/>
        </w:rPr>
        <w:t>Aims and Objectives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r w:rsidR="00AC4A5F">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AC4A5F" w:rsidRDefault="00423150"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w:t>
      </w:r>
      <w:r w:rsidR="00AC4A5F">
        <w:rPr>
          <w:rFonts w:ascii="Times New Roman" w:hAnsi="Times New Roman" w:cs="Times New Roman"/>
          <w:sz w:val="28"/>
          <w:szCs w:val="28"/>
        </w:rPr>
        <w:t>amples</w:t>
      </w:r>
      <w:r>
        <w:rPr>
          <w:rFonts w:ascii="Times New Roman" w:hAnsi="Times New Roman" w:cs="Times New Roman"/>
          <w:sz w:val="28"/>
          <w:szCs w:val="28"/>
        </w:rPr>
        <w:t xml:space="preserve"> Collection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sidR="003E656B">
        <w:rPr>
          <w:rFonts w:ascii="Times New Roman" w:hAnsi="Times New Roman" w:cs="Times New Roman"/>
          <w:sz w:val="28"/>
          <w:szCs w:val="28"/>
        </w:rPr>
        <w:tab/>
      </w:r>
      <w:r>
        <w:rPr>
          <w:rFonts w:ascii="Times New Roman" w:hAnsi="Times New Roman" w:cs="Times New Roman"/>
          <w:sz w:val="28"/>
          <w:szCs w:val="28"/>
        </w:rPr>
        <w:t xml:space="preserve">Sterilization of </w:t>
      </w:r>
      <w:r w:rsidR="003E656B">
        <w:rPr>
          <w:rFonts w:ascii="Times New Roman" w:hAnsi="Times New Roman" w:cs="Times New Roman"/>
          <w:sz w:val="28"/>
          <w:szCs w:val="28"/>
        </w:rPr>
        <w:t>Equipment and Environment</w:t>
      </w:r>
      <w:r w:rsidR="003E656B">
        <w:rPr>
          <w:rFonts w:ascii="Times New Roman" w:hAnsi="Times New Roman" w:cs="Times New Roman"/>
          <w:sz w:val="28"/>
          <w:szCs w:val="28"/>
        </w:rPr>
        <w:tab/>
      </w:r>
      <w:r w:rsidR="003E656B">
        <w:rPr>
          <w:rFonts w:ascii="Times New Roman" w:hAnsi="Times New Roman" w:cs="Times New Roman"/>
          <w:sz w:val="28"/>
          <w:szCs w:val="28"/>
        </w:rPr>
        <w:tab/>
      </w:r>
      <w:r w:rsidR="003E656B">
        <w:rPr>
          <w:rFonts w:ascii="Times New Roman" w:hAnsi="Times New Roman" w:cs="Times New Roman"/>
          <w:sz w:val="28"/>
          <w:szCs w:val="28"/>
        </w:rPr>
        <w:tab/>
      </w:r>
      <w:r w:rsidR="003E656B">
        <w:rPr>
          <w:rFonts w:ascii="Times New Roman" w:hAnsi="Times New Roman" w:cs="Times New Roman"/>
          <w:sz w:val="28"/>
          <w:szCs w:val="28"/>
        </w:rPr>
        <w:tab/>
      </w:r>
      <w:r w:rsidR="003E656B">
        <w:rPr>
          <w:rFonts w:ascii="Times New Roman" w:hAnsi="Times New Roman" w:cs="Times New Roman"/>
          <w:sz w:val="28"/>
          <w:szCs w:val="28"/>
        </w:rPr>
        <w:tab/>
        <w:t>24</w:t>
      </w:r>
    </w:p>
    <w:p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Media Preparation for Fungal Isolation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t>Sample Processing and Inoculation</w:t>
      </w:r>
      <w:r w:rsidR="00AC4A5F">
        <w:rPr>
          <w:rFonts w:ascii="Times New Roman" w:hAnsi="Times New Roman" w:cs="Times New Roman"/>
          <w:sz w:val="28"/>
          <w:szCs w:val="28"/>
        </w:rPr>
        <w:tab/>
      </w:r>
      <w:r w:rsidR="00AC4A5F">
        <w:rPr>
          <w:rFonts w:ascii="Times New Roman" w:hAnsi="Times New Roman" w:cs="Times New Roman"/>
          <w:sz w:val="28"/>
          <w:szCs w:val="28"/>
        </w:rPr>
        <w:tab/>
      </w:r>
      <w:r w:rsidR="00AC4A5F">
        <w:rPr>
          <w:rFonts w:ascii="Times New Roman" w:hAnsi="Times New Roman" w:cs="Times New Roman"/>
          <w:sz w:val="28"/>
          <w:szCs w:val="28"/>
        </w:rPr>
        <w:tab/>
      </w:r>
      <w:r w:rsidR="00AC4A5F">
        <w:rPr>
          <w:rFonts w:ascii="Times New Roman" w:hAnsi="Times New Roman" w:cs="Times New Roman"/>
          <w:sz w:val="28"/>
          <w:szCs w:val="28"/>
        </w:rPr>
        <w:tab/>
      </w:r>
      <w:r w:rsidR="00AC4A5F">
        <w:rPr>
          <w:rFonts w:ascii="Times New Roman" w:hAnsi="Times New Roman" w:cs="Times New Roman"/>
          <w:sz w:val="28"/>
          <w:szCs w:val="28"/>
        </w:rPr>
        <w:tab/>
      </w:r>
      <w:r w:rsidR="00AC4A5F">
        <w:rPr>
          <w:rFonts w:ascii="Times New Roman" w:hAnsi="Times New Roman" w:cs="Times New Roman"/>
          <w:sz w:val="28"/>
          <w:szCs w:val="28"/>
        </w:rPr>
        <w:tab/>
      </w:r>
      <w:r w:rsidR="000056F8">
        <w:rPr>
          <w:rFonts w:ascii="Times New Roman" w:hAnsi="Times New Roman" w:cs="Times New Roman"/>
          <w:sz w:val="28"/>
          <w:szCs w:val="28"/>
        </w:rPr>
        <w:t>25</w:t>
      </w:r>
    </w:p>
    <w:p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2.5</w:t>
      </w:r>
      <w:r>
        <w:rPr>
          <w:rFonts w:ascii="Times New Roman" w:hAnsi="Times New Roman" w:cs="Times New Roman"/>
          <w:sz w:val="28"/>
          <w:szCs w:val="28"/>
        </w:rPr>
        <w:tab/>
      </w:r>
      <w:r w:rsidR="000056F8">
        <w:rPr>
          <w:rFonts w:ascii="Times New Roman" w:hAnsi="Times New Roman" w:cs="Times New Roman"/>
          <w:sz w:val="28"/>
          <w:szCs w:val="28"/>
        </w:rPr>
        <w:t>Sub culturing</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t>25</w:t>
      </w:r>
    </w:p>
    <w:p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2.6</w:t>
      </w:r>
      <w:r>
        <w:rPr>
          <w:rFonts w:ascii="Times New Roman" w:hAnsi="Times New Roman" w:cs="Times New Roman"/>
          <w:sz w:val="28"/>
          <w:szCs w:val="28"/>
        </w:rPr>
        <w:tab/>
      </w:r>
      <w:r w:rsidR="00AC4A5F">
        <w:rPr>
          <w:rFonts w:ascii="Times New Roman" w:hAnsi="Times New Roman" w:cs="Times New Roman"/>
          <w:sz w:val="28"/>
          <w:szCs w:val="28"/>
        </w:rPr>
        <w:t>Characterization and identification</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t>25</w:t>
      </w:r>
    </w:p>
    <w:p w:rsidR="00AC4A5F"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2.7</w:t>
      </w:r>
      <w:r>
        <w:rPr>
          <w:rFonts w:ascii="Times New Roman" w:hAnsi="Times New Roman" w:cs="Times New Roman"/>
          <w:sz w:val="28"/>
          <w:szCs w:val="28"/>
        </w:rPr>
        <w:tab/>
        <w:t>Toxin Extraction</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t>26</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t>Separation of Biomass</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t>27</w:t>
      </w:r>
    </w:p>
    <w:p w:rsidR="003E656B" w:rsidRDefault="003E656B"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2.9</w:t>
      </w:r>
      <w:r>
        <w:rPr>
          <w:rFonts w:ascii="Times New Roman" w:hAnsi="Times New Roman" w:cs="Times New Roman"/>
          <w:sz w:val="28"/>
          <w:szCs w:val="28"/>
        </w:rPr>
        <w:tab/>
        <w:t xml:space="preserve">Preparation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Concentrations</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t>27</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2.10</w:t>
      </w:r>
      <w:r>
        <w:rPr>
          <w:rFonts w:ascii="Times New Roman" w:hAnsi="Times New Roman" w:cs="Times New Roman"/>
          <w:sz w:val="28"/>
          <w:szCs w:val="28"/>
        </w:rPr>
        <w:tab/>
        <w:t>Experimental Animals and Grouping</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t>28</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2.11</w:t>
      </w:r>
      <w:r>
        <w:rPr>
          <w:rFonts w:ascii="Times New Roman" w:hAnsi="Times New Roman" w:cs="Times New Roman"/>
          <w:sz w:val="28"/>
          <w:szCs w:val="28"/>
        </w:rPr>
        <w:tab/>
        <w:t>Identification and Grouping of Experimental Rats</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t>28</w:t>
      </w:r>
    </w:p>
    <w:p w:rsidR="003E656B" w:rsidRDefault="003E656B" w:rsidP="003E656B">
      <w:pPr>
        <w:spacing w:line="480" w:lineRule="auto"/>
        <w:jc w:val="both"/>
        <w:rPr>
          <w:rFonts w:ascii="Times New Roman" w:hAnsi="Times New Roman" w:cs="Times New Roman"/>
          <w:sz w:val="28"/>
          <w:szCs w:val="28"/>
        </w:rPr>
      </w:pPr>
      <w:r>
        <w:rPr>
          <w:rFonts w:ascii="Times New Roman" w:hAnsi="Times New Roman" w:cs="Times New Roman"/>
          <w:sz w:val="28"/>
          <w:szCs w:val="28"/>
        </w:rPr>
        <w:t>2.12</w:t>
      </w:r>
      <w:r>
        <w:rPr>
          <w:rFonts w:ascii="Times New Roman" w:hAnsi="Times New Roman" w:cs="Times New Roman"/>
          <w:sz w:val="28"/>
          <w:szCs w:val="28"/>
        </w:rPr>
        <w:tab/>
        <w:t>Toxin Administration</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t>29</w:t>
      </w:r>
    </w:p>
    <w:p w:rsidR="003E656B" w:rsidRDefault="003E656B"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2.13</w:t>
      </w:r>
      <w:r>
        <w:rPr>
          <w:rFonts w:ascii="Times New Roman" w:hAnsi="Times New Roman" w:cs="Times New Roman"/>
          <w:sz w:val="28"/>
          <w:szCs w:val="28"/>
        </w:rPr>
        <w:tab/>
        <w:t>Dissection and Post-Mortem Examination</w:t>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r>
      <w:r w:rsidR="000056F8">
        <w:rPr>
          <w:rFonts w:ascii="Times New Roman" w:hAnsi="Times New Roman" w:cs="Times New Roman"/>
          <w:sz w:val="28"/>
          <w:szCs w:val="28"/>
        </w:rPr>
        <w:tab/>
        <w:t>29</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CHAPTER THREE </w:t>
      </w:r>
    </w:p>
    <w:p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bCs/>
          <w:sz w:val="28"/>
          <w:szCs w:val="28"/>
        </w:rPr>
        <w:t>3.0</w:t>
      </w:r>
      <w:r>
        <w:rPr>
          <w:rFonts w:ascii="Times New Roman" w:hAnsi="Times New Roman" w:cs="Times New Roman"/>
          <w:bCs/>
          <w:sz w:val="28"/>
          <w:szCs w:val="28"/>
        </w:rPr>
        <w:tab/>
      </w:r>
      <w:r>
        <w:rPr>
          <w:rFonts w:ascii="Times New Roman" w:hAnsi="Times New Roman" w:cs="Times New Roman"/>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p>
    <w:p w:rsidR="00AC4A5F" w:rsidRDefault="000056F8" w:rsidP="00AC4A5F">
      <w:pPr>
        <w:spacing w:line="480" w:lineRule="auto"/>
        <w:jc w:val="both"/>
        <w:rPr>
          <w:rFonts w:ascii="Times New Roman" w:hAnsi="Times New Roman" w:cs="Times New Roman"/>
          <w:b/>
          <w:bCs/>
          <w:sz w:val="28"/>
          <w:szCs w:val="28"/>
        </w:rPr>
      </w:pPr>
      <w:r>
        <w:rPr>
          <w:rFonts w:ascii="Times New Roman" w:hAnsi="Times New Roman" w:cs="Times New Roman"/>
          <w:sz w:val="28"/>
          <w:szCs w:val="28"/>
        </w:rPr>
        <w:t xml:space="preserve">3.1 </w:t>
      </w:r>
      <w:r>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30</w:t>
      </w:r>
      <w:r w:rsidR="00AC4A5F">
        <w:rPr>
          <w:rFonts w:ascii="Times New Roman" w:hAnsi="Times New Roman" w:cs="Times New Roman"/>
          <w:sz w:val="28"/>
          <w:szCs w:val="28"/>
        </w:rPr>
        <w:t xml:space="preserve">                       </w:t>
      </w:r>
    </w:p>
    <w:p w:rsidR="00AC4A5F"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Animal Grouping and Identification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w:t>
      </w:r>
      <w:r w:rsidR="00E06DEC">
        <w:rPr>
          <w:rFonts w:ascii="Times New Roman" w:hAnsi="Times New Roman" w:cs="Times New Roman"/>
          <w:sz w:val="28"/>
          <w:szCs w:val="28"/>
        </w:rPr>
        <w:t>2</w:t>
      </w:r>
    </w:p>
    <w:p w:rsidR="000056F8"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Daily Observation of Rats after Toxin Administration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903995" w:rsidRDefault="000056F8"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r w:rsidR="00903995">
        <w:rPr>
          <w:rFonts w:ascii="Times New Roman" w:hAnsi="Times New Roman" w:cs="Times New Roman"/>
          <w:sz w:val="28"/>
          <w:szCs w:val="28"/>
        </w:rPr>
        <w:t>Post-Mortem Gr</w:t>
      </w:r>
      <w:r w:rsidR="00E06DEC">
        <w:rPr>
          <w:rFonts w:ascii="Times New Roman" w:hAnsi="Times New Roman" w:cs="Times New Roman"/>
          <w:sz w:val="28"/>
          <w:szCs w:val="28"/>
        </w:rPr>
        <w:t>oss Pathological Findings</w:t>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t>39</w:t>
      </w:r>
    </w:p>
    <w:p w:rsidR="00E06DEC" w:rsidRDefault="00E06DEC"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 xml:space="preserve">Fungal </w:t>
      </w:r>
      <w:proofErr w:type="spellStart"/>
      <w:r>
        <w:rPr>
          <w:rFonts w:ascii="Times New Roman" w:hAnsi="Times New Roman" w:cs="Times New Roman"/>
          <w:sz w:val="28"/>
          <w:szCs w:val="28"/>
        </w:rPr>
        <w:t>mycelial</w:t>
      </w:r>
      <w:proofErr w:type="spellEnd"/>
      <w:r>
        <w:rPr>
          <w:rFonts w:ascii="Times New Roman" w:hAnsi="Times New Roman" w:cs="Times New Roman"/>
          <w:sz w:val="28"/>
          <w:szCs w:val="28"/>
        </w:rPr>
        <w:t xml:space="preserve"> growth on PDA plate after 72 hours of incubation</w:t>
      </w:r>
      <w:r>
        <w:rPr>
          <w:rFonts w:ascii="Times New Roman" w:hAnsi="Times New Roman" w:cs="Times New Roman"/>
          <w:sz w:val="28"/>
          <w:szCs w:val="28"/>
        </w:rPr>
        <w:tab/>
        <w:t>40</w:t>
      </w:r>
    </w:p>
    <w:p w:rsidR="00E06DEC" w:rsidRDefault="00E06DEC"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 xml:space="preserve">Microscopic view of fungal isolate showing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structures (x40 objective magnification)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rsidR="00AC4A5F" w:rsidRDefault="00E06DEC"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Dissected rats showing effects of fungal toxin (</w:t>
      </w:r>
      <w:proofErr w:type="spellStart"/>
      <w:r>
        <w:rPr>
          <w:rFonts w:ascii="Times New Roman" w:hAnsi="Times New Roman" w:cs="Times New Roman"/>
          <w:i/>
          <w:sz w:val="28"/>
          <w:szCs w:val="28"/>
        </w:rPr>
        <w:t>Penicillium</w:t>
      </w:r>
      <w:proofErr w:type="spellEnd"/>
      <w:r>
        <w:rPr>
          <w:rFonts w:ascii="Times New Roman" w:hAnsi="Times New Roman" w:cs="Times New Roman"/>
          <w:i/>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on internal organs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42</w:t>
      </w:r>
      <w:r w:rsidR="00AC4A5F">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Di</w:t>
      </w:r>
      <w:r w:rsidR="00E06DEC">
        <w:rPr>
          <w:rFonts w:ascii="Times New Roman" w:hAnsi="Times New Roman" w:cs="Times New Roman"/>
          <w:sz w:val="28"/>
          <w:szCs w:val="28"/>
        </w:rPr>
        <w:t>scussion and Conclusion</w:t>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t>43</w:t>
      </w:r>
    </w:p>
    <w:p w:rsidR="00AC4A5F" w:rsidRDefault="00E06DEC"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43</w:t>
      </w:r>
      <w:r w:rsidR="00AC4A5F">
        <w:rPr>
          <w:rFonts w:ascii="Times New Roman" w:hAnsi="Times New Roman" w:cs="Times New Roman"/>
          <w:sz w:val="28"/>
          <w:szCs w:val="28"/>
        </w:rPr>
        <w:tab/>
        <w:t xml:space="preserve">        </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r>
      <w:r w:rsidR="00E06DEC">
        <w:rPr>
          <w:rFonts w:ascii="Times New Roman" w:hAnsi="Times New Roman" w:cs="Times New Roman"/>
          <w:sz w:val="28"/>
          <w:szCs w:val="28"/>
        </w:rPr>
        <w:t>Conclusion</w:t>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r>
      <w:r w:rsidR="00E06DEC">
        <w:rPr>
          <w:rFonts w:ascii="Times New Roman" w:hAnsi="Times New Roman" w:cs="Times New Roman"/>
          <w:sz w:val="28"/>
          <w:szCs w:val="28"/>
        </w:rPr>
        <w:tab/>
        <w:t>46</w:t>
      </w:r>
    </w:p>
    <w:p w:rsidR="00E06DEC" w:rsidRDefault="00E06DEC" w:rsidP="00E06DEC">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47</w:t>
      </w:r>
    </w:p>
    <w:p w:rsidR="00F86ABB" w:rsidRDefault="00F86ABB" w:rsidP="00AC4A5F">
      <w:pPr>
        <w:spacing w:line="480" w:lineRule="auto"/>
        <w:jc w:val="center"/>
        <w:rPr>
          <w:rFonts w:ascii="Times New Roman" w:hAnsi="Times New Roman" w:cs="Times New Roman"/>
          <w:b/>
          <w:bCs/>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1:  </w:t>
      </w:r>
      <w:r w:rsidR="00903995">
        <w:rPr>
          <w:rFonts w:ascii="Times New Roman" w:hAnsi="Times New Roman" w:cs="Times New Roman"/>
          <w:sz w:val="28"/>
          <w:szCs w:val="28"/>
        </w:rPr>
        <w:t>Characterization and Identification of Fungal Isolate</w:t>
      </w:r>
      <w:r w:rsidR="00903995">
        <w:rPr>
          <w:rFonts w:ascii="Times New Roman" w:hAnsi="Times New Roman" w:cs="Times New Roman"/>
          <w:sz w:val="28"/>
          <w:szCs w:val="28"/>
        </w:rPr>
        <w:tab/>
      </w:r>
      <w:r w:rsidR="00903995">
        <w:rPr>
          <w:rFonts w:ascii="Times New Roman" w:hAnsi="Times New Roman" w:cs="Times New Roman"/>
          <w:sz w:val="28"/>
          <w:szCs w:val="28"/>
        </w:rPr>
        <w:tab/>
      </w:r>
      <w:r w:rsidR="00903995">
        <w:rPr>
          <w:rFonts w:ascii="Times New Roman" w:hAnsi="Times New Roman" w:cs="Times New Roman"/>
          <w:sz w:val="28"/>
          <w:szCs w:val="28"/>
        </w:rPr>
        <w:tab/>
        <w:t>30</w:t>
      </w: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2:  </w:t>
      </w:r>
      <w:r w:rsidR="00903995">
        <w:rPr>
          <w:rFonts w:ascii="Times New Roman" w:hAnsi="Times New Roman" w:cs="Times New Roman"/>
          <w:sz w:val="28"/>
          <w:szCs w:val="28"/>
        </w:rPr>
        <w:t>Animal Grouping and Identification</w:t>
      </w:r>
      <w:r w:rsidR="00903995">
        <w:rPr>
          <w:rFonts w:ascii="Times New Roman" w:hAnsi="Times New Roman" w:cs="Times New Roman"/>
          <w:sz w:val="28"/>
          <w:szCs w:val="28"/>
        </w:rPr>
        <w:tab/>
      </w:r>
      <w:r w:rsidR="00903995">
        <w:rPr>
          <w:rFonts w:ascii="Times New Roman" w:hAnsi="Times New Roman" w:cs="Times New Roman"/>
          <w:sz w:val="28"/>
          <w:szCs w:val="28"/>
        </w:rPr>
        <w:tab/>
      </w:r>
      <w:r w:rsidR="00903995">
        <w:rPr>
          <w:rFonts w:ascii="Times New Roman" w:hAnsi="Times New Roman" w:cs="Times New Roman"/>
          <w:sz w:val="28"/>
          <w:szCs w:val="28"/>
        </w:rPr>
        <w:tab/>
      </w:r>
      <w:r w:rsidR="00903995">
        <w:rPr>
          <w:rFonts w:ascii="Times New Roman" w:hAnsi="Times New Roman" w:cs="Times New Roman"/>
          <w:sz w:val="28"/>
          <w:szCs w:val="28"/>
        </w:rPr>
        <w:tab/>
      </w:r>
      <w:r w:rsidR="00903995">
        <w:rPr>
          <w:rFonts w:ascii="Times New Roman" w:hAnsi="Times New Roman" w:cs="Times New Roman"/>
          <w:sz w:val="28"/>
          <w:szCs w:val="28"/>
        </w:rPr>
        <w:tab/>
        <w:t>32</w:t>
      </w:r>
    </w:p>
    <w:p w:rsidR="00903995" w:rsidRDefault="006B0042"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Table 3:  </w:t>
      </w:r>
      <w:r w:rsidR="00903995">
        <w:rPr>
          <w:rFonts w:ascii="Times New Roman" w:hAnsi="Times New Roman" w:cs="Times New Roman"/>
          <w:sz w:val="28"/>
          <w:szCs w:val="28"/>
        </w:rPr>
        <w:t>Daily Observation of Rats after Toxin Administration</w:t>
      </w:r>
      <w:r w:rsidR="00903995">
        <w:rPr>
          <w:rFonts w:ascii="Times New Roman" w:hAnsi="Times New Roman" w:cs="Times New Roman"/>
          <w:sz w:val="28"/>
          <w:szCs w:val="28"/>
        </w:rPr>
        <w:tab/>
      </w:r>
      <w:r w:rsidR="00903995">
        <w:rPr>
          <w:rFonts w:ascii="Times New Roman" w:hAnsi="Times New Roman" w:cs="Times New Roman"/>
          <w:sz w:val="28"/>
          <w:szCs w:val="28"/>
        </w:rPr>
        <w:tab/>
      </w:r>
      <w:r w:rsidR="00903995">
        <w:rPr>
          <w:rFonts w:ascii="Times New Roman" w:hAnsi="Times New Roman" w:cs="Times New Roman"/>
          <w:sz w:val="28"/>
          <w:szCs w:val="28"/>
        </w:rPr>
        <w:tab/>
        <w:t>32</w:t>
      </w:r>
    </w:p>
    <w:p w:rsidR="00AC4A5F" w:rsidRDefault="00903995"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Table 4:  Post-Mortem Gross Pathological Findings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39</w:t>
      </w:r>
      <w:r w:rsidR="00AC4A5F">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both"/>
        <w:rPr>
          <w:rFonts w:ascii="Times New Roman" w:hAnsi="Times New Roman" w:cs="Times New Roman"/>
          <w:sz w:val="28"/>
          <w:szCs w:val="28"/>
        </w:rPr>
      </w:pPr>
    </w:p>
    <w:p w:rsidR="00AC4A5F" w:rsidRDefault="00AC4A5F" w:rsidP="00AC4A5F">
      <w:pPr>
        <w:spacing w:line="480" w:lineRule="auto"/>
        <w:jc w:val="center"/>
        <w:rPr>
          <w:rFonts w:ascii="Times New Roman" w:hAnsi="Times New Roman" w:cs="Times New Roman"/>
          <w:b/>
          <w:bCs/>
          <w:sz w:val="28"/>
          <w:szCs w:val="28"/>
        </w:rPr>
      </w:pPr>
    </w:p>
    <w:p w:rsidR="00903995" w:rsidRDefault="00903995" w:rsidP="00AC4A5F">
      <w:pPr>
        <w:spacing w:line="480" w:lineRule="auto"/>
        <w:jc w:val="center"/>
        <w:rPr>
          <w:rFonts w:ascii="Times New Roman" w:hAnsi="Times New Roman" w:cs="Times New Roman"/>
          <w:b/>
          <w:bCs/>
          <w:sz w:val="28"/>
          <w:szCs w:val="28"/>
        </w:rPr>
      </w:pPr>
    </w:p>
    <w:p w:rsidR="00B30551" w:rsidRDefault="00B30551" w:rsidP="00B30551">
      <w:pPr>
        <w:spacing w:line="480" w:lineRule="auto"/>
        <w:rPr>
          <w:rFonts w:ascii="Times New Roman" w:hAnsi="Times New Roman" w:cs="Times New Roman"/>
          <w:b/>
          <w:bCs/>
          <w:sz w:val="28"/>
          <w:szCs w:val="28"/>
        </w:rPr>
      </w:pPr>
    </w:p>
    <w:p w:rsidR="006B0042" w:rsidRDefault="006B0042"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rsidR="006B0042" w:rsidRDefault="006B0042" w:rsidP="006B004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1:  Fungal </w:t>
      </w:r>
      <w:proofErr w:type="spellStart"/>
      <w:r>
        <w:rPr>
          <w:rFonts w:ascii="Times New Roman" w:hAnsi="Times New Roman" w:cs="Times New Roman"/>
          <w:sz w:val="28"/>
          <w:szCs w:val="28"/>
        </w:rPr>
        <w:t>mycelial</w:t>
      </w:r>
      <w:proofErr w:type="spellEnd"/>
      <w:r>
        <w:rPr>
          <w:rFonts w:ascii="Times New Roman" w:hAnsi="Times New Roman" w:cs="Times New Roman"/>
          <w:sz w:val="28"/>
          <w:szCs w:val="28"/>
        </w:rPr>
        <w:t xml:space="preserve"> growth on PDA plate after 72 hours of incubation</w:t>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t>40</w:t>
      </w:r>
    </w:p>
    <w:p w:rsidR="006B0042" w:rsidRDefault="006B0042" w:rsidP="006B004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2:  Microscopic view of fungal isolate showing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structures (x40 objective magnification)</w:t>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t>41</w:t>
      </w:r>
    </w:p>
    <w:p w:rsidR="006B0042" w:rsidRDefault="006B0042" w:rsidP="006B0042">
      <w:pPr>
        <w:spacing w:line="480" w:lineRule="auto"/>
        <w:jc w:val="both"/>
        <w:rPr>
          <w:rFonts w:ascii="Times New Roman" w:hAnsi="Times New Roman" w:cs="Times New Roman"/>
          <w:sz w:val="28"/>
          <w:szCs w:val="28"/>
        </w:rPr>
      </w:pPr>
      <w:r>
        <w:rPr>
          <w:rFonts w:ascii="Times New Roman" w:hAnsi="Times New Roman" w:cs="Times New Roman"/>
          <w:sz w:val="28"/>
          <w:szCs w:val="28"/>
        </w:rPr>
        <w:t>Figure 3:  Dissected rats showing effects of fungal toxin (</w:t>
      </w:r>
      <w:proofErr w:type="spellStart"/>
      <w:r>
        <w:rPr>
          <w:rFonts w:ascii="Times New Roman" w:hAnsi="Times New Roman" w:cs="Times New Roman"/>
          <w:i/>
          <w:sz w:val="28"/>
          <w:szCs w:val="28"/>
        </w:rPr>
        <w:t>Penicillium</w:t>
      </w:r>
      <w:proofErr w:type="spellEnd"/>
      <w:r>
        <w:rPr>
          <w:rFonts w:ascii="Times New Roman" w:hAnsi="Times New Roman" w:cs="Times New Roman"/>
          <w:i/>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on internal organs</w:t>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r>
      <w:r w:rsidR="00B30551">
        <w:rPr>
          <w:rFonts w:ascii="Times New Roman" w:hAnsi="Times New Roman" w:cs="Times New Roman"/>
          <w:sz w:val="28"/>
          <w:szCs w:val="28"/>
        </w:rPr>
        <w:tab/>
        <w:t>42</w:t>
      </w:r>
    </w:p>
    <w:p w:rsidR="006B0042" w:rsidRDefault="006B0042" w:rsidP="006B0042">
      <w:pPr>
        <w:spacing w:line="480" w:lineRule="auto"/>
        <w:jc w:val="both"/>
        <w:rPr>
          <w:rFonts w:ascii="Times New Roman" w:hAnsi="Times New Roman" w:cs="Times New Roman"/>
          <w:sz w:val="28"/>
          <w:szCs w:val="28"/>
        </w:rPr>
      </w:pPr>
    </w:p>
    <w:p w:rsidR="006B0042" w:rsidRDefault="006B0042" w:rsidP="006B0042">
      <w:pPr>
        <w:spacing w:line="480" w:lineRule="auto"/>
        <w:jc w:val="both"/>
        <w:rPr>
          <w:rFonts w:ascii="Times New Roman" w:hAnsi="Times New Roman" w:cs="Times New Roman"/>
          <w:sz w:val="28"/>
          <w:szCs w:val="28"/>
        </w:rPr>
      </w:pPr>
    </w:p>
    <w:p w:rsidR="006B0042" w:rsidRDefault="006B0042" w:rsidP="006B0042">
      <w:pPr>
        <w:spacing w:line="480" w:lineRule="auto"/>
        <w:jc w:val="both"/>
        <w:rPr>
          <w:rFonts w:ascii="Times New Roman" w:hAnsi="Times New Roman" w:cs="Times New Roman"/>
          <w:sz w:val="28"/>
          <w:szCs w:val="28"/>
        </w:rPr>
      </w:pPr>
    </w:p>
    <w:p w:rsidR="006B0042" w:rsidRDefault="006B0042" w:rsidP="006B0042">
      <w:pPr>
        <w:spacing w:line="480" w:lineRule="auto"/>
        <w:jc w:val="both"/>
        <w:rPr>
          <w:rFonts w:ascii="Times New Roman" w:hAnsi="Times New Roman" w:cs="Times New Roman"/>
          <w:sz w:val="28"/>
          <w:szCs w:val="28"/>
        </w:rPr>
      </w:pPr>
    </w:p>
    <w:p w:rsidR="006B0042" w:rsidRDefault="006B0042" w:rsidP="006B0042">
      <w:pPr>
        <w:spacing w:line="480" w:lineRule="auto"/>
        <w:jc w:val="both"/>
        <w:rPr>
          <w:rFonts w:ascii="Times New Roman" w:hAnsi="Times New Roman" w:cs="Times New Roman"/>
          <w:sz w:val="28"/>
          <w:szCs w:val="28"/>
        </w:rPr>
      </w:pPr>
    </w:p>
    <w:p w:rsidR="006B0042" w:rsidRDefault="006B0042" w:rsidP="006B0042">
      <w:pPr>
        <w:spacing w:line="480" w:lineRule="auto"/>
        <w:jc w:val="both"/>
        <w:rPr>
          <w:rFonts w:ascii="Times New Roman" w:hAnsi="Times New Roman" w:cs="Times New Roman"/>
          <w:sz w:val="28"/>
          <w:szCs w:val="28"/>
        </w:rPr>
      </w:pPr>
    </w:p>
    <w:p w:rsidR="006B0042" w:rsidRDefault="006B0042" w:rsidP="006B0042">
      <w:pPr>
        <w:spacing w:line="480" w:lineRule="auto"/>
        <w:jc w:val="both"/>
        <w:rPr>
          <w:rFonts w:ascii="Times New Roman" w:hAnsi="Times New Roman" w:cs="Times New Roman"/>
          <w:sz w:val="28"/>
          <w:szCs w:val="28"/>
        </w:rPr>
      </w:pPr>
    </w:p>
    <w:p w:rsidR="006B0042" w:rsidRDefault="006B0042" w:rsidP="006B0042">
      <w:pPr>
        <w:spacing w:line="480" w:lineRule="auto"/>
        <w:jc w:val="both"/>
        <w:rPr>
          <w:rFonts w:ascii="Times New Roman" w:hAnsi="Times New Roman" w:cs="Times New Roman"/>
          <w:sz w:val="28"/>
          <w:szCs w:val="28"/>
        </w:rPr>
      </w:pPr>
    </w:p>
    <w:p w:rsidR="006B0042" w:rsidRPr="006B0042" w:rsidRDefault="006B0042" w:rsidP="006B0042">
      <w:pPr>
        <w:spacing w:line="480" w:lineRule="auto"/>
        <w:jc w:val="both"/>
        <w:rPr>
          <w:rFonts w:ascii="Times New Roman" w:hAnsi="Times New Roman" w:cs="Times New Roman"/>
          <w:sz w:val="28"/>
          <w:szCs w:val="28"/>
        </w:rPr>
      </w:pPr>
    </w:p>
    <w:p w:rsidR="00AC4A5F" w:rsidRDefault="00AC4A5F" w:rsidP="00AC4A5F">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ABSTRACT</w:t>
      </w:r>
    </w:p>
    <w:p w:rsidR="009629DD" w:rsidRDefault="009629DD" w:rsidP="009629DD">
      <w:pPr>
        <w:spacing w:line="480" w:lineRule="auto"/>
        <w:jc w:val="both"/>
        <w:rPr>
          <w:rFonts w:ascii="Times New Roman" w:hAnsi="Times New Roman" w:cs="Times New Roman"/>
          <w:sz w:val="28"/>
          <w:szCs w:val="28"/>
        </w:rPr>
      </w:pPr>
      <w:proofErr w:type="spellStart"/>
      <w:r>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are known producers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frequently associated with decayed fruits and implicated in several health disorders. This study investigates the potency of </w:t>
      </w:r>
      <w:proofErr w:type="spellStart"/>
      <w:r>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toxin using albino rats as biological models. The research involved isolating </w:t>
      </w:r>
      <w:proofErr w:type="spellStart"/>
      <w:r>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from contaminated food samples, confirming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production, and administering varying doses of the extracted toxin to test animals. The results revealed clear dose-dependent toxicological effects, including behavioral abnormalities, weight reduction, organ discoloration, and pronounced </w:t>
      </w:r>
      <w:proofErr w:type="spellStart"/>
      <w:r>
        <w:rPr>
          <w:rFonts w:ascii="Times New Roman" w:hAnsi="Times New Roman" w:cs="Times New Roman"/>
          <w:sz w:val="28"/>
          <w:szCs w:val="28"/>
        </w:rPr>
        <w:t>histopathological</w:t>
      </w:r>
      <w:proofErr w:type="spellEnd"/>
      <w:r>
        <w:rPr>
          <w:rFonts w:ascii="Times New Roman" w:hAnsi="Times New Roman" w:cs="Times New Roman"/>
          <w:sz w:val="28"/>
          <w:szCs w:val="28"/>
        </w:rPr>
        <w:t xml:space="preserve"> damage to liver and kidney tissues. These findings align with past studies that describe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as a </w:t>
      </w:r>
      <w:proofErr w:type="spellStart"/>
      <w:r>
        <w:rPr>
          <w:rFonts w:ascii="Times New Roman" w:hAnsi="Times New Roman" w:cs="Times New Roman"/>
          <w:sz w:val="28"/>
          <w:szCs w:val="28"/>
        </w:rPr>
        <w:t>genotoxic</w:t>
      </w:r>
      <w:proofErr w:type="spellEnd"/>
      <w:r>
        <w:rPr>
          <w:rFonts w:ascii="Times New Roman" w:hAnsi="Times New Roman" w:cs="Times New Roman"/>
          <w:sz w:val="28"/>
          <w:szCs w:val="28"/>
        </w:rPr>
        <w:t xml:space="preserve">, immunosuppressive, and hepatotoxic compound. The outcomes reinforce the pressing need for stringent food safety regulations and effective monitoring of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in consumables. This study contributes valuable insights into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toxicology and underscores the importance of early detection and control measures to mitigate public health risks.</w:t>
      </w:r>
    </w:p>
    <w:p w:rsidR="009629DD" w:rsidRDefault="009629DD" w:rsidP="009629D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Keywords: </w:t>
      </w:r>
      <w:proofErr w:type="spellStart"/>
      <w:r>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Toxicity, Histopathology, Albino Rats, Food Safety, Public Health.</w:t>
      </w:r>
    </w:p>
    <w:p w:rsidR="00697F4F" w:rsidRDefault="00697F4F">
      <w:pPr>
        <w:rPr>
          <w:rFonts w:ascii="Times New Roman" w:hAnsi="Times New Roman" w:cs="Times New Roman"/>
          <w:sz w:val="28"/>
          <w:szCs w:val="28"/>
        </w:rPr>
      </w:pPr>
      <w:r>
        <w:rPr>
          <w:rFonts w:ascii="Times New Roman" w:hAnsi="Times New Roman" w:cs="Times New Roman"/>
          <w:sz w:val="28"/>
          <w:szCs w:val="28"/>
        </w:rPr>
        <w:br w:type="page"/>
      </w:r>
    </w:p>
    <w:p w:rsidR="00697F4F" w:rsidRPr="00EC2D00" w:rsidRDefault="00697F4F" w:rsidP="00697F4F">
      <w:pPr>
        <w:spacing w:line="480" w:lineRule="auto"/>
        <w:jc w:val="center"/>
        <w:rPr>
          <w:rFonts w:ascii="Times New Roman" w:hAnsi="Times New Roman" w:cs="Times New Roman"/>
          <w:sz w:val="28"/>
          <w:szCs w:val="28"/>
        </w:rPr>
      </w:pPr>
      <w:r w:rsidRPr="00EC2D00">
        <w:rPr>
          <w:rFonts w:ascii="Times New Roman" w:hAnsi="Times New Roman" w:cs="Times New Roman"/>
          <w:sz w:val="28"/>
          <w:szCs w:val="28"/>
        </w:rPr>
        <w:t>CHAPTER ONE</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 </w:t>
      </w:r>
      <w:r w:rsidRPr="00EC2D00">
        <w:rPr>
          <w:rFonts w:ascii="Times New Roman" w:hAnsi="Times New Roman" w:cs="Times New Roman"/>
          <w:sz w:val="28"/>
          <w:szCs w:val="28"/>
        </w:rPr>
        <w:t>INTRODUCTIO</w:t>
      </w:r>
      <w:r>
        <w:rPr>
          <w:rFonts w:ascii="Times New Roman" w:hAnsi="Times New Roman" w:cs="Times New Roman"/>
          <w:sz w:val="28"/>
          <w:szCs w:val="28"/>
        </w:rPr>
        <w:t>N</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Fungi, as a kingdom of eukaryotic organisms, occupy a distinctive position in biological classification, set apart from plants, animals, and bacteria by their cellular composition and modes of reproduction. Characterized by their heterotrophic nature, fungi absorb nutrients through the enzymatic degradation of organic matter, playing a crucial role in decomposition and nutrient cycling in ecosystems (Kumar et al., 2021). While some fungi are beneficial used in food production, pharmaceuticals, and biotechnology others are known for their pathogenic and toxigenic potentials. This dichotomy highlights the importance of studying fungi not only for their utility but also for the risks they pose, particularly in the form of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are secondary metabolites produced by certain fungal species, particularly those belonging to the genera </w:t>
      </w:r>
      <w:proofErr w:type="spellStart"/>
      <w:r w:rsidRPr="00F16258">
        <w:rPr>
          <w:rFonts w:ascii="Times New Roman" w:hAnsi="Times New Roman" w:cs="Times New Roman"/>
          <w:i/>
          <w:iCs/>
          <w:sz w:val="28"/>
          <w:szCs w:val="28"/>
        </w:rPr>
        <w:t>Aspergillus</w:t>
      </w:r>
      <w:proofErr w:type="spellEnd"/>
      <w:r>
        <w:rPr>
          <w:rFonts w:ascii="Times New Roman" w:hAnsi="Times New Roman" w:cs="Times New Roman"/>
          <w:sz w:val="28"/>
          <w:szCs w:val="28"/>
        </w:rPr>
        <w:t xml:space="preserve">, </w:t>
      </w:r>
      <w:proofErr w:type="spellStart"/>
      <w:r w:rsidRPr="00F16258">
        <w:rPr>
          <w:rFonts w:ascii="Times New Roman" w:hAnsi="Times New Roman" w:cs="Times New Roman"/>
          <w:i/>
          <w:iCs/>
          <w:sz w:val="28"/>
          <w:szCs w:val="28"/>
        </w:rPr>
        <w:t>Fusarium</w:t>
      </w:r>
      <w:proofErr w:type="spellEnd"/>
      <w:r>
        <w:rPr>
          <w:rFonts w:ascii="Times New Roman" w:hAnsi="Times New Roman" w:cs="Times New Roman"/>
          <w:sz w:val="28"/>
          <w:szCs w:val="28"/>
        </w:rPr>
        <w:t xml:space="preserve">, and </w:t>
      </w:r>
      <w:proofErr w:type="spellStart"/>
      <w:r w:rsidRPr="00F16258">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Among these, </w:t>
      </w:r>
      <w:proofErr w:type="spellStart"/>
      <w:r w:rsidRPr="00F16258">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are especially significant in the context of food spoilage and toxin production. While the genus is historically celebrated for </w:t>
      </w:r>
      <w:proofErr w:type="spellStart"/>
      <w:r w:rsidRPr="00F16258">
        <w:rPr>
          <w:rFonts w:ascii="Times New Roman" w:hAnsi="Times New Roman" w:cs="Times New Roman"/>
          <w:i/>
          <w:iCs/>
          <w:sz w:val="28"/>
          <w:szCs w:val="28"/>
        </w:rPr>
        <w:t>Penicilliumchrysogenum</w:t>
      </w:r>
      <w:proofErr w:type="spellEnd"/>
      <w:r>
        <w:rPr>
          <w:rFonts w:ascii="Times New Roman" w:hAnsi="Times New Roman" w:cs="Times New Roman"/>
          <w:sz w:val="28"/>
          <w:szCs w:val="28"/>
        </w:rPr>
        <w:t xml:space="preserve">, the source of the antibiotic penicillin, it also includes toxigenic species such as </w:t>
      </w:r>
      <w:proofErr w:type="spellStart"/>
      <w:r w:rsidRPr="00F16258">
        <w:rPr>
          <w:rFonts w:ascii="Times New Roman" w:hAnsi="Times New Roman" w:cs="Times New Roman"/>
          <w:i/>
          <w:iCs/>
          <w:sz w:val="28"/>
          <w:szCs w:val="28"/>
        </w:rPr>
        <w:t>Penicilliumexpansum</w:t>
      </w:r>
      <w:proofErr w:type="spellEnd"/>
      <w:r>
        <w:rPr>
          <w:rFonts w:ascii="Times New Roman" w:hAnsi="Times New Roman" w:cs="Times New Roman"/>
          <w:sz w:val="28"/>
          <w:szCs w:val="28"/>
        </w:rPr>
        <w:t xml:space="preserve">, which produces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of considerable concern in food safety (</w:t>
      </w:r>
      <w:proofErr w:type="spellStart"/>
      <w:r>
        <w:rPr>
          <w:rFonts w:ascii="Times New Roman" w:hAnsi="Times New Roman" w:cs="Times New Roman"/>
          <w:sz w:val="28"/>
          <w:szCs w:val="28"/>
        </w:rPr>
        <w:t>Puel</w:t>
      </w:r>
      <w:proofErr w:type="spellEnd"/>
      <w:r>
        <w:rPr>
          <w:rFonts w:ascii="Times New Roman" w:hAnsi="Times New Roman" w:cs="Times New Roman"/>
          <w:sz w:val="28"/>
          <w:szCs w:val="28"/>
        </w:rPr>
        <w:t xml:space="preserve"> et al., 2018).</w:t>
      </w:r>
    </w:p>
    <w:p w:rsidR="00697F4F" w:rsidRDefault="00697F4F" w:rsidP="00697F4F">
      <w:pPr>
        <w:spacing w:line="480" w:lineRule="auto"/>
        <w:jc w:val="both"/>
        <w:rPr>
          <w:rFonts w:ascii="Times New Roman" w:hAnsi="Times New Roman" w:cs="Times New Roman"/>
          <w:sz w:val="28"/>
          <w:szCs w:val="28"/>
        </w:rPr>
      </w:pPr>
      <w:proofErr w:type="spellStart"/>
      <w:r w:rsidRPr="00077C7B">
        <w:rPr>
          <w:rFonts w:ascii="Times New Roman" w:hAnsi="Times New Roman" w:cs="Times New Roman"/>
          <w:i/>
          <w:iCs/>
          <w:sz w:val="28"/>
          <w:szCs w:val="28"/>
        </w:rPr>
        <w:t>Penicillium</w:t>
      </w:r>
      <w:proofErr w:type="spellEnd"/>
      <w:r w:rsidRPr="00077C7B">
        <w:rPr>
          <w:rFonts w:ascii="Times New Roman" w:hAnsi="Times New Roman" w:cs="Times New Roman"/>
          <w:i/>
          <w:iCs/>
          <w:sz w:val="28"/>
          <w:szCs w:val="28"/>
        </w:rPr>
        <w:t xml:space="preserve"> </w:t>
      </w:r>
      <w:proofErr w:type="spellStart"/>
      <w:r w:rsidRPr="00077C7B">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a filamentous fungus, is commonly found on decaying fruits, especially apples and pears. Its ability to thrive in post-harvest storage environments allows it to infiltrate fruit-processing chains, leading to widespread contamination of fruit products. The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is its principal metabolite of concern.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is a </w:t>
      </w:r>
      <w:proofErr w:type="spellStart"/>
      <w:r>
        <w:rPr>
          <w:rFonts w:ascii="Times New Roman" w:hAnsi="Times New Roman" w:cs="Times New Roman"/>
          <w:sz w:val="28"/>
          <w:szCs w:val="28"/>
        </w:rPr>
        <w:t>polyketide</w:t>
      </w:r>
      <w:proofErr w:type="spellEnd"/>
      <w:r>
        <w:rPr>
          <w:rFonts w:ascii="Times New Roman" w:hAnsi="Times New Roman" w:cs="Times New Roman"/>
          <w:sz w:val="28"/>
          <w:szCs w:val="28"/>
        </w:rPr>
        <w:t xml:space="preserve"> compound with a characteristic lactone ring that imparts biological activity and toxicity. Structurally, it is a small molecule that remains stable under mild heat and pH conditions, making it resistant to conventional food-processing methods like pasteurization (</w:t>
      </w:r>
      <w:proofErr w:type="spellStart"/>
      <w:r>
        <w:rPr>
          <w:rFonts w:ascii="Times New Roman" w:hAnsi="Times New Roman" w:cs="Times New Roman"/>
          <w:sz w:val="28"/>
          <w:szCs w:val="28"/>
        </w:rPr>
        <w:t>Drusch</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Ragab</w:t>
      </w:r>
      <w:proofErr w:type="spellEnd"/>
      <w:r>
        <w:rPr>
          <w:rFonts w:ascii="Times New Roman" w:hAnsi="Times New Roman" w:cs="Times New Roman"/>
          <w:sz w:val="28"/>
          <w:szCs w:val="28"/>
        </w:rPr>
        <w:t xml:space="preserve">, 2021).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is not the only toxin associated with </w:t>
      </w:r>
      <w:proofErr w:type="spellStart"/>
      <w:r w:rsidRPr="00077C7B">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Several other secondary metabolites of toxicological interest include </w:t>
      </w:r>
      <w:proofErr w:type="spellStart"/>
      <w:r>
        <w:rPr>
          <w:rFonts w:ascii="Times New Roman" w:hAnsi="Times New Roman" w:cs="Times New Roman"/>
          <w:sz w:val="28"/>
          <w:szCs w:val="28"/>
        </w:rPr>
        <w:t>citrinin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roquefortine</w:t>
      </w:r>
      <w:proofErr w:type="spellEnd"/>
      <w:r>
        <w:rPr>
          <w:rFonts w:ascii="Times New Roman" w:hAnsi="Times New Roman" w:cs="Times New Roman"/>
          <w:sz w:val="28"/>
          <w:szCs w:val="28"/>
        </w:rPr>
        <w:t xml:space="preserve"> C, and </w:t>
      </w:r>
      <w:proofErr w:type="spellStart"/>
      <w:r>
        <w:rPr>
          <w:rFonts w:ascii="Times New Roman" w:hAnsi="Times New Roman" w:cs="Times New Roman"/>
          <w:sz w:val="28"/>
          <w:szCs w:val="28"/>
        </w:rPr>
        <w:t>mycophenolic</w:t>
      </w:r>
      <w:proofErr w:type="spellEnd"/>
      <w:r>
        <w:rPr>
          <w:rFonts w:ascii="Times New Roman" w:hAnsi="Times New Roman" w:cs="Times New Roman"/>
          <w:sz w:val="28"/>
          <w:szCs w:val="28"/>
        </w:rPr>
        <w:t xml:space="preserve"> acid, produced by various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strains (Pitt &amp; Hocking, 2009). For example:</w:t>
      </w:r>
    </w:p>
    <w:p w:rsidR="00697F4F" w:rsidRDefault="00697F4F" w:rsidP="00697F4F">
      <w:pPr>
        <w:spacing w:line="480" w:lineRule="auto"/>
        <w:jc w:val="both"/>
        <w:rPr>
          <w:rFonts w:ascii="Times New Roman" w:hAnsi="Times New Roman" w:cs="Times New Roman"/>
          <w:sz w:val="28"/>
          <w:szCs w:val="28"/>
        </w:rPr>
      </w:pPr>
      <w:proofErr w:type="spellStart"/>
      <w:r w:rsidRPr="00286C68">
        <w:rPr>
          <w:rFonts w:ascii="Times New Roman" w:hAnsi="Times New Roman" w:cs="Times New Roman"/>
          <w:b/>
          <w:bCs/>
          <w:sz w:val="28"/>
          <w:szCs w:val="28"/>
        </w:rPr>
        <w:t>Citrinin</w:t>
      </w:r>
      <w:proofErr w:type="spellEnd"/>
      <w:r>
        <w:rPr>
          <w:rFonts w:ascii="Times New Roman" w:hAnsi="Times New Roman" w:cs="Times New Roman"/>
          <w:sz w:val="28"/>
          <w:szCs w:val="28"/>
        </w:rPr>
        <w:t xml:space="preserve">: Produced by </w:t>
      </w:r>
      <w:proofErr w:type="spellStart"/>
      <w:r w:rsidRPr="00077C7B">
        <w:rPr>
          <w:rFonts w:ascii="Times New Roman" w:hAnsi="Times New Roman" w:cs="Times New Roman"/>
          <w:i/>
          <w:iCs/>
          <w:sz w:val="28"/>
          <w:szCs w:val="28"/>
        </w:rPr>
        <w:t>Penicilliumcitrinum</w:t>
      </w:r>
      <w:proofErr w:type="spellEnd"/>
      <w:r>
        <w:rPr>
          <w:rFonts w:ascii="Times New Roman" w:hAnsi="Times New Roman" w:cs="Times New Roman"/>
          <w:sz w:val="28"/>
          <w:szCs w:val="28"/>
        </w:rPr>
        <w:t xml:space="preserve"> and occasionally by </w:t>
      </w:r>
      <w:proofErr w:type="spellStart"/>
      <w:r w:rsidRPr="00286C68">
        <w:rPr>
          <w:rFonts w:ascii="Times New Roman" w:hAnsi="Times New Roman" w:cs="Times New Roman"/>
          <w:i/>
          <w:iCs/>
          <w:sz w:val="28"/>
          <w:szCs w:val="28"/>
        </w:rPr>
        <w:t>Penicillium</w:t>
      </w:r>
      <w:proofErr w:type="spellEnd"/>
      <w:r w:rsidRPr="00286C68">
        <w:rPr>
          <w:rFonts w:ascii="Times New Roman" w:hAnsi="Times New Roman" w:cs="Times New Roman"/>
          <w:i/>
          <w:iCs/>
          <w:sz w:val="28"/>
          <w:szCs w:val="28"/>
        </w:rPr>
        <w:t xml:space="preserve"> </w:t>
      </w:r>
      <w:proofErr w:type="spellStart"/>
      <w:r w:rsidRPr="00286C68">
        <w:rPr>
          <w:rFonts w:ascii="Times New Roman" w:hAnsi="Times New Roman" w:cs="Times New Roman"/>
          <w:i/>
          <w:iCs/>
          <w:sz w:val="28"/>
          <w:szCs w:val="28"/>
        </w:rPr>
        <w:t>expansum</w:t>
      </w:r>
      <w:proofErr w:type="spellEnd"/>
      <w:r>
        <w:rPr>
          <w:rFonts w:ascii="Times New Roman" w:hAnsi="Times New Roman" w:cs="Times New Roman"/>
          <w:sz w:val="28"/>
          <w:szCs w:val="28"/>
        </w:rPr>
        <w:t>, this toxin primarily affects kidney function and has been implicated in nephropathy in humans and animals (</w:t>
      </w:r>
      <w:proofErr w:type="spellStart"/>
      <w:r>
        <w:rPr>
          <w:rFonts w:ascii="Times New Roman" w:hAnsi="Times New Roman" w:cs="Times New Roman"/>
          <w:sz w:val="28"/>
          <w:szCs w:val="28"/>
        </w:rPr>
        <w:t>Flajs</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Peraica</w:t>
      </w:r>
      <w:proofErr w:type="spellEnd"/>
      <w:r>
        <w:rPr>
          <w:rFonts w:ascii="Times New Roman" w:hAnsi="Times New Roman" w:cs="Times New Roman"/>
          <w:sz w:val="28"/>
          <w:szCs w:val="28"/>
        </w:rPr>
        <w:t>, 2009).</w:t>
      </w:r>
    </w:p>
    <w:p w:rsidR="00697F4F" w:rsidRDefault="00697F4F" w:rsidP="00697F4F">
      <w:pPr>
        <w:spacing w:line="480" w:lineRule="auto"/>
        <w:jc w:val="both"/>
        <w:rPr>
          <w:rFonts w:ascii="Times New Roman" w:hAnsi="Times New Roman" w:cs="Times New Roman"/>
          <w:sz w:val="28"/>
          <w:szCs w:val="28"/>
        </w:rPr>
      </w:pPr>
      <w:proofErr w:type="spellStart"/>
      <w:r w:rsidRPr="00BE78A0">
        <w:rPr>
          <w:rFonts w:ascii="Times New Roman" w:hAnsi="Times New Roman" w:cs="Times New Roman"/>
          <w:b/>
          <w:bCs/>
          <w:sz w:val="28"/>
          <w:szCs w:val="28"/>
        </w:rPr>
        <w:t>Ochratoxin</w:t>
      </w:r>
      <w:proofErr w:type="spellEnd"/>
      <w:r w:rsidRPr="00BE78A0">
        <w:rPr>
          <w:rFonts w:ascii="Times New Roman" w:hAnsi="Times New Roman" w:cs="Times New Roman"/>
          <w:b/>
          <w:bCs/>
          <w:sz w:val="28"/>
          <w:szCs w:val="28"/>
        </w:rPr>
        <w:t xml:space="preserve"> A (OTA):</w:t>
      </w:r>
      <w:r>
        <w:rPr>
          <w:rFonts w:ascii="Times New Roman" w:hAnsi="Times New Roman" w:cs="Times New Roman"/>
          <w:sz w:val="28"/>
          <w:szCs w:val="28"/>
        </w:rPr>
        <w:t xml:space="preserve"> Though primarily produced by </w:t>
      </w:r>
      <w:proofErr w:type="spellStart"/>
      <w:r w:rsidRPr="00286C68">
        <w:rPr>
          <w:rFonts w:ascii="Times New Roman" w:hAnsi="Times New Roman" w:cs="Times New Roman"/>
          <w:i/>
          <w:iCs/>
          <w:sz w:val="28"/>
          <w:szCs w:val="28"/>
        </w:rPr>
        <w:t>Aspergillusochraceus</w:t>
      </w:r>
      <w:proofErr w:type="spellEnd"/>
      <w:r>
        <w:rPr>
          <w:rFonts w:ascii="Times New Roman" w:hAnsi="Times New Roman" w:cs="Times New Roman"/>
          <w:sz w:val="28"/>
          <w:szCs w:val="28"/>
        </w:rPr>
        <w:t xml:space="preserve">, some </w:t>
      </w:r>
      <w:proofErr w:type="spellStart"/>
      <w:r w:rsidRPr="00286C68">
        <w:rPr>
          <w:rFonts w:ascii="Times New Roman" w:hAnsi="Times New Roman" w:cs="Times New Roman"/>
          <w:i/>
          <w:iCs/>
          <w:sz w:val="28"/>
          <w:szCs w:val="28"/>
        </w:rPr>
        <w:t>Penicillium</w:t>
      </w:r>
      <w:proofErr w:type="spellEnd"/>
      <w:r>
        <w:rPr>
          <w:rFonts w:ascii="Times New Roman" w:hAnsi="Times New Roman" w:cs="Times New Roman"/>
          <w:sz w:val="28"/>
          <w:szCs w:val="28"/>
        </w:rPr>
        <w:t xml:space="preserve"> species also produce OTA, which is nephrotoxic, carcinogenic, and </w:t>
      </w:r>
      <w:proofErr w:type="spellStart"/>
      <w:r>
        <w:rPr>
          <w:rFonts w:ascii="Times New Roman" w:hAnsi="Times New Roman" w:cs="Times New Roman"/>
          <w:sz w:val="28"/>
          <w:szCs w:val="28"/>
        </w:rPr>
        <w:t>teratogenic</w:t>
      </w:r>
      <w:proofErr w:type="spellEnd"/>
      <w:r>
        <w:rPr>
          <w:rFonts w:ascii="Times New Roman" w:hAnsi="Times New Roman" w:cs="Times New Roman"/>
          <w:sz w:val="28"/>
          <w:szCs w:val="28"/>
        </w:rPr>
        <w:t>. It contaminates cereals, coffee, and dried fruits (</w:t>
      </w:r>
      <w:proofErr w:type="spellStart"/>
      <w:r>
        <w:rPr>
          <w:rFonts w:ascii="Times New Roman" w:hAnsi="Times New Roman" w:cs="Times New Roman"/>
          <w:sz w:val="28"/>
          <w:szCs w:val="28"/>
        </w:rPr>
        <w:t>Petzinger</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Weidenbach</w:t>
      </w:r>
      <w:proofErr w:type="spellEnd"/>
      <w:r>
        <w:rPr>
          <w:rFonts w:ascii="Times New Roman" w:hAnsi="Times New Roman" w:cs="Times New Roman"/>
          <w:sz w:val="28"/>
          <w:szCs w:val="28"/>
        </w:rPr>
        <w:t>, 2021).</w:t>
      </w:r>
    </w:p>
    <w:p w:rsidR="00697F4F" w:rsidRDefault="00697F4F" w:rsidP="00697F4F">
      <w:pPr>
        <w:spacing w:line="480" w:lineRule="auto"/>
        <w:jc w:val="both"/>
        <w:rPr>
          <w:rFonts w:ascii="Times New Roman" w:hAnsi="Times New Roman" w:cs="Times New Roman"/>
          <w:sz w:val="28"/>
          <w:szCs w:val="28"/>
        </w:rPr>
      </w:pPr>
      <w:proofErr w:type="spellStart"/>
      <w:r w:rsidRPr="00BE78A0">
        <w:rPr>
          <w:rFonts w:ascii="Times New Roman" w:hAnsi="Times New Roman" w:cs="Times New Roman"/>
          <w:b/>
          <w:bCs/>
          <w:sz w:val="28"/>
          <w:szCs w:val="28"/>
        </w:rPr>
        <w:t>Roquefortine</w:t>
      </w:r>
      <w:proofErr w:type="spellEnd"/>
      <w:r w:rsidRPr="00BE78A0">
        <w:rPr>
          <w:rFonts w:ascii="Times New Roman" w:hAnsi="Times New Roman" w:cs="Times New Roman"/>
          <w:b/>
          <w:bCs/>
          <w:sz w:val="28"/>
          <w:szCs w:val="28"/>
        </w:rPr>
        <w:t xml:space="preserve"> C:</w:t>
      </w:r>
      <w:r>
        <w:rPr>
          <w:rFonts w:ascii="Times New Roman" w:hAnsi="Times New Roman" w:cs="Times New Roman"/>
          <w:sz w:val="28"/>
          <w:szCs w:val="28"/>
        </w:rPr>
        <w:t xml:space="preserve"> Found in blue cheese-producing species such as </w:t>
      </w:r>
      <w:proofErr w:type="spellStart"/>
      <w:r w:rsidRPr="00286C68">
        <w:rPr>
          <w:rFonts w:ascii="Times New Roman" w:hAnsi="Times New Roman" w:cs="Times New Roman"/>
          <w:i/>
          <w:iCs/>
          <w:sz w:val="28"/>
          <w:szCs w:val="28"/>
        </w:rPr>
        <w:t>Penicilliumroqueforti</w:t>
      </w:r>
      <w:proofErr w:type="spellEnd"/>
      <w:r>
        <w:rPr>
          <w:rFonts w:ascii="Times New Roman" w:hAnsi="Times New Roman" w:cs="Times New Roman"/>
          <w:sz w:val="28"/>
          <w:szCs w:val="28"/>
        </w:rPr>
        <w:t>, it has neurotoxic effects at high concentrations, though its presence in food is usually minimal (</w:t>
      </w: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et al., 2004).</w:t>
      </w:r>
    </w:p>
    <w:p w:rsidR="00697F4F" w:rsidRDefault="00697F4F" w:rsidP="00697F4F">
      <w:pPr>
        <w:spacing w:line="480" w:lineRule="auto"/>
        <w:jc w:val="both"/>
        <w:rPr>
          <w:rFonts w:ascii="Times New Roman" w:hAnsi="Times New Roman" w:cs="Times New Roman"/>
          <w:sz w:val="28"/>
          <w:szCs w:val="28"/>
        </w:rPr>
      </w:pPr>
      <w:proofErr w:type="spellStart"/>
      <w:r w:rsidRPr="00BE78A0">
        <w:rPr>
          <w:rFonts w:ascii="Times New Roman" w:hAnsi="Times New Roman" w:cs="Times New Roman"/>
          <w:b/>
          <w:bCs/>
          <w:sz w:val="28"/>
          <w:szCs w:val="28"/>
        </w:rPr>
        <w:t>Mycophenolic</w:t>
      </w:r>
      <w:proofErr w:type="spellEnd"/>
      <w:r w:rsidRPr="00BE78A0">
        <w:rPr>
          <w:rFonts w:ascii="Times New Roman" w:hAnsi="Times New Roman" w:cs="Times New Roman"/>
          <w:b/>
          <w:bCs/>
          <w:sz w:val="28"/>
          <w:szCs w:val="28"/>
        </w:rPr>
        <w:t xml:space="preserve"> acid</w:t>
      </w:r>
      <w:r>
        <w:rPr>
          <w:rFonts w:ascii="Times New Roman" w:hAnsi="Times New Roman" w:cs="Times New Roman"/>
          <w:sz w:val="28"/>
          <w:szCs w:val="28"/>
        </w:rPr>
        <w:t xml:space="preserve">: An immunosuppressive agent originally isolated from </w:t>
      </w:r>
      <w:proofErr w:type="spellStart"/>
      <w:r w:rsidRPr="00286C68">
        <w:rPr>
          <w:rFonts w:ascii="Times New Roman" w:hAnsi="Times New Roman" w:cs="Times New Roman"/>
          <w:i/>
          <w:iCs/>
          <w:sz w:val="28"/>
          <w:szCs w:val="28"/>
        </w:rPr>
        <w:t>Penicillium</w:t>
      </w:r>
      <w:proofErr w:type="spellEnd"/>
      <w:r w:rsidRPr="00286C68">
        <w:rPr>
          <w:rFonts w:ascii="Times New Roman" w:hAnsi="Times New Roman" w:cs="Times New Roman"/>
          <w:i/>
          <w:iCs/>
          <w:sz w:val="28"/>
          <w:szCs w:val="28"/>
        </w:rPr>
        <w:t xml:space="preserve"> </w:t>
      </w:r>
      <w:proofErr w:type="spellStart"/>
      <w:r w:rsidRPr="00286C68">
        <w:rPr>
          <w:rFonts w:ascii="Times New Roman" w:hAnsi="Times New Roman" w:cs="Times New Roman"/>
          <w:i/>
          <w:iCs/>
          <w:sz w:val="28"/>
          <w:szCs w:val="28"/>
        </w:rPr>
        <w:t>brevicompactum</w:t>
      </w:r>
      <w:proofErr w:type="spellEnd"/>
      <w:r>
        <w:rPr>
          <w:rFonts w:ascii="Times New Roman" w:hAnsi="Times New Roman" w:cs="Times New Roman"/>
          <w:sz w:val="28"/>
          <w:szCs w:val="28"/>
        </w:rPr>
        <w:t>, used pharmacologically in transplant medicine, but concerning when found in food products (</w:t>
      </w:r>
      <w:proofErr w:type="spellStart"/>
      <w:r>
        <w:rPr>
          <w:rFonts w:ascii="Times New Roman" w:hAnsi="Times New Roman" w:cs="Times New Roman"/>
          <w:sz w:val="28"/>
          <w:szCs w:val="28"/>
        </w:rPr>
        <w:t>Tiraboschi</w:t>
      </w:r>
      <w:proofErr w:type="spellEnd"/>
      <w:r>
        <w:rPr>
          <w:rFonts w:ascii="Times New Roman" w:hAnsi="Times New Roman" w:cs="Times New Roman"/>
          <w:sz w:val="28"/>
          <w:szCs w:val="28"/>
        </w:rPr>
        <w:t xml:space="preserve"> et al., 2021). Among these,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remains the most prominent due to its association with commonly consumed fruit products. </w:t>
      </w:r>
      <w:proofErr w:type="spellStart"/>
      <w:r>
        <w:rPr>
          <w:rFonts w:ascii="Times New Roman" w:hAnsi="Times New Roman" w:cs="Times New Roman"/>
          <w:sz w:val="28"/>
          <w:szCs w:val="28"/>
        </w:rPr>
        <w:t>Patulin’s</w:t>
      </w:r>
      <w:proofErr w:type="spellEnd"/>
      <w:r>
        <w:rPr>
          <w:rFonts w:ascii="Times New Roman" w:hAnsi="Times New Roman" w:cs="Times New Roman"/>
          <w:sz w:val="28"/>
          <w:szCs w:val="28"/>
        </w:rPr>
        <w:t xml:space="preserve"> toxicity includes mutagenic, </w:t>
      </w:r>
      <w:proofErr w:type="spellStart"/>
      <w:r>
        <w:rPr>
          <w:rFonts w:ascii="Times New Roman" w:hAnsi="Times New Roman" w:cs="Times New Roman"/>
          <w:sz w:val="28"/>
          <w:szCs w:val="28"/>
        </w:rPr>
        <w:t>genotoxic</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immunotoxic</w:t>
      </w:r>
      <w:proofErr w:type="spellEnd"/>
      <w:r>
        <w:rPr>
          <w:rFonts w:ascii="Times New Roman" w:hAnsi="Times New Roman" w:cs="Times New Roman"/>
          <w:sz w:val="28"/>
          <w:szCs w:val="28"/>
        </w:rPr>
        <w:t>, and gastrointestinal effects. Acute exposure causes symptoms such as nausea, vomiting, and intestinal hemorrhaging, while chronic exposure has been linked to immune suppression and neurotoxicity (</w:t>
      </w:r>
      <w:proofErr w:type="spellStart"/>
      <w:r>
        <w:rPr>
          <w:rFonts w:ascii="Times New Roman" w:hAnsi="Times New Roman" w:cs="Times New Roman"/>
          <w:sz w:val="28"/>
          <w:szCs w:val="28"/>
        </w:rPr>
        <w:t>Pfohl-Leszkowicz</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Manderville</w:t>
      </w:r>
      <w:proofErr w:type="spellEnd"/>
      <w:r>
        <w:rPr>
          <w:rFonts w:ascii="Times New Roman" w:hAnsi="Times New Roman" w:cs="Times New Roman"/>
          <w:sz w:val="28"/>
          <w:szCs w:val="28"/>
        </w:rPr>
        <w:t xml:space="preserve">, 2020). The International Agency for Research on Cancer (IARC) currently classifies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 Group 3, meaning it is not classifiable as to its carcinogenicity to humans due to insufficient evidence (IARC, 2017). Nevertheless, the compound’s potential to damage DNA and cellular structures warrants strict monitoring and control. The global regulatory concern about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has prompted numerous countries and international bodies, including the World Health Organization (WHO) and Food and Agriculture Organization (FAO), to establish maximum permissible levels in food. The European Commission and United States Food and Drug Administration (FDA) have set maximum limits for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 apple products at 50 µg/kg for general products and 10–25 µg/kg for baby foods (Codex </w:t>
      </w:r>
      <w:proofErr w:type="spellStart"/>
      <w:r>
        <w:rPr>
          <w:rFonts w:ascii="Times New Roman" w:hAnsi="Times New Roman" w:cs="Times New Roman"/>
          <w:sz w:val="28"/>
          <w:szCs w:val="28"/>
        </w:rPr>
        <w:t>Alimentarius</w:t>
      </w:r>
      <w:proofErr w:type="spellEnd"/>
      <w:r>
        <w:rPr>
          <w:rFonts w:ascii="Times New Roman" w:hAnsi="Times New Roman" w:cs="Times New Roman"/>
          <w:sz w:val="28"/>
          <w:szCs w:val="28"/>
        </w:rPr>
        <w:t xml:space="preserve">, 2020). These standards reflect a precautionary approach grounded in toxicological risk assessment studies conducted over several decades. In the context of scientific studies aimed at evaluating </w:t>
      </w:r>
      <w:proofErr w:type="spellStart"/>
      <w:r>
        <w:rPr>
          <w:rFonts w:ascii="Times New Roman" w:hAnsi="Times New Roman" w:cs="Times New Roman"/>
          <w:sz w:val="28"/>
          <w:szCs w:val="28"/>
        </w:rPr>
        <w:t>patulin’s</w:t>
      </w:r>
      <w:proofErr w:type="spellEnd"/>
      <w:r>
        <w:rPr>
          <w:rFonts w:ascii="Times New Roman" w:hAnsi="Times New Roman" w:cs="Times New Roman"/>
          <w:sz w:val="28"/>
          <w:szCs w:val="28"/>
        </w:rPr>
        <w:t xml:space="preserve"> potency and toxicological impact, controlled laboratory production of the toxin is essential. The production process typically involves the cultivation of </w:t>
      </w:r>
      <w:proofErr w:type="spellStart"/>
      <w:r w:rsidRPr="007A378C">
        <w:rPr>
          <w:rFonts w:ascii="Times New Roman" w:hAnsi="Times New Roman" w:cs="Times New Roman"/>
          <w:i/>
          <w:iCs/>
          <w:sz w:val="28"/>
          <w:szCs w:val="28"/>
        </w:rPr>
        <w:t>Penicillium</w:t>
      </w:r>
      <w:proofErr w:type="spellEnd"/>
      <w:r w:rsidRPr="007A378C">
        <w:rPr>
          <w:rFonts w:ascii="Times New Roman" w:hAnsi="Times New Roman" w:cs="Times New Roman"/>
          <w:i/>
          <w:iCs/>
          <w:sz w:val="28"/>
          <w:szCs w:val="28"/>
        </w:rPr>
        <w:t xml:space="preserve"> </w:t>
      </w:r>
      <w:proofErr w:type="spellStart"/>
      <w:r w:rsidRPr="007A378C">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under optimized growth conditions that promote secondary metabolite synthesis. Low-cost production strategies have been developed to minimize expenses while maintaining yield and purity.</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1.1 LITERATURE REVIEW</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Early research by Riley and </w:t>
      </w:r>
      <w:proofErr w:type="spellStart"/>
      <w:r>
        <w:rPr>
          <w:rFonts w:ascii="Times New Roman" w:hAnsi="Times New Roman" w:cs="Times New Roman"/>
          <w:sz w:val="28"/>
          <w:szCs w:val="28"/>
        </w:rPr>
        <w:t>Norred</w:t>
      </w:r>
      <w:proofErr w:type="spellEnd"/>
      <w:r>
        <w:rPr>
          <w:rFonts w:ascii="Times New Roman" w:hAnsi="Times New Roman" w:cs="Times New Roman"/>
          <w:sz w:val="28"/>
          <w:szCs w:val="28"/>
        </w:rPr>
        <w:t xml:space="preserve"> (2018) explored the toxic effects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on rodents, revealing that oral administration led to gastrointestinal disturbances, immunosuppression, and neurotoxicity. A follow-up study by Wang et al. (2020) confirmed these findings, demonstrating that exposure to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at high doses caused oxidative stress and cellular apoptosis in rat liver and kidney tissues. Their study further identified a dose-dependent relationship, where higher concentrations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led to significant disruptions in metabolic and inflammatory pathways. In another notable experiment, Wu et al. (2019) administered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 mice and observed neurobehavioral changes, indicating that the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could affect cognitive functions. The study linked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exposure to oxidative damage in the brain, reduced antioxidant enzyme activity, and increased levels of pro-inflammatory cytokines. Additionally, studies have investigated the </w:t>
      </w:r>
      <w:proofErr w:type="spellStart"/>
      <w:r>
        <w:rPr>
          <w:rFonts w:ascii="Times New Roman" w:hAnsi="Times New Roman" w:cs="Times New Roman"/>
          <w:sz w:val="28"/>
          <w:szCs w:val="28"/>
        </w:rPr>
        <w:t>teratogenic</w:t>
      </w:r>
      <w:proofErr w:type="spellEnd"/>
      <w:r>
        <w:rPr>
          <w:rFonts w:ascii="Times New Roman" w:hAnsi="Times New Roman" w:cs="Times New Roman"/>
          <w:sz w:val="28"/>
          <w:szCs w:val="28"/>
        </w:rPr>
        <w:t xml:space="preserve"> and reproductive effects of </w:t>
      </w:r>
      <w:proofErr w:type="spellStart"/>
      <w:r>
        <w:rPr>
          <w:rFonts w:ascii="Times New Roman" w:hAnsi="Times New Roman" w:cs="Times New Roman"/>
          <w:iCs/>
          <w:sz w:val="28"/>
          <w:szCs w:val="28"/>
        </w:rPr>
        <w:t>patuli</w:t>
      </w:r>
      <w:r>
        <w:rPr>
          <w:rFonts w:ascii="Times New Roman" w:hAnsi="Times New Roman" w:cs="Times New Roman"/>
          <w:i/>
          <w:iCs/>
          <w:sz w:val="28"/>
          <w:szCs w:val="28"/>
        </w:rPr>
        <w:t>n</w:t>
      </w:r>
      <w:proofErr w:type="spellEnd"/>
      <w:r>
        <w:rPr>
          <w:rFonts w:ascii="Times New Roman" w:hAnsi="Times New Roman" w:cs="Times New Roman"/>
          <w:sz w:val="28"/>
          <w:szCs w:val="28"/>
        </w:rPr>
        <w:t xml:space="preserve">. A study by Escobar et al. (2020) exposed pregnant rats to different concentrations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revealing developmental abnormalities in offspring, including growth retardation and organ malformations. This supports the theory that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interferes with fetal development through endocrine disruption and DNA damage mechanisms. Further research by Huang et al. (2022) examined </w:t>
      </w:r>
      <w:proofErr w:type="spellStart"/>
      <w:r>
        <w:rPr>
          <w:rFonts w:ascii="Times New Roman" w:hAnsi="Times New Roman" w:cs="Times New Roman"/>
          <w:iCs/>
          <w:sz w:val="28"/>
          <w:szCs w:val="28"/>
        </w:rPr>
        <w:t>patulin’s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immunotoxic</w:t>
      </w:r>
      <w:proofErr w:type="spellEnd"/>
      <w:r>
        <w:rPr>
          <w:rFonts w:ascii="Times New Roman" w:hAnsi="Times New Roman" w:cs="Times New Roman"/>
          <w:sz w:val="28"/>
          <w:szCs w:val="28"/>
        </w:rPr>
        <w:t xml:space="preserve"> effects, finding that it suppresses immune cell proliferation, increasing susceptibility to infections. Their study suggested that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modulates cytokine production, leading to immune system </w:t>
      </w:r>
      <w:proofErr w:type="spellStart"/>
      <w:r>
        <w:rPr>
          <w:rFonts w:ascii="Times New Roman" w:hAnsi="Times New Roman" w:cs="Times New Roman"/>
          <w:sz w:val="28"/>
          <w:szCs w:val="28"/>
        </w:rPr>
        <w:t>dysregulation</w:t>
      </w:r>
      <w:proofErr w:type="spellEnd"/>
      <w:r>
        <w:rPr>
          <w:rFonts w:ascii="Times New Roman" w:hAnsi="Times New Roman" w:cs="Times New Roman"/>
          <w:sz w:val="28"/>
          <w:szCs w:val="28"/>
        </w:rPr>
        <w:t xml:space="preserve">. In addition to animal models, in vitro studies using human and animal cell lines have provided insights into </w:t>
      </w:r>
      <w:proofErr w:type="spellStart"/>
      <w:r>
        <w:rPr>
          <w:rFonts w:ascii="Times New Roman" w:hAnsi="Times New Roman" w:cs="Times New Roman"/>
          <w:iCs/>
          <w:sz w:val="28"/>
          <w:szCs w:val="28"/>
        </w:rPr>
        <w:t>patulin’s</w:t>
      </w:r>
      <w:proofErr w:type="spellEnd"/>
      <w:r>
        <w:rPr>
          <w:rFonts w:ascii="Times New Roman" w:hAnsi="Times New Roman" w:cs="Times New Roman"/>
          <w:sz w:val="28"/>
          <w:szCs w:val="28"/>
        </w:rPr>
        <w:t xml:space="preserve"> toxicity at the cellular level. A study by Li et al. (2020) cultured human liver cells with varying concentrations of </w:t>
      </w:r>
      <w:proofErr w:type="spellStart"/>
      <w:r>
        <w:rPr>
          <w:rFonts w:ascii="Times New Roman" w:hAnsi="Times New Roman" w:cs="Times New Roman"/>
          <w:iCs/>
          <w:sz w:val="28"/>
          <w:szCs w:val="28"/>
        </w:rPr>
        <w:t>patulin</w:t>
      </w:r>
      <w:proofErr w:type="spellEnd"/>
      <w:r>
        <w:rPr>
          <w:rFonts w:ascii="Times New Roman" w:hAnsi="Times New Roman" w:cs="Times New Roman"/>
          <w:sz w:val="28"/>
          <w:szCs w:val="28"/>
        </w:rPr>
        <w:t xml:space="preserve"> and observed increased apoptosis, mitochondrial dysfunction, and DNA fragmentation. These results suggest that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-induced hepatotoxicity may involve mitochondrial-mediated pathways, reinforcing the oxidative stress theory. Furthermore, research by Kim et al. (2019) found that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disrupts tight junction proteins in intestinal epithelial cells, leading to increased intestinal permeability and gut inflammation. This supports the growing body of evidence linking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exposure to gastrointestinal disorders.</w:t>
      </w:r>
    </w:p>
    <w:p w:rsidR="00697F4F" w:rsidRDefault="00697F4F" w:rsidP="00697F4F">
      <w:pPr>
        <w:pStyle w:val="NormalWeb"/>
        <w:spacing w:line="480" w:lineRule="auto"/>
        <w:jc w:val="both"/>
        <w:rPr>
          <w:sz w:val="28"/>
          <w:szCs w:val="28"/>
        </w:rPr>
      </w:pPr>
      <w:r>
        <w:rPr>
          <w:sz w:val="28"/>
          <w:szCs w:val="28"/>
        </w:rPr>
        <w:t xml:space="preserve">Despite extensive research on </w:t>
      </w:r>
      <w:proofErr w:type="spellStart"/>
      <w:r>
        <w:rPr>
          <w:sz w:val="28"/>
          <w:szCs w:val="28"/>
        </w:rPr>
        <w:t>patulin</w:t>
      </w:r>
      <w:proofErr w:type="spellEnd"/>
      <w:r>
        <w:rPr>
          <w:sz w:val="28"/>
          <w:szCs w:val="28"/>
        </w:rPr>
        <w:t xml:space="preserve">, significant gaps remain regarding its biosynthesis, detection, toxicity mechanisms, mitigation strategies and the potency of toxin at different concentration. While studies have established that </w:t>
      </w:r>
      <w:proofErr w:type="spellStart"/>
      <w:r>
        <w:rPr>
          <w:rStyle w:val="Emphasis"/>
          <w:sz w:val="28"/>
          <w:szCs w:val="28"/>
        </w:rPr>
        <w:t>Penicillium</w:t>
      </w:r>
      <w:proofErr w:type="spellEnd"/>
      <w:r>
        <w:rPr>
          <w:rStyle w:val="Emphasis"/>
          <w:sz w:val="28"/>
          <w:szCs w:val="28"/>
        </w:rPr>
        <w:t xml:space="preserve"> </w:t>
      </w:r>
      <w:proofErr w:type="spellStart"/>
      <w:r>
        <w:rPr>
          <w:rStyle w:val="Emphasis"/>
          <w:sz w:val="28"/>
          <w:szCs w:val="28"/>
        </w:rPr>
        <w:t>expansum</w:t>
      </w:r>
      <w:proofErr w:type="spellEnd"/>
      <w:r>
        <w:rPr>
          <w:sz w:val="28"/>
          <w:szCs w:val="28"/>
        </w:rPr>
        <w:t xml:space="preserve"> is the primary producer of </w:t>
      </w:r>
      <w:proofErr w:type="spellStart"/>
      <w:r>
        <w:rPr>
          <w:sz w:val="28"/>
          <w:szCs w:val="28"/>
        </w:rPr>
        <w:t>patulin</w:t>
      </w:r>
      <w:proofErr w:type="spellEnd"/>
      <w:r>
        <w:rPr>
          <w:sz w:val="28"/>
          <w:szCs w:val="28"/>
        </w:rPr>
        <w:t xml:space="preserve">, recent research suggests that other fungal species, such as </w:t>
      </w:r>
      <w:proofErr w:type="spellStart"/>
      <w:r>
        <w:rPr>
          <w:rStyle w:val="Emphasis"/>
          <w:sz w:val="28"/>
          <w:szCs w:val="28"/>
        </w:rPr>
        <w:t>Aspergillus</w:t>
      </w:r>
      <w:proofErr w:type="spellEnd"/>
      <w:r>
        <w:rPr>
          <w:sz w:val="28"/>
          <w:szCs w:val="28"/>
        </w:rPr>
        <w:t xml:space="preserve"> and </w:t>
      </w:r>
      <w:proofErr w:type="spellStart"/>
      <w:r>
        <w:rPr>
          <w:rStyle w:val="Emphasis"/>
          <w:sz w:val="28"/>
          <w:szCs w:val="28"/>
        </w:rPr>
        <w:t>Byssochlamys</w:t>
      </w:r>
      <w:proofErr w:type="spellEnd"/>
      <w:r>
        <w:rPr>
          <w:sz w:val="28"/>
          <w:szCs w:val="28"/>
        </w:rPr>
        <w:t xml:space="preserve">, may also contribute to contamination in specific environmental conditions (Li et al., 2020). However, limited studies have explored their role in </w:t>
      </w:r>
      <w:proofErr w:type="spellStart"/>
      <w:r>
        <w:rPr>
          <w:sz w:val="28"/>
          <w:szCs w:val="28"/>
        </w:rPr>
        <w:t>patulin</w:t>
      </w:r>
      <w:proofErr w:type="spellEnd"/>
      <w:r>
        <w:rPr>
          <w:sz w:val="28"/>
          <w:szCs w:val="28"/>
        </w:rPr>
        <w:t xml:space="preserve"> production and how environmental factors influence toxin synthesis. Understanding these variations is crucial for improving food safety measures, especially in stored and processed fruits. Another critical research gap involves the precise molecular mechanisms underlying </w:t>
      </w:r>
      <w:proofErr w:type="spellStart"/>
      <w:r>
        <w:rPr>
          <w:iCs/>
          <w:sz w:val="28"/>
          <w:szCs w:val="28"/>
        </w:rPr>
        <w:t>patulin’s</w:t>
      </w:r>
      <w:proofErr w:type="spellEnd"/>
      <w:r>
        <w:rPr>
          <w:sz w:val="28"/>
          <w:szCs w:val="28"/>
        </w:rPr>
        <w:t xml:space="preserve"> toxicity. Studies have shown that </w:t>
      </w:r>
      <w:proofErr w:type="spellStart"/>
      <w:r>
        <w:rPr>
          <w:sz w:val="28"/>
          <w:szCs w:val="28"/>
        </w:rPr>
        <w:t>patulin</w:t>
      </w:r>
      <w:proofErr w:type="spellEnd"/>
      <w:r>
        <w:rPr>
          <w:sz w:val="28"/>
          <w:szCs w:val="28"/>
        </w:rPr>
        <w:t xml:space="preserve"> induces oxidative stress and apoptosis in mammalian cells, but the signaling pathways involved remain poorly defined (Zhang et al., 2021). For instance, while </w:t>
      </w:r>
      <w:proofErr w:type="spellStart"/>
      <w:r>
        <w:rPr>
          <w:sz w:val="28"/>
          <w:szCs w:val="28"/>
        </w:rPr>
        <w:t>patulin</w:t>
      </w:r>
      <w:proofErr w:type="spellEnd"/>
      <w:r>
        <w:rPr>
          <w:sz w:val="28"/>
          <w:szCs w:val="28"/>
        </w:rPr>
        <w:t xml:space="preserve"> has been linked to mitochondrial dysfunction, the role of specific mitochondrial proteins in mediating its toxic effects requires further investigation. Additionally, the long-term effects of low-dose </w:t>
      </w:r>
      <w:proofErr w:type="spellStart"/>
      <w:r>
        <w:rPr>
          <w:sz w:val="28"/>
          <w:szCs w:val="28"/>
        </w:rPr>
        <w:t>patulin</w:t>
      </w:r>
      <w:proofErr w:type="spellEnd"/>
      <w:r>
        <w:rPr>
          <w:sz w:val="28"/>
          <w:szCs w:val="28"/>
        </w:rPr>
        <w:t xml:space="preserve"> exposure remain unclear, particularly regarding chronic diseases such as cancer and neurodegenerative disorders. Epidemiological studies assessing </w:t>
      </w:r>
      <w:proofErr w:type="spellStart"/>
      <w:r>
        <w:rPr>
          <w:iCs/>
          <w:sz w:val="28"/>
          <w:szCs w:val="28"/>
        </w:rPr>
        <w:t>patulin’s</w:t>
      </w:r>
      <w:proofErr w:type="spellEnd"/>
      <w:r>
        <w:rPr>
          <w:sz w:val="28"/>
          <w:szCs w:val="28"/>
        </w:rPr>
        <w:t xml:space="preserve"> cumulative impact on human health over time are lacking, making it difficult to establish definitive exposure limits. From a regulatory perspective, current </w:t>
      </w:r>
      <w:proofErr w:type="spellStart"/>
      <w:r>
        <w:rPr>
          <w:sz w:val="28"/>
          <w:szCs w:val="28"/>
        </w:rPr>
        <w:t>patulin</w:t>
      </w:r>
      <w:proofErr w:type="spellEnd"/>
      <w:r>
        <w:rPr>
          <w:sz w:val="28"/>
          <w:szCs w:val="28"/>
        </w:rPr>
        <w:t xml:space="preserve"> detection methods, such as high-performance liquid chromatography (HPLC) and enzyme-linked </w:t>
      </w:r>
      <w:proofErr w:type="spellStart"/>
      <w:r>
        <w:rPr>
          <w:sz w:val="28"/>
          <w:szCs w:val="28"/>
        </w:rPr>
        <w:t>immunosorbent</w:t>
      </w:r>
      <w:proofErr w:type="spellEnd"/>
      <w:r>
        <w:rPr>
          <w:sz w:val="28"/>
          <w:szCs w:val="28"/>
        </w:rPr>
        <w:t xml:space="preserve"> assays (ELISA), are widely used, but they have limitations in terms of sensitivity, specificity, and cost (Wang et al., 2020). Advanced techniques, such as biosensors and nanotechnology-based detection methods, have shown promise in preliminary studies, but their commercial application remains underdeveloped. More research is needed to validate these technologies for routine food safety assessments. Additionally, the regulatory thresholds for </w:t>
      </w:r>
      <w:proofErr w:type="spellStart"/>
      <w:r>
        <w:rPr>
          <w:iCs/>
          <w:sz w:val="28"/>
          <w:szCs w:val="28"/>
        </w:rPr>
        <w:t>patulin</w:t>
      </w:r>
      <w:proofErr w:type="spellEnd"/>
      <w:r>
        <w:rPr>
          <w:sz w:val="28"/>
          <w:szCs w:val="28"/>
        </w:rPr>
        <w:t xml:space="preserve"> vary across countries, creating inconsistencies in global food safety standards. A standardized international framework for </w:t>
      </w:r>
      <w:proofErr w:type="spellStart"/>
      <w:r>
        <w:rPr>
          <w:sz w:val="28"/>
          <w:szCs w:val="28"/>
        </w:rPr>
        <w:t>patulin</w:t>
      </w:r>
      <w:proofErr w:type="spellEnd"/>
      <w:r>
        <w:rPr>
          <w:sz w:val="28"/>
          <w:szCs w:val="28"/>
        </w:rPr>
        <w:t xml:space="preserve"> monitoring is necessary to ensure consumer protection. Although animal studies have provided valuable insights into </w:t>
      </w:r>
      <w:proofErr w:type="spellStart"/>
      <w:r>
        <w:rPr>
          <w:sz w:val="28"/>
          <w:szCs w:val="28"/>
        </w:rPr>
        <w:t>patulin</w:t>
      </w:r>
      <w:proofErr w:type="spellEnd"/>
      <w:r>
        <w:rPr>
          <w:sz w:val="28"/>
          <w:szCs w:val="28"/>
        </w:rPr>
        <w:t xml:space="preserve"> toxicity, most research has focused on acute exposure scenarios rather than chronic, low-dose ingestion, which is more relevant to human consumption patterns. For instance, previous rat studies have demonstrated hepatotoxicity, nephrotoxicity, and neurotoxicity at high doses, but the effects of prolonged exposure to trace amounts remain underexplored (Wu et al., 2019). Furthermore, while oxidative stress and inflammatory responses have been identified as major toxicological pathways, limited research has examined potential adaptive mechanisms in animals or humans that might mitigate </w:t>
      </w:r>
      <w:proofErr w:type="spellStart"/>
      <w:r>
        <w:rPr>
          <w:sz w:val="28"/>
          <w:szCs w:val="28"/>
        </w:rPr>
        <w:t>patulin’s</w:t>
      </w:r>
      <w:proofErr w:type="spellEnd"/>
      <w:r>
        <w:rPr>
          <w:sz w:val="28"/>
          <w:szCs w:val="28"/>
        </w:rPr>
        <w:t xml:space="preserve"> harmful effects. Another gap in existing research is the lack of comprehensive in vivo studies on the impact of </w:t>
      </w:r>
      <w:proofErr w:type="spellStart"/>
      <w:r>
        <w:rPr>
          <w:iCs/>
          <w:sz w:val="28"/>
          <w:szCs w:val="28"/>
        </w:rPr>
        <w:t>patulin</w:t>
      </w:r>
      <w:proofErr w:type="spellEnd"/>
      <w:r>
        <w:rPr>
          <w:sz w:val="28"/>
          <w:szCs w:val="28"/>
        </w:rPr>
        <w:t xml:space="preserve"> on the gut </w:t>
      </w:r>
      <w:proofErr w:type="spellStart"/>
      <w:r>
        <w:rPr>
          <w:sz w:val="28"/>
          <w:szCs w:val="28"/>
        </w:rPr>
        <w:t>microbiome</w:t>
      </w:r>
      <w:proofErr w:type="spellEnd"/>
      <w:r>
        <w:rPr>
          <w:sz w:val="28"/>
          <w:szCs w:val="28"/>
        </w:rPr>
        <w:t xml:space="preserve">. Recent studies have suggested that </w:t>
      </w:r>
      <w:proofErr w:type="spellStart"/>
      <w:r>
        <w:rPr>
          <w:sz w:val="28"/>
          <w:szCs w:val="28"/>
        </w:rPr>
        <w:t>mycotoxins</w:t>
      </w:r>
      <w:proofErr w:type="spellEnd"/>
      <w:r>
        <w:rPr>
          <w:sz w:val="28"/>
          <w:szCs w:val="28"/>
        </w:rPr>
        <w:t xml:space="preserve"> can disrupt gut microbial diversity, leading to metabolic disorders and immune </w:t>
      </w:r>
      <w:proofErr w:type="spellStart"/>
      <w:r>
        <w:rPr>
          <w:sz w:val="28"/>
          <w:szCs w:val="28"/>
        </w:rPr>
        <w:t>dysregulation</w:t>
      </w:r>
      <w:proofErr w:type="spellEnd"/>
      <w:r>
        <w:rPr>
          <w:sz w:val="28"/>
          <w:szCs w:val="28"/>
        </w:rPr>
        <w:t xml:space="preserve"> (Huang et al., 2022). However, few studies have directly investigated how </w:t>
      </w:r>
      <w:proofErr w:type="spellStart"/>
      <w:r w:rsidRPr="000D51BE">
        <w:rPr>
          <w:iCs/>
          <w:sz w:val="28"/>
          <w:szCs w:val="28"/>
        </w:rPr>
        <w:t>patulin</w:t>
      </w:r>
      <w:proofErr w:type="spellEnd"/>
      <w:r>
        <w:rPr>
          <w:sz w:val="28"/>
          <w:szCs w:val="28"/>
        </w:rPr>
        <w:t xml:space="preserve"> affects the gut </w:t>
      </w:r>
      <w:proofErr w:type="spellStart"/>
      <w:r>
        <w:rPr>
          <w:sz w:val="28"/>
          <w:szCs w:val="28"/>
        </w:rPr>
        <w:t>microbiota</w:t>
      </w:r>
      <w:proofErr w:type="spellEnd"/>
      <w:r>
        <w:rPr>
          <w:sz w:val="28"/>
          <w:szCs w:val="28"/>
        </w:rPr>
        <w:t xml:space="preserve"> and whether probiotics or dietary interventions could counteract its toxicity. Addressing this gap could open new avenues for developing dietary strategies to reduce </w:t>
      </w:r>
      <w:proofErr w:type="spellStart"/>
      <w:r w:rsidRPr="000D51BE">
        <w:rPr>
          <w:iCs/>
          <w:sz w:val="28"/>
          <w:szCs w:val="28"/>
        </w:rPr>
        <w:t>patulin’s</w:t>
      </w:r>
      <w:proofErr w:type="spellEnd"/>
      <w:r>
        <w:rPr>
          <w:sz w:val="28"/>
          <w:szCs w:val="28"/>
        </w:rPr>
        <w:t xml:space="preserve"> impact on human health. To bridge these gaps, future research should focus on developing more accurate and cost-effective detection methods, particularly rapid on-site testing kits that could be implemented at various points in the food supply chain. Additionally, more studies are needed to assess the combined effects of </w:t>
      </w:r>
      <w:proofErr w:type="spellStart"/>
      <w:r>
        <w:rPr>
          <w:sz w:val="28"/>
          <w:szCs w:val="28"/>
        </w:rPr>
        <w:t>patulin</w:t>
      </w:r>
      <w:proofErr w:type="spellEnd"/>
      <w:r>
        <w:rPr>
          <w:sz w:val="28"/>
          <w:szCs w:val="28"/>
        </w:rPr>
        <w:t xml:space="preserve"> with other </w:t>
      </w:r>
      <w:proofErr w:type="spellStart"/>
      <w:r>
        <w:rPr>
          <w:sz w:val="28"/>
          <w:szCs w:val="28"/>
        </w:rPr>
        <w:t>mycotoxins</w:t>
      </w:r>
      <w:proofErr w:type="spellEnd"/>
      <w:r>
        <w:rPr>
          <w:sz w:val="28"/>
          <w:szCs w:val="28"/>
        </w:rPr>
        <w:t xml:space="preserve"> commonly found in food, as co-exposure may lead to synergistic toxic effects that are not well understood (Escobar et al., 2020). Furthermore, given the growing interest in natural and biological methods for controlling fungal contamination, research on the potential use of antifungal compounds, such as plant extracts and microbial </w:t>
      </w:r>
      <w:proofErr w:type="spellStart"/>
      <w:r>
        <w:rPr>
          <w:sz w:val="28"/>
          <w:szCs w:val="28"/>
        </w:rPr>
        <w:t>biocontrol</w:t>
      </w:r>
      <w:proofErr w:type="spellEnd"/>
      <w:r>
        <w:rPr>
          <w:sz w:val="28"/>
          <w:szCs w:val="28"/>
        </w:rPr>
        <w:t xml:space="preserve"> agents, should be expanded (Kim et al., 2019). Investigating the efficacy and safety of these alternative approaches could provide sustainable solutions for reducing </w:t>
      </w:r>
      <w:proofErr w:type="spellStart"/>
      <w:r>
        <w:rPr>
          <w:sz w:val="28"/>
          <w:szCs w:val="28"/>
        </w:rPr>
        <w:t>patulin</w:t>
      </w:r>
      <w:proofErr w:type="spellEnd"/>
      <w:r>
        <w:rPr>
          <w:sz w:val="28"/>
          <w:szCs w:val="28"/>
        </w:rPr>
        <w:t xml:space="preserve"> contamination in food products. Overall, addressing these research gaps will enhance our understanding of </w:t>
      </w:r>
      <w:proofErr w:type="spellStart"/>
      <w:r w:rsidRPr="002C6DEA">
        <w:rPr>
          <w:iCs/>
          <w:sz w:val="28"/>
          <w:szCs w:val="28"/>
        </w:rPr>
        <w:t>patulin’s</w:t>
      </w:r>
      <w:r>
        <w:rPr>
          <w:sz w:val="28"/>
          <w:szCs w:val="28"/>
        </w:rPr>
        <w:t>risks</w:t>
      </w:r>
      <w:proofErr w:type="spellEnd"/>
      <w:r>
        <w:rPr>
          <w:sz w:val="28"/>
          <w:szCs w:val="28"/>
        </w:rPr>
        <w:t xml:space="preserve"> and contribute to the development of more effective prevention and mitigation strategies.</w:t>
      </w:r>
    </w:p>
    <w:p w:rsidR="00697F4F" w:rsidRDefault="00697F4F" w:rsidP="00697F4F">
      <w:pPr>
        <w:pStyle w:val="NormalWeb"/>
        <w:spacing w:line="480" w:lineRule="auto"/>
        <w:jc w:val="both"/>
        <w:rPr>
          <w:sz w:val="28"/>
          <w:szCs w:val="28"/>
        </w:rPr>
      </w:pPr>
      <w:r>
        <w:rPr>
          <w:sz w:val="28"/>
          <w:szCs w:val="28"/>
        </w:rPr>
        <w:t xml:space="preserve">Given the identified research gaps in </w:t>
      </w:r>
      <w:proofErr w:type="spellStart"/>
      <w:r>
        <w:rPr>
          <w:sz w:val="28"/>
          <w:szCs w:val="28"/>
        </w:rPr>
        <w:t>patulin</w:t>
      </w:r>
      <w:proofErr w:type="spellEnd"/>
      <w:r>
        <w:rPr>
          <w:sz w:val="28"/>
          <w:szCs w:val="28"/>
        </w:rPr>
        <w:t xml:space="preserve"> studies, targeted approaches are necessary to improve our understanding of its biosynthesis, detection, toxicity mechanisms, and mitigation strategies. Addressing these gaps will not only enhance food safety but also provide critical insights into the long-term health implications of </w:t>
      </w:r>
      <w:proofErr w:type="spellStart"/>
      <w:r>
        <w:rPr>
          <w:sz w:val="28"/>
          <w:szCs w:val="28"/>
        </w:rPr>
        <w:t>patulin</w:t>
      </w:r>
      <w:proofErr w:type="spellEnd"/>
      <w:r>
        <w:rPr>
          <w:sz w:val="28"/>
          <w:szCs w:val="28"/>
        </w:rPr>
        <w:t xml:space="preserve"> exposure. Although </w:t>
      </w:r>
      <w:proofErr w:type="spellStart"/>
      <w:r>
        <w:rPr>
          <w:i/>
          <w:iCs/>
          <w:sz w:val="28"/>
          <w:szCs w:val="28"/>
        </w:rPr>
        <w:t>Penicilliumexpansum</w:t>
      </w:r>
      <w:proofErr w:type="spellEnd"/>
      <w:r>
        <w:rPr>
          <w:sz w:val="28"/>
          <w:szCs w:val="28"/>
        </w:rPr>
        <w:t xml:space="preserve"> is the primary producer of </w:t>
      </w:r>
      <w:proofErr w:type="spellStart"/>
      <w:r>
        <w:rPr>
          <w:sz w:val="28"/>
          <w:szCs w:val="28"/>
        </w:rPr>
        <w:t>patulin</w:t>
      </w:r>
      <w:proofErr w:type="spellEnd"/>
      <w:r>
        <w:rPr>
          <w:sz w:val="28"/>
          <w:szCs w:val="28"/>
        </w:rPr>
        <w:t xml:space="preserve">, emerging studies indicate that other fungal species, such as </w:t>
      </w:r>
      <w:proofErr w:type="spellStart"/>
      <w:r>
        <w:rPr>
          <w:i/>
          <w:iCs/>
          <w:sz w:val="28"/>
          <w:szCs w:val="28"/>
        </w:rPr>
        <w:t>Aspergillus</w:t>
      </w:r>
      <w:proofErr w:type="spellEnd"/>
      <w:r>
        <w:rPr>
          <w:sz w:val="28"/>
          <w:szCs w:val="28"/>
        </w:rPr>
        <w:t xml:space="preserve"> and </w:t>
      </w:r>
      <w:proofErr w:type="spellStart"/>
      <w:r>
        <w:rPr>
          <w:i/>
          <w:iCs/>
          <w:sz w:val="28"/>
          <w:szCs w:val="28"/>
        </w:rPr>
        <w:t>Byssochlamys</w:t>
      </w:r>
      <w:proofErr w:type="spellEnd"/>
      <w:r>
        <w:rPr>
          <w:sz w:val="28"/>
          <w:szCs w:val="28"/>
        </w:rPr>
        <w:t xml:space="preserve">, may also contribute to contamination in certain environmental conditions (Li et al., 2020). Future research should focus on identifying the specific conditions under which these fungi produce </w:t>
      </w:r>
      <w:proofErr w:type="spellStart"/>
      <w:r>
        <w:rPr>
          <w:sz w:val="28"/>
          <w:szCs w:val="28"/>
        </w:rPr>
        <w:t>patulin</w:t>
      </w:r>
      <w:proofErr w:type="spellEnd"/>
      <w:r>
        <w:rPr>
          <w:sz w:val="28"/>
          <w:szCs w:val="28"/>
        </w:rPr>
        <w:t xml:space="preserve">, their impact on food safety, and their potential interaction with other microorganisms. Advanced genomic and </w:t>
      </w:r>
      <w:proofErr w:type="spellStart"/>
      <w:r>
        <w:rPr>
          <w:sz w:val="28"/>
          <w:szCs w:val="28"/>
        </w:rPr>
        <w:t>metabolomic</w:t>
      </w:r>
      <w:proofErr w:type="spellEnd"/>
      <w:r>
        <w:rPr>
          <w:sz w:val="28"/>
          <w:szCs w:val="28"/>
        </w:rPr>
        <w:t xml:space="preserve"> studies could help elucidate the biosynthetic pathways involved in </w:t>
      </w:r>
      <w:proofErr w:type="spellStart"/>
      <w:r>
        <w:rPr>
          <w:sz w:val="28"/>
          <w:szCs w:val="28"/>
        </w:rPr>
        <w:t>patulin</w:t>
      </w:r>
      <w:proofErr w:type="spellEnd"/>
      <w:r>
        <w:rPr>
          <w:sz w:val="28"/>
          <w:szCs w:val="28"/>
        </w:rPr>
        <w:t xml:space="preserve"> production in these alternative fungi, allowing for better contamination control strategies. Although </w:t>
      </w:r>
      <w:proofErr w:type="spellStart"/>
      <w:r>
        <w:rPr>
          <w:sz w:val="28"/>
          <w:szCs w:val="28"/>
        </w:rPr>
        <w:t>patulin</w:t>
      </w:r>
      <w:proofErr w:type="spellEnd"/>
      <w:r>
        <w:rPr>
          <w:sz w:val="28"/>
          <w:szCs w:val="28"/>
        </w:rPr>
        <w:t xml:space="preserve">-induced oxidative stress and apoptosis in mammalian cells have been documented, the exact signaling pathways and molecular targets remain poorly understood (Zhang et al., 2021). Further research using </w:t>
      </w:r>
      <w:proofErr w:type="spellStart"/>
      <w:r>
        <w:rPr>
          <w:sz w:val="28"/>
          <w:szCs w:val="28"/>
        </w:rPr>
        <w:t>omics</w:t>
      </w:r>
      <w:proofErr w:type="spellEnd"/>
      <w:r>
        <w:rPr>
          <w:sz w:val="28"/>
          <w:szCs w:val="28"/>
        </w:rPr>
        <w:t xml:space="preserve">-based approaches, such as </w:t>
      </w:r>
      <w:proofErr w:type="spellStart"/>
      <w:r>
        <w:rPr>
          <w:sz w:val="28"/>
          <w:szCs w:val="28"/>
        </w:rPr>
        <w:t>transcriptomics</w:t>
      </w:r>
      <w:proofErr w:type="spellEnd"/>
      <w:r>
        <w:rPr>
          <w:sz w:val="28"/>
          <w:szCs w:val="28"/>
        </w:rPr>
        <w:t xml:space="preserve"> and proteomics, could help map the cellular responses to </w:t>
      </w:r>
      <w:proofErr w:type="spellStart"/>
      <w:r>
        <w:rPr>
          <w:sz w:val="28"/>
          <w:szCs w:val="28"/>
        </w:rPr>
        <w:t>patulin</w:t>
      </w:r>
      <w:proofErr w:type="spellEnd"/>
      <w:r>
        <w:rPr>
          <w:sz w:val="28"/>
          <w:szCs w:val="28"/>
        </w:rPr>
        <w:t xml:space="preserve"> exposure. In particular, studies should focus on identifying key mitochondrial proteins involved in </w:t>
      </w:r>
      <w:proofErr w:type="spellStart"/>
      <w:r>
        <w:rPr>
          <w:sz w:val="28"/>
          <w:szCs w:val="28"/>
        </w:rPr>
        <w:t>patulin</w:t>
      </w:r>
      <w:proofErr w:type="spellEnd"/>
      <w:r>
        <w:rPr>
          <w:sz w:val="28"/>
          <w:szCs w:val="28"/>
        </w:rPr>
        <w:t xml:space="preserve">-induced toxicity, as this could provide insights into potential therapeutic interventions to counteract its effects. Additionally, while epidemiological studies have established that </w:t>
      </w:r>
      <w:proofErr w:type="spellStart"/>
      <w:r>
        <w:rPr>
          <w:sz w:val="28"/>
          <w:szCs w:val="28"/>
        </w:rPr>
        <w:t>patulin</w:t>
      </w:r>
      <w:proofErr w:type="spellEnd"/>
      <w:r>
        <w:rPr>
          <w:sz w:val="28"/>
          <w:szCs w:val="28"/>
        </w:rPr>
        <w:t xml:space="preserve"> can cause acute toxicity, little is known about its long-term effects on human health, particularly at low-dose, chronic exposure levels. Future research should conduct long-term cohort studies assessing </w:t>
      </w:r>
      <w:r>
        <w:rPr>
          <w:i/>
          <w:iCs/>
          <w:sz w:val="28"/>
          <w:szCs w:val="28"/>
        </w:rPr>
        <w:t>p</w:t>
      </w:r>
      <w:r>
        <w:rPr>
          <w:sz w:val="28"/>
          <w:szCs w:val="28"/>
        </w:rPr>
        <w:t xml:space="preserve"> role in chronic diseases such as cancer, neurodegenerative disorders, and metabolic diseases. This will help refine safety thresholds and inform regulatory guidelines. Current detection methods, such as high-performance liquid chromatography(HPLC) and enzyme-linked </w:t>
      </w:r>
      <w:proofErr w:type="spellStart"/>
      <w:r>
        <w:rPr>
          <w:sz w:val="28"/>
          <w:szCs w:val="28"/>
        </w:rPr>
        <w:t>immunosorbent</w:t>
      </w:r>
      <w:proofErr w:type="spellEnd"/>
      <w:r>
        <w:rPr>
          <w:sz w:val="28"/>
          <w:szCs w:val="28"/>
        </w:rPr>
        <w:t xml:space="preserve"> assays(ELISA), are effective but have limitations regarding cost, sensitivity, and accessibility (Wang et al., 2020). Advanced detection techniques, including biosensors, mass spectrometry-based methods, and nanotechnology, have shown promise but require further validation for commercial application. Developing cost-effective, rapid, and portable detection kits for real-time monitoring of </w:t>
      </w:r>
      <w:proofErr w:type="spellStart"/>
      <w:r>
        <w:rPr>
          <w:sz w:val="28"/>
          <w:szCs w:val="28"/>
        </w:rPr>
        <w:t>patulin</w:t>
      </w:r>
      <w:proofErr w:type="spellEnd"/>
      <w:r>
        <w:rPr>
          <w:sz w:val="28"/>
          <w:szCs w:val="28"/>
        </w:rPr>
        <w:t xml:space="preserve"> in food products would significantly enhance food safety measures. Moreover, global regulatory standards for </w:t>
      </w:r>
      <w:proofErr w:type="spellStart"/>
      <w:r>
        <w:rPr>
          <w:sz w:val="28"/>
          <w:szCs w:val="28"/>
        </w:rPr>
        <w:t>patulin</w:t>
      </w:r>
      <w:proofErr w:type="spellEnd"/>
      <w:r>
        <w:rPr>
          <w:sz w:val="28"/>
          <w:szCs w:val="28"/>
        </w:rPr>
        <w:t xml:space="preserve"> vary, creating inconsistencies in food safety enforcement. Standardizing international </w:t>
      </w:r>
      <w:proofErr w:type="spellStart"/>
      <w:r>
        <w:rPr>
          <w:sz w:val="28"/>
          <w:szCs w:val="28"/>
        </w:rPr>
        <w:t>patulin</w:t>
      </w:r>
      <w:proofErr w:type="spellEnd"/>
      <w:r>
        <w:rPr>
          <w:sz w:val="28"/>
          <w:szCs w:val="28"/>
        </w:rPr>
        <w:t xml:space="preserve"> regulations based on updated toxicological data and risk assessments would help protect consumers worldwide. Collaborative efforts between food safety authorities, research institutions, and policymakers are needed to achieve this goal. Recent research suggests that </w:t>
      </w:r>
      <w:proofErr w:type="spellStart"/>
      <w:r>
        <w:rPr>
          <w:sz w:val="28"/>
          <w:szCs w:val="28"/>
        </w:rPr>
        <w:t>mycotoxins</w:t>
      </w:r>
      <w:proofErr w:type="spellEnd"/>
      <w:r>
        <w:rPr>
          <w:sz w:val="28"/>
          <w:szCs w:val="28"/>
        </w:rPr>
        <w:t xml:space="preserve"> can disrupt the gut </w:t>
      </w:r>
      <w:proofErr w:type="spellStart"/>
      <w:r>
        <w:rPr>
          <w:sz w:val="28"/>
          <w:szCs w:val="28"/>
        </w:rPr>
        <w:t>microbiota</w:t>
      </w:r>
      <w:proofErr w:type="spellEnd"/>
      <w:r>
        <w:rPr>
          <w:sz w:val="28"/>
          <w:szCs w:val="28"/>
        </w:rPr>
        <w:t xml:space="preserve">, potentially leading to metabolic disorders and immune dysfunction (Huang et al., 2022). However, little is known about </w:t>
      </w:r>
      <w:proofErr w:type="spellStart"/>
      <w:r w:rsidRPr="00B503E2">
        <w:rPr>
          <w:iCs/>
          <w:sz w:val="28"/>
          <w:szCs w:val="28"/>
        </w:rPr>
        <w:t>patulin’s</w:t>
      </w:r>
      <w:r>
        <w:rPr>
          <w:sz w:val="28"/>
          <w:szCs w:val="28"/>
        </w:rPr>
        <w:t>direct</w:t>
      </w:r>
      <w:proofErr w:type="spellEnd"/>
      <w:r>
        <w:rPr>
          <w:sz w:val="28"/>
          <w:szCs w:val="28"/>
        </w:rPr>
        <w:t xml:space="preserve"> effects on gut microbial composition and function. Future studies should employ </w:t>
      </w:r>
      <w:proofErr w:type="spellStart"/>
      <w:r>
        <w:rPr>
          <w:sz w:val="28"/>
          <w:szCs w:val="28"/>
        </w:rPr>
        <w:t>metagenomic</w:t>
      </w:r>
      <w:proofErr w:type="spellEnd"/>
      <w:r>
        <w:rPr>
          <w:sz w:val="28"/>
          <w:szCs w:val="28"/>
        </w:rPr>
        <w:t xml:space="preserve"> sequencing and </w:t>
      </w:r>
      <w:proofErr w:type="spellStart"/>
      <w:r>
        <w:rPr>
          <w:sz w:val="28"/>
          <w:szCs w:val="28"/>
        </w:rPr>
        <w:t>microbiome</w:t>
      </w:r>
      <w:proofErr w:type="spellEnd"/>
      <w:r>
        <w:rPr>
          <w:sz w:val="28"/>
          <w:szCs w:val="28"/>
        </w:rPr>
        <w:t xml:space="preserve"> profiling to assess how </w:t>
      </w:r>
      <w:proofErr w:type="spellStart"/>
      <w:r w:rsidRPr="00B503E2">
        <w:rPr>
          <w:iCs/>
          <w:sz w:val="28"/>
          <w:szCs w:val="28"/>
        </w:rPr>
        <w:t>patulin</w:t>
      </w:r>
      <w:proofErr w:type="spellEnd"/>
      <w:r>
        <w:rPr>
          <w:sz w:val="28"/>
          <w:szCs w:val="28"/>
        </w:rPr>
        <w:t xml:space="preserve"> alters gut microbial diversity, whether certain bacteria can degrade </w:t>
      </w:r>
      <w:proofErr w:type="spellStart"/>
      <w:r>
        <w:rPr>
          <w:sz w:val="28"/>
          <w:szCs w:val="28"/>
        </w:rPr>
        <w:t>patulin</w:t>
      </w:r>
      <w:proofErr w:type="spellEnd"/>
      <w:r>
        <w:rPr>
          <w:sz w:val="28"/>
          <w:szCs w:val="28"/>
        </w:rPr>
        <w:t xml:space="preserve">, and whether probiotics or dietary interventions could mitigate its toxicity. This could lead to novel strategies for reducing </w:t>
      </w:r>
      <w:proofErr w:type="spellStart"/>
      <w:r w:rsidRPr="00B503E2">
        <w:rPr>
          <w:iCs/>
          <w:sz w:val="28"/>
          <w:szCs w:val="28"/>
        </w:rPr>
        <w:t>patulin’s</w:t>
      </w:r>
      <w:proofErr w:type="spellEnd"/>
      <w:r>
        <w:rPr>
          <w:sz w:val="28"/>
          <w:szCs w:val="28"/>
        </w:rPr>
        <w:t xml:space="preserve"> impact on human health. Most animal model studies on </w:t>
      </w:r>
      <w:proofErr w:type="spellStart"/>
      <w:r>
        <w:rPr>
          <w:sz w:val="28"/>
          <w:szCs w:val="28"/>
        </w:rPr>
        <w:t>patulin</w:t>
      </w:r>
      <w:proofErr w:type="spellEnd"/>
      <w:r>
        <w:rPr>
          <w:sz w:val="28"/>
          <w:szCs w:val="28"/>
        </w:rPr>
        <w:t xml:space="preserve"> have focused on acute high-dose exposure rather than chronic low-dose ingestion, which is more relevant to real-world consumption patterns (Wu et al., 2019). Future studies should adopt long-term, low-dose exposure models to assess the cumulative effects of </w:t>
      </w:r>
      <w:proofErr w:type="spellStart"/>
      <w:r w:rsidRPr="00B503E2">
        <w:rPr>
          <w:iCs/>
          <w:sz w:val="28"/>
          <w:szCs w:val="28"/>
        </w:rPr>
        <w:t>patulin</w:t>
      </w:r>
      <w:proofErr w:type="spellEnd"/>
      <w:r>
        <w:rPr>
          <w:sz w:val="28"/>
          <w:szCs w:val="28"/>
        </w:rPr>
        <w:t xml:space="preserve"> on organ function, immune responses, and metabolic pathways. These studies should also explore potential adaptive mechanisms that animals or humans may develop in response to prolonged </w:t>
      </w:r>
      <w:proofErr w:type="spellStart"/>
      <w:r>
        <w:rPr>
          <w:sz w:val="28"/>
          <w:szCs w:val="28"/>
        </w:rPr>
        <w:t>patulin</w:t>
      </w:r>
      <w:proofErr w:type="spellEnd"/>
      <w:r>
        <w:rPr>
          <w:sz w:val="28"/>
          <w:szCs w:val="28"/>
        </w:rPr>
        <w:t xml:space="preserve"> exposure. Additionally, expanding research on the </w:t>
      </w:r>
      <w:proofErr w:type="spellStart"/>
      <w:r>
        <w:rPr>
          <w:sz w:val="28"/>
          <w:szCs w:val="28"/>
        </w:rPr>
        <w:t>teratogenic</w:t>
      </w:r>
      <w:proofErr w:type="spellEnd"/>
      <w:r>
        <w:rPr>
          <w:sz w:val="28"/>
          <w:szCs w:val="28"/>
        </w:rPr>
        <w:t xml:space="preserve"> and </w:t>
      </w:r>
      <w:proofErr w:type="spellStart"/>
      <w:r>
        <w:rPr>
          <w:sz w:val="28"/>
          <w:szCs w:val="28"/>
        </w:rPr>
        <w:t>immunotoxic</w:t>
      </w:r>
      <w:proofErr w:type="spellEnd"/>
      <w:r>
        <w:rPr>
          <w:sz w:val="28"/>
          <w:szCs w:val="28"/>
        </w:rPr>
        <w:t xml:space="preserve"> effects of </w:t>
      </w:r>
      <w:proofErr w:type="spellStart"/>
      <w:r w:rsidRPr="00B503E2">
        <w:rPr>
          <w:iCs/>
          <w:sz w:val="28"/>
          <w:szCs w:val="28"/>
        </w:rPr>
        <w:t>patulin</w:t>
      </w:r>
      <w:r>
        <w:rPr>
          <w:sz w:val="28"/>
          <w:szCs w:val="28"/>
        </w:rPr>
        <w:t>in</w:t>
      </w:r>
      <w:proofErr w:type="spellEnd"/>
      <w:r>
        <w:rPr>
          <w:sz w:val="28"/>
          <w:szCs w:val="28"/>
        </w:rPr>
        <w:t xml:space="preserve"> animal models is crucial. Studies should investigate how </w:t>
      </w:r>
      <w:proofErr w:type="spellStart"/>
      <w:r>
        <w:rPr>
          <w:sz w:val="28"/>
          <w:szCs w:val="28"/>
        </w:rPr>
        <w:t>patulin</w:t>
      </w:r>
      <w:proofErr w:type="spellEnd"/>
      <w:r>
        <w:rPr>
          <w:sz w:val="28"/>
          <w:szCs w:val="28"/>
        </w:rPr>
        <w:t xml:space="preserve"> affects reproductive health, fetal development, and immune system regulation, providing further insight into its risks for vulnerable populations, such as pregnant women and young children. Current mitigation strategies for </w:t>
      </w:r>
      <w:proofErr w:type="spellStart"/>
      <w:r>
        <w:rPr>
          <w:sz w:val="28"/>
          <w:szCs w:val="28"/>
        </w:rPr>
        <w:t>patulin</w:t>
      </w:r>
      <w:proofErr w:type="spellEnd"/>
      <w:r>
        <w:rPr>
          <w:sz w:val="28"/>
          <w:szCs w:val="28"/>
        </w:rPr>
        <w:t xml:space="preserve"> contamination rely on chemical and physical methods, such as controlled </w:t>
      </w:r>
      <w:proofErr w:type="spellStart"/>
      <w:r>
        <w:rPr>
          <w:sz w:val="28"/>
          <w:szCs w:val="28"/>
        </w:rPr>
        <w:t>storauiige</w:t>
      </w:r>
      <w:proofErr w:type="spellEnd"/>
      <w:r>
        <w:rPr>
          <w:sz w:val="28"/>
          <w:szCs w:val="28"/>
        </w:rPr>
        <w:t xml:space="preserve"> conditions and pasteurization. However, these methods have limitations in terms of effectiveness and potential food quality degradation. Exploring natural and biological alternatives, such as using plant extracts, microbial </w:t>
      </w:r>
      <w:proofErr w:type="spellStart"/>
      <w:r>
        <w:rPr>
          <w:sz w:val="28"/>
          <w:szCs w:val="28"/>
        </w:rPr>
        <w:t>biocontrol</w:t>
      </w:r>
      <w:proofErr w:type="spellEnd"/>
      <w:r>
        <w:rPr>
          <w:sz w:val="28"/>
          <w:szCs w:val="28"/>
        </w:rPr>
        <w:t xml:space="preserve"> agents, or enzymatic degradation, could offer sustainable solutions for controlling </w:t>
      </w:r>
      <w:proofErr w:type="spellStart"/>
      <w:r>
        <w:rPr>
          <w:sz w:val="28"/>
          <w:szCs w:val="28"/>
        </w:rPr>
        <w:t>patulin</w:t>
      </w:r>
      <w:proofErr w:type="spellEnd"/>
      <w:r>
        <w:rPr>
          <w:sz w:val="28"/>
          <w:szCs w:val="28"/>
        </w:rPr>
        <w:t xml:space="preserve"> contamination (Kim et al., 2019). Further research is needed to evaluate the efficacy, safety, and practical application of these alternative approaches.</w:t>
      </w:r>
    </w:p>
    <w:p w:rsidR="00697F4F" w:rsidRDefault="00697F4F" w:rsidP="00697F4F">
      <w:pPr>
        <w:pStyle w:val="NormalWeb"/>
        <w:spacing w:line="480" w:lineRule="auto"/>
        <w:jc w:val="both"/>
        <w:rPr>
          <w:sz w:val="28"/>
          <w:szCs w:val="28"/>
        </w:rPr>
      </w:pPr>
      <w:r>
        <w:rPr>
          <w:sz w:val="28"/>
          <w:szCs w:val="28"/>
        </w:rPr>
        <w:t xml:space="preserve">1.2 STATEMENT OF PROBLEM </w:t>
      </w:r>
    </w:p>
    <w:p w:rsidR="00697F4F" w:rsidRDefault="00697F4F" w:rsidP="00697F4F">
      <w:pPr>
        <w:pStyle w:val="NormalWeb"/>
        <w:numPr>
          <w:ilvl w:val="0"/>
          <w:numId w:val="2"/>
        </w:numPr>
        <w:spacing w:line="480" w:lineRule="auto"/>
        <w:jc w:val="both"/>
        <w:rPr>
          <w:sz w:val="28"/>
          <w:szCs w:val="28"/>
        </w:rPr>
      </w:pPr>
      <w:r>
        <w:rPr>
          <w:sz w:val="28"/>
          <w:szCs w:val="28"/>
        </w:rPr>
        <w:t xml:space="preserve">Despite global awareness of </w:t>
      </w:r>
      <w:proofErr w:type="spellStart"/>
      <w:r>
        <w:rPr>
          <w:sz w:val="28"/>
          <w:szCs w:val="28"/>
        </w:rPr>
        <w:t>patulin’s</w:t>
      </w:r>
      <w:proofErr w:type="spellEnd"/>
      <w:r>
        <w:rPr>
          <w:sz w:val="28"/>
          <w:szCs w:val="28"/>
        </w:rPr>
        <w:t xml:space="preserve"> toxicological effects such as </w:t>
      </w:r>
      <w:proofErr w:type="spellStart"/>
      <w:r>
        <w:rPr>
          <w:sz w:val="28"/>
          <w:szCs w:val="28"/>
        </w:rPr>
        <w:t>immunotoxicity</w:t>
      </w:r>
      <w:proofErr w:type="spellEnd"/>
      <w:r>
        <w:rPr>
          <w:sz w:val="28"/>
          <w:szCs w:val="28"/>
        </w:rPr>
        <w:t xml:space="preserve">, neurotoxicity, and </w:t>
      </w:r>
      <w:proofErr w:type="spellStart"/>
      <w:r>
        <w:rPr>
          <w:sz w:val="28"/>
          <w:szCs w:val="28"/>
        </w:rPr>
        <w:t>genotoxicity</w:t>
      </w:r>
      <w:proofErr w:type="spellEnd"/>
      <w:r>
        <w:rPr>
          <w:sz w:val="28"/>
          <w:szCs w:val="28"/>
        </w:rPr>
        <w:t xml:space="preserve"> contamination in food chains remains a persistent challenge due to inadequate storage conditions, limited surveillance, and insufficient public awareness. </w:t>
      </w:r>
    </w:p>
    <w:p w:rsidR="00697F4F" w:rsidRDefault="00697F4F" w:rsidP="00697F4F">
      <w:pPr>
        <w:pStyle w:val="NormalWeb"/>
        <w:numPr>
          <w:ilvl w:val="0"/>
          <w:numId w:val="2"/>
        </w:numPr>
        <w:spacing w:line="480" w:lineRule="auto"/>
        <w:jc w:val="both"/>
        <w:rPr>
          <w:sz w:val="28"/>
          <w:szCs w:val="28"/>
        </w:rPr>
      </w:pPr>
      <w:r>
        <w:rPr>
          <w:sz w:val="28"/>
          <w:szCs w:val="28"/>
        </w:rPr>
        <w:t xml:space="preserve">The variation in </w:t>
      </w:r>
      <w:proofErr w:type="spellStart"/>
      <w:r>
        <w:rPr>
          <w:sz w:val="28"/>
          <w:szCs w:val="28"/>
        </w:rPr>
        <w:t>patulin</w:t>
      </w:r>
      <w:proofErr w:type="spellEnd"/>
      <w:r>
        <w:rPr>
          <w:sz w:val="28"/>
          <w:szCs w:val="28"/>
        </w:rPr>
        <w:t xml:space="preserve"> toxicity at different concentrations and its organ-specific effects in mammals are still under-researched, particularly in vivo studies involving animal models. </w:t>
      </w:r>
    </w:p>
    <w:p w:rsidR="00697F4F" w:rsidRDefault="00697F4F" w:rsidP="00697F4F">
      <w:pPr>
        <w:pStyle w:val="NormalWeb"/>
        <w:numPr>
          <w:ilvl w:val="0"/>
          <w:numId w:val="2"/>
        </w:numPr>
        <w:spacing w:line="480" w:lineRule="auto"/>
        <w:jc w:val="both"/>
        <w:rPr>
          <w:sz w:val="28"/>
          <w:szCs w:val="28"/>
        </w:rPr>
      </w:pPr>
      <w:r>
        <w:rPr>
          <w:sz w:val="28"/>
          <w:szCs w:val="28"/>
        </w:rPr>
        <w:t xml:space="preserve">This research aim to address the gap in toxicological profiling of </w:t>
      </w:r>
      <w:proofErr w:type="spellStart"/>
      <w:r>
        <w:rPr>
          <w:sz w:val="28"/>
          <w:szCs w:val="28"/>
        </w:rPr>
        <w:t>patulin</w:t>
      </w:r>
      <w:proofErr w:type="spellEnd"/>
      <w:r>
        <w:rPr>
          <w:sz w:val="28"/>
          <w:szCs w:val="28"/>
        </w:rPr>
        <w:t xml:space="preserve"> by examining its pathological impact at varying concentrations on laboratory animals, thereby providing insights into safe exposure limits and reinforcing the importance of improved food safety protocols.</w:t>
      </w:r>
    </w:p>
    <w:p w:rsidR="00697F4F" w:rsidRDefault="00697F4F" w:rsidP="00697F4F">
      <w:pPr>
        <w:pStyle w:val="NormalWeb"/>
        <w:spacing w:line="480" w:lineRule="auto"/>
        <w:jc w:val="both"/>
        <w:rPr>
          <w:sz w:val="28"/>
          <w:szCs w:val="28"/>
        </w:rPr>
      </w:pPr>
      <w:r>
        <w:rPr>
          <w:sz w:val="28"/>
          <w:szCs w:val="28"/>
        </w:rPr>
        <w:t>1.3 JUSTIFICATION OF THE STUDY</w:t>
      </w:r>
    </w:p>
    <w:p w:rsidR="00697F4F" w:rsidRPr="00EC2D00" w:rsidRDefault="00697F4F" w:rsidP="00697F4F">
      <w:pPr>
        <w:pStyle w:val="NormalWeb"/>
        <w:spacing w:line="480" w:lineRule="auto"/>
        <w:jc w:val="both"/>
        <w:rPr>
          <w:sz w:val="28"/>
          <w:szCs w:val="28"/>
        </w:rPr>
      </w:pPr>
      <w:proofErr w:type="spellStart"/>
      <w:r w:rsidRPr="000B080D">
        <w:rPr>
          <w:i/>
          <w:iCs/>
          <w:sz w:val="28"/>
          <w:szCs w:val="28"/>
        </w:rPr>
        <w:t>Penicillium</w:t>
      </w:r>
      <w:proofErr w:type="spellEnd"/>
      <w:r w:rsidRPr="000B080D">
        <w:rPr>
          <w:i/>
          <w:iCs/>
          <w:sz w:val="28"/>
          <w:szCs w:val="28"/>
        </w:rPr>
        <w:t xml:space="preserve"> </w:t>
      </w:r>
      <w:proofErr w:type="spellStart"/>
      <w:r w:rsidRPr="000B080D">
        <w:rPr>
          <w:i/>
          <w:iCs/>
          <w:sz w:val="28"/>
          <w:szCs w:val="28"/>
        </w:rPr>
        <w:t>expansum</w:t>
      </w:r>
      <w:proofErr w:type="spellEnd"/>
      <w:r>
        <w:rPr>
          <w:sz w:val="28"/>
          <w:szCs w:val="28"/>
        </w:rPr>
        <w:t xml:space="preserve">, the primary producer of </w:t>
      </w:r>
      <w:proofErr w:type="spellStart"/>
      <w:r>
        <w:rPr>
          <w:sz w:val="28"/>
          <w:szCs w:val="28"/>
        </w:rPr>
        <w:t>patulin</w:t>
      </w:r>
      <w:proofErr w:type="spellEnd"/>
      <w:r>
        <w:rPr>
          <w:sz w:val="28"/>
          <w:szCs w:val="28"/>
        </w:rPr>
        <w:t xml:space="preserve">, commonly infects apples during post-harvest handling and storage. Although regulatory agencies have established maximum permissible levels for </w:t>
      </w:r>
      <w:proofErr w:type="spellStart"/>
      <w:r>
        <w:rPr>
          <w:sz w:val="28"/>
          <w:szCs w:val="28"/>
        </w:rPr>
        <w:t>patulin</w:t>
      </w:r>
      <w:proofErr w:type="spellEnd"/>
      <w:r>
        <w:rPr>
          <w:sz w:val="28"/>
          <w:szCs w:val="28"/>
        </w:rPr>
        <w:t xml:space="preserve">, reports of contamination above safe limits still occur, especially in low-resource settings with weak monitoring systems. Investigating the potency of </w:t>
      </w:r>
      <w:proofErr w:type="spellStart"/>
      <w:r>
        <w:rPr>
          <w:sz w:val="28"/>
          <w:szCs w:val="28"/>
        </w:rPr>
        <w:t>patulin</w:t>
      </w:r>
      <w:proofErr w:type="spellEnd"/>
      <w:r>
        <w:rPr>
          <w:sz w:val="28"/>
          <w:szCs w:val="28"/>
        </w:rPr>
        <w:t xml:space="preserve"> at varying concentrations in a controlled animal model provides critical insight into its dose-dependent toxicity. This approach allows for a better understanding of how different exposure levels affect physiological functions and organ systems, particularly in mammals. The findings will contribute to the scientific basis for risk assessment and enhance awareness about the dangers of </w:t>
      </w:r>
      <w:proofErr w:type="spellStart"/>
      <w:r>
        <w:rPr>
          <w:sz w:val="28"/>
          <w:szCs w:val="28"/>
        </w:rPr>
        <w:t>patulin</w:t>
      </w:r>
      <w:proofErr w:type="spellEnd"/>
      <w:r>
        <w:rPr>
          <w:sz w:val="28"/>
          <w:szCs w:val="28"/>
        </w:rPr>
        <w:t>. Moreover, the study may aid in the formulation of more effective control strategies, promote public health safety, and support regulatory compliance in food processing industries.</w:t>
      </w:r>
    </w:p>
    <w:p w:rsidR="00697F4F" w:rsidRPr="00EC2D00"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Pr="00EC2D00">
        <w:rPr>
          <w:rFonts w:ascii="Times New Roman" w:hAnsi="Times New Roman" w:cs="Times New Roman"/>
          <w:sz w:val="28"/>
          <w:szCs w:val="28"/>
        </w:rPr>
        <w:t>AIMS AND OBJECTIVES</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aim to check the potency of </w:t>
      </w:r>
      <w:proofErr w:type="spellStart"/>
      <w:r w:rsidRPr="00B503E2">
        <w:rPr>
          <w:rFonts w:ascii="Times New Roman" w:hAnsi="Times New Roman" w:cs="Times New Roman"/>
          <w:i/>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toxin at vary degree of concentration</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Objectives </w:t>
      </w:r>
    </w:p>
    <w:p w:rsidR="00697F4F" w:rsidRPr="004764C4" w:rsidRDefault="00697F4F" w:rsidP="00697F4F">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To i</w:t>
      </w:r>
      <w:r w:rsidRPr="004764C4">
        <w:rPr>
          <w:rFonts w:ascii="Times New Roman" w:hAnsi="Times New Roman" w:cs="Times New Roman"/>
          <w:sz w:val="28"/>
          <w:szCs w:val="28"/>
        </w:rPr>
        <w:t xml:space="preserve">solate </w:t>
      </w:r>
      <w:proofErr w:type="spellStart"/>
      <w:r w:rsidRPr="00AA25DA">
        <w:rPr>
          <w:rFonts w:ascii="Times New Roman" w:hAnsi="Times New Roman" w:cs="Times New Roman"/>
          <w:i/>
          <w:iCs/>
          <w:sz w:val="28"/>
          <w:szCs w:val="28"/>
        </w:rPr>
        <w:t>Penicilliumexpansum</w:t>
      </w:r>
      <w:proofErr w:type="spellEnd"/>
      <w:r w:rsidRPr="004764C4">
        <w:rPr>
          <w:rFonts w:ascii="Times New Roman" w:hAnsi="Times New Roman" w:cs="Times New Roman"/>
          <w:sz w:val="28"/>
          <w:szCs w:val="28"/>
        </w:rPr>
        <w:t xml:space="preserve"> from spoiled apple </w:t>
      </w:r>
    </w:p>
    <w:p w:rsidR="00697F4F" w:rsidRDefault="00697F4F" w:rsidP="00697F4F">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To subject it to toxin production</w:t>
      </w:r>
      <w:r w:rsidRPr="004764C4">
        <w:rPr>
          <w:rFonts w:ascii="Times New Roman" w:hAnsi="Times New Roman" w:cs="Times New Roman"/>
          <w:sz w:val="28"/>
          <w:szCs w:val="28"/>
        </w:rPr>
        <w:t>.</w:t>
      </w:r>
    </w:p>
    <w:p w:rsidR="00697F4F" w:rsidRPr="004764C4" w:rsidRDefault="00697F4F" w:rsidP="00697F4F">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To confirm the toxin produced</w:t>
      </w:r>
    </w:p>
    <w:p w:rsidR="00697F4F" w:rsidRPr="004764C4" w:rsidRDefault="00697F4F" w:rsidP="00697F4F">
      <w:pPr>
        <w:pStyle w:val="ListParagraph"/>
        <w:numPr>
          <w:ilvl w:val="0"/>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To e</w:t>
      </w:r>
      <w:r w:rsidRPr="004764C4">
        <w:rPr>
          <w:rFonts w:ascii="Times New Roman" w:hAnsi="Times New Roman" w:cs="Times New Roman"/>
          <w:sz w:val="28"/>
          <w:szCs w:val="28"/>
        </w:rPr>
        <w:t>valuate the toxic effects on an animal model (rat).</w:t>
      </w:r>
    </w:p>
    <w:p w:rsidR="00697F4F" w:rsidRPr="00EC2D00" w:rsidRDefault="00697F4F" w:rsidP="00697F4F">
      <w:pPr>
        <w:spacing w:line="480" w:lineRule="auto"/>
        <w:jc w:val="both"/>
        <w:rPr>
          <w:rFonts w:ascii="Times New Roman" w:hAnsi="Times New Roman" w:cs="Times New Roman"/>
          <w:sz w:val="28"/>
          <w:szCs w:val="28"/>
        </w:rPr>
      </w:pPr>
    </w:p>
    <w:p w:rsidR="00697F4F" w:rsidRPr="00EC2D00" w:rsidRDefault="00697F4F" w:rsidP="00697F4F">
      <w:pPr>
        <w:spacing w:line="480" w:lineRule="auto"/>
        <w:jc w:val="both"/>
        <w:rPr>
          <w:rFonts w:ascii="Times New Roman" w:hAnsi="Times New Roman" w:cs="Times New Roman"/>
          <w:sz w:val="28"/>
          <w:szCs w:val="28"/>
        </w:rPr>
      </w:pPr>
    </w:p>
    <w:p w:rsidR="00697F4F" w:rsidRPr="00EC2D00" w:rsidRDefault="00697F4F" w:rsidP="00697F4F">
      <w:pPr>
        <w:spacing w:line="480" w:lineRule="auto"/>
        <w:jc w:val="both"/>
        <w:rPr>
          <w:rFonts w:ascii="Times New Roman" w:hAnsi="Times New Roman" w:cs="Times New Roman"/>
          <w:sz w:val="28"/>
          <w:szCs w:val="28"/>
        </w:rPr>
      </w:pPr>
    </w:p>
    <w:p w:rsidR="00697F4F" w:rsidRDefault="00697F4F" w:rsidP="00697F4F">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TWO</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2.0 MATERIALS AND METHOD </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2.1 Sample Collection and Preparation </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Rotten apples were brought from </w:t>
      </w:r>
      <w:proofErr w:type="spellStart"/>
      <w:r>
        <w:rPr>
          <w:rFonts w:ascii="Times New Roman" w:hAnsi="Times New Roman" w:cs="Times New Roman"/>
          <w:sz w:val="28"/>
          <w:szCs w:val="28"/>
        </w:rPr>
        <w:t>Ipata</w:t>
      </w:r>
      <w:proofErr w:type="spellEnd"/>
      <w:r>
        <w:rPr>
          <w:rFonts w:ascii="Times New Roman" w:hAnsi="Times New Roman" w:cs="Times New Roman"/>
          <w:sz w:val="28"/>
          <w:szCs w:val="28"/>
        </w:rPr>
        <w:t xml:space="preserve"> Market in Ilorin, Kwara State, Nigeria. The apples were first rinsed with clean distilled water to remove any surface dirt or contaminants. Using a clean and sterile scalpel, the visibly decayed parts of the apples were carefully cut out. This was done to prepare the samples for further laboratory testing to find the fungi responsible for the spoilage. This method is commonly used in similar studies to safely isolate fungi from infected fruits (</w:t>
      </w:r>
      <w:proofErr w:type="spellStart"/>
      <w:r>
        <w:rPr>
          <w:rFonts w:ascii="Times New Roman" w:hAnsi="Times New Roman" w:cs="Times New Roman"/>
          <w:sz w:val="28"/>
          <w:szCs w:val="28"/>
        </w:rPr>
        <w:t>García-Benítez</w:t>
      </w:r>
      <w:proofErr w:type="spellEnd"/>
      <w:r>
        <w:rPr>
          <w:rFonts w:ascii="Times New Roman" w:hAnsi="Times New Roman" w:cs="Times New Roman"/>
          <w:sz w:val="28"/>
          <w:szCs w:val="28"/>
        </w:rPr>
        <w:t xml:space="preserve"> et al., 2020; Ali et al., 2019).</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2.2 Sterilization of Equipment and Environment</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All working surfaces were disinfected using 70% ethanol, and glassware such as conical flasks, beakers, and test tubes were washed with distilled water and sterilized in a hot-air oven at 160°C for 1 hour, as recommended in microbiology lab safety guidelines (</w:t>
      </w:r>
      <w:proofErr w:type="spellStart"/>
      <w:r>
        <w:rPr>
          <w:rFonts w:ascii="Times New Roman" w:hAnsi="Times New Roman" w:cs="Times New Roman"/>
          <w:sz w:val="28"/>
          <w:szCs w:val="28"/>
        </w:rPr>
        <w:t>Apha</w:t>
      </w:r>
      <w:proofErr w:type="spellEnd"/>
      <w:r>
        <w:rPr>
          <w:rFonts w:ascii="Times New Roman" w:hAnsi="Times New Roman" w:cs="Times New Roman"/>
          <w:sz w:val="28"/>
          <w:szCs w:val="28"/>
        </w:rPr>
        <w:t xml:space="preserve">, 2017;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2.3 Media Preparation and Culturing </w:t>
      </w:r>
    </w:p>
    <w:p w:rsidR="00697F4F" w:rsidRDefault="00697F4F" w:rsidP="00697F4F">
      <w:pPr>
        <w:spacing w:line="480" w:lineRule="auto"/>
        <w:ind w:left="3" w:right="117"/>
        <w:jc w:val="both"/>
        <w:rPr>
          <w:rFonts w:ascii="Times New Roman" w:hAnsi="Times New Roman" w:cs="Times New Roman"/>
          <w:sz w:val="28"/>
          <w:szCs w:val="28"/>
        </w:rPr>
      </w:pPr>
      <w:r>
        <w:rPr>
          <w:rFonts w:ascii="Times New Roman" w:hAnsi="Times New Roman" w:cs="Times New Roman"/>
          <w:sz w:val="28"/>
          <w:szCs w:val="28"/>
        </w:rPr>
        <w:t>Potato Dextrose Agar (PDA) and Potato Dextrose Broth (PDB) were prepared following the instructions provided by the manufacturer. After preparation, the media were sterilized using an autoclave at 121°C for 15 minutes. Once the media cooled down, 1 mL of streptomycin was added aseptically to prevent the growth of bacteria. About 250 mL of the sterile PDA was then poured into clean Petri dishes and left to solidify. Using a sterile inoculating loop, a small portion of the decayed apple tissue was taken and placed carefully on the surface of the solidified PDA plates. The inoculated plates were then incubated at room temperature (between 25°C and 28°C) for four days to allow fungal growth (Pitt &amp; Hocking, 2021).</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2.4 </w:t>
      </w:r>
      <w:proofErr w:type="spellStart"/>
      <w:r>
        <w:rPr>
          <w:rFonts w:ascii="Times New Roman" w:hAnsi="Times New Roman" w:cs="Times New Roman"/>
          <w:sz w:val="28"/>
          <w:szCs w:val="28"/>
        </w:rPr>
        <w:t>Subculturing</w:t>
      </w:r>
      <w:proofErr w:type="spellEnd"/>
      <w:r>
        <w:rPr>
          <w:rFonts w:ascii="Times New Roman" w:hAnsi="Times New Roman" w:cs="Times New Roman"/>
          <w:sz w:val="28"/>
          <w:szCs w:val="28"/>
        </w:rPr>
        <w:t xml:space="preserve"> </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Emerging fungal colonies were </w:t>
      </w:r>
      <w:proofErr w:type="spellStart"/>
      <w:r>
        <w:rPr>
          <w:rFonts w:ascii="Times New Roman" w:hAnsi="Times New Roman" w:cs="Times New Roman"/>
          <w:sz w:val="28"/>
          <w:szCs w:val="28"/>
        </w:rPr>
        <w:t>subcultured</w:t>
      </w:r>
      <w:proofErr w:type="spellEnd"/>
      <w:r>
        <w:rPr>
          <w:rFonts w:ascii="Times New Roman" w:hAnsi="Times New Roman" w:cs="Times New Roman"/>
          <w:sz w:val="28"/>
          <w:szCs w:val="28"/>
        </w:rPr>
        <w:t xml:space="preserve"> onto fresh PDA plates to obtain pure isolates. These were incubated under the same conditions for 4days (Watanabe, 2017).</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2.5 Characterization and identification </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Macroscopic features of colonies were observed after 4 days. For microscopic identification, a small portion of fungal growth was stained with </w:t>
      </w:r>
      <w:proofErr w:type="spellStart"/>
      <w:r>
        <w:rPr>
          <w:rFonts w:ascii="Times New Roman" w:hAnsi="Times New Roman" w:cs="Times New Roman"/>
          <w:sz w:val="28"/>
          <w:szCs w:val="28"/>
        </w:rPr>
        <w:t>lactophenol</w:t>
      </w:r>
      <w:proofErr w:type="spellEnd"/>
      <w:r>
        <w:rPr>
          <w:rFonts w:ascii="Times New Roman" w:hAnsi="Times New Roman" w:cs="Times New Roman"/>
          <w:sz w:val="28"/>
          <w:szCs w:val="28"/>
        </w:rPr>
        <w:t xml:space="preserve"> cotton blue on a microscope slide, covered with a cover slip, and examined under a microscope to observe spore structures and </w:t>
      </w:r>
      <w:proofErr w:type="spellStart"/>
      <w:r>
        <w:rPr>
          <w:rFonts w:ascii="Times New Roman" w:hAnsi="Times New Roman" w:cs="Times New Roman"/>
          <w:sz w:val="28"/>
          <w:szCs w:val="28"/>
        </w:rPr>
        <w:t>hyphal</w:t>
      </w:r>
      <w:proofErr w:type="spellEnd"/>
      <w:r>
        <w:rPr>
          <w:rFonts w:ascii="Times New Roman" w:hAnsi="Times New Roman" w:cs="Times New Roman"/>
          <w:sz w:val="28"/>
          <w:szCs w:val="28"/>
        </w:rPr>
        <w:t xml:space="preserve"> arrangements (</w:t>
      </w:r>
      <w:proofErr w:type="spellStart"/>
      <w:r>
        <w:rPr>
          <w:rFonts w:ascii="Times New Roman" w:hAnsi="Times New Roman" w:cs="Times New Roman"/>
          <w:sz w:val="28"/>
          <w:szCs w:val="28"/>
        </w:rPr>
        <w:t>Cheesbrough</w:t>
      </w:r>
      <w:proofErr w:type="spellEnd"/>
      <w:r>
        <w:rPr>
          <w:rFonts w:ascii="Times New Roman" w:hAnsi="Times New Roman" w:cs="Times New Roman"/>
          <w:sz w:val="28"/>
          <w:szCs w:val="28"/>
        </w:rPr>
        <w:t>, 2018; Pitt &amp; Hocking, 2021).</w:t>
      </w:r>
    </w:p>
    <w:p w:rsidR="00697F4F" w:rsidRPr="00E21931" w:rsidRDefault="00697F4F" w:rsidP="00697F4F">
      <w:pPr>
        <w:pStyle w:val="ListParagraph"/>
        <w:numPr>
          <w:ilvl w:val="1"/>
          <w:numId w:val="3"/>
        </w:numPr>
        <w:spacing w:line="480" w:lineRule="auto"/>
        <w:jc w:val="both"/>
        <w:rPr>
          <w:rFonts w:ascii="Times New Roman" w:hAnsi="Times New Roman" w:cs="Times New Roman"/>
          <w:sz w:val="28"/>
          <w:szCs w:val="28"/>
        </w:rPr>
      </w:pPr>
      <w:r w:rsidRPr="00E21931">
        <w:rPr>
          <w:rFonts w:ascii="Times New Roman" w:hAnsi="Times New Roman" w:cs="Times New Roman"/>
          <w:sz w:val="28"/>
          <w:szCs w:val="28"/>
        </w:rPr>
        <w:t xml:space="preserve">Toxin Extraction </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Pure fungal isolates grown on PDA were transferred into PDB in sterile flasks, placed on a rotary shaker for 3 days to stimulate </w:t>
      </w:r>
      <w:proofErr w:type="spellStart"/>
      <w:r>
        <w:rPr>
          <w:rFonts w:ascii="Times New Roman" w:hAnsi="Times New Roman" w:cs="Times New Roman"/>
          <w:sz w:val="28"/>
          <w:szCs w:val="28"/>
        </w:rPr>
        <w:t>mycelial</w:t>
      </w:r>
      <w:proofErr w:type="spellEnd"/>
      <w:r>
        <w:rPr>
          <w:rFonts w:ascii="Times New Roman" w:hAnsi="Times New Roman" w:cs="Times New Roman"/>
          <w:sz w:val="28"/>
          <w:szCs w:val="28"/>
        </w:rPr>
        <w:t xml:space="preserve"> growth and secondary metabolite production, </w:t>
      </w:r>
      <w:proofErr w:type="gramStart"/>
      <w:r>
        <w:rPr>
          <w:rFonts w:ascii="Times New Roman" w:hAnsi="Times New Roman" w:cs="Times New Roman"/>
          <w:sz w:val="28"/>
          <w:szCs w:val="28"/>
        </w:rPr>
        <w:t>then</w:t>
      </w:r>
      <w:proofErr w:type="gramEnd"/>
      <w:r>
        <w:rPr>
          <w:rFonts w:ascii="Times New Roman" w:hAnsi="Times New Roman" w:cs="Times New Roman"/>
          <w:sz w:val="28"/>
          <w:szCs w:val="28"/>
        </w:rPr>
        <w:t xml:space="preserve"> left undisturbed for 5 more days at room temperature to complete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w:t>
      </w:r>
      <w:proofErr w:type="spellStart"/>
      <w:r>
        <w:rPr>
          <w:rFonts w:ascii="Times New Roman" w:hAnsi="Times New Roman" w:cs="Times New Roman"/>
          <w:sz w:val="28"/>
          <w:szCs w:val="28"/>
        </w:rPr>
        <w:t>Kabak</w:t>
      </w:r>
      <w:proofErr w:type="spellEnd"/>
      <w:r>
        <w:rPr>
          <w:rFonts w:ascii="Times New Roman" w:hAnsi="Times New Roman" w:cs="Times New Roman"/>
          <w:sz w:val="28"/>
          <w:szCs w:val="28"/>
        </w:rPr>
        <w:t xml:space="preserve"> et al., 2019).</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2.7 Separation of Biomass </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culture was gently swirled and </w:t>
      </w:r>
      <w:proofErr w:type="spellStart"/>
      <w:r>
        <w:rPr>
          <w:rFonts w:ascii="Times New Roman" w:hAnsi="Times New Roman" w:cs="Times New Roman"/>
          <w:sz w:val="28"/>
          <w:szCs w:val="28"/>
        </w:rPr>
        <w:t>aliquoted</w:t>
      </w:r>
      <w:proofErr w:type="spellEnd"/>
      <w:r>
        <w:rPr>
          <w:rFonts w:ascii="Times New Roman" w:hAnsi="Times New Roman" w:cs="Times New Roman"/>
          <w:sz w:val="28"/>
          <w:szCs w:val="28"/>
        </w:rPr>
        <w:t xml:space="preserve"> into test tubes filled to three-quarters capacity, then centrifuged at 4000–6000 rpm for 10–15 minutes. The supernatant, containing the crude toxin, was collected, while the pellet (fungal biomass) was discarded (</w:t>
      </w:r>
      <w:proofErr w:type="spellStart"/>
      <w:r>
        <w:rPr>
          <w:rFonts w:ascii="Times New Roman" w:hAnsi="Times New Roman" w:cs="Times New Roman"/>
          <w:sz w:val="28"/>
          <w:szCs w:val="28"/>
        </w:rPr>
        <w:t>Sewram</w:t>
      </w:r>
      <w:proofErr w:type="spellEnd"/>
      <w:r>
        <w:rPr>
          <w:rFonts w:ascii="Times New Roman" w:hAnsi="Times New Roman" w:cs="Times New Roman"/>
          <w:sz w:val="28"/>
          <w:szCs w:val="28"/>
        </w:rPr>
        <w:t xml:space="preserve"> et al., 2019).</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2.8 Preparation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Concentrations</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crude toxin filtrate, regarded as the 100% concentration, was diluted using sterile distilled water to obtain lower concentrations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Each prepared concentration was measured into a sterile test tube as follows:</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100% concentration: 5 mL of undiluted crude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filtrate.</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80% concentration: 4 mL of crude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filtrate mixed with 1 mL of sterile distilled water.</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60% concentration: 3 mL of crude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filtrate mixed with 2 mL of sterile distilled water.</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50% concentration: 2.5 mL of crude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filtrate mixed with 2.5 mL of sterile distilled water. Each mixture was homogenized and labeled accordingly for further use.</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2.9 Experimental Animals and Grouping</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Four healthy albino rats of uniform age but varying weights were selected and housed under hygienic conditions for a 3-day acclimatization period. They were provided with feed and water ad libitum, following animal care guidelines (National Research Council [NRC], 2018).</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2.10 Identification and Grouping of Experimental Rats</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To ensure proper identification and monitoring, each rat was marked with a distinct, non-toxic color corresponding to its treatment group. The rats were grouped based on the concentration of </w:t>
      </w:r>
      <w:proofErr w:type="spellStart"/>
      <w:r w:rsidRPr="006C2EFB">
        <w:rPr>
          <w:rFonts w:ascii="Times New Roman" w:hAnsi="Times New Roman" w:cs="Times New Roman"/>
          <w:i/>
          <w:iCs/>
          <w:sz w:val="28"/>
          <w:szCs w:val="28"/>
        </w:rPr>
        <w:t>Penicillium</w:t>
      </w:r>
      <w:proofErr w:type="spellEnd"/>
      <w:r w:rsidRPr="006C2EFB">
        <w:rPr>
          <w:rFonts w:ascii="Times New Roman" w:hAnsi="Times New Roman" w:cs="Times New Roman"/>
          <w:i/>
          <w:iCs/>
          <w:sz w:val="28"/>
          <w:szCs w:val="28"/>
        </w:rPr>
        <w:t xml:space="preserve"> </w:t>
      </w:r>
      <w:proofErr w:type="spellStart"/>
      <w:r w:rsidRPr="006C2EFB">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toxin they received as follows:</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Blue – 100% concentration</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Red – 80% concentration</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concentrations. The color marking was maintained throughout the experiment for accurate tracking and observation.</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2.11 Toxin Administration</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Each rat was orally administered 0.5 mL of its designated toxin concentration daily for 3 days using a sterile syringe without a needle. Observations for signs of toxicity (weight loss, physical changes, feeding behavior, etc.) were recorded over 6 days post-administration in a structured logbook, as per toxicological assessment standards (OECD, 2017).</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2.12 Dissection and Post-Mortem Examination</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At the end of the experiment, rats were euthanized, and post-mortem analysis was performed. Organs (liver, kidney, intestine, and heart) were examined macroscopically for abnormalities such as discoloration, swelling, and enlargement, in line with pathological evaluation protocols (</w:t>
      </w:r>
      <w:proofErr w:type="spellStart"/>
      <w:r>
        <w:rPr>
          <w:rFonts w:ascii="Times New Roman" w:hAnsi="Times New Roman" w:cs="Times New Roman"/>
          <w:sz w:val="28"/>
          <w:szCs w:val="28"/>
        </w:rPr>
        <w:t>Chinwe</w:t>
      </w:r>
      <w:proofErr w:type="spellEnd"/>
      <w:r>
        <w:rPr>
          <w:rFonts w:ascii="Times New Roman" w:hAnsi="Times New Roman" w:cs="Times New Roman"/>
          <w:sz w:val="28"/>
          <w:szCs w:val="28"/>
        </w:rPr>
        <w:t xml:space="preserve"> et al., 2021).</w:t>
      </w:r>
    </w:p>
    <w:p w:rsidR="00697F4F" w:rsidRDefault="00697F4F" w:rsidP="00697F4F">
      <w:pPr>
        <w:spacing w:line="480" w:lineRule="auto"/>
        <w:jc w:val="both"/>
        <w:rPr>
          <w:rFonts w:ascii="Times New Roman" w:hAnsi="Times New Roman" w:cs="Times New Roman"/>
          <w:sz w:val="28"/>
          <w:szCs w:val="28"/>
        </w:rPr>
      </w:pPr>
    </w:p>
    <w:p w:rsidR="00697F4F" w:rsidRDefault="00697F4F" w:rsidP="00697F4F">
      <w:pPr>
        <w:spacing w:line="480" w:lineRule="auto"/>
        <w:jc w:val="both"/>
        <w:rPr>
          <w:rFonts w:ascii="Times New Roman" w:hAnsi="Times New Roman" w:cs="Times New Roman"/>
          <w:sz w:val="28"/>
          <w:szCs w:val="28"/>
        </w:rPr>
      </w:pPr>
    </w:p>
    <w:p w:rsidR="00697F4F" w:rsidRDefault="00697F4F" w:rsidP="00697F4F">
      <w:pPr>
        <w:spacing w:line="480" w:lineRule="auto"/>
        <w:jc w:val="both"/>
        <w:rPr>
          <w:rFonts w:ascii="Times New Roman" w:hAnsi="Times New Roman" w:cs="Times New Roman"/>
          <w:sz w:val="28"/>
          <w:szCs w:val="28"/>
        </w:rPr>
      </w:pPr>
    </w:p>
    <w:p w:rsidR="00697F4F" w:rsidRDefault="00697F4F" w:rsidP="00697F4F">
      <w:pPr>
        <w:spacing w:line="480" w:lineRule="auto"/>
        <w:jc w:val="both"/>
        <w:rPr>
          <w:rFonts w:ascii="Times New Roman" w:hAnsi="Times New Roman" w:cs="Times New Roman"/>
          <w:sz w:val="28"/>
          <w:szCs w:val="28"/>
        </w:rPr>
      </w:pPr>
    </w:p>
    <w:p w:rsidR="00697F4F" w:rsidRDefault="00697F4F" w:rsidP="00697F4F">
      <w:pPr>
        <w:spacing w:line="480" w:lineRule="auto"/>
        <w:jc w:val="both"/>
        <w:rPr>
          <w:rFonts w:ascii="Times New Roman" w:hAnsi="Times New Roman" w:cs="Times New Roman"/>
          <w:sz w:val="28"/>
          <w:szCs w:val="28"/>
        </w:rPr>
      </w:pPr>
    </w:p>
    <w:p w:rsidR="00697F4F" w:rsidRDefault="00697F4F" w:rsidP="00697F4F">
      <w:pPr>
        <w:spacing w:line="480" w:lineRule="auto"/>
        <w:jc w:val="both"/>
        <w:rPr>
          <w:rFonts w:ascii="Times New Roman" w:hAnsi="Times New Roman" w:cs="Times New Roman"/>
          <w:sz w:val="28"/>
          <w:szCs w:val="28"/>
        </w:rPr>
      </w:pPr>
    </w:p>
    <w:p w:rsidR="00697F4F" w:rsidRDefault="00697F4F" w:rsidP="00697F4F">
      <w:pPr>
        <w:spacing w:line="480" w:lineRule="auto"/>
        <w:jc w:val="both"/>
        <w:rPr>
          <w:rFonts w:ascii="Times New Roman" w:hAnsi="Times New Roman" w:cs="Times New Roman"/>
          <w:sz w:val="28"/>
          <w:szCs w:val="28"/>
        </w:rPr>
      </w:pPr>
    </w:p>
    <w:p w:rsidR="00697F4F" w:rsidRDefault="00697F4F" w:rsidP="00697F4F">
      <w:pPr>
        <w:spacing w:line="480" w:lineRule="auto"/>
        <w:jc w:val="both"/>
        <w:rPr>
          <w:rFonts w:ascii="Times New Roman" w:hAnsi="Times New Roman" w:cs="Times New Roman"/>
          <w:sz w:val="28"/>
          <w:szCs w:val="28"/>
        </w:rPr>
      </w:pPr>
    </w:p>
    <w:p w:rsidR="00697F4F" w:rsidRPr="00EC2D00" w:rsidRDefault="00697F4F" w:rsidP="00697F4F">
      <w:pPr>
        <w:spacing w:line="480" w:lineRule="auto"/>
        <w:jc w:val="both"/>
        <w:rPr>
          <w:rFonts w:ascii="Times New Roman" w:hAnsi="Times New Roman" w:cs="Times New Roman"/>
          <w:sz w:val="28"/>
          <w:szCs w:val="28"/>
        </w:rPr>
      </w:pPr>
    </w:p>
    <w:p w:rsidR="00697F4F" w:rsidRDefault="00697F4F" w:rsidP="00697F4F">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THREE</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3.0 </w:t>
      </w:r>
      <w:r w:rsidRPr="00B86E04">
        <w:rPr>
          <w:rFonts w:ascii="Times New Roman" w:hAnsi="Times New Roman" w:cs="Times New Roman"/>
          <w:sz w:val="28"/>
          <w:szCs w:val="28"/>
        </w:rPr>
        <w:t>RESULTS</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p>
    <w:p w:rsidR="00697F4F" w:rsidRDefault="00697F4F" w:rsidP="00697F4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D23D7E">
        <w:rPr>
          <w:rFonts w:ascii="Times New Roman" w:hAnsi="Times New Roman" w:cs="Times New Roman"/>
          <w:sz w:val="28"/>
          <w:szCs w:val="28"/>
        </w:rPr>
        <w:t>Identification of Fungal Isolate after culturing</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4428"/>
        <w:gridCol w:w="4428"/>
      </w:tblGrid>
      <w:tr w:rsidR="00697F4F" w:rsidTr="008553C3">
        <w:tc>
          <w:tcPr>
            <w:tcW w:w="4428" w:type="dxa"/>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Macroscopic characteristics</w:t>
            </w:r>
          </w:p>
        </w:tc>
        <w:tc>
          <w:tcPr>
            <w:tcW w:w="4428" w:type="dxa"/>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697F4F" w:rsidTr="008553C3">
        <w:tc>
          <w:tcPr>
            <w:tcW w:w="4428" w:type="dxa"/>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Bluish green</w:t>
            </w:r>
          </w:p>
        </w:tc>
        <w:tc>
          <w:tcPr>
            <w:tcW w:w="4428" w:type="dxa"/>
          </w:tcPr>
          <w:p w:rsidR="00697F4F" w:rsidRDefault="00697F4F" w:rsidP="008553C3">
            <w:pPr>
              <w:jc w:val="center"/>
              <w:rPr>
                <w:rFonts w:ascii="Times New Roman" w:hAnsi="Times New Roman" w:cs="Times New Roman"/>
                <w:sz w:val="28"/>
                <w:szCs w:val="28"/>
              </w:rPr>
            </w:pPr>
            <w:proofErr w:type="spellStart"/>
            <w:r>
              <w:rPr>
                <w:rFonts w:ascii="Times New Roman" w:hAnsi="Times New Roman" w:cs="Times New Roman"/>
                <w:sz w:val="28"/>
                <w:szCs w:val="28"/>
              </w:rPr>
              <w:t>B</w:t>
            </w:r>
            <w:r w:rsidRPr="001D7504">
              <w:rPr>
                <w:rFonts w:ascii="Times New Roman" w:hAnsi="Times New Roman" w:cs="Times New Roman"/>
                <w:sz w:val="28"/>
                <w:szCs w:val="28"/>
              </w:rPr>
              <w:t>ranced</w:t>
            </w:r>
            <w:proofErr w:type="spellEnd"/>
            <w:r w:rsidRPr="001D7504">
              <w:rPr>
                <w:rFonts w:ascii="Times New Roman" w:hAnsi="Times New Roman" w:cs="Times New Roman"/>
                <w:sz w:val="28"/>
                <w:szCs w:val="28"/>
              </w:rPr>
              <w:t xml:space="preserve"> flask shaped </w:t>
            </w:r>
            <w:proofErr w:type="spellStart"/>
            <w:r w:rsidRPr="001D7504">
              <w:rPr>
                <w:rFonts w:ascii="Times New Roman" w:hAnsi="Times New Roman" w:cs="Times New Roman"/>
                <w:sz w:val="28"/>
                <w:szCs w:val="28"/>
              </w:rPr>
              <w:t>condidia</w:t>
            </w:r>
            <w:proofErr w:type="spellEnd"/>
          </w:p>
        </w:tc>
      </w:tr>
    </w:tbl>
    <w:p w:rsidR="00697F4F" w:rsidRDefault="00697F4F" w:rsidP="00697F4F">
      <w:pPr>
        <w:spacing w:line="480" w:lineRule="auto"/>
        <w:jc w:val="both"/>
        <w:rPr>
          <w:rFonts w:ascii="Times New Roman" w:hAnsi="Times New Roman" w:cs="Times New Roman"/>
          <w:sz w:val="28"/>
          <w:szCs w:val="28"/>
        </w:rPr>
      </w:pPr>
    </w:p>
    <w:p w:rsidR="00697F4F" w:rsidRDefault="00697F4F" w:rsidP="00697F4F">
      <w:pPr>
        <w:spacing w:line="480" w:lineRule="auto"/>
        <w:rPr>
          <w:rFonts w:ascii="Times New Roman" w:hAnsi="Times New Roman" w:cs="Times New Roman"/>
          <w:sz w:val="28"/>
          <w:szCs w:val="28"/>
        </w:rPr>
      </w:pPr>
      <w:r>
        <w:rPr>
          <w:noProof/>
        </w:rPr>
        <w:drawing>
          <wp:anchor distT="0" distB="0" distL="114300" distR="114300" simplePos="0" relativeHeight="251660288" behindDoc="0" locked="0" layoutInCell="1" allowOverlap="1" wp14:anchorId="29736856" wp14:editId="4B7686BB">
            <wp:simplePos x="0" y="0"/>
            <wp:positionH relativeFrom="column">
              <wp:posOffset>3147060</wp:posOffset>
            </wp:positionH>
            <wp:positionV relativeFrom="paragraph">
              <wp:posOffset>580390</wp:posOffset>
            </wp:positionV>
            <wp:extent cx="2048510" cy="2015490"/>
            <wp:effectExtent l="0" t="0" r="8890" b="3810"/>
            <wp:wrapTopAndBottom/>
            <wp:docPr id="6" name="Picture 1"/>
            <wp:cNvGraphicFramePr/>
            <a:graphic xmlns:a="http://schemas.openxmlformats.org/drawingml/2006/main">
              <a:graphicData uri="http://schemas.openxmlformats.org/drawingml/2006/picture">
                <pic:pic xmlns:pic="http://schemas.openxmlformats.org/drawingml/2006/picture">
                  <pic:nvPicPr>
                    <pic:cNvPr id="1652139680" name="Picture 1"/>
                    <pic:cNvPicPr/>
                  </pic:nvPicPr>
                  <pic:blipFill rotWithShape="1">
                    <a:blip r:embed="rId8" cstate="print">
                      <a:extLst>
                        <a:ext uri="{28A0092B-C50C-407E-A947-70E740481C1C}">
                          <a14:useLocalDpi xmlns:a14="http://schemas.microsoft.com/office/drawing/2010/main" val="0"/>
                        </a:ext>
                      </a:extLst>
                    </a:blip>
                    <a:srcRect l="2752" t="28818" r="-526" b="22171"/>
                    <a:stretch/>
                  </pic:blipFill>
                  <pic:spPr bwMode="auto">
                    <a:xfrm>
                      <a:off x="0" y="0"/>
                      <a:ext cx="2048510" cy="2015490"/>
                    </a:xfrm>
                    <a:prstGeom prst="rect">
                      <a:avLst/>
                    </a:prstGeom>
                    <a:ln>
                      <a:noFill/>
                    </a:ln>
                    <a:extLst>
                      <a:ext uri="{53640926-AAD7-44D8-BBD7-CCE9431645EC}">
                        <a14:shadowObscured xmlns:a14="http://schemas.microsoft.com/office/drawing/2010/main"/>
                      </a:ext>
                    </a:extLst>
                  </pic:spPr>
                </pic:pic>
              </a:graphicData>
            </a:graphic>
          </wp:anchor>
        </w:drawing>
      </w:r>
      <w:r w:rsidRPr="004867E8">
        <w:rPr>
          <w:rFonts w:ascii="Times New Roman" w:hAnsi="Times New Roman" w:cs="Times New Roman"/>
          <w:noProof/>
          <w:sz w:val="28"/>
          <w:szCs w:val="28"/>
        </w:rPr>
        <w:drawing>
          <wp:anchor distT="0" distB="0" distL="114300" distR="114300" simplePos="0" relativeHeight="251659264" behindDoc="0" locked="0" layoutInCell="1" allowOverlap="1" wp14:anchorId="1D1B8575" wp14:editId="43DBA4F5">
            <wp:simplePos x="0" y="0"/>
            <wp:positionH relativeFrom="margin">
              <wp:posOffset>-78740</wp:posOffset>
            </wp:positionH>
            <wp:positionV relativeFrom="paragraph">
              <wp:posOffset>677643</wp:posOffset>
            </wp:positionV>
            <wp:extent cx="1969135" cy="1989455"/>
            <wp:effectExtent l="0" t="0" r="0" b="0"/>
            <wp:wrapTopAndBottom/>
            <wp:docPr id="5" name="Picture 2"/>
            <wp:cNvGraphicFramePr/>
            <a:graphic xmlns:a="http://schemas.openxmlformats.org/drawingml/2006/main">
              <a:graphicData uri="http://schemas.openxmlformats.org/drawingml/2006/picture">
                <pic:pic xmlns:pic="http://schemas.openxmlformats.org/drawingml/2006/picture">
                  <pic:nvPicPr>
                    <pic:cNvPr id="1518025514"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69135" cy="1989455"/>
                    </a:xfrm>
                    <a:prstGeom prst="rect">
                      <a:avLst/>
                    </a:prstGeom>
                  </pic:spPr>
                </pic:pic>
              </a:graphicData>
            </a:graphic>
          </wp:anchor>
        </w:drawing>
      </w:r>
      <w:r>
        <w:rPr>
          <w:rFonts w:ascii="Times New Roman" w:hAnsi="Times New Roman" w:cs="Times New Roman"/>
          <w:sz w:val="28"/>
          <w:szCs w:val="28"/>
        </w:rPr>
        <w:t xml:space="preserve">Figure 1a: showing colonies on PDA       Figure 1b: Showing microscopic view    </w:t>
      </w:r>
    </w:p>
    <w:p w:rsidR="00697F4F" w:rsidRDefault="00697F4F" w:rsidP="00697F4F">
      <w:pPr>
        <w:spacing w:line="480" w:lineRule="auto"/>
        <w:jc w:val="both"/>
        <w:rPr>
          <w:rFonts w:ascii="Times New Roman" w:hAnsi="Times New Roman" w:cs="Times New Roman"/>
          <w:sz w:val="28"/>
          <w:szCs w:val="28"/>
        </w:rPr>
      </w:pPr>
    </w:p>
    <w:p w:rsidR="00697F4F" w:rsidRDefault="00697F4F" w:rsidP="00697F4F">
      <w:pPr>
        <w:spacing w:line="480" w:lineRule="auto"/>
        <w:jc w:val="both"/>
        <w:rPr>
          <w:rFonts w:ascii="Times New Roman" w:hAnsi="Times New Roman" w:cs="Times New Roman"/>
          <w:sz w:val="28"/>
          <w:szCs w:val="28"/>
        </w:rPr>
      </w:pPr>
    </w:p>
    <w:p w:rsidR="00697F4F" w:rsidRDefault="00697F4F" w:rsidP="00697F4F">
      <w:pPr>
        <w:spacing w:line="480" w:lineRule="auto"/>
        <w:jc w:val="both"/>
        <w:rPr>
          <w:rFonts w:ascii="Times New Roman" w:hAnsi="Times New Roman" w:cs="Times New Roman"/>
          <w:sz w:val="28"/>
          <w:szCs w:val="28"/>
        </w:rPr>
      </w:pP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TABLE 2</w:t>
      </w:r>
    </w:p>
    <w:p w:rsidR="00697F4F" w:rsidRDefault="00697F4F" w:rsidP="00697F4F">
      <w:pPr>
        <w:spacing w:line="480" w:lineRule="auto"/>
        <w:jc w:val="both"/>
        <w:rPr>
          <w:rFonts w:ascii="Times New Roman" w:hAnsi="Times New Roman" w:cs="Times New Roman"/>
          <w:iCs/>
          <w:sz w:val="28"/>
          <w:szCs w:val="28"/>
        </w:rPr>
      </w:pPr>
      <w:r>
        <w:rPr>
          <w:rFonts w:ascii="Times New Roman" w:hAnsi="Times New Roman" w:cs="Times New Roman"/>
          <w:sz w:val="28"/>
          <w:szCs w:val="28"/>
        </w:rPr>
        <w:t>3.2</w:t>
      </w:r>
      <w:r>
        <w:rPr>
          <w:rFonts w:ascii="Times New Roman" w:hAnsi="Times New Roman" w:cs="Times New Roman"/>
          <w:iCs/>
          <w:sz w:val="28"/>
          <w:szCs w:val="28"/>
        </w:rPr>
        <w:t>Daily Observation during Toxin Administration for seven days</w:t>
      </w:r>
    </w:p>
    <w:tbl>
      <w:tblPr>
        <w:tblStyle w:val="TableGrid"/>
        <w:tblW w:w="6055" w:type="pct"/>
        <w:tblInd w:w="-79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460"/>
        <w:gridCol w:w="1578"/>
        <w:gridCol w:w="2290"/>
        <w:gridCol w:w="2006"/>
        <w:gridCol w:w="1718"/>
        <w:gridCol w:w="2283"/>
      </w:tblGrid>
      <w:tr w:rsidR="00697F4F" w:rsidTr="008553C3">
        <w:trPr>
          <w:trHeight w:val="729"/>
        </w:trPr>
        <w:tc>
          <w:tcPr>
            <w:tcW w:w="644" w:type="pct"/>
            <w:hideMark/>
          </w:tcPr>
          <w:p w:rsidR="00697F4F" w:rsidRDefault="00697F4F" w:rsidP="008553C3">
            <w:pPr>
              <w:rPr>
                <w:rFonts w:ascii="Times New Roman" w:hAnsi="Times New Roman" w:cs="Times New Roman"/>
                <w:sz w:val="28"/>
                <w:szCs w:val="28"/>
              </w:rPr>
            </w:pPr>
            <w:bookmarkStart w:id="1" w:name="_Hlk202154477"/>
            <w:r>
              <w:rPr>
                <w:rFonts w:ascii="Times New Roman" w:hAnsi="Times New Roman" w:cs="Times New Roman"/>
                <w:sz w:val="28"/>
                <w:szCs w:val="28"/>
              </w:rPr>
              <w:t>Rat ID</w:t>
            </w:r>
          </w:p>
        </w:tc>
        <w:tc>
          <w:tcPr>
            <w:tcW w:w="696"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 xml:space="preserve">Behavior </w:t>
            </w:r>
          </w:p>
        </w:tc>
        <w:tc>
          <w:tcPr>
            <w:tcW w:w="1010" w:type="pct"/>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Appearance</w:t>
            </w:r>
          </w:p>
          <w:p w:rsidR="00697F4F" w:rsidRDefault="00697F4F" w:rsidP="008553C3">
            <w:pPr>
              <w:rPr>
                <w:rFonts w:ascii="Times New Roman" w:hAnsi="Times New Roman" w:cs="Times New Roman"/>
                <w:sz w:val="28"/>
                <w:szCs w:val="28"/>
              </w:rPr>
            </w:pPr>
          </w:p>
        </w:tc>
        <w:tc>
          <w:tcPr>
            <w:tcW w:w="885"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Feeding</w:t>
            </w:r>
          </w:p>
        </w:tc>
        <w:tc>
          <w:tcPr>
            <w:tcW w:w="758"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Eye /Nose</w:t>
            </w:r>
          </w:p>
        </w:tc>
        <w:tc>
          <w:tcPr>
            <w:tcW w:w="1007"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Other behavior</w:t>
            </w:r>
          </w:p>
        </w:tc>
      </w:tr>
      <w:tr w:rsidR="00697F4F" w:rsidTr="008553C3">
        <w:trPr>
          <w:cantSplit/>
          <w:trHeight w:val="484"/>
        </w:trPr>
        <w:tc>
          <w:tcPr>
            <w:tcW w:w="644" w:type="pct"/>
            <w:hideMark/>
          </w:tcPr>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Blue</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Red</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 xml:space="preserve">Green </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Active</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Active</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Active</w:t>
            </w:r>
          </w:p>
          <w:p w:rsidR="00697F4F" w:rsidRPr="00840EA9" w:rsidRDefault="00697F4F" w:rsidP="008553C3">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tc>
      </w:tr>
      <w:tr w:rsidR="00697F4F" w:rsidTr="008553C3">
        <w:trPr>
          <w:cantSplit/>
          <w:trHeight w:val="484"/>
        </w:trPr>
        <w:tc>
          <w:tcPr>
            <w:tcW w:w="644" w:type="pct"/>
            <w:hideMark/>
          </w:tcPr>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Blue</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Red</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 xml:space="preserve">Green </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Active</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Active</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Active</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tc>
      </w:tr>
      <w:tr w:rsidR="00697F4F" w:rsidTr="008553C3">
        <w:trPr>
          <w:cantSplit/>
          <w:trHeight w:val="484"/>
        </w:trPr>
        <w:tc>
          <w:tcPr>
            <w:tcW w:w="644" w:type="pct"/>
            <w:hideMark/>
          </w:tcPr>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Blue</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Red</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 xml:space="preserve">Green </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Dull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Active</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Active</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Decrease</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Decrease</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sunken 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Gnawing</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p w:rsidR="00697F4F" w:rsidRDefault="00697F4F" w:rsidP="008553C3">
            <w:pPr>
              <w:jc w:val="center"/>
              <w:rPr>
                <w:rFonts w:ascii="Times New Roman" w:hAnsi="Times New Roman" w:cs="Times New Roman"/>
                <w:sz w:val="28"/>
                <w:szCs w:val="28"/>
              </w:rPr>
            </w:pPr>
          </w:p>
        </w:tc>
      </w:tr>
      <w:tr w:rsidR="00697F4F" w:rsidTr="008553C3">
        <w:trPr>
          <w:cantSplit/>
          <w:trHeight w:val="506"/>
        </w:trPr>
        <w:tc>
          <w:tcPr>
            <w:tcW w:w="644" w:type="pct"/>
            <w:hideMark/>
          </w:tcPr>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Blue</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Red</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 xml:space="preserve">Green </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Dull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Dull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Dull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Lackluster</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Lethargic</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Reduce</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Reduce</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Sunken</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Sunken</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Lethargic</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 xml:space="preserve">Nil </w:t>
            </w:r>
          </w:p>
        </w:tc>
      </w:tr>
      <w:tr w:rsidR="00697F4F" w:rsidTr="008553C3">
        <w:trPr>
          <w:cantSplit/>
          <w:trHeight w:val="484"/>
        </w:trPr>
        <w:tc>
          <w:tcPr>
            <w:tcW w:w="644" w:type="pct"/>
            <w:hideMark/>
          </w:tcPr>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Blue</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Red</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 xml:space="preserve">Green </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Dull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Dull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Dull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Lackluster</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Sluggish</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Reduce</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Reduce</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Reduce</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Sunken</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sunken</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p w:rsidR="00697F4F" w:rsidRDefault="00697F4F" w:rsidP="008553C3">
            <w:pPr>
              <w:jc w:val="center"/>
              <w:rPr>
                <w:rFonts w:ascii="Times New Roman" w:hAnsi="Times New Roman" w:cs="Times New Roman"/>
                <w:sz w:val="28"/>
                <w:szCs w:val="28"/>
              </w:rPr>
            </w:pPr>
          </w:p>
        </w:tc>
      </w:tr>
      <w:tr w:rsidR="00697F4F" w:rsidTr="008553C3">
        <w:trPr>
          <w:cantSplit/>
          <w:trHeight w:val="484"/>
        </w:trPr>
        <w:tc>
          <w:tcPr>
            <w:tcW w:w="644" w:type="pct"/>
            <w:hideMark/>
          </w:tcPr>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Blue</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Red</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 xml:space="preserve">Green </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 xml:space="preserve">Black </w:t>
            </w:r>
          </w:p>
        </w:tc>
        <w:tc>
          <w:tcPr>
            <w:tcW w:w="696"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Weak</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Weak</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Dull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Pale</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Ataxic</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lethargic</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Very low</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Low</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Reduce</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sunken</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Sunken</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sunken</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tc>
      </w:tr>
      <w:tr w:rsidR="00697F4F" w:rsidTr="008553C3">
        <w:trPr>
          <w:trHeight w:val="547"/>
        </w:trPr>
        <w:tc>
          <w:tcPr>
            <w:tcW w:w="644" w:type="pct"/>
            <w:hideMark/>
          </w:tcPr>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Blue</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Red</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Green</w:t>
            </w:r>
          </w:p>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Black</w:t>
            </w:r>
          </w:p>
        </w:tc>
        <w:tc>
          <w:tcPr>
            <w:tcW w:w="696"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Weak</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Weak</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Weak</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Active</w:t>
            </w:r>
          </w:p>
        </w:tc>
        <w:tc>
          <w:tcPr>
            <w:tcW w:w="1010"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Pale</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Inactive</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inactive</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885"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Poor</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Low</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Poor</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758"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Sunken</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Sunken</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sunken</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1007" w:type="pct"/>
            <w:hideMark/>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Nil</w:t>
            </w:r>
          </w:p>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Lackluster</w:t>
            </w:r>
          </w:p>
          <w:p w:rsidR="00697F4F" w:rsidRDefault="00697F4F" w:rsidP="008553C3">
            <w:pPr>
              <w:jc w:val="center"/>
              <w:rPr>
                <w:rFonts w:ascii="Times New Roman" w:hAnsi="Times New Roman" w:cs="Times New Roman"/>
                <w:sz w:val="28"/>
                <w:szCs w:val="28"/>
              </w:rPr>
            </w:pPr>
            <w:proofErr w:type="spellStart"/>
            <w:r>
              <w:rPr>
                <w:rFonts w:ascii="Times New Roman" w:hAnsi="Times New Roman" w:cs="Times New Roman"/>
                <w:sz w:val="28"/>
                <w:szCs w:val="28"/>
              </w:rPr>
              <w:t>Nill</w:t>
            </w:r>
            <w:proofErr w:type="spellEnd"/>
          </w:p>
        </w:tc>
      </w:tr>
      <w:bookmarkEnd w:id="1"/>
    </w:tbl>
    <w:p w:rsidR="00697F4F" w:rsidRDefault="00697F4F" w:rsidP="00697F4F">
      <w:pPr>
        <w:spacing w:line="480" w:lineRule="auto"/>
        <w:jc w:val="both"/>
        <w:rPr>
          <w:rFonts w:ascii="Times New Roman" w:hAnsi="Times New Roman" w:cs="Times New Roman"/>
          <w:sz w:val="28"/>
          <w:szCs w:val="28"/>
        </w:rPr>
      </w:pPr>
    </w:p>
    <w:p w:rsidR="00697F4F" w:rsidRDefault="00697F4F" w:rsidP="00697F4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3: Showing Total Weight Loss </w:t>
      </w:r>
      <w:proofErr w:type="gramStart"/>
      <w:r>
        <w:rPr>
          <w:rFonts w:ascii="Times New Roman" w:hAnsi="Times New Roman" w:cs="Times New Roman"/>
          <w:sz w:val="28"/>
          <w:szCs w:val="28"/>
        </w:rPr>
        <w:t>After</w:t>
      </w:r>
      <w:proofErr w:type="gramEnd"/>
      <w:r>
        <w:rPr>
          <w:rFonts w:ascii="Times New Roman" w:hAnsi="Times New Roman" w:cs="Times New Roman"/>
          <w:sz w:val="28"/>
          <w:szCs w:val="28"/>
        </w:rPr>
        <w:t xml:space="preserve"> Toxin Exposure</w:t>
      </w:r>
    </w:p>
    <w:p w:rsidR="00697F4F" w:rsidRDefault="00697F4F" w:rsidP="00697F4F">
      <w:pPr>
        <w:spacing w:line="240" w:lineRule="auto"/>
        <w:jc w:val="both"/>
        <w:rPr>
          <w:rFonts w:ascii="Times New Roman" w:hAnsi="Times New Roman" w:cs="Times New Roman"/>
          <w:b/>
          <w:sz w:val="28"/>
          <w:szCs w:val="28"/>
        </w:rPr>
      </w:pPr>
      <w:r w:rsidRPr="00A355CA">
        <w:rPr>
          <w:rFonts w:ascii="Times New Roman" w:hAnsi="Times New Roman" w:cs="Times New Roman"/>
          <w:b/>
          <w:sz w:val="28"/>
          <w:szCs w:val="28"/>
        </w:rPr>
        <w:t>Key</w:t>
      </w:r>
      <w:r>
        <w:rPr>
          <w:rFonts w:ascii="Times New Roman" w:hAnsi="Times New Roman" w:cs="Times New Roman"/>
          <w:b/>
          <w:sz w:val="28"/>
          <w:szCs w:val="28"/>
        </w:rPr>
        <w:t xml:space="preserve">: </w:t>
      </w:r>
    </w:p>
    <w:p w:rsidR="00697F4F" w:rsidRPr="00950266" w:rsidRDefault="00697F4F" w:rsidP="00697F4F">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Blue</w:t>
      </w:r>
      <w:r>
        <w:rPr>
          <w:rFonts w:ascii="Times New Roman" w:hAnsi="Times New Roman" w:cs="Times New Roman"/>
          <w:sz w:val="28"/>
          <w:szCs w:val="28"/>
        </w:rPr>
        <w:t xml:space="preserve"> – 100%</w:t>
      </w:r>
    </w:p>
    <w:p w:rsidR="00697F4F" w:rsidRDefault="00697F4F" w:rsidP="00697F4F">
      <w:pPr>
        <w:spacing w:line="240" w:lineRule="auto"/>
        <w:jc w:val="both"/>
        <w:rPr>
          <w:rFonts w:ascii="Times New Roman" w:hAnsi="Times New Roman" w:cs="Times New Roman"/>
          <w:sz w:val="28"/>
          <w:szCs w:val="28"/>
        </w:rPr>
      </w:pPr>
      <w:r w:rsidRPr="00950266">
        <w:rPr>
          <w:rFonts w:ascii="Times New Roman" w:hAnsi="Times New Roman" w:cs="Times New Roman"/>
          <w:sz w:val="28"/>
          <w:szCs w:val="28"/>
        </w:rPr>
        <w:t>Red</w:t>
      </w:r>
      <w:r>
        <w:rPr>
          <w:rFonts w:ascii="Times New Roman" w:hAnsi="Times New Roman" w:cs="Times New Roman"/>
          <w:sz w:val="28"/>
          <w:szCs w:val="28"/>
        </w:rPr>
        <w:t xml:space="preserve"> – 80% </w:t>
      </w:r>
    </w:p>
    <w:p w:rsidR="00697F4F" w:rsidRDefault="00697F4F" w:rsidP="00697F4F">
      <w:pPr>
        <w:spacing w:line="240" w:lineRule="auto"/>
        <w:jc w:val="both"/>
        <w:rPr>
          <w:rFonts w:ascii="Times New Roman" w:hAnsi="Times New Roman" w:cs="Times New Roman"/>
          <w:sz w:val="28"/>
          <w:szCs w:val="28"/>
        </w:rPr>
      </w:pPr>
      <w:r>
        <w:rPr>
          <w:rFonts w:ascii="Times New Roman" w:hAnsi="Times New Roman" w:cs="Times New Roman"/>
          <w:sz w:val="28"/>
          <w:szCs w:val="28"/>
        </w:rPr>
        <w:t>Green – 60%</w:t>
      </w:r>
    </w:p>
    <w:p w:rsidR="00697F4F" w:rsidRDefault="00697F4F" w:rsidP="00697F4F">
      <w:pPr>
        <w:spacing w:line="240" w:lineRule="auto"/>
        <w:jc w:val="both"/>
        <w:rPr>
          <w:rFonts w:ascii="Times New Roman" w:hAnsi="Times New Roman" w:cs="Times New Roman"/>
          <w:sz w:val="28"/>
          <w:szCs w:val="28"/>
        </w:rPr>
      </w:pPr>
      <w:r>
        <w:rPr>
          <w:rFonts w:ascii="Times New Roman" w:hAnsi="Times New Roman" w:cs="Times New Roman"/>
          <w:sz w:val="28"/>
          <w:szCs w:val="28"/>
        </w:rPr>
        <w:t>Black – 50%</w:t>
      </w:r>
    </w:p>
    <w:p w:rsidR="00697F4F" w:rsidRDefault="00697F4F" w:rsidP="00697F4F">
      <w:pPr>
        <w:spacing w:line="240" w:lineRule="auto"/>
        <w:jc w:val="both"/>
        <w:rPr>
          <w:rFonts w:ascii="Times New Roman" w:hAnsi="Times New Roman" w:cs="Times New Roman"/>
          <w:sz w:val="28"/>
          <w:szCs w:val="28"/>
        </w:rPr>
      </w:pPr>
    </w:p>
    <w:p w:rsidR="00697F4F" w:rsidRDefault="00697F4F" w:rsidP="00697F4F">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58F328C" wp14:editId="5192EA04">
            <wp:extent cx="6196818" cy="3015762"/>
            <wp:effectExtent l="0" t="0" r="13970" b="1333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97F4F" w:rsidRDefault="00697F4F" w:rsidP="00697F4F">
      <w:pPr>
        <w:spacing w:line="240" w:lineRule="auto"/>
        <w:jc w:val="both"/>
        <w:rPr>
          <w:rFonts w:ascii="Times New Roman" w:hAnsi="Times New Roman" w:cs="Times New Roman"/>
          <w:sz w:val="28"/>
          <w:szCs w:val="28"/>
        </w:rPr>
      </w:pPr>
    </w:p>
    <w:p w:rsidR="00697F4F" w:rsidRDefault="00697F4F" w:rsidP="00697F4F">
      <w:pPr>
        <w:spacing w:line="240" w:lineRule="auto"/>
        <w:jc w:val="both"/>
        <w:rPr>
          <w:rFonts w:ascii="Times New Roman" w:hAnsi="Times New Roman" w:cs="Times New Roman"/>
          <w:sz w:val="28"/>
          <w:szCs w:val="28"/>
        </w:rPr>
      </w:pPr>
    </w:p>
    <w:p w:rsidR="00697F4F" w:rsidRDefault="00697F4F" w:rsidP="00697F4F">
      <w:pPr>
        <w:spacing w:line="240" w:lineRule="auto"/>
        <w:jc w:val="both"/>
        <w:rPr>
          <w:rFonts w:ascii="Times New Roman" w:hAnsi="Times New Roman" w:cs="Times New Roman"/>
          <w:sz w:val="28"/>
          <w:szCs w:val="28"/>
        </w:rPr>
      </w:pP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Figure 4: Showing cumulative frequency chart for seven days of toxin administration</w:t>
      </w:r>
    </w:p>
    <w:p w:rsidR="00697F4F" w:rsidRDefault="00697F4F" w:rsidP="00697F4F">
      <w:pPr>
        <w:spacing w:line="480" w:lineRule="auto"/>
        <w:jc w:val="both"/>
        <w:rPr>
          <w:rFonts w:ascii="Times New Roman" w:hAnsi="Times New Roman" w:cs="Times New Roman"/>
          <w:sz w:val="28"/>
          <w:szCs w:val="28"/>
        </w:rPr>
      </w:pPr>
      <w:r>
        <w:rPr>
          <w:noProof/>
        </w:rPr>
        <w:drawing>
          <wp:inline distT="0" distB="0" distL="0" distR="0" wp14:anchorId="0C288E66" wp14:editId="0AEB8499">
            <wp:extent cx="5955957" cy="3052119"/>
            <wp:effectExtent l="0" t="0" r="26035" b="1524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97F4F" w:rsidRDefault="00697F4F" w:rsidP="00697F4F">
      <w:pPr>
        <w:spacing w:line="480" w:lineRule="auto"/>
        <w:jc w:val="both"/>
        <w:rPr>
          <w:rFonts w:ascii="Times New Roman" w:hAnsi="Times New Roman" w:cs="Times New Roman"/>
          <w:sz w:val="28"/>
          <w:szCs w:val="28"/>
        </w:rPr>
      </w:pPr>
    </w:p>
    <w:p w:rsidR="00697F4F" w:rsidRDefault="00697F4F" w:rsidP="00697F4F">
      <w:pPr>
        <w:spacing w:line="480" w:lineRule="auto"/>
        <w:jc w:val="both"/>
        <w:rPr>
          <w:rFonts w:ascii="Times New Roman" w:hAnsi="Times New Roman" w:cs="Times New Roman"/>
          <w:sz w:val="28"/>
          <w:szCs w:val="28"/>
        </w:rPr>
      </w:pPr>
    </w:p>
    <w:tbl>
      <w:tblPr>
        <w:tblStyle w:val="TableGrid"/>
        <w:tblpPr w:leftFromText="180" w:rightFromText="180" w:vertAnchor="text" w:horzAnchor="margin" w:tblpXSpec="center" w:tblpY="846"/>
        <w:tblW w:w="1091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2108"/>
        <w:gridCol w:w="3176"/>
        <w:gridCol w:w="2134"/>
        <w:gridCol w:w="2257"/>
      </w:tblGrid>
      <w:tr w:rsidR="00697F4F" w:rsidTr="008553C3">
        <w:trPr>
          <w:trHeight w:val="621"/>
        </w:trPr>
        <w:tc>
          <w:tcPr>
            <w:tcW w:w="1242" w:type="dxa"/>
            <w:tcBorders>
              <w:bottom w:val="single" w:sz="4" w:space="0" w:color="auto"/>
            </w:tcBorders>
          </w:tcPr>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 xml:space="preserve">Rat ID </w:t>
            </w:r>
          </w:p>
        </w:tc>
        <w:tc>
          <w:tcPr>
            <w:tcW w:w="2108" w:type="dxa"/>
            <w:tcBorders>
              <w:bottom w:val="single" w:sz="4" w:space="0" w:color="auto"/>
            </w:tcBorders>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 xml:space="preserve">Intestine </w:t>
            </w:r>
          </w:p>
        </w:tc>
        <w:tc>
          <w:tcPr>
            <w:tcW w:w="3176" w:type="dxa"/>
            <w:tcBorders>
              <w:bottom w:val="single" w:sz="4" w:space="0" w:color="auto"/>
            </w:tcBorders>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 xml:space="preserve">Liver </w:t>
            </w:r>
          </w:p>
        </w:tc>
        <w:tc>
          <w:tcPr>
            <w:tcW w:w="2134" w:type="dxa"/>
            <w:tcBorders>
              <w:bottom w:val="single" w:sz="4" w:space="0" w:color="auto"/>
            </w:tcBorders>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 xml:space="preserve">Kidney </w:t>
            </w:r>
          </w:p>
        </w:tc>
        <w:tc>
          <w:tcPr>
            <w:tcW w:w="2257" w:type="dxa"/>
            <w:tcBorders>
              <w:bottom w:val="single" w:sz="4" w:space="0" w:color="auto"/>
            </w:tcBorders>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 xml:space="preserve">Heart </w:t>
            </w:r>
          </w:p>
        </w:tc>
      </w:tr>
      <w:tr w:rsidR="00697F4F" w:rsidTr="008553C3">
        <w:trPr>
          <w:trHeight w:val="310"/>
        </w:trPr>
        <w:tc>
          <w:tcPr>
            <w:tcW w:w="1242" w:type="dxa"/>
            <w:tcBorders>
              <w:top w:val="single" w:sz="4" w:space="0" w:color="auto"/>
            </w:tcBorders>
          </w:tcPr>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 xml:space="preserve">Blue </w:t>
            </w:r>
          </w:p>
        </w:tc>
        <w:tc>
          <w:tcPr>
            <w:tcW w:w="2108" w:type="dxa"/>
            <w:tcBorders>
              <w:top w:val="single" w:sz="4" w:space="0" w:color="auto"/>
            </w:tcBorders>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Darkened</w:t>
            </w:r>
          </w:p>
        </w:tc>
        <w:tc>
          <w:tcPr>
            <w:tcW w:w="3176" w:type="dxa"/>
            <w:tcBorders>
              <w:top w:val="single" w:sz="4" w:space="0" w:color="auto"/>
            </w:tcBorders>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Discoloration.</w:t>
            </w:r>
          </w:p>
        </w:tc>
        <w:tc>
          <w:tcPr>
            <w:tcW w:w="2134" w:type="dxa"/>
            <w:tcBorders>
              <w:top w:val="single" w:sz="4" w:space="0" w:color="auto"/>
            </w:tcBorders>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Borders>
              <w:top w:val="single" w:sz="4" w:space="0" w:color="auto"/>
            </w:tcBorders>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Darkened</w:t>
            </w:r>
          </w:p>
        </w:tc>
      </w:tr>
      <w:tr w:rsidR="00697F4F" w:rsidTr="008553C3">
        <w:trPr>
          <w:trHeight w:val="310"/>
        </w:trPr>
        <w:tc>
          <w:tcPr>
            <w:tcW w:w="1242" w:type="dxa"/>
          </w:tcPr>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Red</w:t>
            </w:r>
          </w:p>
        </w:tc>
        <w:tc>
          <w:tcPr>
            <w:tcW w:w="2108" w:type="dxa"/>
          </w:tcPr>
          <w:p w:rsidR="00697F4F" w:rsidRDefault="00697F4F" w:rsidP="008553C3">
            <w:pPr>
              <w:jc w:val="center"/>
              <w:rPr>
                <w:rFonts w:ascii="Times New Roman" w:hAnsi="Times New Roman" w:cs="Times New Roman"/>
                <w:sz w:val="28"/>
                <w:szCs w:val="28"/>
              </w:rPr>
            </w:pPr>
            <w:proofErr w:type="spellStart"/>
            <w:r>
              <w:rPr>
                <w:rFonts w:ascii="Times New Roman" w:hAnsi="Times New Roman" w:cs="Times New Roman"/>
                <w:sz w:val="28"/>
                <w:szCs w:val="28"/>
              </w:rPr>
              <w:t>Bloching</w:t>
            </w:r>
            <w:proofErr w:type="spellEnd"/>
          </w:p>
        </w:tc>
        <w:tc>
          <w:tcPr>
            <w:tcW w:w="3176" w:type="dxa"/>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r>
      <w:tr w:rsidR="00697F4F" w:rsidTr="008553C3">
        <w:trPr>
          <w:trHeight w:val="635"/>
        </w:trPr>
        <w:tc>
          <w:tcPr>
            <w:tcW w:w="1242" w:type="dxa"/>
          </w:tcPr>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Green</w:t>
            </w:r>
          </w:p>
        </w:tc>
        <w:tc>
          <w:tcPr>
            <w:tcW w:w="2108" w:type="dxa"/>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Intensely darkened</w:t>
            </w:r>
          </w:p>
        </w:tc>
        <w:tc>
          <w:tcPr>
            <w:tcW w:w="2134" w:type="dxa"/>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Enlarged pigment</w:t>
            </w:r>
          </w:p>
        </w:tc>
        <w:tc>
          <w:tcPr>
            <w:tcW w:w="2257" w:type="dxa"/>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Mottling</w:t>
            </w:r>
          </w:p>
        </w:tc>
      </w:tr>
      <w:tr w:rsidR="00697F4F" w:rsidTr="008553C3">
        <w:trPr>
          <w:trHeight w:val="310"/>
        </w:trPr>
        <w:tc>
          <w:tcPr>
            <w:tcW w:w="1242" w:type="dxa"/>
          </w:tcPr>
          <w:p w:rsidR="00697F4F" w:rsidRDefault="00697F4F" w:rsidP="008553C3">
            <w:pPr>
              <w:rPr>
                <w:rFonts w:ascii="Times New Roman" w:hAnsi="Times New Roman" w:cs="Times New Roman"/>
                <w:sz w:val="28"/>
                <w:szCs w:val="28"/>
              </w:rPr>
            </w:pPr>
            <w:r>
              <w:rPr>
                <w:rFonts w:ascii="Times New Roman" w:hAnsi="Times New Roman" w:cs="Times New Roman"/>
                <w:sz w:val="28"/>
                <w:szCs w:val="28"/>
              </w:rPr>
              <w:t>Black</w:t>
            </w:r>
          </w:p>
        </w:tc>
        <w:tc>
          <w:tcPr>
            <w:tcW w:w="2108" w:type="dxa"/>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Mottling</w:t>
            </w:r>
          </w:p>
        </w:tc>
        <w:tc>
          <w:tcPr>
            <w:tcW w:w="3176" w:type="dxa"/>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2134" w:type="dxa"/>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c>
          <w:tcPr>
            <w:tcW w:w="2257" w:type="dxa"/>
          </w:tcPr>
          <w:p w:rsidR="00697F4F" w:rsidRDefault="00697F4F" w:rsidP="008553C3">
            <w:pPr>
              <w:jc w:val="center"/>
              <w:rPr>
                <w:rFonts w:ascii="Times New Roman" w:hAnsi="Times New Roman" w:cs="Times New Roman"/>
                <w:sz w:val="28"/>
                <w:szCs w:val="28"/>
              </w:rPr>
            </w:pPr>
            <w:r>
              <w:rPr>
                <w:rFonts w:ascii="Times New Roman" w:hAnsi="Times New Roman" w:cs="Times New Roman"/>
                <w:sz w:val="28"/>
                <w:szCs w:val="28"/>
              </w:rPr>
              <w:t>Normal</w:t>
            </w:r>
          </w:p>
        </w:tc>
      </w:tr>
    </w:tbl>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3.3Post-Mortem Gross Pathological Findings</w:t>
      </w:r>
    </w:p>
    <w:p w:rsidR="00697F4F" w:rsidRDefault="00697F4F" w:rsidP="00697F4F">
      <w:pPr>
        <w:spacing w:line="480" w:lineRule="auto"/>
        <w:jc w:val="both"/>
        <w:rPr>
          <w:rFonts w:ascii="Times New Roman" w:hAnsi="Times New Roman" w:cs="Times New Roman"/>
          <w:sz w:val="28"/>
          <w:szCs w:val="28"/>
        </w:rPr>
      </w:pPr>
    </w:p>
    <w:p w:rsidR="00697F4F" w:rsidRDefault="00697F4F" w:rsidP="00697F4F">
      <w:pPr>
        <w:spacing w:line="480" w:lineRule="auto"/>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64384" behindDoc="0" locked="0" layoutInCell="1" allowOverlap="1" wp14:anchorId="084A9523" wp14:editId="304811FE">
            <wp:simplePos x="0" y="0"/>
            <wp:positionH relativeFrom="column">
              <wp:posOffset>4283689</wp:posOffset>
            </wp:positionH>
            <wp:positionV relativeFrom="paragraph">
              <wp:posOffset>795746</wp:posOffset>
            </wp:positionV>
            <wp:extent cx="1494133" cy="2136161"/>
            <wp:effectExtent l="19050" t="0" r="0" b="0"/>
            <wp:wrapNone/>
            <wp:docPr id="1047650489" name="Picture 5"/>
            <wp:cNvGraphicFramePr/>
            <a:graphic xmlns:a="http://schemas.openxmlformats.org/drawingml/2006/main">
              <a:graphicData uri="http://schemas.openxmlformats.org/drawingml/2006/picture">
                <pic:pic xmlns:pic="http://schemas.openxmlformats.org/drawingml/2006/picture">
                  <pic:nvPicPr>
                    <pic:cNvPr id="1047650489" name="Picture 5"/>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494133" cy="2136161"/>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63360" behindDoc="0" locked="0" layoutInCell="1" allowOverlap="1" wp14:anchorId="57E7128A" wp14:editId="56BF2D18">
            <wp:simplePos x="0" y="0"/>
            <wp:positionH relativeFrom="column">
              <wp:posOffset>2654674</wp:posOffset>
            </wp:positionH>
            <wp:positionV relativeFrom="paragraph">
              <wp:posOffset>795746</wp:posOffset>
            </wp:positionV>
            <wp:extent cx="1421738" cy="2043953"/>
            <wp:effectExtent l="19050" t="0" r="7012" b="0"/>
            <wp:wrapNone/>
            <wp:docPr id="165500900" name="Picture 6"/>
            <wp:cNvGraphicFramePr/>
            <a:graphic xmlns:a="http://schemas.openxmlformats.org/drawingml/2006/main">
              <a:graphicData uri="http://schemas.openxmlformats.org/drawingml/2006/picture">
                <pic:pic xmlns:pic="http://schemas.openxmlformats.org/drawingml/2006/picture">
                  <pic:nvPicPr>
                    <pic:cNvPr id="165500900" name="Picture 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21738" cy="2043953"/>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62336" behindDoc="0" locked="0" layoutInCell="1" allowOverlap="1" wp14:anchorId="7F31E04F" wp14:editId="37773ACC">
            <wp:simplePos x="0" y="0"/>
            <wp:positionH relativeFrom="column">
              <wp:posOffset>1056395</wp:posOffset>
            </wp:positionH>
            <wp:positionV relativeFrom="paragraph">
              <wp:posOffset>795746</wp:posOffset>
            </wp:positionV>
            <wp:extent cx="1494133" cy="2043953"/>
            <wp:effectExtent l="19050" t="0" r="0" b="0"/>
            <wp:wrapNone/>
            <wp:docPr id="2025919904" name="Picture 4"/>
            <wp:cNvGraphicFramePr/>
            <a:graphic xmlns:a="http://schemas.openxmlformats.org/drawingml/2006/main">
              <a:graphicData uri="http://schemas.openxmlformats.org/drawingml/2006/picture">
                <pic:pic xmlns:pic="http://schemas.openxmlformats.org/drawingml/2006/picture">
                  <pic:nvPicPr>
                    <pic:cNvPr id="2025919904" name="Picture 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94133" cy="2043953"/>
                    </a:xfrm>
                    <a:prstGeom prst="rect">
                      <a:avLst/>
                    </a:prstGeom>
                  </pic:spPr>
                </pic:pic>
              </a:graphicData>
            </a:graphic>
          </wp:anchor>
        </w:drawing>
      </w:r>
      <w:r>
        <w:rPr>
          <w:rFonts w:ascii="Times New Roman" w:hAnsi="Times New Roman" w:cs="Times New Roman"/>
          <w:noProof/>
          <w:sz w:val="28"/>
          <w:szCs w:val="28"/>
        </w:rPr>
        <w:drawing>
          <wp:anchor distT="0" distB="0" distL="114300" distR="114300" simplePos="0" relativeHeight="251661312" behindDoc="0" locked="0" layoutInCell="1" allowOverlap="1" wp14:anchorId="741786F0" wp14:editId="45A0956E">
            <wp:simplePos x="0" y="0"/>
            <wp:positionH relativeFrom="column">
              <wp:posOffset>-564937</wp:posOffset>
            </wp:positionH>
            <wp:positionV relativeFrom="paragraph">
              <wp:posOffset>795746</wp:posOffset>
            </wp:positionV>
            <wp:extent cx="1517821" cy="2043953"/>
            <wp:effectExtent l="19050" t="0" r="6179" b="0"/>
            <wp:wrapNone/>
            <wp:docPr id="672434617" name="Picture 3"/>
            <wp:cNvGraphicFramePr/>
            <a:graphic xmlns:a="http://schemas.openxmlformats.org/drawingml/2006/main">
              <a:graphicData uri="http://schemas.openxmlformats.org/drawingml/2006/picture">
                <pic:pic xmlns:pic="http://schemas.openxmlformats.org/drawingml/2006/picture">
                  <pic:nvPicPr>
                    <pic:cNvPr id="672434617"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17821" cy="2043953"/>
                    </a:xfrm>
                    <a:prstGeom prst="rect">
                      <a:avLst/>
                    </a:prstGeom>
                  </pic:spPr>
                </pic:pic>
              </a:graphicData>
            </a:graphic>
          </wp:anchor>
        </w:drawing>
      </w:r>
      <w:r>
        <w:rPr>
          <w:rFonts w:ascii="Times New Roman" w:hAnsi="Times New Roman" w:cs="Times New Roman"/>
          <w:sz w:val="28"/>
          <w:szCs w:val="28"/>
        </w:rPr>
        <w:t>Figure 4: Dissected rats showing effects of fungal toxin (</w:t>
      </w:r>
      <w:proofErr w:type="spellStart"/>
      <w:r w:rsidRPr="00045B4C">
        <w:rPr>
          <w:rFonts w:ascii="Times New Roman" w:hAnsi="Times New Roman" w:cs="Times New Roman"/>
          <w:i/>
          <w:sz w:val="28"/>
          <w:szCs w:val="28"/>
        </w:rPr>
        <w:t>Penicillium</w:t>
      </w:r>
      <w:proofErr w:type="spellEnd"/>
      <w:r w:rsidRPr="00045B4C">
        <w:rPr>
          <w:rFonts w:ascii="Times New Roman" w:hAnsi="Times New Roman" w:cs="Times New Roman"/>
          <w:i/>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on internal organs</w:t>
      </w:r>
    </w:p>
    <w:p w:rsidR="00697F4F" w:rsidRDefault="00697F4F" w:rsidP="00697F4F">
      <w:pPr>
        <w:spacing w:line="480" w:lineRule="auto"/>
        <w:rPr>
          <w:rFonts w:ascii="Times New Roman" w:hAnsi="Times New Roman" w:cs="Times New Roman"/>
          <w:sz w:val="28"/>
          <w:szCs w:val="28"/>
        </w:rPr>
      </w:pPr>
    </w:p>
    <w:p w:rsidR="00697F4F" w:rsidRDefault="00697F4F" w:rsidP="00697F4F">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p>
    <w:p w:rsidR="00697F4F" w:rsidRDefault="00697F4F" w:rsidP="00697F4F">
      <w:pPr>
        <w:spacing w:line="480" w:lineRule="auto"/>
        <w:jc w:val="both"/>
        <w:rPr>
          <w:rFonts w:ascii="Times New Roman" w:hAnsi="Times New Roman" w:cs="Times New Roman"/>
          <w:sz w:val="28"/>
          <w:szCs w:val="28"/>
        </w:rPr>
      </w:pPr>
    </w:p>
    <w:p w:rsidR="00697F4F" w:rsidRDefault="00697F4F" w:rsidP="00697F4F">
      <w:pPr>
        <w:spacing w:line="480" w:lineRule="auto"/>
        <w:jc w:val="both"/>
        <w:rPr>
          <w:rFonts w:ascii="Times New Roman" w:hAnsi="Times New Roman" w:cs="Times New Roman"/>
          <w:sz w:val="28"/>
          <w:szCs w:val="28"/>
        </w:rPr>
      </w:pPr>
    </w:p>
    <w:p w:rsidR="00697F4F" w:rsidRDefault="00697F4F" w:rsidP="00697F4F">
      <w:pPr>
        <w:spacing w:line="480" w:lineRule="auto"/>
        <w:jc w:val="both"/>
        <w:rPr>
          <w:rFonts w:ascii="Times New Roman" w:hAnsi="Times New Roman" w:cs="Times New Roman"/>
          <w:sz w:val="28"/>
          <w:szCs w:val="28"/>
        </w:rPr>
      </w:pPr>
    </w:p>
    <w:p w:rsidR="00697F4F" w:rsidRDefault="00697F4F" w:rsidP="00697F4F">
      <w:pPr>
        <w:spacing w:line="480" w:lineRule="auto"/>
        <w:jc w:val="center"/>
        <w:rPr>
          <w:rFonts w:ascii="Times New Roman" w:hAnsi="Times New Roman" w:cs="Times New Roman"/>
          <w:sz w:val="28"/>
          <w:szCs w:val="28"/>
        </w:rPr>
      </w:pPr>
    </w:p>
    <w:p w:rsidR="00697F4F" w:rsidRDefault="00697F4F" w:rsidP="00697F4F">
      <w:pPr>
        <w:spacing w:line="480" w:lineRule="auto"/>
        <w:jc w:val="center"/>
        <w:rPr>
          <w:rFonts w:ascii="Times New Roman" w:hAnsi="Times New Roman" w:cs="Times New Roman"/>
          <w:sz w:val="28"/>
          <w:szCs w:val="28"/>
        </w:rPr>
      </w:pPr>
    </w:p>
    <w:p w:rsidR="00697F4F" w:rsidRDefault="00697F4F" w:rsidP="00697F4F">
      <w:pPr>
        <w:spacing w:line="480" w:lineRule="auto"/>
        <w:jc w:val="center"/>
        <w:rPr>
          <w:rFonts w:ascii="Times New Roman" w:hAnsi="Times New Roman" w:cs="Times New Roman"/>
          <w:sz w:val="28"/>
          <w:szCs w:val="28"/>
        </w:rPr>
      </w:pPr>
    </w:p>
    <w:p w:rsidR="00697F4F" w:rsidRDefault="00697F4F" w:rsidP="00697F4F">
      <w:pPr>
        <w:spacing w:line="480" w:lineRule="auto"/>
        <w:jc w:val="center"/>
        <w:rPr>
          <w:rFonts w:ascii="Times New Roman" w:hAnsi="Times New Roman" w:cs="Times New Roman"/>
          <w:sz w:val="28"/>
          <w:szCs w:val="28"/>
        </w:rPr>
      </w:pPr>
    </w:p>
    <w:p w:rsidR="00697F4F" w:rsidRDefault="00697F4F" w:rsidP="00697F4F">
      <w:pPr>
        <w:spacing w:line="480" w:lineRule="auto"/>
        <w:jc w:val="center"/>
        <w:rPr>
          <w:rFonts w:ascii="Times New Roman" w:hAnsi="Times New Roman" w:cs="Times New Roman"/>
          <w:sz w:val="28"/>
          <w:szCs w:val="28"/>
        </w:rPr>
      </w:pPr>
    </w:p>
    <w:p w:rsidR="00697F4F" w:rsidRDefault="00697F4F" w:rsidP="00697F4F">
      <w:pPr>
        <w:spacing w:line="480" w:lineRule="auto"/>
        <w:jc w:val="center"/>
        <w:rPr>
          <w:rFonts w:ascii="Times New Roman" w:hAnsi="Times New Roman" w:cs="Times New Roman"/>
          <w:sz w:val="28"/>
          <w:szCs w:val="28"/>
        </w:rPr>
      </w:pPr>
    </w:p>
    <w:p w:rsidR="00697F4F" w:rsidRDefault="00697F4F" w:rsidP="00697F4F">
      <w:pPr>
        <w:spacing w:line="480" w:lineRule="auto"/>
        <w:jc w:val="center"/>
        <w:rPr>
          <w:rFonts w:ascii="Times New Roman" w:hAnsi="Times New Roman" w:cs="Times New Roman"/>
          <w:sz w:val="28"/>
          <w:szCs w:val="28"/>
        </w:rPr>
      </w:pPr>
    </w:p>
    <w:p w:rsidR="00697F4F" w:rsidRDefault="00697F4F" w:rsidP="00697F4F">
      <w:pPr>
        <w:spacing w:line="480" w:lineRule="auto"/>
        <w:jc w:val="center"/>
        <w:rPr>
          <w:rFonts w:ascii="Times New Roman" w:hAnsi="Times New Roman" w:cs="Times New Roman"/>
          <w:sz w:val="28"/>
          <w:szCs w:val="28"/>
        </w:rPr>
      </w:pPr>
      <w:r>
        <w:rPr>
          <w:rFonts w:ascii="Times New Roman" w:hAnsi="Times New Roman" w:cs="Times New Roman"/>
          <w:sz w:val="28"/>
          <w:szCs w:val="28"/>
        </w:rPr>
        <w:t>CHAPTER FOUR</w:t>
      </w:r>
    </w:p>
    <w:p w:rsidR="00697F4F" w:rsidRPr="00EC2D00"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4.0 Discussion and Conclusion </w:t>
      </w:r>
    </w:p>
    <w:p w:rsidR="00697F4F" w:rsidRPr="00C879C5"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4.1 Discussion</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present study investigated the toxicological impact of </w:t>
      </w:r>
      <w:proofErr w:type="spellStart"/>
      <w:r w:rsidRPr="0062308E">
        <w:rPr>
          <w:rFonts w:ascii="Times New Roman" w:hAnsi="Times New Roman" w:cs="Times New Roman"/>
          <w:i/>
          <w:iCs/>
          <w:sz w:val="28"/>
          <w:szCs w:val="28"/>
        </w:rPr>
        <w:t>Penicillium</w:t>
      </w:r>
      <w:proofErr w:type="spellEnd"/>
      <w:r w:rsidRPr="0062308E">
        <w:rPr>
          <w:rFonts w:ascii="Times New Roman" w:hAnsi="Times New Roman" w:cs="Times New Roman"/>
          <w:i/>
          <w:iCs/>
          <w:sz w:val="28"/>
          <w:szCs w:val="28"/>
        </w:rPr>
        <w:t xml:space="preserve"> </w:t>
      </w:r>
      <w:proofErr w:type="spellStart"/>
      <w:r w:rsidRPr="0062308E">
        <w:rPr>
          <w:rFonts w:ascii="Times New Roman" w:hAnsi="Times New Roman" w:cs="Times New Roman"/>
          <w:i/>
          <w:iCs/>
          <w:sz w:val="28"/>
          <w:szCs w:val="28"/>
        </w:rPr>
        <w:t>expansum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toxin on albino rats, combining fungal identification with in vivo experimentation. Observations were systematically recorded, and both macroscopic and microscopic features of the fungal isolate were evaluated, alongside behavioral, physiological, and pathological changes in the rats. The behavioral and physical effects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on the rats over seven days are presented in Table 2, supported by the cumulative trends in Figure 3. The effects were clearly dose-dependent, with more severe symptoms in rats exposed to higher </w:t>
      </w:r>
      <w:proofErr w:type="spellStart"/>
      <w:r>
        <w:rPr>
          <w:rFonts w:ascii="Times New Roman" w:hAnsi="Times New Roman" w:cs="Times New Roman"/>
          <w:sz w:val="28"/>
          <w:szCs w:val="28"/>
        </w:rPr>
        <w:t>concentrations.The</w:t>
      </w:r>
      <w:proofErr w:type="spellEnd"/>
      <w:r>
        <w:rPr>
          <w:rFonts w:ascii="Times New Roman" w:hAnsi="Times New Roman" w:cs="Times New Roman"/>
          <w:sz w:val="28"/>
          <w:szCs w:val="28"/>
        </w:rPr>
        <w:t xml:space="preserve"> blue-coded rat (100% toxin concentration) showed progressive weight loss (from 134g to 124g), increased dullness, fur degradation, and feeding reduction. The rat also developed sunken eyes and signs of dehydration by day 5 and 6. This aligns with Wang et al. (2020) who reported rapid onset of systemic toxicity and reduced food intake in rats exposed to high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concentrations. Similar signs were noted in </w:t>
      </w:r>
      <w:proofErr w:type="spellStart"/>
      <w:r>
        <w:rPr>
          <w:rFonts w:ascii="Times New Roman" w:hAnsi="Times New Roman" w:cs="Times New Roman"/>
          <w:sz w:val="28"/>
          <w:szCs w:val="28"/>
        </w:rPr>
        <w:t>Pfohl-Leszkowicz</w:t>
      </w:r>
      <w:proofErr w:type="spellEnd"/>
      <w:r>
        <w:rPr>
          <w:rFonts w:ascii="Times New Roman" w:hAnsi="Times New Roman" w:cs="Times New Roman"/>
          <w:sz w:val="28"/>
          <w:szCs w:val="28"/>
        </w:rPr>
        <w:t xml:space="preserve"> &amp; </w:t>
      </w:r>
      <w:proofErr w:type="spellStart"/>
      <w:r>
        <w:rPr>
          <w:rFonts w:ascii="Times New Roman" w:hAnsi="Times New Roman" w:cs="Times New Roman"/>
          <w:sz w:val="28"/>
          <w:szCs w:val="28"/>
        </w:rPr>
        <w:t>Manderville</w:t>
      </w:r>
      <w:proofErr w:type="spellEnd"/>
      <w:r>
        <w:rPr>
          <w:rFonts w:ascii="Times New Roman" w:hAnsi="Times New Roman" w:cs="Times New Roman"/>
          <w:sz w:val="28"/>
          <w:szCs w:val="28"/>
        </w:rPr>
        <w:t xml:space="preserve"> (2020), where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induced oxidative stress and neurobehavioral changes in </w:t>
      </w:r>
      <w:proofErr w:type="spellStart"/>
      <w:r>
        <w:rPr>
          <w:rFonts w:ascii="Times New Roman" w:hAnsi="Times New Roman" w:cs="Times New Roman"/>
          <w:sz w:val="28"/>
          <w:szCs w:val="28"/>
        </w:rPr>
        <w:t>rodents.The</w:t>
      </w:r>
      <w:proofErr w:type="spellEnd"/>
      <w:r>
        <w:rPr>
          <w:rFonts w:ascii="Times New Roman" w:hAnsi="Times New Roman" w:cs="Times New Roman"/>
          <w:sz w:val="28"/>
          <w:szCs w:val="28"/>
        </w:rPr>
        <w:t xml:space="preserve"> red-coded rat (80% concentration) also displayed marked toxicity, including lethargy, sunken eyes, and ataxia. Its weight dropped from 108g to 100g by day 6. These outcomes reflect those of Escobar et al. (2020), who observed neurological impairments and liver stress in rats at medium-dose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exposures.In</w:t>
      </w:r>
      <w:proofErr w:type="spellEnd"/>
      <w:r>
        <w:rPr>
          <w:rFonts w:ascii="Times New Roman" w:hAnsi="Times New Roman" w:cs="Times New Roman"/>
          <w:sz w:val="28"/>
          <w:szCs w:val="28"/>
        </w:rPr>
        <w:t xml:space="preserve"> the green-coded rat (60% concentration), weight reduction was milder (139g to 131g), with dullness and fur less shiny observed toward the end of the study. The symptoms were relatively delayed compared to higher doses. Kim et al. (2019) had reported similar subtle yet significant signs of gastrointestinal and hepatic dysfunction at intermediate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exposure </w:t>
      </w:r>
      <w:proofErr w:type="spellStart"/>
      <w:r>
        <w:rPr>
          <w:rFonts w:ascii="Times New Roman" w:hAnsi="Times New Roman" w:cs="Times New Roman"/>
          <w:sz w:val="28"/>
          <w:szCs w:val="28"/>
        </w:rPr>
        <w:t>levels.The</w:t>
      </w:r>
      <w:proofErr w:type="spellEnd"/>
      <w:r>
        <w:rPr>
          <w:rFonts w:ascii="Times New Roman" w:hAnsi="Times New Roman" w:cs="Times New Roman"/>
          <w:sz w:val="28"/>
          <w:szCs w:val="28"/>
        </w:rPr>
        <w:t xml:space="preserve"> black-coded rat (50% concentration) maintained a stable condition throughout. No significant behavioral, ocular, or weight changes were observed, consistent with findings by </w:t>
      </w:r>
      <w:proofErr w:type="spellStart"/>
      <w:r>
        <w:rPr>
          <w:rFonts w:ascii="Times New Roman" w:hAnsi="Times New Roman" w:cs="Times New Roman"/>
          <w:sz w:val="28"/>
          <w:szCs w:val="28"/>
        </w:rPr>
        <w:t>Moake</w:t>
      </w:r>
      <w:proofErr w:type="spellEnd"/>
      <w:r>
        <w:rPr>
          <w:rFonts w:ascii="Times New Roman" w:hAnsi="Times New Roman" w:cs="Times New Roman"/>
          <w:sz w:val="28"/>
          <w:szCs w:val="28"/>
        </w:rPr>
        <w:t xml:space="preserve"> et al. (2005), who noted that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concentrations below regulatory limits often result in negligible short-term toxicity, though chronic effects remain a concern. The post-mortem examination, detailed in Table 3 and illustrated in Figure 4, revealed clear organ-level damage correlating with toxin concentration. The 100%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rat (Blue) exhibited darkened intestines and heart, and discolored liver, indicating severe systemic toxicity. These findings echo the work of </w:t>
      </w:r>
      <w:proofErr w:type="spellStart"/>
      <w:r>
        <w:rPr>
          <w:rFonts w:ascii="Times New Roman" w:hAnsi="Times New Roman" w:cs="Times New Roman"/>
          <w:sz w:val="28"/>
          <w:szCs w:val="28"/>
        </w:rPr>
        <w:t>Puel</w:t>
      </w:r>
      <w:proofErr w:type="spellEnd"/>
      <w:r>
        <w:rPr>
          <w:rFonts w:ascii="Times New Roman" w:hAnsi="Times New Roman" w:cs="Times New Roman"/>
          <w:sz w:val="28"/>
          <w:szCs w:val="28"/>
        </w:rPr>
        <w:t xml:space="preserve"> et al. (2018) and Riley &amp; </w:t>
      </w:r>
      <w:proofErr w:type="spellStart"/>
      <w:r>
        <w:rPr>
          <w:rFonts w:ascii="Times New Roman" w:hAnsi="Times New Roman" w:cs="Times New Roman"/>
          <w:sz w:val="28"/>
          <w:szCs w:val="28"/>
        </w:rPr>
        <w:t>Norred</w:t>
      </w:r>
      <w:proofErr w:type="spellEnd"/>
      <w:r>
        <w:rPr>
          <w:rFonts w:ascii="Times New Roman" w:hAnsi="Times New Roman" w:cs="Times New Roman"/>
          <w:sz w:val="28"/>
          <w:szCs w:val="28"/>
        </w:rPr>
        <w:t xml:space="preserve"> (2018), who found that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induces vascular and hepatic degeneration at high </w:t>
      </w:r>
      <w:proofErr w:type="spellStart"/>
      <w:r>
        <w:rPr>
          <w:rFonts w:ascii="Times New Roman" w:hAnsi="Times New Roman" w:cs="Times New Roman"/>
          <w:sz w:val="28"/>
          <w:szCs w:val="28"/>
        </w:rPr>
        <w:t>doses.The</w:t>
      </w:r>
      <w:proofErr w:type="spellEnd"/>
      <w:r>
        <w:rPr>
          <w:rFonts w:ascii="Times New Roman" w:hAnsi="Times New Roman" w:cs="Times New Roman"/>
          <w:sz w:val="28"/>
          <w:szCs w:val="28"/>
        </w:rPr>
        <w:t xml:space="preserve"> 80% group (Red) presented with intestinal blotching, consistent with mild hemorrhagic enteritis, while major organs like liver, kidney, and heart appeared normal. Such localized damage supports earlier observations by Huang et al. (2022), who emphasized </w:t>
      </w:r>
      <w:proofErr w:type="spellStart"/>
      <w:r>
        <w:rPr>
          <w:rFonts w:ascii="Times New Roman" w:hAnsi="Times New Roman" w:cs="Times New Roman"/>
          <w:sz w:val="28"/>
          <w:szCs w:val="28"/>
        </w:rPr>
        <w:t>patulin’s</w:t>
      </w:r>
      <w:proofErr w:type="spellEnd"/>
      <w:r>
        <w:rPr>
          <w:rFonts w:ascii="Times New Roman" w:hAnsi="Times New Roman" w:cs="Times New Roman"/>
          <w:sz w:val="28"/>
          <w:szCs w:val="28"/>
        </w:rPr>
        <w:t xml:space="preserve"> direct impact on the intestinal barrier and its pro-inflammatory effects. The 60% group (Green) had mottled intestines, a deeply pigmented and enlarged kidney, and darkened liver, showing significant internal stress. These findings suggest multi-organ involvement even at submaximal concentrations, in line with the hepatotoxic and nephrotoxic findings of Li et al. (2020).In contrast, the 50% group (Black) had only mild intestinal mottling and no significant abnormalities in liver, kidney, or heart. This suggests that lower doses fall below the acute toxicity threshold, aligning with EFSA (2017) regulatory standards that define 50µg/kg as the safe limit for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 food</w:t>
      </w:r>
    </w:p>
    <w:p w:rsidR="00697F4F" w:rsidRDefault="00697F4F" w:rsidP="00697F4F">
      <w:pPr>
        <w:spacing w:line="480" w:lineRule="auto"/>
        <w:jc w:val="both"/>
        <w:rPr>
          <w:rFonts w:ascii="Times New Roman" w:hAnsi="Times New Roman" w:cs="Times New Roman"/>
          <w:sz w:val="28"/>
          <w:szCs w:val="28"/>
        </w:rPr>
      </w:pP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4.2 CONCLUSION</w:t>
      </w:r>
    </w:p>
    <w:p w:rsidR="00697F4F" w:rsidRDefault="00697F4F" w:rsidP="00697F4F">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study confirms </w:t>
      </w:r>
      <w:proofErr w:type="spellStart"/>
      <w:r>
        <w:rPr>
          <w:rFonts w:ascii="Times New Roman" w:hAnsi="Times New Roman" w:cs="Times New Roman"/>
          <w:sz w:val="28"/>
          <w:szCs w:val="28"/>
        </w:rPr>
        <w:t>patulin’s</w:t>
      </w:r>
      <w:proofErr w:type="spellEnd"/>
      <w:r>
        <w:rPr>
          <w:rFonts w:ascii="Times New Roman" w:hAnsi="Times New Roman" w:cs="Times New Roman"/>
          <w:sz w:val="28"/>
          <w:szCs w:val="28"/>
        </w:rPr>
        <w:t xml:space="preserve"> toxic effects in albino rats, revealing dose-dependent weight loss, behavioral changes, and organ damage. The results align with previous studies, emphasizing the need for strict monitoring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 food products to safeguard public health and prevent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-related complications in humans and animals.</w:t>
      </w:r>
    </w:p>
    <w:p w:rsidR="00697F4F" w:rsidRDefault="00697F4F" w:rsidP="00697F4F">
      <w:pPr>
        <w:spacing w:line="480" w:lineRule="auto"/>
        <w:jc w:val="both"/>
        <w:rPr>
          <w:rFonts w:ascii="Times New Roman" w:hAnsi="Times New Roman" w:cs="Times New Roman"/>
          <w:sz w:val="28"/>
          <w:szCs w:val="28"/>
        </w:rPr>
      </w:pPr>
    </w:p>
    <w:p w:rsidR="00697F4F" w:rsidRDefault="00697F4F" w:rsidP="00697F4F">
      <w:pPr>
        <w:spacing w:line="480" w:lineRule="auto"/>
        <w:jc w:val="both"/>
        <w:rPr>
          <w:rFonts w:ascii="Times New Roman" w:hAnsi="Times New Roman" w:cs="Times New Roman"/>
          <w:sz w:val="28"/>
          <w:szCs w:val="28"/>
        </w:rPr>
      </w:pPr>
    </w:p>
    <w:p w:rsidR="00697F4F" w:rsidRDefault="00697F4F" w:rsidP="00697F4F">
      <w:pPr>
        <w:tabs>
          <w:tab w:val="left" w:pos="3444"/>
        </w:tabs>
        <w:spacing w:line="480" w:lineRule="auto"/>
        <w:jc w:val="both"/>
        <w:rPr>
          <w:rFonts w:ascii="Times New Roman" w:hAnsi="Times New Roman" w:cs="Times New Roman"/>
          <w:sz w:val="28"/>
          <w:szCs w:val="28"/>
        </w:rPr>
      </w:pPr>
    </w:p>
    <w:p w:rsidR="00697F4F" w:rsidRDefault="00697F4F" w:rsidP="00697F4F">
      <w:pPr>
        <w:tabs>
          <w:tab w:val="left" w:pos="3444"/>
        </w:tabs>
        <w:spacing w:line="480" w:lineRule="auto"/>
        <w:jc w:val="both"/>
        <w:rPr>
          <w:rFonts w:ascii="Times New Roman" w:hAnsi="Times New Roman" w:cs="Times New Roman"/>
          <w:sz w:val="28"/>
          <w:szCs w:val="28"/>
        </w:rPr>
      </w:pPr>
    </w:p>
    <w:p w:rsidR="00697F4F" w:rsidRDefault="00697F4F" w:rsidP="00697F4F">
      <w:pPr>
        <w:tabs>
          <w:tab w:val="left" w:pos="3444"/>
        </w:tabs>
        <w:spacing w:line="480" w:lineRule="auto"/>
        <w:jc w:val="both"/>
        <w:rPr>
          <w:rFonts w:ascii="Times New Roman" w:hAnsi="Times New Roman" w:cs="Times New Roman"/>
          <w:sz w:val="28"/>
          <w:szCs w:val="28"/>
        </w:rPr>
      </w:pPr>
    </w:p>
    <w:p w:rsidR="00697F4F" w:rsidRDefault="00697F4F" w:rsidP="00697F4F">
      <w:pPr>
        <w:tabs>
          <w:tab w:val="left" w:pos="3444"/>
        </w:tabs>
        <w:spacing w:line="480" w:lineRule="auto"/>
        <w:jc w:val="both"/>
        <w:rPr>
          <w:rFonts w:ascii="Times New Roman" w:hAnsi="Times New Roman" w:cs="Times New Roman"/>
          <w:sz w:val="28"/>
          <w:szCs w:val="28"/>
        </w:rPr>
      </w:pPr>
    </w:p>
    <w:p w:rsidR="00697F4F" w:rsidRDefault="00697F4F" w:rsidP="00697F4F">
      <w:pPr>
        <w:tabs>
          <w:tab w:val="left" w:pos="3444"/>
        </w:tabs>
        <w:spacing w:line="480" w:lineRule="auto"/>
        <w:jc w:val="both"/>
        <w:rPr>
          <w:rFonts w:ascii="Times New Roman" w:hAnsi="Times New Roman" w:cs="Times New Roman"/>
          <w:sz w:val="28"/>
          <w:szCs w:val="28"/>
        </w:rPr>
      </w:pPr>
    </w:p>
    <w:p w:rsidR="00697F4F" w:rsidRDefault="00697F4F" w:rsidP="00697F4F">
      <w:pPr>
        <w:tabs>
          <w:tab w:val="left" w:pos="3444"/>
        </w:tabs>
        <w:spacing w:line="480" w:lineRule="auto"/>
        <w:jc w:val="both"/>
        <w:rPr>
          <w:rFonts w:ascii="Times New Roman" w:hAnsi="Times New Roman" w:cs="Times New Roman"/>
          <w:sz w:val="28"/>
          <w:szCs w:val="28"/>
        </w:rPr>
      </w:pPr>
    </w:p>
    <w:p w:rsidR="00697F4F" w:rsidRDefault="00697F4F" w:rsidP="00697F4F">
      <w:pPr>
        <w:tabs>
          <w:tab w:val="left" w:pos="3444"/>
        </w:tabs>
        <w:spacing w:line="480" w:lineRule="auto"/>
        <w:jc w:val="both"/>
        <w:rPr>
          <w:rFonts w:ascii="Times New Roman" w:hAnsi="Times New Roman" w:cs="Times New Roman"/>
          <w:sz w:val="28"/>
          <w:szCs w:val="28"/>
        </w:rPr>
      </w:pPr>
    </w:p>
    <w:p w:rsidR="00697F4F" w:rsidRDefault="00697F4F" w:rsidP="00697F4F">
      <w:pPr>
        <w:spacing w:line="240" w:lineRule="auto"/>
        <w:jc w:val="center"/>
        <w:rPr>
          <w:rFonts w:ascii="Times New Roman" w:hAnsi="Times New Roman" w:cs="Times New Roman"/>
          <w:sz w:val="28"/>
          <w:szCs w:val="28"/>
        </w:rPr>
      </w:pPr>
      <w:r w:rsidRPr="00D10ECF">
        <w:rPr>
          <w:rFonts w:ascii="Times New Roman" w:hAnsi="Times New Roman" w:cs="Times New Roman"/>
          <w:b/>
          <w:sz w:val="28"/>
          <w:szCs w:val="28"/>
        </w:rPr>
        <w:t>REFERENCES</w:t>
      </w:r>
    </w:p>
    <w:p w:rsidR="00697F4F" w:rsidRDefault="00697F4F" w:rsidP="00697F4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Alshannaq</w:t>
      </w:r>
      <w:proofErr w:type="spellEnd"/>
      <w:r>
        <w:rPr>
          <w:rFonts w:ascii="Times New Roman" w:hAnsi="Times New Roman" w:cs="Times New Roman"/>
          <w:sz w:val="28"/>
          <w:szCs w:val="28"/>
        </w:rPr>
        <w:t xml:space="preserve">, A., &amp; Yu, J. H. (2017). Occurrence, toxicity, and analysis of major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in food. International Journal of Environmental Research and Public Health, 14(6), 632.</w:t>
      </w:r>
    </w:p>
    <w:p w:rsidR="00697F4F" w:rsidRDefault="00697F4F" w:rsidP="00697F4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Anderson, N. M., Lin, K., &amp; Zhang, B. (2017). Fungal contamination of fruits and its impact on food safety: A review. Food Microbiology, 68, 1-10</w:t>
      </w:r>
    </w:p>
    <w:p w:rsidR="00697F4F" w:rsidRPr="008B4208" w:rsidRDefault="00697F4F" w:rsidP="00697F4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Bonfante</w:t>
      </w:r>
      <w:proofErr w:type="spellEnd"/>
      <w:r>
        <w:rPr>
          <w:rFonts w:ascii="Times New Roman" w:hAnsi="Times New Roman" w:cs="Times New Roman"/>
          <w:sz w:val="28"/>
          <w:szCs w:val="28"/>
        </w:rPr>
        <w:t xml:space="preserve">, P., &amp; Genre, A. (2018). The </w:t>
      </w:r>
      <w:proofErr w:type="spellStart"/>
      <w:r>
        <w:rPr>
          <w:rFonts w:ascii="Times New Roman" w:hAnsi="Times New Roman" w:cs="Times New Roman"/>
          <w:sz w:val="28"/>
          <w:szCs w:val="28"/>
        </w:rPr>
        <w:t>arbuscular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mycorrhizal</w:t>
      </w:r>
      <w:proofErr w:type="spellEnd"/>
      <w:r>
        <w:rPr>
          <w:rFonts w:ascii="Times New Roman" w:hAnsi="Times New Roman" w:cs="Times New Roman"/>
          <w:sz w:val="28"/>
          <w:szCs w:val="28"/>
        </w:rPr>
        <w:t xml:space="preserve"> symbiosis: Origin and evolution of a beneficial plant-fungal interaction. Fungal Biology Reviews, 32(4), 193–205.</w:t>
      </w:r>
    </w:p>
    <w:p w:rsidR="00697F4F" w:rsidRDefault="00697F4F" w:rsidP="00697F4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Drusch</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Ragab</w:t>
      </w:r>
      <w:proofErr w:type="spellEnd"/>
      <w:r>
        <w:rPr>
          <w:rFonts w:ascii="Times New Roman" w:hAnsi="Times New Roman" w:cs="Times New Roman"/>
          <w:sz w:val="28"/>
          <w:szCs w:val="28"/>
        </w:rPr>
        <w:t xml:space="preserve">, W. (2021). Stability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 fruit juice processing and storage. Journal of Food Science and Technology, 58(4), 1550-1563.</w:t>
      </w:r>
    </w:p>
    <w:p w:rsidR="00697F4F" w:rsidRDefault="00697F4F" w:rsidP="00697F4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Escobar, I. E., Lopes, J. M., </w:t>
      </w:r>
      <w:proofErr w:type="spellStart"/>
      <w:r>
        <w:rPr>
          <w:rFonts w:ascii="Times New Roman" w:hAnsi="Times New Roman" w:cs="Times New Roman"/>
          <w:sz w:val="28"/>
          <w:szCs w:val="28"/>
        </w:rPr>
        <w:t>Muthukrishnan</w:t>
      </w:r>
      <w:proofErr w:type="spellEnd"/>
      <w:r>
        <w:rPr>
          <w:rFonts w:ascii="Times New Roman" w:hAnsi="Times New Roman" w:cs="Times New Roman"/>
          <w:sz w:val="28"/>
          <w:szCs w:val="28"/>
        </w:rPr>
        <w:t xml:space="preserve">, G., Smith, H., Hernandez, C., &amp; </w:t>
      </w:r>
      <w:proofErr w:type="spellStart"/>
      <w:r>
        <w:rPr>
          <w:rFonts w:ascii="Times New Roman" w:hAnsi="Times New Roman" w:cs="Times New Roman"/>
          <w:sz w:val="28"/>
          <w:szCs w:val="28"/>
        </w:rPr>
        <w:t>Dandekar</w:t>
      </w:r>
      <w:proofErr w:type="spellEnd"/>
      <w:r>
        <w:rPr>
          <w:rFonts w:ascii="Times New Roman" w:hAnsi="Times New Roman" w:cs="Times New Roman"/>
          <w:sz w:val="28"/>
          <w:szCs w:val="28"/>
        </w:rPr>
        <w:t xml:space="preserve">, A. A. (2020). The role of enterotoxins in Staphylococcus </w:t>
      </w:r>
      <w:proofErr w:type="spellStart"/>
      <w:r>
        <w:rPr>
          <w:rFonts w:ascii="Times New Roman" w:hAnsi="Times New Roman" w:cs="Times New Roman"/>
          <w:sz w:val="28"/>
          <w:szCs w:val="28"/>
        </w:rPr>
        <w:t>aureus</w:t>
      </w:r>
      <w:proofErr w:type="spellEnd"/>
      <w:r>
        <w:rPr>
          <w:rFonts w:ascii="Times New Roman" w:hAnsi="Times New Roman" w:cs="Times New Roman"/>
          <w:sz w:val="28"/>
          <w:szCs w:val="28"/>
        </w:rPr>
        <w:t xml:space="preserve"> pathogenesis and host immune response. Infection and Immunity, 88(10), e00354-20. https://doi.org/10.1128/IAI.00354-20</w:t>
      </w:r>
    </w:p>
    <w:p w:rsidR="00697F4F" w:rsidRDefault="00697F4F" w:rsidP="00697F4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Eskola</w:t>
      </w:r>
      <w:proofErr w:type="spellEnd"/>
      <w:r>
        <w:rPr>
          <w:rFonts w:ascii="Times New Roman" w:hAnsi="Times New Roman" w:cs="Times New Roman"/>
          <w:sz w:val="28"/>
          <w:szCs w:val="28"/>
        </w:rPr>
        <w:t xml:space="preserve">, M., Kos, G., Elliott, C. T., </w:t>
      </w:r>
      <w:proofErr w:type="spellStart"/>
      <w:r>
        <w:rPr>
          <w:rFonts w:ascii="Times New Roman" w:hAnsi="Times New Roman" w:cs="Times New Roman"/>
          <w:sz w:val="28"/>
          <w:szCs w:val="28"/>
        </w:rPr>
        <w:t>Hajšlová</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Mayar</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Krska</w:t>
      </w:r>
      <w:proofErr w:type="spellEnd"/>
      <w:r>
        <w:rPr>
          <w:rFonts w:ascii="Times New Roman" w:hAnsi="Times New Roman" w:cs="Times New Roman"/>
          <w:sz w:val="28"/>
          <w:szCs w:val="28"/>
        </w:rPr>
        <w:t xml:space="preserve">, R. (2020). Worldwide contamination of food-crops with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Validity of the widely cited ‘FAO estimate’ of 25%. Critical Reviews in Food Science and Nutrition, 60(16), 2773-2789.</w:t>
      </w:r>
    </w:p>
    <w:p w:rsidR="00697F4F" w:rsidRDefault="00697F4F" w:rsidP="00697F4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Flajs</w:t>
      </w:r>
      <w:proofErr w:type="spellEnd"/>
      <w:r>
        <w:rPr>
          <w:rFonts w:ascii="Times New Roman" w:hAnsi="Times New Roman" w:cs="Times New Roman"/>
          <w:sz w:val="28"/>
          <w:szCs w:val="28"/>
        </w:rPr>
        <w:t xml:space="preserve">, D., &amp; </w:t>
      </w:r>
      <w:proofErr w:type="spellStart"/>
      <w:r>
        <w:rPr>
          <w:rFonts w:ascii="Times New Roman" w:hAnsi="Times New Roman" w:cs="Times New Roman"/>
          <w:sz w:val="28"/>
          <w:szCs w:val="28"/>
        </w:rPr>
        <w:t>Peraica</w:t>
      </w:r>
      <w:proofErr w:type="spellEnd"/>
      <w:r>
        <w:rPr>
          <w:rFonts w:ascii="Times New Roman" w:hAnsi="Times New Roman" w:cs="Times New Roman"/>
          <w:sz w:val="28"/>
          <w:szCs w:val="28"/>
        </w:rPr>
        <w:t xml:space="preserve">, M. (2019).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in food: Detection, monitoring, and detoxification. Toxins, 11(6), 328.</w:t>
      </w:r>
    </w:p>
    <w:p w:rsidR="00697F4F" w:rsidRDefault="00697F4F" w:rsidP="00697F4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Forneris</w:t>
      </w:r>
      <w:proofErr w:type="spellEnd"/>
      <w:r>
        <w:rPr>
          <w:rFonts w:ascii="Times New Roman" w:hAnsi="Times New Roman" w:cs="Times New Roman"/>
          <w:sz w:val="28"/>
          <w:szCs w:val="28"/>
        </w:rPr>
        <w:t>, L., Ruiz, M. J., &amp; Juan-</w:t>
      </w:r>
      <w:proofErr w:type="spellStart"/>
      <w:r>
        <w:rPr>
          <w:rFonts w:ascii="Times New Roman" w:hAnsi="Times New Roman" w:cs="Times New Roman"/>
          <w:sz w:val="28"/>
          <w:szCs w:val="28"/>
        </w:rPr>
        <w:t>García</w:t>
      </w:r>
      <w:proofErr w:type="spellEnd"/>
      <w:r>
        <w:rPr>
          <w:rFonts w:ascii="Times New Roman" w:hAnsi="Times New Roman" w:cs="Times New Roman"/>
          <w:sz w:val="28"/>
          <w:szCs w:val="28"/>
        </w:rPr>
        <w:t xml:space="preserve">, A. (2022). </w:t>
      </w:r>
      <w:proofErr w:type="spellStart"/>
      <w:r>
        <w:rPr>
          <w:rFonts w:ascii="Times New Roman" w:hAnsi="Times New Roman" w:cs="Times New Roman"/>
          <w:sz w:val="28"/>
          <w:szCs w:val="28"/>
        </w:rPr>
        <w:t>Trichothecenes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Biomonitoring</w:t>
      </w:r>
      <w:proofErr w:type="spellEnd"/>
      <w:r>
        <w:rPr>
          <w:rFonts w:ascii="Times New Roman" w:hAnsi="Times New Roman" w:cs="Times New Roman"/>
          <w:sz w:val="28"/>
          <w:szCs w:val="28"/>
        </w:rPr>
        <w:t xml:space="preserve"> and human exposure. Toxins, 14(5), 337.</w:t>
      </w:r>
    </w:p>
    <w:p w:rsidR="00697F4F" w:rsidRDefault="00697F4F" w:rsidP="00697F4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Gonçalves</w:t>
      </w:r>
      <w:proofErr w:type="spellEnd"/>
      <w:r>
        <w:rPr>
          <w:rFonts w:ascii="Times New Roman" w:hAnsi="Times New Roman" w:cs="Times New Roman"/>
          <w:sz w:val="28"/>
          <w:szCs w:val="28"/>
        </w:rPr>
        <w:t xml:space="preserve">, M., </w:t>
      </w:r>
      <w:proofErr w:type="spellStart"/>
      <w:r>
        <w:rPr>
          <w:rFonts w:ascii="Times New Roman" w:hAnsi="Times New Roman" w:cs="Times New Roman"/>
          <w:sz w:val="28"/>
          <w:szCs w:val="28"/>
        </w:rPr>
        <w:t>Wisecaver</w:t>
      </w:r>
      <w:proofErr w:type="spellEnd"/>
      <w:r>
        <w:rPr>
          <w:rFonts w:ascii="Times New Roman" w:hAnsi="Times New Roman" w:cs="Times New Roman"/>
          <w:sz w:val="28"/>
          <w:szCs w:val="28"/>
        </w:rPr>
        <w:t xml:space="preserve">, J. H., </w:t>
      </w:r>
      <w:proofErr w:type="spellStart"/>
      <w:r>
        <w:rPr>
          <w:rFonts w:ascii="Times New Roman" w:hAnsi="Times New Roman" w:cs="Times New Roman"/>
          <w:sz w:val="28"/>
          <w:szCs w:val="28"/>
        </w:rPr>
        <w:t>Kominek</w:t>
      </w:r>
      <w:proofErr w:type="spellEnd"/>
      <w:r>
        <w:rPr>
          <w:rFonts w:ascii="Times New Roman" w:hAnsi="Times New Roman" w:cs="Times New Roman"/>
          <w:sz w:val="28"/>
          <w:szCs w:val="28"/>
        </w:rPr>
        <w:t xml:space="preserve">, J., &amp; </w:t>
      </w:r>
      <w:proofErr w:type="spellStart"/>
      <w:r>
        <w:rPr>
          <w:rFonts w:ascii="Times New Roman" w:hAnsi="Times New Roman" w:cs="Times New Roman"/>
          <w:sz w:val="28"/>
          <w:szCs w:val="28"/>
        </w:rPr>
        <w:t>Shen</w:t>
      </w:r>
      <w:proofErr w:type="spellEnd"/>
      <w:r>
        <w:rPr>
          <w:rFonts w:ascii="Times New Roman" w:hAnsi="Times New Roman" w:cs="Times New Roman"/>
          <w:sz w:val="28"/>
          <w:szCs w:val="28"/>
        </w:rPr>
        <w:t>, X. X. (2020). Evolution of chitin metabolism pathways in fungi. Genome Biology and Evolution, 12(5), 1017–1035</w:t>
      </w:r>
    </w:p>
    <w:p w:rsidR="00697F4F" w:rsidRDefault="00697F4F" w:rsidP="00697F4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Hayes, A. W., Phillips, T. D., Williams, W. L., &amp; </w:t>
      </w:r>
      <w:proofErr w:type="spellStart"/>
      <w:r>
        <w:rPr>
          <w:rFonts w:ascii="Times New Roman" w:hAnsi="Times New Roman" w:cs="Times New Roman"/>
          <w:sz w:val="28"/>
          <w:szCs w:val="28"/>
        </w:rPr>
        <w:t>Ciegler</w:t>
      </w:r>
      <w:proofErr w:type="spellEnd"/>
      <w:r>
        <w:rPr>
          <w:rFonts w:ascii="Times New Roman" w:hAnsi="Times New Roman" w:cs="Times New Roman"/>
          <w:sz w:val="28"/>
          <w:szCs w:val="28"/>
        </w:rPr>
        <w:t xml:space="preserve">, A. (1979). Acute toxicity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 mice and rats. Toxicology, 13(1), 91–100. </w:t>
      </w:r>
    </w:p>
    <w:p w:rsidR="00697F4F" w:rsidRDefault="00697F4F" w:rsidP="00697F4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Houbraken</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Kocsubé</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Visagie</w:t>
      </w:r>
      <w:proofErr w:type="spellEnd"/>
      <w:r>
        <w:rPr>
          <w:rFonts w:ascii="Times New Roman" w:hAnsi="Times New Roman" w:cs="Times New Roman"/>
          <w:sz w:val="28"/>
          <w:szCs w:val="28"/>
        </w:rPr>
        <w:t xml:space="preserve">, C. M., </w:t>
      </w:r>
      <w:proofErr w:type="spellStart"/>
      <w:r>
        <w:rPr>
          <w:rFonts w:ascii="Times New Roman" w:hAnsi="Times New Roman" w:cs="Times New Roman"/>
          <w:sz w:val="28"/>
          <w:szCs w:val="28"/>
        </w:rPr>
        <w:t>Yilmaz</w:t>
      </w:r>
      <w:proofErr w:type="spellEnd"/>
      <w:r>
        <w:rPr>
          <w:rFonts w:ascii="Times New Roman" w:hAnsi="Times New Roman" w:cs="Times New Roman"/>
          <w:sz w:val="28"/>
          <w:szCs w:val="28"/>
        </w:rPr>
        <w:t xml:space="preserve">, N., &amp; </w:t>
      </w:r>
      <w:proofErr w:type="spellStart"/>
      <w:r>
        <w:rPr>
          <w:rFonts w:ascii="Times New Roman" w:hAnsi="Times New Roman" w:cs="Times New Roman"/>
          <w:sz w:val="28"/>
          <w:szCs w:val="28"/>
        </w:rPr>
        <w:t>Frisvad</w:t>
      </w:r>
      <w:proofErr w:type="spellEnd"/>
      <w:r>
        <w:rPr>
          <w:rFonts w:ascii="Times New Roman" w:hAnsi="Times New Roman" w:cs="Times New Roman"/>
          <w:sz w:val="28"/>
          <w:szCs w:val="28"/>
        </w:rPr>
        <w:t xml:space="preserve">, J. C. (2020). Classification of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and </w:t>
      </w:r>
      <w:proofErr w:type="spellStart"/>
      <w:r>
        <w:rPr>
          <w:rFonts w:ascii="Times New Roman" w:hAnsi="Times New Roman" w:cs="Times New Roman"/>
          <w:sz w:val="28"/>
          <w:szCs w:val="28"/>
        </w:rPr>
        <w:t>Aspergillus</w:t>
      </w:r>
      <w:proofErr w:type="spellEnd"/>
      <w:r>
        <w:rPr>
          <w:rFonts w:ascii="Times New Roman" w:hAnsi="Times New Roman" w:cs="Times New Roman"/>
          <w:sz w:val="28"/>
          <w:szCs w:val="28"/>
        </w:rPr>
        <w:t>: Historical overview and current status. Studies in Mycology, 95, 5–10</w:t>
      </w:r>
    </w:p>
    <w:p w:rsidR="00697F4F" w:rsidRPr="00A17BDB" w:rsidRDefault="00697F4F" w:rsidP="00697F4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Huang, Q., Zhao, H., Liu, Y., Wang, X., Chen, Q., &amp; Li, F. (2022). Detection of classical and novel enterotoxins in Staphylococcus </w:t>
      </w:r>
      <w:proofErr w:type="spellStart"/>
      <w:r>
        <w:rPr>
          <w:rFonts w:ascii="Times New Roman" w:hAnsi="Times New Roman" w:cs="Times New Roman"/>
          <w:sz w:val="28"/>
          <w:szCs w:val="28"/>
        </w:rPr>
        <w:t>aureus</w:t>
      </w:r>
      <w:proofErr w:type="spellEnd"/>
      <w:r>
        <w:rPr>
          <w:rFonts w:ascii="Times New Roman" w:hAnsi="Times New Roman" w:cs="Times New Roman"/>
          <w:sz w:val="28"/>
          <w:szCs w:val="28"/>
        </w:rPr>
        <w:t xml:space="preserve"> from dairy products and molecular typing. Frontiers in Microbiology, 13, 842612. </w:t>
      </w:r>
    </w:p>
    <w:p w:rsidR="00697F4F" w:rsidRDefault="00697F4F" w:rsidP="00697F4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Hyde, K. D., </w:t>
      </w:r>
      <w:proofErr w:type="spellStart"/>
      <w:r>
        <w:rPr>
          <w:rFonts w:ascii="Times New Roman" w:hAnsi="Times New Roman" w:cs="Times New Roman"/>
          <w:sz w:val="28"/>
          <w:szCs w:val="28"/>
        </w:rPr>
        <w:t>Xu</w:t>
      </w:r>
      <w:proofErr w:type="spellEnd"/>
      <w:r>
        <w:rPr>
          <w:rFonts w:ascii="Times New Roman" w:hAnsi="Times New Roman" w:cs="Times New Roman"/>
          <w:sz w:val="28"/>
          <w:szCs w:val="28"/>
        </w:rPr>
        <w:t xml:space="preserve">, J., </w:t>
      </w:r>
      <w:proofErr w:type="spellStart"/>
      <w:r>
        <w:rPr>
          <w:rFonts w:ascii="Times New Roman" w:hAnsi="Times New Roman" w:cs="Times New Roman"/>
          <w:sz w:val="28"/>
          <w:szCs w:val="28"/>
        </w:rPr>
        <w:t>Rapior</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Jeewon</w:t>
      </w:r>
      <w:proofErr w:type="spellEnd"/>
      <w:r>
        <w:rPr>
          <w:rFonts w:ascii="Times New Roman" w:hAnsi="Times New Roman" w:cs="Times New Roman"/>
          <w:sz w:val="28"/>
          <w:szCs w:val="28"/>
        </w:rPr>
        <w:t xml:space="preserve">, R., &amp; </w:t>
      </w:r>
      <w:proofErr w:type="spellStart"/>
      <w:r>
        <w:rPr>
          <w:rFonts w:ascii="Times New Roman" w:hAnsi="Times New Roman" w:cs="Times New Roman"/>
          <w:sz w:val="28"/>
          <w:szCs w:val="28"/>
        </w:rPr>
        <w:t>Lumyong</w:t>
      </w:r>
      <w:proofErr w:type="spellEnd"/>
      <w:r>
        <w:rPr>
          <w:rFonts w:ascii="Times New Roman" w:hAnsi="Times New Roman" w:cs="Times New Roman"/>
          <w:sz w:val="28"/>
          <w:szCs w:val="28"/>
        </w:rPr>
        <w:t>, S. (2019). The amazing potential of fungi: 50 ways we can exploit fungi industrially. Fungal Diversity, 97(1), 1–136</w:t>
      </w:r>
    </w:p>
    <w:p w:rsidR="00697F4F" w:rsidRDefault="00697F4F" w:rsidP="00697F4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Kim, H. J., Kim, J. Y., Lee, Y. J., Park, J. H., Choi, S. Y., &amp; Oh, D. H. (2019). Occurrence of enterotoxin-producing Staphylococcus </w:t>
      </w:r>
      <w:proofErr w:type="spellStart"/>
      <w:r>
        <w:rPr>
          <w:rFonts w:ascii="Times New Roman" w:hAnsi="Times New Roman" w:cs="Times New Roman"/>
          <w:sz w:val="28"/>
          <w:szCs w:val="28"/>
        </w:rPr>
        <w:t>aureus</w:t>
      </w:r>
      <w:proofErr w:type="spellEnd"/>
      <w:r>
        <w:rPr>
          <w:rFonts w:ascii="Times New Roman" w:hAnsi="Times New Roman" w:cs="Times New Roman"/>
          <w:sz w:val="28"/>
          <w:szCs w:val="28"/>
        </w:rPr>
        <w:t xml:space="preserve"> in ready-to-eat foods and dairy products in Korea. Food Science and Biotechnology, 28(1), 179–186. </w:t>
      </w:r>
    </w:p>
    <w:p w:rsidR="00697F4F" w:rsidRDefault="00697F4F" w:rsidP="00697F4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Kumar, S., </w:t>
      </w:r>
      <w:proofErr w:type="spellStart"/>
      <w:r>
        <w:rPr>
          <w:rFonts w:ascii="Times New Roman" w:hAnsi="Times New Roman" w:cs="Times New Roman"/>
          <w:sz w:val="28"/>
          <w:szCs w:val="28"/>
        </w:rPr>
        <w:t>Kaushik</w:t>
      </w:r>
      <w:proofErr w:type="spellEnd"/>
      <w:r>
        <w:rPr>
          <w:rFonts w:ascii="Times New Roman" w:hAnsi="Times New Roman" w:cs="Times New Roman"/>
          <w:sz w:val="28"/>
          <w:szCs w:val="28"/>
        </w:rPr>
        <w:t xml:space="preserve">, N., </w:t>
      </w:r>
      <w:proofErr w:type="spellStart"/>
      <w:r>
        <w:rPr>
          <w:rFonts w:ascii="Times New Roman" w:hAnsi="Times New Roman" w:cs="Times New Roman"/>
          <w:sz w:val="28"/>
          <w:szCs w:val="28"/>
        </w:rPr>
        <w:t>Proffitt</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Mehrotra</w:t>
      </w:r>
      <w:proofErr w:type="spellEnd"/>
      <w:r>
        <w:rPr>
          <w:rFonts w:ascii="Times New Roman" w:hAnsi="Times New Roman" w:cs="Times New Roman"/>
          <w:sz w:val="28"/>
          <w:szCs w:val="28"/>
        </w:rPr>
        <w:t>, R. (2021). Fungal ecology and diversity in changing environments. Environmental Microbiology Reports, 13(1), 19–35.</w:t>
      </w:r>
    </w:p>
    <w:p w:rsidR="00697F4F" w:rsidRDefault="00697F4F" w:rsidP="00697F4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Li, S., Wang, X., Liu, J., Yang, Y., Zhang, H., &amp; </w:t>
      </w:r>
      <w:proofErr w:type="spellStart"/>
      <w:r>
        <w:rPr>
          <w:rFonts w:ascii="Times New Roman" w:hAnsi="Times New Roman" w:cs="Times New Roman"/>
          <w:sz w:val="28"/>
          <w:szCs w:val="28"/>
        </w:rPr>
        <w:t>Xu</w:t>
      </w:r>
      <w:proofErr w:type="spellEnd"/>
      <w:r>
        <w:rPr>
          <w:rFonts w:ascii="Times New Roman" w:hAnsi="Times New Roman" w:cs="Times New Roman"/>
          <w:sz w:val="28"/>
          <w:szCs w:val="28"/>
        </w:rPr>
        <w:t xml:space="preserve">, Y. (2020). Molecular characterization and toxin gene profiling of Staphylococcus </w:t>
      </w:r>
      <w:proofErr w:type="spellStart"/>
      <w:r>
        <w:rPr>
          <w:rFonts w:ascii="Times New Roman" w:hAnsi="Times New Roman" w:cs="Times New Roman"/>
          <w:sz w:val="28"/>
          <w:szCs w:val="28"/>
        </w:rPr>
        <w:t>aureus</w:t>
      </w:r>
      <w:proofErr w:type="spellEnd"/>
      <w:r>
        <w:rPr>
          <w:rFonts w:ascii="Times New Roman" w:hAnsi="Times New Roman" w:cs="Times New Roman"/>
          <w:sz w:val="28"/>
          <w:szCs w:val="28"/>
        </w:rPr>
        <w:t xml:space="preserve"> isolated from food and clinical samples. Microbial Pathogenesis, 149, 104522</w:t>
      </w:r>
    </w:p>
    <w:p w:rsidR="00697F4F" w:rsidRDefault="00697F4F" w:rsidP="00697F4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Longcore</w:t>
      </w:r>
      <w:proofErr w:type="spellEnd"/>
      <w:r>
        <w:rPr>
          <w:rFonts w:ascii="Times New Roman" w:hAnsi="Times New Roman" w:cs="Times New Roman"/>
          <w:sz w:val="28"/>
          <w:szCs w:val="28"/>
        </w:rPr>
        <w:t xml:space="preserve">, J. E., </w:t>
      </w:r>
      <w:proofErr w:type="spellStart"/>
      <w:r>
        <w:rPr>
          <w:rFonts w:ascii="Times New Roman" w:hAnsi="Times New Roman" w:cs="Times New Roman"/>
          <w:sz w:val="28"/>
          <w:szCs w:val="28"/>
        </w:rPr>
        <w:t>Pessier</w:t>
      </w:r>
      <w:proofErr w:type="spellEnd"/>
      <w:r>
        <w:rPr>
          <w:rFonts w:ascii="Times New Roman" w:hAnsi="Times New Roman" w:cs="Times New Roman"/>
          <w:sz w:val="28"/>
          <w:szCs w:val="28"/>
        </w:rPr>
        <w:t xml:space="preserve">, A. P., &amp; Nichols, D. K. (2019). </w:t>
      </w:r>
      <w:proofErr w:type="spellStart"/>
      <w:r>
        <w:rPr>
          <w:rFonts w:ascii="Times New Roman" w:hAnsi="Times New Roman" w:cs="Times New Roman"/>
          <w:sz w:val="28"/>
          <w:szCs w:val="28"/>
        </w:rPr>
        <w:t>Batrachochytrium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dendrobatidis</w:t>
      </w:r>
      <w:proofErr w:type="spellEnd"/>
      <w:r>
        <w:rPr>
          <w:rFonts w:ascii="Times New Roman" w:hAnsi="Times New Roman" w:cs="Times New Roman"/>
          <w:sz w:val="28"/>
          <w:szCs w:val="28"/>
        </w:rPr>
        <w:t>: A fungus linked to global amphibian declines. Journal of Wildlife Diseases, 55(3), 454–469.</w:t>
      </w:r>
    </w:p>
    <w:p w:rsidR="00697F4F" w:rsidRDefault="00697F4F" w:rsidP="00697F4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Marin, S., Ramos, A. J., Cano-Sancho, G., &amp; </w:t>
      </w:r>
      <w:proofErr w:type="spellStart"/>
      <w:r>
        <w:rPr>
          <w:rFonts w:ascii="Times New Roman" w:hAnsi="Times New Roman" w:cs="Times New Roman"/>
          <w:sz w:val="28"/>
          <w:szCs w:val="28"/>
        </w:rPr>
        <w:t>Sanchis</w:t>
      </w:r>
      <w:proofErr w:type="spellEnd"/>
      <w:r>
        <w:rPr>
          <w:rFonts w:ascii="Times New Roman" w:hAnsi="Times New Roman" w:cs="Times New Roman"/>
          <w:sz w:val="28"/>
          <w:szCs w:val="28"/>
        </w:rPr>
        <w:t xml:space="preserve">, V. (2021).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Occurrence, toxicology, and exposure assessment. Food and Chemical Toxicology, 157, 112603.</w:t>
      </w:r>
    </w:p>
    <w:p w:rsidR="00697F4F" w:rsidRDefault="00697F4F" w:rsidP="00697F4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McKinley, E. R., Carlton, W. W., &amp; Boon, G. D. (1982).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mycotoxicosis</w:t>
      </w:r>
      <w:proofErr w:type="spellEnd"/>
      <w:r>
        <w:rPr>
          <w:rFonts w:ascii="Times New Roman" w:hAnsi="Times New Roman" w:cs="Times New Roman"/>
          <w:sz w:val="28"/>
          <w:szCs w:val="28"/>
        </w:rPr>
        <w:t xml:space="preserve"> in the rat: Toxicology, pathology and clinical pathology. Food and Chemical Toxicology, 20(3), 289–300. </w:t>
      </w:r>
    </w:p>
    <w:p w:rsidR="00697F4F" w:rsidRDefault="00697F4F" w:rsidP="00697F4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Moake</w:t>
      </w:r>
      <w:proofErr w:type="spellEnd"/>
      <w:r>
        <w:rPr>
          <w:rFonts w:ascii="Times New Roman" w:hAnsi="Times New Roman" w:cs="Times New Roman"/>
          <w:sz w:val="28"/>
          <w:szCs w:val="28"/>
        </w:rPr>
        <w:t>, M. M., Padilla-</w:t>
      </w:r>
      <w:proofErr w:type="spellStart"/>
      <w:r>
        <w:rPr>
          <w:rFonts w:ascii="Times New Roman" w:hAnsi="Times New Roman" w:cs="Times New Roman"/>
          <w:sz w:val="28"/>
          <w:szCs w:val="28"/>
        </w:rPr>
        <w:t>Zakour</w:t>
      </w:r>
      <w:proofErr w:type="spellEnd"/>
      <w:r>
        <w:rPr>
          <w:rFonts w:ascii="Times New Roman" w:hAnsi="Times New Roman" w:cs="Times New Roman"/>
          <w:sz w:val="28"/>
          <w:szCs w:val="28"/>
        </w:rPr>
        <w:t xml:space="preserve">, O. I., &amp; </w:t>
      </w:r>
      <w:proofErr w:type="spellStart"/>
      <w:r>
        <w:rPr>
          <w:rFonts w:ascii="Times New Roman" w:hAnsi="Times New Roman" w:cs="Times New Roman"/>
          <w:sz w:val="28"/>
          <w:szCs w:val="28"/>
        </w:rPr>
        <w:t>Worobo</w:t>
      </w:r>
      <w:proofErr w:type="spellEnd"/>
      <w:r>
        <w:rPr>
          <w:rFonts w:ascii="Times New Roman" w:hAnsi="Times New Roman" w:cs="Times New Roman"/>
          <w:sz w:val="28"/>
          <w:szCs w:val="28"/>
        </w:rPr>
        <w:t xml:space="preserve">, R. W. (2020). Food safety implications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 apple juice. Comprehensive Reviews in Food Science and Food Safety, 19(3), 1532-1547.</w:t>
      </w:r>
    </w:p>
    <w:p w:rsidR="00697F4F" w:rsidRDefault="00697F4F" w:rsidP="00697F4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Munkvold</w:t>
      </w:r>
      <w:proofErr w:type="spellEnd"/>
      <w:r>
        <w:rPr>
          <w:rFonts w:ascii="Times New Roman" w:hAnsi="Times New Roman" w:cs="Times New Roman"/>
          <w:sz w:val="28"/>
          <w:szCs w:val="28"/>
        </w:rPr>
        <w:t xml:space="preserve">, G. P., </w:t>
      </w:r>
      <w:proofErr w:type="spellStart"/>
      <w:r>
        <w:rPr>
          <w:rFonts w:ascii="Times New Roman" w:hAnsi="Times New Roman" w:cs="Times New Roman"/>
          <w:sz w:val="28"/>
          <w:szCs w:val="28"/>
        </w:rPr>
        <w:t>Ariño</w:t>
      </w:r>
      <w:proofErr w:type="spellEnd"/>
      <w:r>
        <w:rPr>
          <w:rFonts w:ascii="Times New Roman" w:hAnsi="Times New Roman" w:cs="Times New Roman"/>
          <w:sz w:val="28"/>
          <w:szCs w:val="28"/>
        </w:rPr>
        <w:t xml:space="preserve">, A., &amp; </w:t>
      </w:r>
      <w:proofErr w:type="spellStart"/>
      <w:r>
        <w:rPr>
          <w:rFonts w:ascii="Times New Roman" w:hAnsi="Times New Roman" w:cs="Times New Roman"/>
          <w:sz w:val="28"/>
          <w:szCs w:val="28"/>
        </w:rPr>
        <w:t>Mahuku</w:t>
      </w:r>
      <w:proofErr w:type="spellEnd"/>
      <w:r>
        <w:rPr>
          <w:rFonts w:ascii="Times New Roman" w:hAnsi="Times New Roman" w:cs="Times New Roman"/>
          <w:sz w:val="28"/>
          <w:szCs w:val="28"/>
        </w:rPr>
        <w:t xml:space="preserve">, G. (2019). </w:t>
      </w:r>
      <w:proofErr w:type="spellStart"/>
      <w:r>
        <w:rPr>
          <w:rFonts w:ascii="Times New Roman" w:hAnsi="Times New Roman" w:cs="Times New Roman"/>
          <w:sz w:val="28"/>
          <w:szCs w:val="28"/>
        </w:rPr>
        <w:t>Fumonisins</w:t>
      </w:r>
      <w:proofErr w:type="spellEnd"/>
      <w:r>
        <w:rPr>
          <w:rFonts w:ascii="Times New Roman" w:hAnsi="Times New Roman" w:cs="Times New Roman"/>
          <w:sz w:val="28"/>
          <w:szCs w:val="28"/>
        </w:rPr>
        <w:t xml:space="preserve"> and their implications in plant disease and food safety. Toxins, 11(6), 328.</w:t>
      </w:r>
    </w:p>
    <w:p w:rsidR="00697F4F" w:rsidRDefault="00697F4F" w:rsidP="00697F4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Naranjo-Ortiz, M. A., &amp; </w:t>
      </w:r>
      <w:proofErr w:type="spellStart"/>
      <w:r>
        <w:rPr>
          <w:rFonts w:ascii="Times New Roman" w:hAnsi="Times New Roman" w:cs="Times New Roman"/>
          <w:sz w:val="28"/>
          <w:szCs w:val="28"/>
        </w:rPr>
        <w:t>Gabaldón</w:t>
      </w:r>
      <w:proofErr w:type="spellEnd"/>
      <w:r>
        <w:rPr>
          <w:rFonts w:ascii="Times New Roman" w:hAnsi="Times New Roman" w:cs="Times New Roman"/>
          <w:sz w:val="28"/>
          <w:szCs w:val="28"/>
        </w:rPr>
        <w:t>, T. (2019). Fungal evolution: Diversity, taxonomy, and phylogeny of the Fungi. Biological Reviews, 94(6), 2101–2137.</w:t>
      </w:r>
    </w:p>
    <w:p w:rsidR="00697F4F" w:rsidRDefault="00697F4F" w:rsidP="00697F4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Petzinger</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Weidenbach</w:t>
      </w:r>
      <w:proofErr w:type="spellEnd"/>
      <w:r>
        <w:rPr>
          <w:rFonts w:ascii="Times New Roman" w:hAnsi="Times New Roman" w:cs="Times New Roman"/>
          <w:sz w:val="28"/>
          <w:szCs w:val="28"/>
        </w:rPr>
        <w:t xml:space="preserve">, A. (2021). </w:t>
      </w:r>
      <w:proofErr w:type="spellStart"/>
      <w:r>
        <w:rPr>
          <w:rFonts w:ascii="Times New Roman" w:hAnsi="Times New Roman" w:cs="Times New Roman"/>
          <w:sz w:val="28"/>
          <w:szCs w:val="28"/>
        </w:rPr>
        <w:t>Ochratoxin</w:t>
      </w:r>
      <w:proofErr w:type="spellEnd"/>
      <w:r>
        <w:rPr>
          <w:rFonts w:ascii="Times New Roman" w:hAnsi="Times New Roman" w:cs="Times New Roman"/>
          <w:sz w:val="28"/>
          <w:szCs w:val="28"/>
        </w:rPr>
        <w:t xml:space="preserve"> A: Its impact on the human kidney and approaches to reduce its contamination in food. Journal of Toxicology, 2021, 8850476.</w:t>
      </w:r>
    </w:p>
    <w:p w:rsidR="00697F4F" w:rsidRDefault="00697F4F" w:rsidP="00697F4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Pfohl-Leszkowicz</w:t>
      </w:r>
      <w:proofErr w:type="spellEnd"/>
      <w:r>
        <w:rPr>
          <w:rFonts w:ascii="Times New Roman" w:hAnsi="Times New Roman" w:cs="Times New Roman"/>
          <w:sz w:val="28"/>
          <w:szCs w:val="28"/>
        </w:rPr>
        <w:t xml:space="preserve">, A., &amp; </w:t>
      </w:r>
      <w:proofErr w:type="spellStart"/>
      <w:r>
        <w:rPr>
          <w:rFonts w:ascii="Times New Roman" w:hAnsi="Times New Roman" w:cs="Times New Roman"/>
          <w:sz w:val="28"/>
          <w:szCs w:val="28"/>
        </w:rPr>
        <w:t>Manderville</w:t>
      </w:r>
      <w:proofErr w:type="spellEnd"/>
      <w:r>
        <w:rPr>
          <w:rFonts w:ascii="Times New Roman" w:hAnsi="Times New Roman" w:cs="Times New Roman"/>
          <w:sz w:val="28"/>
          <w:szCs w:val="28"/>
        </w:rPr>
        <w:t xml:space="preserve">, R. A. (2020). Molecular mechanisms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toxicity and its impact on DNA integrity. Toxicology Reports, 7, 798-810.</w:t>
      </w:r>
    </w:p>
    <w:p w:rsidR="00697F4F" w:rsidRDefault="00697F4F" w:rsidP="00697F4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Puel</w:t>
      </w:r>
      <w:proofErr w:type="spellEnd"/>
      <w:r>
        <w:rPr>
          <w:rFonts w:ascii="Times New Roman" w:hAnsi="Times New Roman" w:cs="Times New Roman"/>
          <w:sz w:val="28"/>
          <w:szCs w:val="28"/>
        </w:rPr>
        <w:t xml:space="preserve">, O., </w:t>
      </w:r>
      <w:proofErr w:type="spellStart"/>
      <w:r>
        <w:rPr>
          <w:rFonts w:ascii="Times New Roman" w:hAnsi="Times New Roman" w:cs="Times New Roman"/>
          <w:sz w:val="28"/>
          <w:szCs w:val="28"/>
        </w:rPr>
        <w:t>Galtier</w:t>
      </w:r>
      <w:proofErr w:type="spellEnd"/>
      <w:r>
        <w:rPr>
          <w:rFonts w:ascii="Times New Roman" w:hAnsi="Times New Roman" w:cs="Times New Roman"/>
          <w:sz w:val="28"/>
          <w:szCs w:val="28"/>
        </w:rPr>
        <w:t xml:space="preserve">, P., &amp; Oswald, I. P. (2010). Biosynthesis and toxicological effects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Toxins, 2(4), 613–631. </w:t>
      </w:r>
    </w:p>
    <w:p w:rsidR="00697F4F" w:rsidRDefault="00697F4F" w:rsidP="00697F4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Puel</w:t>
      </w:r>
      <w:proofErr w:type="spellEnd"/>
      <w:r>
        <w:rPr>
          <w:rFonts w:ascii="Times New Roman" w:hAnsi="Times New Roman" w:cs="Times New Roman"/>
          <w:sz w:val="28"/>
          <w:szCs w:val="28"/>
        </w:rPr>
        <w:t xml:space="preserve">, O., </w:t>
      </w:r>
      <w:proofErr w:type="spellStart"/>
      <w:r>
        <w:rPr>
          <w:rFonts w:ascii="Times New Roman" w:hAnsi="Times New Roman" w:cs="Times New Roman"/>
          <w:sz w:val="28"/>
          <w:szCs w:val="28"/>
        </w:rPr>
        <w:t>Galtier</w:t>
      </w:r>
      <w:proofErr w:type="spellEnd"/>
      <w:r>
        <w:rPr>
          <w:rFonts w:ascii="Times New Roman" w:hAnsi="Times New Roman" w:cs="Times New Roman"/>
          <w:sz w:val="28"/>
          <w:szCs w:val="28"/>
        </w:rPr>
        <w:t xml:space="preserve">, P., &amp; Oswald, I. P. (2018). Biosynthesis and toxicological effects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Toxins, 10(10), 406.</w:t>
      </w:r>
    </w:p>
    <w:p w:rsidR="00697F4F" w:rsidRDefault="00697F4F" w:rsidP="00697F4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Riley, L. W., &amp; </w:t>
      </w:r>
      <w:proofErr w:type="spellStart"/>
      <w:r>
        <w:rPr>
          <w:rFonts w:ascii="Times New Roman" w:hAnsi="Times New Roman" w:cs="Times New Roman"/>
          <w:sz w:val="28"/>
          <w:szCs w:val="28"/>
        </w:rPr>
        <w:t>Norreed</w:t>
      </w:r>
      <w:proofErr w:type="spellEnd"/>
      <w:r>
        <w:rPr>
          <w:rFonts w:ascii="Times New Roman" w:hAnsi="Times New Roman" w:cs="Times New Roman"/>
          <w:sz w:val="28"/>
          <w:szCs w:val="28"/>
        </w:rPr>
        <w:t xml:space="preserve">, A. T. (2018). Staphylococcus </w:t>
      </w:r>
      <w:proofErr w:type="spellStart"/>
      <w:r>
        <w:rPr>
          <w:rFonts w:ascii="Times New Roman" w:hAnsi="Times New Roman" w:cs="Times New Roman"/>
          <w:sz w:val="28"/>
          <w:szCs w:val="28"/>
        </w:rPr>
        <w:t>aureus</w:t>
      </w:r>
      <w:proofErr w:type="spellEnd"/>
      <w:r>
        <w:rPr>
          <w:rFonts w:ascii="Times New Roman" w:hAnsi="Times New Roman" w:cs="Times New Roman"/>
          <w:sz w:val="28"/>
          <w:szCs w:val="28"/>
        </w:rPr>
        <w:t xml:space="preserve">: Pathogenesis, epidemiology, and clinical manifestations. Journal of Clinical Microbiology, 56(4), e00215-18. </w:t>
      </w:r>
      <w:hyperlink r:id="rId16" w:history="1">
        <w:r>
          <w:rPr>
            <w:rStyle w:val="Hyperlink"/>
            <w:rFonts w:ascii="Times New Roman" w:hAnsi="Times New Roman" w:cs="Times New Roman"/>
            <w:sz w:val="28"/>
            <w:szCs w:val="28"/>
          </w:rPr>
          <w:t>https://doi.org/10.1128/JCM.00215-18</w:t>
        </w:r>
      </w:hyperlink>
    </w:p>
    <w:p w:rsidR="00697F4F" w:rsidRDefault="00697F4F" w:rsidP="00697F4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Smith, M. C., </w:t>
      </w:r>
      <w:proofErr w:type="spellStart"/>
      <w:r>
        <w:rPr>
          <w:rFonts w:ascii="Times New Roman" w:hAnsi="Times New Roman" w:cs="Times New Roman"/>
          <w:sz w:val="28"/>
          <w:szCs w:val="28"/>
        </w:rPr>
        <w:t>Madec</w:t>
      </w:r>
      <w:proofErr w:type="spellEnd"/>
      <w:r>
        <w:rPr>
          <w:rFonts w:ascii="Times New Roman" w:hAnsi="Times New Roman" w:cs="Times New Roman"/>
          <w:sz w:val="28"/>
          <w:szCs w:val="28"/>
        </w:rPr>
        <w:t xml:space="preserve">, S., </w:t>
      </w:r>
      <w:proofErr w:type="spellStart"/>
      <w:r>
        <w:rPr>
          <w:rFonts w:ascii="Times New Roman" w:hAnsi="Times New Roman" w:cs="Times New Roman"/>
          <w:sz w:val="28"/>
          <w:szCs w:val="28"/>
        </w:rPr>
        <w:t>Coton</w:t>
      </w:r>
      <w:proofErr w:type="spellEnd"/>
      <w:r>
        <w:rPr>
          <w:rFonts w:ascii="Times New Roman" w:hAnsi="Times New Roman" w:cs="Times New Roman"/>
          <w:sz w:val="28"/>
          <w:szCs w:val="28"/>
        </w:rPr>
        <w:t xml:space="preserve">, E., &amp; </w:t>
      </w:r>
      <w:proofErr w:type="spellStart"/>
      <w:r>
        <w:rPr>
          <w:rFonts w:ascii="Times New Roman" w:hAnsi="Times New Roman" w:cs="Times New Roman"/>
          <w:sz w:val="28"/>
          <w:szCs w:val="28"/>
        </w:rPr>
        <w:t>Hymery</w:t>
      </w:r>
      <w:proofErr w:type="spellEnd"/>
      <w:r>
        <w:rPr>
          <w:rFonts w:ascii="Times New Roman" w:hAnsi="Times New Roman" w:cs="Times New Roman"/>
          <w:sz w:val="28"/>
          <w:szCs w:val="28"/>
        </w:rPr>
        <w:t xml:space="preserve">, N. (2021). Natural co-occurrence of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in foods and feeds and their in vitro combined toxicological effects. Toxins, 13(1), 30</w:t>
      </w:r>
    </w:p>
    <w:p w:rsidR="00697F4F" w:rsidRDefault="00697F4F" w:rsidP="00697F4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Spatafora</w:t>
      </w:r>
      <w:proofErr w:type="spellEnd"/>
      <w:r>
        <w:rPr>
          <w:rFonts w:ascii="Times New Roman" w:hAnsi="Times New Roman" w:cs="Times New Roman"/>
          <w:sz w:val="28"/>
          <w:szCs w:val="28"/>
        </w:rPr>
        <w:t xml:space="preserve">, J. W., Chang, Y., Benny, G. L., Lazarus, K., &amp; Smith, M. E. (2018). A phylum-level phylogenetic classification of fungi. </w:t>
      </w:r>
      <w:proofErr w:type="spellStart"/>
      <w:r>
        <w:rPr>
          <w:rFonts w:ascii="Times New Roman" w:hAnsi="Times New Roman" w:cs="Times New Roman"/>
          <w:sz w:val="28"/>
          <w:szCs w:val="28"/>
        </w:rPr>
        <w:t>Mycologia</w:t>
      </w:r>
      <w:proofErr w:type="spellEnd"/>
      <w:r>
        <w:rPr>
          <w:rFonts w:ascii="Times New Roman" w:hAnsi="Times New Roman" w:cs="Times New Roman"/>
          <w:sz w:val="28"/>
          <w:szCs w:val="28"/>
        </w:rPr>
        <w:t>, 110(1), 1–12.</w:t>
      </w:r>
    </w:p>
    <w:p w:rsidR="00697F4F" w:rsidRDefault="00697F4F" w:rsidP="00697F4F">
      <w:pPr>
        <w:spacing w:line="240" w:lineRule="auto"/>
        <w:ind w:left="720" w:hanging="720"/>
        <w:jc w:val="both"/>
        <w:rPr>
          <w:rFonts w:ascii="Times New Roman" w:hAnsi="Times New Roman" w:cs="Times New Roman"/>
          <w:sz w:val="28"/>
          <w:szCs w:val="28"/>
        </w:rPr>
      </w:pPr>
    </w:p>
    <w:p w:rsidR="00697F4F" w:rsidRDefault="00697F4F" w:rsidP="00697F4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Speijers</w:t>
      </w:r>
      <w:proofErr w:type="spellEnd"/>
      <w:r>
        <w:rPr>
          <w:rFonts w:ascii="Times New Roman" w:hAnsi="Times New Roman" w:cs="Times New Roman"/>
          <w:sz w:val="28"/>
          <w:szCs w:val="28"/>
        </w:rPr>
        <w:t xml:space="preserve">, G. J. A., Franken, M. A. M., Van </w:t>
      </w:r>
      <w:proofErr w:type="spellStart"/>
      <w:r>
        <w:rPr>
          <w:rFonts w:ascii="Times New Roman" w:hAnsi="Times New Roman" w:cs="Times New Roman"/>
          <w:sz w:val="28"/>
          <w:szCs w:val="28"/>
        </w:rPr>
        <w:t>Leeuwen</w:t>
      </w:r>
      <w:proofErr w:type="spellEnd"/>
      <w:r>
        <w:rPr>
          <w:rFonts w:ascii="Times New Roman" w:hAnsi="Times New Roman" w:cs="Times New Roman"/>
          <w:sz w:val="28"/>
          <w:szCs w:val="28"/>
        </w:rPr>
        <w:t xml:space="preserve">, F. X. R., &amp; Van </w:t>
      </w:r>
      <w:proofErr w:type="spellStart"/>
      <w:r>
        <w:rPr>
          <w:rFonts w:ascii="Times New Roman" w:hAnsi="Times New Roman" w:cs="Times New Roman"/>
          <w:sz w:val="28"/>
          <w:szCs w:val="28"/>
        </w:rPr>
        <w:t>Egmond</w:t>
      </w:r>
      <w:proofErr w:type="spellEnd"/>
      <w:r>
        <w:rPr>
          <w:rFonts w:ascii="Times New Roman" w:hAnsi="Times New Roman" w:cs="Times New Roman"/>
          <w:sz w:val="28"/>
          <w:szCs w:val="28"/>
        </w:rPr>
        <w:t xml:space="preserve">, H. P. (1986). </w:t>
      </w:r>
      <w:proofErr w:type="spellStart"/>
      <w:r>
        <w:rPr>
          <w:rFonts w:ascii="Times New Roman" w:hAnsi="Times New Roman" w:cs="Times New Roman"/>
          <w:sz w:val="28"/>
          <w:szCs w:val="28"/>
        </w:rPr>
        <w:t>Subchronic</w:t>
      </w:r>
      <w:proofErr w:type="spellEnd"/>
      <w:r>
        <w:rPr>
          <w:rFonts w:ascii="Times New Roman" w:hAnsi="Times New Roman" w:cs="Times New Roman"/>
          <w:sz w:val="28"/>
          <w:szCs w:val="28"/>
        </w:rPr>
        <w:t xml:space="preserve"> oral toxicity study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 the rat. </w:t>
      </w:r>
      <w:proofErr w:type="spellStart"/>
      <w:r>
        <w:rPr>
          <w:rFonts w:ascii="Times New Roman" w:hAnsi="Times New Roman" w:cs="Times New Roman"/>
          <w:sz w:val="28"/>
          <w:szCs w:val="28"/>
        </w:rPr>
        <w:t>Rijksinstituut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voor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Volksgezondheid</w:t>
      </w:r>
      <w:proofErr w:type="spellEnd"/>
      <w:r>
        <w:rPr>
          <w:rFonts w:ascii="Times New Roman" w:hAnsi="Times New Roman" w:cs="Times New Roman"/>
          <w:sz w:val="28"/>
          <w:szCs w:val="28"/>
        </w:rPr>
        <w:t xml:space="preserve"> en </w:t>
      </w:r>
      <w:proofErr w:type="spellStart"/>
      <w:r>
        <w:rPr>
          <w:rFonts w:ascii="Times New Roman" w:hAnsi="Times New Roman" w:cs="Times New Roman"/>
          <w:sz w:val="28"/>
          <w:szCs w:val="28"/>
        </w:rPr>
        <w:t>Milieuhygiëne</w:t>
      </w:r>
      <w:proofErr w:type="spellEnd"/>
      <w:r>
        <w:rPr>
          <w:rFonts w:ascii="Times New Roman" w:hAnsi="Times New Roman" w:cs="Times New Roman"/>
          <w:sz w:val="28"/>
          <w:szCs w:val="28"/>
        </w:rPr>
        <w:t>, Report no. 618314 001.</w:t>
      </w:r>
    </w:p>
    <w:p w:rsidR="00697F4F" w:rsidRDefault="00697F4F" w:rsidP="00697F4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Tannous</w:t>
      </w:r>
      <w:proofErr w:type="spellEnd"/>
      <w:r>
        <w:rPr>
          <w:rFonts w:ascii="Times New Roman" w:hAnsi="Times New Roman" w:cs="Times New Roman"/>
          <w:sz w:val="28"/>
          <w:szCs w:val="28"/>
        </w:rPr>
        <w:t xml:space="preserve">, J., El </w:t>
      </w:r>
      <w:proofErr w:type="spellStart"/>
      <w:r>
        <w:rPr>
          <w:rFonts w:ascii="Times New Roman" w:hAnsi="Times New Roman" w:cs="Times New Roman"/>
          <w:sz w:val="28"/>
          <w:szCs w:val="28"/>
        </w:rPr>
        <w:t>Khoury</w:t>
      </w:r>
      <w:proofErr w:type="spellEnd"/>
      <w:r>
        <w:rPr>
          <w:rFonts w:ascii="Times New Roman" w:hAnsi="Times New Roman" w:cs="Times New Roman"/>
          <w:sz w:val="28"/>
          <w:szCs w:val="28"/>
        </w:rPr>
        <w:t xml:space="preserve">, R., &amp; </w:t>
      </w:r>
      <w:proofErr w:type="spellStart"/>
      <w:r>
        <w:rPr>
          <w:rFonts w:ascii="Times New Roman" w:hAnsi="Times New Roman" w:cs="Times New Roman"/>
          <w:sz w:val="28"/>
          <w:szCs w:val="28"/>
        </w:rPr>
        <w:t>Atoui</w:t>
      </w:r>
      <w:proofErr w:type="spellEnd"/>
      <w:r>
        <w:rPr>
          <w:rFonts w:ascii="Times New Roman" w:hAnsi="Times New Roman" w:cs="Times New Roman"/>
          <w:sz w:val="28"/>
          <w:szCs w:val="28"/>
        </w:rPr>
        <w:t xml:space="preserve">, A. (2017).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biosynthesis and regulation in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expansum</w:t>
      </w:r>
      <w:proofErr w:type="spellEnd"/>
      <w:r>
        <w:rPr>
          <w:rFonts w:ascii="Times New Roman" w:hAnsi="Times New Roman" w:cs="Times New Roman"/>
          <w:sz w:val="28"/>
          <w:szCs w:val="28"/>
        </w:rPr>
        <w:t>: A review. Microorganisms, 5(4), 49.</w:t>
      </w:r>
    </w:p>
    <w:p w:rsidR="00697F4F" w:rsidRDefault="00697F4F" w:rsidP="00697F4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Turner, N. W., </w:t>
      </w:r>
      <w:proofErr w:type="spellStart"/>
      <w:r>
        <w:rPr>
          <w:rFonts w:ascii="Times New Roman" w:hAnsi="Times New Roman" w:cs="Times New Roman"/>
          <w:sz w:val="28"/>
          <w:szCs w:val="28"/>
        </w:rPr>
        <w:t>Subrahmanyam</w:t>
      </w:r>
      <w:proofErr w:type="spellEnd"/>
      <w:r>
        <w:rPr>
          <w:rFonts w:ascii="Times New Roman" w:hAnsi="Times New Roman" w:cs="Times New Roman"/>
          <w:sz w:val="28"/>
          <w:szCs w:val="28"/>
        </w:rPr>
        <w:t xml:space="preserve">, S., &amp; </w:t>
      </w:r>
      <w:proofErr w:type="spellStart"/>
      <w:r>
        <w:rPr>
          <w:rFonts w:ascii="Times New Roman" w:hAnsi="Times New Roman" w:cs="Times New Roman"/>
          <w:sz w:val="28"/>
          <w:szCs w:val="28"/>
        </w:rPr>
        <w:t>Piletsky</w:t>
      </w:r>
      <w:proofErr w:type="spellEnd"/>
      <w:r>
        <w:rPr>
          <w:rFonts w:ascii="Times New Roman" w:hAnsi="Times New Roman" w:cs="Times New Roman"/>
          <w:sz w:val="28"/>
          <w:szCs w:val="28"/>
        </w:rPr>
        <w:t xml:space="preserve">, S. A. (2019). Analytical methods for detection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 in food. Analytical and </w:t>
      </w:r>
      <w:proofErr w:type="spellStart"/>
      <w:r>
        <w:rPr>
          <w:rFonts w:ascii="Times New Roman" w:hAnsi="Times New Roman" w:cs="Times New Roman"/>
          <w:sz w:val="28"/>
          <w:szCs w:val="28"/>
        </w:rPr>
        <w:t>Bioanalytical</w:t>
      </w:r>
      <w:proofErr w:type="spellEnd"/>
      <w:r>
        <w:rPr>
          <w:rFonts w:ascii="Times New Roman" w:hAnsi="Times New Roman" w:cs="Times New Roman"/>
          <w:sz w:val="28"/>
          <w:szCs w:val="28"/>
        </w:rPr>
        <w:t xml:space="preserve"> Chemistry, 411(12), 2531-2545.</w:t>
      </w:r>
    </w:p>
    <w:p w:rsidR="00697F4F" w:rsidRDefault="00697F4F" w:rsidP="00697F4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Vanhoutte</w:t>
      </w:r>
      <w:proofErr w:type="spellEnd"/>
      <w:r>
        <w:rPr>
          <w:rFonts w:ascii="Times New Roman" w:hAnsi="Times New Roman" w:cs="Times New Roman"/>
          <w:sz w:val="28"/>
          <w:szCs w:val="28"/>
        </w:rPr>
        <w:t xml:space="preserve">, I., </w:t>
      </w:r>
      <w:proofErr w:type="spellStart"/>
      <w:r>
        <w:rPr>
          <w:rFonts w:ascii="Times New Roman" w:hAnsi="Times New Roman" w:cs="Times New Roman"/>
          <w:sz w:val="28"/>
          <w:szCs w:val="28"/>
        </w:rPr>
        <w:t>Audenaert</w:t>
      </w:r>
      <w:proofErr w:type="spellEnd"/>
      <w:r>
        <w:rPr>
          <w:rFonts w:ascii="Times New Roman" w:hAnsi="Times New Roman" w:cs="Times New Roman"/>
          <w:sz w:val="28"/>
          <w:szCs w:val="28"/>
        </w:rPr>
        <w:t xml:space="preserve">, K., &amp; De </w:t>
      </w:r>
      <w:proofErr w:type="spellStart"/>
      <w:r>
        <w:rPr>
          <w:rFonts w:ascii="Times New Roman" w:hAnsi="Times New Roman" w:cs="Times New Roman"/>
          <w:sz w:val="28"/>
          <w:szCs w:val="28"/>
        </w:rPr>
        <w:t>Gelder</w:t>
      </w:r>
      <w:proofErr w:type="spellEnd"/>
      <w:r>
        <w:rPr>
          <w:rFonts w:ascii="Times New Roman" w:hAnsi="Times New Roman" w:cs="Times New Roman"/>
          <w:sz w:val="28"/>
          <w:szCs w:val="28"/>
        </w:rPr>
        <w:t xml:space="preserve">, L. (2017). </w:t>
      </w:r>
      <w:proofErr w:type="spellStart"/>
      <w:r>
        <w:rPr>
          <w:rFonts w:ascii="Times New Roman" w:hAnsi="Times New Roman" w:cs="Times New Roman"/>
          <w:sz w:val="28"/>
          <w:szCs w:val="28"/>
        </w:rPr>
        <w:t>Biocontrol</w:t>
      </w:r>
      <w:proofErr w:type="spellEnd"/>
      <w:r>
        <w:rPr>
          <w:rFonts w:ascii="Times New Roman" w:hAnsi="Times New Roman" w:cs="Times New Roman"/>
          <w:sz w:val="28"/>
          <w:szCs w:val="28"/>
        </w:rPr>
        <w:t xml:space="preserve"> of </w:t>
      </w:r>
      <w:proofErr w:type="spellStart"/>
      <w:r>
        <w:rPr>
          <w:rFonts w:ascii="Times New Roman" w:hAnsi="Times New Roman" w:cs="Times New Roman"/>
          <w:sz w:val="28"/>
          <w:szCs w:val="28"/>
        </w:rPr>
        <w:t>patulin</w:t>
      </w:r>
      <w:proofErr w:type="spellEnd"/>
      <w:r>
        <w:rPr>
          <w:rFonts w:ascii="Times New Roman" w:hAnsi="Times New Roman" w:cs="Times New Roman"/>
          <w:sz w:val="28"/>
          <w:szCs w:val="28"/>
        </w:rPr>
        <w:t xml:space="preserve">-producing </w:t>
      </w:r>
      <w:proofErr w:type="spellStart"/>
      <w:r>
        <w:rPr>
          <w:rFonts w:ascii="Times New Roman" w:hAnsi="Times New Roman" w:cs="Times New Roman"/>
          <w:sz w:val="28"/>
          <w:szCs w:val="28"/>
        </w:rPr>
        <w:t>Penicillium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expansum</w:t>
      </w:r>
      <w:proofErr w:type="spellEnd"/>
      <w:r>
        <w:rPr>
          <w:rFonts w:ascii="Times New Roman" w:hAnsi="Times New Roman" w:cs="Times New Roman"/>
          <w:sz w:val="28"/>
          <w:szCs w:val="28"/>
        </w:rPr>
        <w:t xml:space="preserve"> with antagonistic microorganisms in post-harvest apples. International Journal of Food Microbiology, 246, 31-39.</w:t>
      </w:r>
    </w:p>
    <w:p w:rsidR="00697F4F" w:rsidRDefault="00697F4F" w:rsidP="00697F4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Wang, Y., Zhang, X., Chen, L., Liu, Y., Zhao, X., </w:t>
      </w:r>
      <w:proofErr w:type="spellStart"/>
      <w:r>
        <w:rPr>
          <w:rFonts w:ascii="Times New Roman" w:hAnsi="Times New Roman" w:cs="Times New Roman"/>
          <w:sz w:val="28"/>
          <w:szCs w:val="28"/>
        </w:rPr>
        <w:t>Xu</w:t>
      </w:r>
      <w:proofErr w:type="spellEnd"/>
      <w:r>
        <w:rPr>
          <w:rFonts w:ascii="Times New Roman" w:hAnsi="Times New Roman" w:cs="Times New Roman"/>
          <w:sz w:val="28"/>
          <w:szCs w:val="28"/>
        </w:rPr>
        <w:t xml:space="preserve">, M., &amp; Li, J. (2020). Prevalence and characterization of enterotoxin genes in Staphylococcus </w:t>
      </w:r>
      <w:proofErr w:type="spellStart"/>
      <w:r>
        <w:rPr>
          <w:rFonts w:ascii="Times New Roman" w:hAnsi="Times New Roman" w:cs="Times New Roman"/>
          <w:sz w:val="28"/>
          <w:szCs w:val="28"/>
        </w:rPr>
        <w:t>aureus</w:t>
      </w:r>
      <w:proofErr w:type="spellEnd"/>
      <w:r>
        <w:rPr>
          <w:rFonts w:ascii="Times New Roman" w:hAnsi="Times New Roman" w:cs="Times New Roman"/>
          <w:sz w:val="28"/>
          <w:szCs w:val="28"/>
        </w:rPr>
        <w:t xml:space="preserve"> isolates from food samples. Food Control, 113, 107164. </w:t>
      </w:r>
      <w:hyperlink r:id="rId17" w:history="1">
        <w:r>
          <w:rPr>
            <w:rStyle w:val="Hyperlink"/>
            <w:rFonts w:ascii="Times New Roman" w:hAnsi="Times New Roman" w:cs="Times New Roman"/>
            <w:sz w:val="28"/>
            <w:szCs w:val="28"/>
          </w:rPr>
          <w:t>https://doi.org/10.1016/j.foodcont.2020.107164</w:t>
        </w:r>
      </w:hyperlink>
    </w:p>
    <w:p w:rsidR="00697F4F" w:rsidRDefault="00697F4F" w:rsidP="00697F4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Wu, S., </w:t>
      </w:r>
      <w:proofErr w:type="spellStart"/>
      <w:r>
        <w:rPr>
          <w:rFonts w:ascii="Times New Roman" w:hAnsi="Times New Roman" w:cs="Times New Roman"/>
          <w:sz w:val="28"/>
          <w:szCs w:val="28"/>
        </w:rPr>
        <w:t>Duan</w:t>
      </w:r>
      <w:proofErr w:type="spellEnd"/>
      <w:r>
        <w:rPr>
          <w:rFonts w:ascii="Times New Roman" w:hAnsi="Times New Roman" w:cs="Times New Roman"/>
          <w:sz w:val="28"/>
          <w:szCs w:val="28"/>
        </w:rPr>
        <w:t xml:space="preserve">, N., </w:t>
      </w:r>
      <w:proofErr w:type="spellStart"/>
      <w:proofErr w:type="gramStart"/>
      <w:r>
        <w:rPr>
          <w:rFonts w:ascii="Times New Roman" w:hAnsi="Times New Roman" w:cs="Times New Roman"/>
          <w:sz w:val="28"/>
          <w:szCs w:val="28"/>
        </w:rPr>
        <w:t>Gu</w:t>
      </w:r>
      <w:proofErr w:type="spellEnd"/>
      <w:proofErr w:type="gramEnd"/>
      <w:r>
        <w:rPr>
          <w:rFonts w:ascii="Times New Roman" w:hAnsi="Times New Roman" w:cs="Times New Roman"/>
          <w:sz w:val="28"/>
          <w:szCs w:val="28"/>
        </w:rPr>
        <w:t xml:space="preserve">, H., </w:t>
      </w:r>
      <w:proofErr w:type="spellStart"/>
      <w:r>
        <w:rPr>
          <w:rFonts w:ascii="Times New Roman" w:hAnsi="Times New Roman" w:cs="Times New Roman"/>
          <w:sz w:val="28"/>
          <w:szCs w:val="28"/>
        </w:rPr>
        <w:t>Hao</w:t>
      </w:r>
      <w:proofErr w:type="spellEnd"/>
      <w:r>
        <w:rPr>
          <w:rFonts w:ascii="Times New Roman" w:hAnsi="Times New Roman" w:cs="Times New Roman"/>
          <w:sz w:val="28"/>
          <w:szCs w:val="28"/>
        </w:rPr>
        <w:t xml:space="preserve">, L., Ye, H., &amp; Wang, Z. (2019). A comprehensive review on Staphylococcus </w:t>
      </w:r>
      <w:proofErr w:type="spellStart"/>
      <w:r>
        <w:rPr>
          <w:rFonts w:ascii="Times New Roman" w:hAnsi="Times New Roman" w:cs="Times New Roman"/>
          <w:sz w:val="28"/>
          <w:szCs w:val="28"/>
        </w:rPr>
        <w:t>aureus</w:t>
      </w:r>
      <w:proofErr w:type="spellEnd"/>
      <w:r>
        <w:rPr>
          <w:rFonts w:ascii="Times New Roman" w:hAnsi="Times New Roman" w:cs="Times New Roman"/>
          <w:sz w:val="28"/>
          <w:szCs w:val="28"/>
        </w:rPr>
        <w:t xml:space="preserve"> enterotoxins: Production, detection, and regulatory mechanisms. Critical Reviews in Food Science and Nutrition, 59(3), 373–386. </w:t>
      </w:r>
      <w:hyperlink r:id="rId18" w:history="1">
        <w:r>
          <w:rPr>
            <w:rStyle w:val="Hyperlink"/>
            <w:rFonts w:ascii="Times New Roman" w:hAnsi="Times New Roman" w:cs="Times New Roman"/>
            <w:sz w:val="28"/>
            <w:szCs w:val="28"/>
          </w:rPr>
          <w:t>https://doi.org/10.1080/10408398.2017.1372412</w:t>
        </w:r>
      </w:hyperlink>
    </w:p>
    <w:p w:rsidR="00697F4F" w:rsidRDefault="00697F4F" w:rsidP="00697F4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Zain, M. E. (2020). Impact of </w:t>
      </w:r>
      <w:proofErr w:type="spellStart"/>
      <w:r>
        <w:rPr>
          <w:rFonts w:ascii="Times New Roman" w:hAnsi="Times New Roman" w:cs="Times New Roman"/>
          <w:sz w:val="28"/>
          <w:szCs w:val="28"/>
        </w:rPr>
        <w:t>mycotoxins</w:t>
      </w:r>
      <w:proofErr w:type="spellEnd"/>
      <w:r>
        <w:rPr>
          <w:rFonts w:ascii="Times New Roman" w:hAnsi="Times New Roman" w:cs="Times New Roman"/>
          <w:sz w:val="28"/>
          <w:szCs w:val="28"/>
        </w:rPr>
        <w:t xml:space="preserve"> on humans and animals. Toxicology Research, 9(1), 1–16</w:t>
      </w:r>
    </w:p>
    <w:p w:rsidR="00697F4F" w:rsidRDefault="00697F4F" w:rsidP="00697F4F">
      <w:pPr>
        <w:spacing w:line="24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Zervakis</w:t>
      </w:r>
      <w:proofErr w:type="spellEnd"/>
      <w:r>
        <w:rPr>
          <w:rFonts w:ascii="Times New Roman" w:hAnsi="Times New Roman" w:cs="Times New Roman"/>
          <w:sz w:val="28"/>
          <w:szCs w:val="28"/>
        </w:rPr>
        <w:t xml:space="preserve">, G. I., </w:t>
      </w:r>
      <w:proofErr w:type="spellStart"/>
      <w:r>
        <w:rPr>
          <w:rFonts w:ascii="Times New Roman" w:hAnsi="Times New Roman" w:cs="Times New Roman"/>
          <w:sz w:val="28"/>
          <w:szCs w:val="28"/>
        </w:rPr>
        <w:t>Venturella</w:t>
      </w:r>
      <w:proofErr w:type="spellEnd"/>
      <w:r>
        <w:rPr>
          <w:rFonts w:ascii="Times New Roman" w:hAnsi="Times New Roman" w:cs="Times New Roman"/>
          <w:sz w:val="28"/>
          <w:szCs w:val="28"/>
        </w:rPr>
        <w:t xml:space="preserve">, G., &amp; </w:t>
      </w:r>
      <w:proofErr w:type="spellStart"/>
      <w:r>
        <w:rPr>
          <w:rFonts w:ascii="Times New Roman" w:hAnsi="Times New Roman" w:cs="Times New Roman"/>
          <w:sz w:val="28"/>
          <w:szCs w:val="28"/>
        </w:rPr>
        <w:t>Papazi</w:t>
      </w:r>
      <w:proofErr w:type="spellEnd"/>
      <w:r>
        <w:rPr>
          <w:rFonts w:ascii="Times New Roman" w:hAnsi="Times New Roman" w:cs="Times New Roman"/>
          <w:sz w:val="28"/>
          <w:szCs w:val="28"/>
        </w:rPr>
        <w:t>, A. (2019). Edible and medicinal mushrooms: Importance, taxonomy, and production. International Journal of Medicinal Mushrooms, 21(1), 1–16.</w:t>
      </w:r>
    </w:p>
    <w:p w:rsidR="00697F4F" w:rsidRPr="00EC2D00" w:rsidRDefault="00697F4F" w:rsidP="00697F4F">
      <w:pPr>
        <w:spacing w:line="24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Zhang, K., Zhang, L., Pan, L., &amp; Zhang, W. (2021). A review of </w:t>
      </w:r>
      <w:proofErr w:type="spellStart"/>
      <w:r>
        <w:rPr>
          <w:rFonts w:ascii="Times New Roman" w:hAnsi="Times New Roman" w:cs="Times New Roman"/>
          <w:sz w:val="28"/>
          <w:szCs w:val="28"/>
        </w:rPr>
        <w:t>mycotoxin</w:t>
      </w:r>
      <w:proofErr w:type="spellEnd"/>
      <w:r>
        <w:rPr>
          <w:rFonts w:ascii="Times New Roman" w:hAnsi="Times New Roman" w:cs="Times New Roman"/>
          <w:sz w:val="28"/>
          <w:szCs w:val="28"/>
        </w:rPr>
        <w:t xml:space="preserve"> detection techniques in food. Food Chemistry, 353, 12944.</w:t>
      </w:r>
    </w:p>
    <w:p w:rsidR="00697F4F" w:rsidRDefault="00697F4F" w:rsidP="009629DD">
      <w:pPr>
        <w:spacing w:line="480" w:lineRule="auto"/>
        <w:jc w:val="both"/>
        <w:rPr>
          <w:rFonts w:ascii="Times New Roman" w:hAnsi="Times New Roman" w:cs="Times New Roman"/>
          <w:sz w:val="28"/>
          <w:szCs w:val="28"/>
        </w:rPr>
      </w:pPr>
    </w:p>
    <w:p w:rsidR="009629DD" w:rsidRDefault="009629DD" w:rsidP="009629DD">
      <w:pPr>
        <w:spacing w:line="480" w:lineRule="auto"/>
        <w:jc w:val="center"/>
        <w:rPr>
          <w:rFonts w:ascii="Times New Roman" w:hAnsi="Times New Roman" w:cs="Times New Roman"/>
          <w:sz w:val="28"/>
          <w:szCs w:val="28"/>
        </w:rPr>
      </w:pPr>
    </w:p>
    <w:p w:rsidR="004A4370" w:rsidRDefault="004A4370" w:rsidP="009629DD">
      <w:pPr>
        <w:spacing w:line="480" w:lineRule="auto"/>
        <w:jc w:val="both"/>
      </w:pPr>
    </w:p>
    <w:sectPr w:rsidR="004A4370" w:rsidSect="00423150">
      <w:footerReference w:type="default" r:id="rId19"/>
      <w:pgSz w:w="12240" w:h="15840"/>
      <w:pgMar w:top="1440" w:right="1440" w:bottom="1440" w:left="1440" w:header="720" w:footer="720" w:gutter="0"/>
      <w:pgNumType w:fmt="lowerRoman"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7DA1" w:rsidRDefault="00F77DA1" w:rsidP="00423150">
      <w:pPr>
        <w:spacing w:after="0" w:line="240" w:lineRule="auto"/>
      </w:pPr>
      <w:r>
        <w:separator/>
      </w:r>
    </w:p>
  </w:endnote>
  <w:endnote w:type="continuationSeparator" w:id="0">
    <w:p w:rsidR="00F77DA1" w:rsidRDefault="00F77DA1" w:rsidP="00423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87989"/>
      <w:docPartObj>
        <w:docPartGallery w:val="Page Numbers (Bottom of Page)"/>
        <w:docPartUnique/>
      </w:docPartObj>
    </w:sdtPr>
    <w:sdtEndPr>
      <w:rPr>
        <w:noProof/>
      </w:rPr>
    </w:sdtEndPr>
    <w:sdtContent>
      <w:p w:rsidR="00423150" w:rsidRDefault="00423150">
        <w:pPr>
          <w:pStyle w:val="Footer"/>
          <w:jc w:val="center"/>
        </w:pPr>
        <w:r>
          <w:fldChar w:fldCharType="begin"/>
        </w:r>
        <w:r>
          <w:instrText xml:space="preserve"> PAGE   \* MERGEFORMAT </w:instrText>
        </w:r>
        <w:r>
          <w:fldChar w:fldCharType="separate"/>
        </w:r>
        <w:r w:rsidR="00924B26">
          <w:rPr>
            <w:noProof/>
          </w:rPr>
          <w:t>v</w:t>
        </w:r>
        <w:r>
          <w:rPr>
            <w:noProof/>
          </w:rPr>
          <w:fldChar w:fldCharType="end"/>
        </w:r>
      </w:p>
    </w:sdtContent>
  </w:sdt>
  <w:p w:rsidR="00423150" w:rsidRDefault="004231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7DA1" w:rsidRDefault="00F77DA1" w:rsidP="00423150">
      <w:pPr>
        <w:spacing w:after="0" w:line="240" w:lineRule="auto"/>
      </w:pPr>
      <w:r>
        <w:separator/>
      </w:r>
    </w:p>
  </w:footnote>
  <w:footnote w:type="continuationSeparator" w:id="0">
    <w:p w:rsidR="00F77DA1" w:rsidRDefault="00F77DA1" w:rsidP="0042315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94914"/>
    <w:multiLevelType w:val="hybridMultilevel"/>
    <w:tmpl w:val="7A6E4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8665713"/>
    <w:multiLevelType w:val="multilevel"/>
    <w:tmpl w:val="81A6439E"/>
    <w:lvl w:ilvl="0">
      <w:start w:val="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7B08481D"/>
    <w:multiLevelType w:val="multilevel"/>
    <w:tmpl w:val="2FD0C8BA"/>
    <w:lvl w:ilvl="0">
      <w:start w:val="1"/>
      <w:numFmt w:val="decimal"/>
      <w:lvlText w:val="%1."/>
      <w:lvlJc w:val="left"/>
      <w:pPr>
        <w:ind w:left="720" w:hanging="360"/>
      </w:pPr>
      <w:rPr>
        <w:rFonts w:hint="default"/>
      </w:rPr>
    </w:lvl>
    <w:lvl w:ilvl="1">
      <w:numFmt w:val="decimal"/>
      <w:isLgl/>
      <w:lvlText w:val="%1.%2"/>
      <w:lvlJc w:val="left"/>
      <w:pPr>
        <w:ind w:left="779" w:hanging="419"/>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A5F"/>
    <w:rsid w:val="000056F8"/>
    <w:rsid w:val="000D1E87"/>
    <w:rsid w:val="002A178F"/>
    <w:rsid w:val="003E656B"/>
    <w:rsid w:val="00423150"/>
    <w:rsid w:val="004A4370"/>
    <w:rsid w:val="00697F4F"/>
    <w:rsid w:val="006A21FC"/>
    <w:rsid w:val="006B0042"/>
    <w:rsid w:val="007764DF"/>
    <w:rsid w:val="008E0927"/>
    <w:rsid w:val="00903995"/>
    <w:rsid w:val="00906EFF"/>
    <w:rsid w:val="00924B26"/>
    <w:rsid w:val="009629DD"/>
    <w:rsid w:val="009A7075"/>
    <w:rsid w:val="00AB2CD7"/>
    <w:rsid w:val="00AC4A5F"/>
    <w:rsid w:val="00B30551"/>
    <w:rsid w:val="00E06DEC"/>
    <w:rsid w:val="00EC7B7B"/>
    <w:rsid w:val="00F77DA1"/>
    <w:rsid w:val="00F86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5A9DB-BD98-4233-A003-2EAB0BB7B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A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31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150"/>
  </w:style>
  <w:style w:type="paragraph" w:styleId="Footer">
    <w:name w:val="footer"/>
    <w:basedOn w:val="Normal"/>
    <w:link w:val="FooterChar"/>
    <w:uiPriority w:val="99"/>
    <w:unhideWhenUsed/>
    <w:rsid w:val="004231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150"/>
  </w:style>
  <w:style w:type="paragraph" w:styleId="ListParagraph">
    <w:name w:val="List Paragraph"/>
    <w:basedOn w:val="Normal"/>
    <w:uiPriority w:val="34"/>
    <w:qFormat/>
    <w:rsid w:val="00697F4F"/>
    <w:pPr>
      <w:spacing w:after="160" w:line="278" w:lineRule="auto"/>
      <w:ind w:left="720"/>
      <w:contextualSpacing/>
    </w:pPr>
    <w:rPr>
      <w:rFonts w:eastAsiaTheme="minorEastAsia"/>
      <w:kern w:val="2"/>
      <w:sz w:val="24"/>
      <w:szCs w:val="24"/>
    </w:rPr>
  </w:style>
  <w:style w:type="paragraph" w:styleId="NormalWeb">
    <w:name w:val="Normal (Web)"/>
    <w:basedOn w:val="Normal"/>
    <w:uiPriority w:val="99"/>
    <w:unhideWhenUsed/>
    <w:rsid w:val="00697F4F"/>
    <w:pPr>
      <w:spacing w:before="100" w:beforeAutospacing="1" w:after="100" w:afterAutospacing="1" w:line="240" w:lineRule="auto"/>
    </w:pPr>
    <w:rPr>
      <w:rFonts w:ascii="Times New Roman" w:eastAsiaTheme="minorEastAsia" w:hAnsi="Times New Roman" w:cs="Times New Roman"/>
      <w:sz w:val="24"/>
      <w:szCs w:val="24"/>
    </w:rPr>
  </w:style>
  <w:style w:type="character" w:styleId="Emphasis">
    <w:name w:val="Emphasis"/>
    <w:basedOn w:val="DefaultParagraphFont"/>
    <w:uiPriority w:val="20"/>
    <w:qFormat/>
    <w:rsid w:val="00697F4F"/>
    <w:rPr>
      <w:i/>
      <w:iCs/>
    </w:rPr>
  </w:style>
  <w:style w:type="table" w:styleId="TableGrid">
    <w:name w:val="Table Grid"/>
    <w:basedOn w:val="TableNormal"/>
    <w:uiPriority w:val="39"/>
    <w:rsid w:val="00697F4F"/>
    <w:pPr>
      <w:spacing w:after="0" w:line="240" w:lineRule="auto"/>
    </w:pPr>
    <w:rPr>
      <w:rFonts w:eastAsiaTheme="minorEastAsia"/>
      <w:kern w:val="2"/>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97F4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229">
      <w:bodyDiv w:val="1"/>
      <w:marLeft w:val="0"/>
      <w:marRight w:val="0"/>
      <w:marTop w:val="0"/>
      <w:marBottom w:val="0"/>
      <w:divBdr>
        <w:top w:val="none" w:sz="0" w:space="0" w:color="auto"/>
        <w:left w:val="none" w:sz="0" w:space="0" w:color="auto"/>
        <w:bottom w:val="none" w:sz="0" w:space="0" w:color="auto"/>
        <w:right w:val="none" w:sz="0" w:space="0" w:color="auto"/>
      </w:divBdr>
    </w:div>
    <w:div w:id="351734868">
      <w:bodyDiv w:val="1"/>
      <w:marLeft w:val="0"/>
      <w:marRight w:val="0"/>
      <w:marTop w:val="0"/>
      <w:marBottom w:val="0"/>
      <w:divBdr>
        <w:top w:val="none" w:sz="0" w:space="0" w:color="auto"/>
        <w:left w:val="none" w:sz="0" w:space="0" w:color="auto"/>
        <w:bottom w:val="none" w:sz="0" w:space="0" w:color="auto"/>
        <w:right w:val="none" w:sz="0" w:space="0" w:color="auto"/>
      </w:divBdr>
    </w:div>
    <w:div w:id="645476945">
      <w:bodyDiv w:val="1"/>
      <w:marLeft w:val="0"/>
      <w:marRight w:val="0"/>
      <w:marTop w:val="0"/>
      <w:marBottom w:val="0"/>
      <w:divBdr>
        <w:top w:val="none" w:sz="0" w:space="0" w:color="auto"/>
        <w:left w:val="none" w:sz="0" w:space="0" w:color="auto"/>
        <w:bottom w:val="none" w:sz="0" w:space="0" w:color="auto"/>
        <w:right w:val="none" w:sz="0" w:space="0" w:color="auto"/>
      </w:divBdr>
    </w:div>
    <w:div w:id="1135634575">
      <w:bodyDiv w:val="1"/>
      <w:marLeft w:val="0"/>
      <w:marRight w:val="0"/>
      <w:marTop w:val="0"/>
      <w:marBottom w:val="0"/>
      <w:divBdr>
        <w:top w:val="none" w:sz="0" w:space="0" w:color="auto"/>
        <w:left w:val="none" w:sz="0" w:space="0" w:color="auto"/>
        <w:bottom w:val="none" w:sz="0" w:space="0" w:color="auto"/>
        <w:right w:val="none" w:sz="0" w:space="0" w:color="auto"/>
      </w:divBdr>
    </w:div>
    <w:div w:id="1233850772">
      <w:bodyDiv w:val="1"/>
      <w:marLeft w:val="0"/>
      <w:marRight w:val="0"/>
      <w:marTop w:val="0"/>
      <w:marBottom w:val="0"/>
      <w:divBdr>
        <w:top w:val="none" w:sz="0" w:space="0" w:color="auto"/>
        <w:left w:val="none" w:sz="0" w:space="0" w:color="auto"/>
        <w:bottom w:val="none" w:sz="0" w:space="0" w:color="auto"/>
        <w:right w:val="none" w:sz="0" w:space="0" w:color="auto"/>
      </w:divBdr>
    </w:div>
    <w:div w:id="1263761826">
      <w:bodyDiv w:val="1"/>
      <w:marLeft w:val="0"/>
      <w:marRight w:val="0"/>
      <w:marTop w:val="0"/>
      <w:marBottom w:val="0"/>
      <w:divBdr>
        <w:top w:val="none" w:sz="0" w:space="0" w:color="auto"/>
        <w:left w:val="none" w:sz="0" w:space="0" w:color="auto"/>
        <w:bottom w:val="none" w:sz="0" w:space="0" w:color="auto"/>
        <w:right w:val="none" w:sz="0" w:space="0" w:color="auto"/>
      </w:divBdr>
    </w:div>
    <w:div w:id="1307395893">
      <w:bodyDiv w:val="1"/>
      <w:marLeft w:val="0"/>
      <w:marRight w:val="0"/>
      <w:marTop w:val="0"/>
      <w:marBottom w:val="0"/>
      <w:divBdr>
        <w:top w:val="none" w:sz="0" w:space="0" w:color="auto"/>
        <w:left w:val="none" w:sz="0" w:space="0" w:color="auto"/>
        <w:bottom w:val="none" w:sz="0" w:space="0" w:color="auto"/>
        <w:right w:val="none" w:sz="0" w:space="0" w:color="auto"/>
      </w:divBdr>
    </w:div>
    <w:div w:id="1469663188">
      <w:bodyDiv w:val="1"/>
      <w:marLeft w:val="0"/>
      <w:marRight w:val="0"/>
      <w:marTop w:val="0"/>
      <w:marBottom w:val="0"/>
      <w:divBdr>
        <w:top w:val="none" w:sz="0" w:space="0" w:color="auto"/>
        <w:left w:val="none" w:sz="0" w:space="0" w:color="auto"/>
        <w:bottom w:val="none" w:sz="0" w:space="0" w:color="auto"/>
        <w:right w:val="none" w:sz="0" w:space="0" w:color="auto"/>
      </w:divBdr>
    </w:div>
    <w:div w:id="1515456643">
      <w:bodyDiv w:val="1"/>
      <w:marLeft w:val="0"/>
      <w:marRight w:val="0"/>
      <w:marTop w:val="0"/>
      <w:marBottom w:val="0"/>
      <w:divBdr>
        <w:top w:val="none" w:sz="0" w:space="0" w:color="auto"/>
        <w:left w:val="none" w:sz="0" w:space="0" w:color="auto"/>
        <w:bottom w:val="none" w:sz="0" w:space="0" w:color="auto"/>
        <w:right w:val="none" w:sz="0" w:space="0" w:color="auto"/>
      </w:divBdr>
    </w:div>
    <w:div w:id="1687441083">
      <w:bodyDiv w:val="1"/>
      <w:marLeft w:val="0"/>
      <w:marRight w:val="0"/>
      <w:marTop w:val="0"/>
      <w:marBottom w:val="0"/>
      <w:divBdr>
        <w:top w:val="none" w:sz="0" w:space="0" w:color="auto"/>
        <w:left w:val="none" w:sz="0" w:space="0" w:color="auto"/>
        <w:bottom w:val="none" w:sz="0" w:space="0" w:color="auto"/>
        <w:right w:val="none" w:sz="0" w:space="0" w:color="auto"/>
      </w:divBdr>
    </w:div>
    <w:div w:id="1694919529">
      <w:bodyDiv w:val="1"/>
      <w:marLeft w:val="0"/>
      <w:marRight w:val="0"/>
      <w:marTop w:val="0"/>
      <w:marBottom w:val="0"/>
      <w:divBdr>
        <w:top w:val="none" w:sz="0" w:space="0" w:color="auto"/>
        <w:left w:val="none" w:sz="0" w:space="0" w:color="auto"/>
        <w:bottom w:val="none" w:sz="0" w:space="0" w:color="auto"/>
        <w:right w:val="none" w:sz="0" w:space="0" w:color="auto"/>
      </w:divBdr>
    </w:div>
    <w:div w:id="1709181936">
      <w:bodyDiv w:val="1"/>
      <w:marLeft w:val="0"/>
      <w:marRight w:val="0"/>
      <w:marTop w:val="0"/>
      <w:marBottom w:val="0"/>
      <w:divBdr>
        <w:top w:val="none" w:sz="0" w:space="0" w:color="auto"/>
        <w:left w:val="none" w:sz="0" w:space="0" w:color="auto"/>
        <w:bottom w:val="none" w:sz="0" w:space="0" w:color="auto"/>
        <w:right w:val="none" w:sz="0" w:space="0" w:color="auto"/>
      </w:divBdr>
    </w:div>
    <w:div w:id="1760831381">
      <w:bodyDiv w:val="1"/>
      <w:marLeft w:val="0"/>
      <w:marRight w:val="0"/>
      <w:marTop w:val="0"/>
      <w:marBottom w:val="0"/>
      <w:divBdr>
        <w:top w:val="none" w:sz="0" w:space="0" w:color="auto"/>
        <w:left w:val="none" w:sz="0" w:space="0" w:color="auto"/>
        <w:bottom w:val="none" w:sz="0" w:space="0" w:color="auto"/>
        <w:right w:val="none" w:sz="0" w:space="0" w:color="auto"/>
      </w:divBdr>
    </w:div>
    <w:div w:id="1782064841">
      <w:bodyDiv w:val="1"/>
      <w:marLeft w:val="0"/>
      <w:marRight w:val="0"/>
      <w:marTop w:val="0"/>
      <w:marBottom w:val="0"/>
      <w:divBdr>
        <w:top w:val="none" w:sz="0" w:space="0" w:color="auto"/>
        <w:left w:val="none" w:sz="0" w:space="0" w:color="auto"/>
        <w:bottom w:val="none" w:sz="0" w:space="0" w:color="auto"/>
        <w:right w:val="none" w:sz="0" w:space="0" w:color="auto"/>
      </w:divBdr>
    </w:div>
    <w:div w:id="1851329595">
      <w:bodyDiv w:val="1"/>
      <w:marLeft w:val="0"/>
      <w:marRight w:val="0"/>
      <w:marTop w:val="0"/>
      <w:marBottom w:val="0"/>
      <w:divBdr>
        <w:top w:val="none" w:sz="0" w:space="0" w:color="auto"/>
        <w:left w:val="none" w:sz="0" w:space="0" w:color="auto"/>
        <w:bottom w:val="none" w:sz="0" w:space="0" w:color="auto"/>
        <w:right w:val="none" w:sz="0" w:space="0" w:color="auto"/>
      </w:divBdr>
    </w:div>
    <w:div w:id="1968775770">
      <w:bodyDiv w:val="1"/>
      <w:marLeft w:val="0"/>
      <w:marRight w:val="0"/>
      <w:marTop w:val="0"/>
      <w:marBottom w:val="0"/>
      <w:divBdr>
        <w:top w:val="none" w:sz="0" w:space="0" w:color="auto"/>
        <w:left w:val="none" w:sz="0" w:space="0" w:color="auto"/>
        <w:bottom w:val="none" w:sz="0" w:space="0" w:color="auto"/>
        <w:right w:val="none" w:sz="0" w:space="0" w:color="auto"/>
      </w:divBdr>
    </w:div>
    <w:div w:id="2098819069">
      <w:bodyDiv w:val="1"/>
      <w:marLeft w:val="0"/>
      <w:marRight w:val="0"/>
      <w:marTop w:val="0"/>
      <w:marBottom w:val="0"/>
      <w:divBdr>
        <w:top w:val="none" w:sz="0" w:space="0" w:color="auto"/>
        <w:left w:val="none" w:sz="0" w:space="0" w:color="auto"/>
        <w:bottom w:val="none" w:sz="0" w:space="0" w:color="auto"/>
        <w:right w:val="none" w:sz="0" w:space="0" w:color="auto"/>
      </w:divBdr>
    </w:div>
    <w:div w:id="2118788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18" Type="http://schemas.openxmlformats.org/officeDocument/2006/relationships/hyperlink" Target="https://doi.org/10.1080/10408398.2017.1372412"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hyperlink" Target="https://doi.org/10.1016/j.foodcont.2020.107164" TargetMode="External"/><Relationship Id="rId2" Type="http://schemas.openxmlformats.org/officeDocument/2006/relationships/styles" Target="styles.xml"/><Relationship Id="rId16" Type="http://schemas.openxmlformats.org/officeDocument/2006/relationships/hyperlink" Target="https://doi.org/10.1128/JCM.00215-18"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chart" Target="charts/chart1.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6.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134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574-4EC0-9A9B-16382C1909EA}"/>
                </c:ext>
                <c:ext xmlns:c15="http://schemas.microsoft.com/office/drawing/2012/chart" uri="{CE6537A1-D6FC-4f65-9D91-7224C49458BB}"/>
              </c:extLst>
            </c:dLbl>
            <c:dLbl>
              <c:idx val="1"/>
              <c:tx>
                <c:rich>
                  <a:bodyPr/>
                  <a:lstStyle/>
                  <a:p>
                    <a:r>
                      <a:rPr lang="en-US"/>
                      <a:t>134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574-4EC0-9A9B-16382C1909EA}"/>
                </c:ext>
                <c:ext xmlns:c15="http://schemas.microsoft.com/office/drawing/2012/chart" uri="{CE6537A1-D6FC-4f65-9D91-7224C49458BB}"/>
              </c:extLst>
            </c:dLbl>
            <c:dLbl>
              <c:idx val="2"/>
              <c:tx>
                <c:rich>
                  <a:bodyPr/>
                  <a:lstStyle/>
                  <a:p>
                    <a:r>
                      <a:rPr lang="en-US"/>
                      <a:t>132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8574-4EC0-9A9B-16382C1909EA}"/>
                </c:ext>
                <c:ext xmlns:c15="http://schemas.microsoft.com/office/drawing/2012/chart" uri="{CE6537A1-D6FC-4f65-9D91-7224C49458BB}"/>
              </c:extLst>
            </c:dLbl>
            <c:dLbl>
              <c:idx val="3"/>
              <c:tx>
                <c:rich>
                  <a:bodyPr/>
                  <a:lstStyle/>
                  <a:p>
                    <a:r>
                      <a:rPr lang="en-US"/>
                      <a:t>130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8574-4EC0-9A9B-16382C1909EA}"/>
                </c:ext>
                <c:ext xmlns:c15="http://schemas.microsoft.com/office/drawing/2012/chart" uri="{CE6537A1-D6FC-4f65-9D91-7224C49458BB}"/>
              </c:extLst>
            </c:dLbl>
            <c:dLbl>
              <c:idx val="4"/>
              <c:tx>
                <c:rich>
                  <a:bodyPr/>
                  <a:lstStyle/>
                  <a:p>
                    <a:r>
                      <a:rPr lang="en-US"/>
                      <a:t>128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8574-4EC0-9A9B-16382C1909EA}"/>
                </c:ext>
                <c:ext xmlns:c15="http://schemas.microsoft.com/office/drawing/2012/chart" uri="{CE6537A1-D6FC-4f65-9D91-7224C49458BB}"/>
              </c:extLst>
            </c:dLbl>
            <c:dLbl>
              <c:idx val="5"/>
              <c:tx>
                <c:rich>
                  <a:bodyPr/>
                  <a:lstStyle/>
                  <a:p>
                    <a:r>
                      <a:rPr lang="en-US"/>
                      <a:t>126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8574-4EC0-9A9B-16382C1909EA}"/>
                </c:ext>
                <c:ext xmlns:c15="http://schemas.microsoft.com/office/drawing/2012/chart" uri="{CE6537A1-D6FC-4f65-9D91-7224C49458BB}"/>
              </c:extLst>
            </c:dLbl>
            <c:dLbl>
              <c:idx val="6"/>
              <c:tx>
                <c:rich>
                  <a:bodyPr/>
                  <a:lstStyle/>
                  <a:p>
                    <a:r>
                      <a:rPr lang="en-US"/>
                      <a:t>124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3-8574-4EC0-9A9B-16382C1909E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4.0999999999999996</c:v>
                </c:pt>
                <c:pt idx="1">
                  <c:v>4.0999999999999996</c:v>
                </c:pt>
                <c:pt idx="2">
                  <c:v>3.9</c:v>
                </c:pt>
                <c:pt idx="3">
                  <c:v>3.7</c:v>
                </c:pt>
                <c:pt idx="4">
                  <c:v>3.5</c:v>
                </c:pt>
                <c:pt idx="5">
                  <c:v>3</c:v>
                </c:pt>
                <c:pt idx="6">
                  <c:v>2.75</c:v>
                </c:pt>
              </c:numCache>
            </c:numRef>
          </c:val>
          <c:extLst xmlns:c16r2="http://schemas.microsoft.com/office/drawing/2015/06/chart">
            <c:ext xmlns:c16="http://schemas.microsoft.com/office/drawing/2014/chart" uri="{C3380CC4-5D6E-409C-BE32-E72D297353CC}">
              <c16:uniqueId val="{00000002-8574-4EC0-9A9B-16382C1909EA}"/>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108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8574-4EC0-9A9B-16382C1909EA}"/>
                </c:ext>
                <c:ext xmlns:c15="http://schemas.microsoft.com/office/drawing/2012/chart" uri="{CE6537A1-D6FC-4f65-9D91-7224C49458BB}"/>
              </c:extLst>
            </c:dLbl>
            <c:dLbl>
              <c:idx val="1"/>
              <c:tx>
                <c:rich>
                  <a:bodyPr/>
                  <a:lstStyle/>
                  <a:p>
                    <a:r>
                      <a:rPr lang="en-US"/>
                      <a:t>108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574-4EC0-9A9B-16382C1909EA}"/>
                </c:ext>
                <c:ext xmlns:c15="http://schemas.microsoft.com/office/drawing/2012/chart" uri="{CE6537A1-D6FC-4f65-9D91-7224C49458BB}"/>
              </c:extLst>
            </c:dLbl>
            <c:dLbl>
              <c:idx val="2"/>
              <c:tx>
                <c:rich>
                  <a:bodyPr/>
                  <a:lstStyle/>
                  <a:p>
                    <a:r>
                      <a:rPr lang="en-US"/>
                      <a:t>107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574-4EC0-9A9B-16382C1909EA}"/>
                </c:ext>
                <c:ext xmlns:c15="http://schemas.microsoft.com/office/drawing/2012/chart" uri="{CE6537A1-D6FC-4f65-9D91-7224C49458BB}"/>
              </c:extLst>
            </c:dLbl>
            <c:dLbl>
              <c:idx val="3"/>
              <c:tx>
                <c:rich>
                  <a:bodyPr/>
                  <a:lstStyle/>
                  <a:p>
                    <a:r>
                      <a:rPr lang="en-US"/>
                      <a:t>106</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8574-4EC0-9A9B-16382C1909EA}"/>
                </c:ext>
                <c:ext xmlns:c15="http://schemas.microsoft.com/office/drawing/2012/chart" uri="{CE6537A1-D6FC-4f65-9D91-7224C49458BB}"/>
              </c:extLst>
            </c:dLbl>
            <c:dLbl>
              <c:idx val="4"/>
              <c:tx>
                <c:rich>
                  <a:bodyPr/>
                  <a:lstStyle/>
                  <a:p>
                    <a:r>
                      <a:rPr lang="en-US"/>
                      <a:t>104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8574-4EC0-9A9B-16382C1909EA}"/>
                </c:ext>
                <c:ext xmlns:c15="http://schemas.microsoft.com/office/drawing/2012/chart" uri="{CE6537A1-D6FC-4f65-9D91-7224C49458BB}"/>
              </c:extLst>
            </c:dLbl>
            <c:dLbl>
              <c:idx val="5"/>
              <c:tx>
                <c:rich>
                  <a:bodyPr/>
                  <a:lstStyle/>
                  <a:p>
                    <a:r>
                      <a:rPr lang="en-US"/>
                      <a:t>102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8574-4EC0-9A9B-16382C1909EA}"/>
                </c:ext>
                <c:ext xmlns:c15="http://schemas.microsoft.com/office/drawing/2012/chart" uri="{CE6537A1-D6FC-4f65-9D91-7224C49458BB}"/>
              </c:extLst>
            </c:dLbl>
            <c:dLbl>
              <c:idx val="6"/>
              <c:tx>
                <c:rich>
                  <a:bodyPr/>
                  <a:lstStyle/>
                  <a:p>
                    <a:r>
                      <a:rPr lang="en-US"/>
                      <a:t>100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4-8574-4EC0-9A9B-16382C1909E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2.9</c:v>
                </c:pt>
                <c:pt idx="1">
                  <c:v>2.9</c:v>
                </c:pt>
                <c:pt idx="2">
                  <c:v>2.75</c:v>
                </c:pt>
                <c:pt idx="3">
                  <c:v>2.68</c:v>
                </c:pt>
                <c:pt idx="4">
                  <c:v>2.5499999999999998</c:v>
                </c:pt>
                <c:pt idx="5">
                  <c:v>2.25</c:v>
                </c:pt>
                <c:pt idx="6">
                  <c:v>2</c:v>
                </c:pt>
              </c:numCache>
            </c:numRef>
          </c:val>
          <c:extLst xmlns:c16r2="http://schemas.microsoft.com/office/drawing/2015/06/chart">
            <c:ext xmlns:c16="http://schemas.microsoft.com/office/drawing/2014/chart" uri="{C3380CC4-5D6E-409C-BE32-E72D297353CC}">
              <c16:uniqueId val="{00000006-8574-4EC0-9A9B-16382C1909EA}"/>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139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8574-4EC0-9A9B-16382C1909EA}"/>
                </c:ext>
                <c:ext xmlns:c15="http://schemas.microsoft.com/office/drawing/2012/chart" uri="{CE6537A1-D6FC-4f65-9D91-7224C49458BB}"/>
              </c:extLst>
            </c:dLbl>
            <c:dLbl>
              <c:idx val="1"/>
              <c:tx>
                <c:rich>
                  <a:bodyPr/>
                  <a:lstStyle/>
                  <a:p>
                    <a:r>
                      <a:rPr lang="en-US"/>
                      <a:t>139</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8574-4EC0-9A9B-16382C1909EA}"/>
                </c:ext>
                <c:ext xmlns:c15="http://schemas.microsoft.com/office/drawing/2012/chart" uri="{CE6537A1-D6FC-4f65-9D91-7224C49458BB}"/>
              </c:extLst>
            </c:dLbl>
            <c:dLbl>
              <c:idx val="2"/>
              <c:tx>
                <c:rich>
                  <a:bodyPr/>
                  <a:lstStyle/>
                  <a:p>
                    <a:r>
                      <a:rPr lang="en-US"/>
                      <a:t>138</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8574-4EC0-9A9B-16382C1909EA}"/>
                </c:ext>
                <c:ext xmlns:c15="http://schemas.microsoft.com/office/drawing/2012/chart" uri="{CE6537A1-D6FC-4f65-9D91-7224C49458BB}"/>
              </c:extLst>
            </c:dLbl>
            <c:dLbl>
              <c:idx val="3"/>
              <c:tx>
                <c:rich>
                  <a:bodyPr/>
                  <a:lstStyle/>
                  <a:p>
                    <a:r>
                      <a:rPr lang="en-US"/>
                      <a:t>137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8574-4EC0-9A9B-16382C1909EA}"/>
                </c:ext>
                <c:ext xmlns:c15="http://schemas.microsoft.com/office/drawing/2012/chart" uri="{CE6537A1-D6FC-4f65-9D91-7224C49458BB}"/>
              </c:extLst>
            </c:dLbl>
            <c:dLbl>
              <c:idx val="4"/>
              <c:tx>
                <c:rich>
                  <a:bodyPr/>
                  <a:lstStyle/>
                  <a:p>
                    <a:r>
                      <a:rPr lang="en-US"/>
                      <a:t>135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8574-4EC0-9A9B-16382C1909EA}"/>
                </c:ext>
                <c:ext xmlns:c15="http://schemas.microsoft.com/office/drawing/2012/chart" uri="{CE6537A1-D6FC-4f65-9D91-7224C49458BB}"/>
              </c:extLst>
            </c:dLbl>
            <c:dLbl>
              <c:idx val="5"/>
              <c:tx>
                <c:rich>
                  <a:bodyPr/>
                  <a:lstStyle/>
                  <a:p>
                    <a:r>
                      <a:rPr lang="en-US"/>
                      <a:t>133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8574-4EC0-9A9B-16382C1909EA}"/>
                </c:ext>
                <c:ext xmlns:c15="http://schemas.microsoft.com/office/drawing/2012/chart" uri="{CE6537A1-D6FC-4f65-9D91-7224C49458BB}"/>
              </c:extLst>
            </c:dLbl>
            <c:dLbl>
              <c:idx val="6"/>
              <c:tx>
                <c:rich>
                  <a:bodyPr/>
                  <a:lstStyle/>
                  <a:p>
                    <a:r>
                      <a:rPr lang="en-US"/>
                      <a:t>131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5-8574-4EC0-9A9B-16382C1909E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4.5999999999999996</c:v>
                </c:pt>
                <c:pt idx="1">
                  <c:v>4.5999999999999996</c:v>
                </c:pt>
                <c:pt idx="2">
                  <c:v>4.5</c:v>
                </c:pt>
                <c:pt idx="3">
                  <c:v>4.4800000000000004</c:v>
                </c:pt>
                <c:pt idx="4">
                  <c:v>4</c:v>
                </c:pt>
                <c:pt idx="5">
                  <c:v>3.8</c:v>
                </c:pt>
                <c:pt idx="6">
                  <c:v>3.5</c:v>
                </c:pt>
              </c:numCache>
            </c:numRef>
          </c:val>
          <c:extLst xmlns:c16r2="http://schemas.microsoft.com/office/drawing/2015/06/chart">
            <c:ext xmlns:c16="http://schemas.microsoft.com/office/drawing/2014/chart" uri="{C3380CC4-5D6E-409C-BE32-E72D297353CC}">
              <c16:uniqueId val="{0000000B-8574-4EC0-9A9B-16382C1909EA}"/>
            </c:ext>
          </c:extLst>
        </c:ser>
        <c:ser>
          <c:idx val="3"/>
          <c:order val="3"/>
          <c:tx>
            <c:strRef>
              <c:f>Sheet1!$E$1</c:f>
              <c:strCache>
                <c:ptCount val="1"/>
                <c:pt idx="0">
                  <c:v>black</c:v>
                </c:pt>
              </c:strCache>
            </c:strRef>
          </c:tx>
          <c:spPr>
            <a:solidFill>
              <a:schemeClr val="accent4"/>
            </a:solidFill>
            <a:ln>
              <a:noFill/>
            </a:ln>
            <a:effectLst/>
          </c:spPr>
          <c:invertIfNegative val="0"/>
          <c:dLbls>
            <c:dLbl>
              <c:idx val="0"/>
              <c:tx>
                <c:rich>
                  <a:bodyPr/>
                  <a:lstStyle/>
                  <a:p>
                    <a:r>
                      <a:rPr lang="en-US"/>
                      <a:t>125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8574-4EC0-9A9B-16382C1909EA}"/>
                </c:ext>
                <c:ext xmlns:c15="http://schemas.microsoft.com/office/drawing/2012/chart" uri="{CE6537A1-D6FC-4f65-9D91-7224C49458BB}"/>
              </c:extLst>
            </c:dLbl>
            <c:dLbl>
              <c:idx val="1"/>
              <c:tx>
                <c:rich>
                  <a:bodyPr/>
                  <a:lstStyle/>
                  <a:p>
                    <a:r>
                      <a:rPr lang="en-US"/>
                      <a:t>125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8574-4EC0-9A9B-16382C1909EA}"/>
                </c:ext>
                <c:ext xmlns:c15="http://schemas.microsoft.com/office/drawing/2012/chart" uri="{CE6537A1-D6FC-4f65-9D91-7224C49458BB}"/>
              </c:extLst>
            </c:dLbl>
            <c:dLbl>
              <c:idx val="2"/>
              <c:tx>
                <c:rich>
                  <a:bodyPr/>
                  <a:lstStyle/>
                  <a:p>
                    <a:r>
                      <a:rPr lang="en-US"/>
                      <a:t>125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8574-4EC0-9A9B-16382C1909EA}"/>
                </c:ext>
                <c:ext xmlns:c15="http://schemas.microsoft.com/office/drawing/2012/chart" uri="{CE6537A1-D6FC-4f65-9D91-7224C49458BB}"/>
              </c:extLst>
            </c:dLbl>
            <c:dLbl>
              <c:idx val="3"/>
              <c:tx>
                <c:rich>
                  <a:bodyPr/>
                  <a:lstStyle/>
                  <a:p>
                    <a:r>
                      <a:rPr lang="en-US"/>
                      <a:t>124</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8574-4EC0-9A9B-16382C1909EA}"/>
                </c:ext>
                <c:ext xmlns:c15="http://schemas.microsoft.com/office/drawing/2012/chart" uri="{CE6537A1-D6FC-4f65-9D91-7224C49458BB}"/>
              </c:extLst>
            </c:dLbl>
            <c:dLbl>
              <c:idx val="4"/>
              <c:tx>
                <c:rich>
                  <a:bodyPr/>
                  <a:lstStyle/>
                  <a:p>
                    <a:r>
                      <a:rPr lang="en-US"/>
                      <a:t>123</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8574-4EC0-9A9B-16382C1909EA}"/>
                </c:ext>
                <c:ext xmlns:c15="http://schemas.microsoft.com/office/drawing/2012/chart" uri="{CE6537A1-D6FC-4f65-9D91-7224C49458BB}"/>
              </c:extLst>
            </c:dLbl>
            <c:dLbl>
              <c:idx val="5"/>
              <c:tx>
                <c:rich>
                  <a:bodyPr/>
                  <a:lstStyle/>
                  <a:p>
                    <a:r>
                      <a:rPr lang="en-US"/>
                      <a:t>122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8574-4EC0-9A9B-16382C1909EA}"/>
                </c:ext>
                <c:ext xmlns:c15="http://schemas.microsoft.com/office/drawing/2012/chart" uri="{CE6537A1-D6FC-4f65-9D91-7224C49458BB}"/>
              </c:extLst>
            </c:dLbl>
            <c:dLbl>
              <c:idx val="6"/>
              <c:tx>
                <c:rich>
                  <a:bodyPr/>
                  <a:lstStyle/>
                  <a:p>
                    <a:r>
                      <a:rPr lang="en-US"/>
                      <a:t>121</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6-8574-4EC0-9A9B-16382C1909E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3.6</c:v>
                </c:pt>
                <c:pt idx="1">
                  <c:v>3.6</c:v>
                </c:pt>
                <c:pt idx="2">
                  <c:v>3.6</c:v>
                </c:pt>
                <c:pt idx="3">
                  <c:v>3.58</c:v>
                </c:pt>
                <c:pt idx="4">
                  <c:v>3.56</c:v>
                </c:pt>
                <c:pt idx="5">
                  <c:v>3.5</c:v>
                </c:pt>
                <c:pt idx="6">
                  <c:v>3.2</c:v>
                </c:pt>
              </c:numCache>
            </c:numRef>
          </c:val>
          <c:extLst xmlns:c16r2="http://schemas.microsoft.com/office/drawing/2015/06/chart">
            <c:ext xmlns:c16="http://schemas.microsoft.com/office/drawing/2014/chart" uri="{C3380CC4-5D6E-409C-BE32-E72D297353CC}">
              <c16:uniqueId val="{0000000C-8574-4EC0-9A9B-16382C1909EA}"/>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8574-4EC0-9A9B-16382C1909EA}"/>
                </c:ext>
                <c:ext xmlns:c15="http://schemas.microsoft.com/office/drawing/2012/chart" uri="{CE6537A1-D6FC-4f65-9D91-7224C49458BB}"/>
              </c:extLst>
            </c:dLbl>
            <c:dLbl>
              <c:idx val="1"/>
              <c:tx>
                <c:rich>
                  <a:bodyPr/>
                  <a:lstStyle/>
                  <a:p>
                    <a:r>
                      <a:rPr lang="en-US"/>
                      <a:t>152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8574-4EC0-9A9B-16382C1909EA}"/>
                </c:ext>
                <c:ext xmlns:c15="http://schemas.microsoft.com/office/drawing/2012/chart" uri="{CE6537A1-D6FC-4f65-9D91-7224C49458BB}"/>
              </c:extLst>
            </c:dLbl>
            <c:dLbl>
              <c:idx val="2"/>
              <c:tx>
                <c:rich>
                  <a:bodyPr/>
                  <a:lstStyle/>
                  <a:p>
                    <a:r>
                      <a:rPr lang="en-US"/>
                      <a:t>157</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F-8574-4EC0-9A9B-16382C1909EA}"/>
                </c:ext>
                <c:ext xmlns:c15="http://schemas.microsoft.com/office/drawing/2012/chart" uri="{CE6537A1-D6FC-4f65-9D91-7224C49458BB}"/>
              </c:extLst>
            </c:dLbl>
            <c:dLbl>
              <c:idx val="3"/>
              <c:tx>
                <c:rich>
                  <a:bodyPr/>
                  <a:lstStyle/>
                  <a:p>
                    <a:r>
                      <a:rPr lang="en-US"/>
                      <a:t>160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8574-4EC0-9A9B-16382C1909EA}"/>
                </c:ext>
                <c:ext xmlns:c15="http://schemas.microsoft.com/office/drawing/2012/chart" uri="{CE6537A1-D6FC-4f65-9D91-7224C49458BB}"/>
              </c:extLst>
            </c:dLbl>
            <c:dLbl>
              <c:idx val="4"/>
              <c:tx>
                <c:rich>
                  <a:bodyPr/>
                  <a:lstStyle/>
                  <a:p>
                    <a:r>
                      <a:rPr lang="en-US"/>
                      <a:t>160</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8574-4EC0-9A9B-16382C1909EA}"/>
                </c:ext>
                <c:ext xmlns:c15="http://schemas.microsoft.com/office/drawing/2012/chart" uri="{CE6537A1-D6FC-4f65-9D91-7224C49458BB}"/>
              </c:extLst>
            </c:dLbl>
            <c:dLbl>
              <c:idx val="5"/>
              <c:tx>
                <c:rich>
                  <a:bodyPr/>
                  <a:lstStyle/>
                  <a:p>
                    <a:r>
                      <a:rPr lang="en-US"/>
                      <a:t>162</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2-8574-4EC0-9A9B-16382C1909EA}"/>
                </c:ext>
                <c:ext xmlns:c15="http://schemas.microsoft.com/office/drawing/2012/chart" uri="{CE6537A1-D6FC-4f65-9D91-7224C49458BB}"/>
              </c:extLst>
            </c:dLbl>
            <c:dLbl>
              <c:idx val="6"/>
              <c:tx>
                <c:rich>
                  <a:bodyPr/>
                  <a:lstStyle/>
                  <a:p>
                    <a:r>
                      <a:rPr lang="en-US"/>
                      <a:t>163.5</a:t>
                    </a:r>
                  </a:p>
                </c:rich>
              </c:tx>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7-8574-4EC0-9A9B-16382C1909EA}"/>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5</c:v>
                </c:pt>
                <c:pt idx="1">
                  <c:v>5.2</c:v>
                </c:pt>
                <c:pt idx="2">
                  <c:v>5.5</c:v>
                </c:pt>
                <c:pt idx="3">
                  <c:v>6</c:v>
                </c:pt>
                <c:pt idx="4">
                  <c:v>6</c:v>
                </c:pt>
                <c:pt idx="5">
                  <c:v>6.35</c:v>
                </c:pt>
                <c:pt idx="6">
                  <c:v>6.3599999999999994</c:v>
                </c:pt>
              </c:numCache>
            </c:numRef>
          </c:val>
          <c:extLst xmlns:c16r2="http://schemas.microsoft.com/office/drawing/2015/06/chart">
            <c:ext xmlns:c16="http://schemas.microsoft.com/office/drawing/2014/chart" uri="{C3380CC4-5D6E-409C-BE32-E72D297353CC}">
              <c16:uniqueId val="{00000011-8574-4EC0-9A9B-16382C1909EA}"/>
            </c:ext>
          </c:extLst>
        </c:ser>
        <c:dLbls>
          <c:showLegendKey val="0"/>
          <c:showVal val="1"/>
          <c:showCatName val="0"/>
          <c:showSerName val="0"/>
          <c:showPercent val="0"/>
          <c:showBubbleSize val="0"/>
        </c:dLbls>
        <c:gapWidth val="219"/>
        <c:overlap val="-27"/>
        <c:axId val="362390176"/>
        <c:axId val="362391352"/>
      </c:barChart>
      <c:catAx>
        <c:axId val="3623901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391352"/>
        <c:crosses val="autoZero"/>
        <c:auto val="1"/>
        <c:lblAlgn val="ctr"/>
        <c:lblOffset val="100"/>
        <c:noMultiLvlLbl val="0"/>
      </c:catAx>
      <c:valAx>
        <c:axId val="362391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623901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800" b="1" i="0" u="none" strike="noStrike" baseline="0">
                <a:effectLst/>
                <a:latin typeface="Calibri" pitchFamily="34" charset="0"/>
                <a:cs typeface="Calibri" pitchFamily="34" charset="0"/>
              </a:rPr>
              <a:t>Cumulative frequency chart of toxin conc. administered</a:t>
            </a:r>
            <a:r>
              <a:rPr lang="en-US" baseline="0">
                <a:latin typeface="Calibri" pitchFamily="34" charset="0"/>
                <a:cs typeface="Calibri" pitchFamily="34" charset="0"/>
              </a:rPr>
              <a:t> </a:t>
            </a:r>
            <a:endParaRPr lang="en-US">
              <a:latin typeface="Calibri" pitchFamily="34" charset="0"/>
              <a:cs typeface="Calibri" pitchFamily="34" charset="0"/>
            </a:endParaRPr>
          </a:p>
        </c:rich>
      </c:tx>
      <c:layout>
        <c:manualLayout>
          <c:xMode val="edge"/>
          <c:yMode val="edge"/>
          <c:x val="0.17588480883327048"/>
          <c:y val="1.1816193206575125E-6"/>
        </c:manualLayout>
      </c:layout>
      <c:overlay val="0"/>
    </c:title>
    <c:autoTitleDeleted val="0"/>
    <c:plotArea>
      <c:layout>
        <c:manualLayout>
          <c:layoutTarget val="inner"/>
          <c:xMode val="edge"/>
          <c:yMode val="edge"/>
          <c:x val="6.070793234179063E-2"/>
          <c:y val="0.16656761654793154"/>
          <c:w val="0.92077354913969089"/>
          <c:h val="0.39558242719660053"/>
        </c:manualLayout>
      </c:layout>
      <c:barChart>
        <c:barDir val="col"/>
        <c:grouping val="clustered"/>
        <c:varyColors val="0"/>
        <c:ser>
          <c:idx val="0"/>
          <c:order val="0"/>
          <c:tx>
            <c:strRef>
              <c:f>Sheet1!$B$1</c:f>
              <c:strCache>
                <c:ptCount val="1"/>
                <c:pt idx="0">
                  <c:v>Blue</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Sheet1!$B$2:$B$8</c:f>
              <c:numCache>
                <c:formatCode>General</c:formatCode>
                <c:ptCount val="7"/>
                <c:pt idx="0">
                  <c:v>1</c:v>
                </c:pt>
                <c:pt idx="1">
                  <c:v>1</c:v>
                </c:pt>
                <c:pt idx="2">
                  <c:v>4</c:v>
                </c:pt>
                <c:pt idx="3">
                  <c:v>5</c:v>
                </c:pt>
                <c:pt idx="4">
                  <c:v>5</c:v>
                </c:pt>
                <c:pt idx="5">
                  <c:v>6</c:v>
                </c:pt>
                <c:pt idx="6">
                  <c:v>6</c:v>
                </c:pt>
              </c:numCache>
            </c:numRef>
          </c:val>
          <c:extLst xmlns:c16r2="http://schemas.microsoft.com/office/drawing/2015/06/chart">
            <c:ext xmlns:c16="http://schemas.microsoft.com/office/drawing/2014/chart" uri="{C3380CC4-5D6E-409C-BE32-E72D297353CC}">
              <c16:uniqueId val="{00000000-6FB1-0246-856E-6E7A3AAFFEAE}"/>
            </c:ext>
          </c:extLst>
        </c:ser>
        <c:ser>
          <c:idx val="1"/>
          <c:order val="1"/>
          <c:tx>
            <c:strRef>
              <c:f>Sheet1!$C$1</c:f>
              <c:strCache>
                <c:ptCount val="1"/>
                <c:pt idx="0">
                  <c:v>Red</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Sheet1!$C$2:$C$8</c:f>
              <c:numCache>
                <c:formatCode>General</c:formatCode>
                <c:ptCount val="7"/>
                <c:pt idx="0">
                  <c:v>1</c:v>
                </c:pt>
                <c:pt idx="1">
                  <c:v>1</c:v>
                </c:pt>
                <c:pt idx="2">
                  <c:v>3</c:v>
                </c:pt>
                <c:pt idx="3">
                  <c:v>4</c:v>
                </c:pt>
                <c:pt idx="4">
                  <c:v>4.5</c:v>
                </c:pt>
                <c:pt idx="5">
                  <c:v>5.5</c:v>
                </c:pt>
                <c:pt idx="6">
                  <c:v>5.5</c:v>
                </c:pt>
              </c:numCache>
            </c:numRef>
          </c:val>
          <c:extLst xmlns:c16r2="http://schemas.microsoft.com/office/drawing/2015/06/chart">
            <c:ext xmlns:c16="http://schemas.microsoft.com/office/drawing/2014/chart" uri="{C3380CC4-5D6E-409C-BE32-E72D297353CC}">
              <c16:uniqueId val="{00000001-6FB1-0246-856E-6E7A3AAFFEAE}"/>
            </c:ext>
          </c:extLst>
        </c:ser>
        <c:ser>
          <c:idx val="2"/>
          <c:order val="2"/>
          <c:tx>
            <c:strRef>
              <c:f>Sheet1!$D$1</c:f>
              <c:strCache>
                <c:ptCount val="1"/>
                <c:pt idx="0">
                  <c:v>Green</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Sheet1!$D$2:$D$8</c:f>
              <c:numCache>
                <c:formatCode>General</c:formatCode>
                <c:ptCount val="7"/>
                <c:pt idx="0">
                  <c:v>1</c:v>
                </c:pt>
                <c:pt idx="1">
                  <c:v>1</c:v>
                </c:pt>
                <c:pt idx="2">
                  <c:v>2</c:v>
                </c:pt>
                <c:pt idx="3">
                  <c:v>3</c:v>
                </c:pt>
                <c:pt idx="4">
                  <c:v>4</c:v>
                </c:pt>
                <c:pt idx="5">
                  <c:v>5</c:v>
                </c:pt>
                <c:pt idx="6">
                  <c:v>5.5</c:v>
                </c:pt>
              </c:numCache>
            </c:numRef>
          </c:val>
          <c:extLst xmlns:c16r2="http://schemas.microsoft.com/office/drawing/2015/06/chart">
            <c:ext xmlns:c16="http://schemas.microsoft.com/office/drawing/2014/chart" uri="{C3380CC4-5D6E-409C-BE32-E72D297353CC}">
              <c16:uniqueId val="{00000002-6FB1-0246-856E-6E7A3AAFFEAE}"/>
            </c:ext>
          </c:extLst>
        </c:ser>
        <c:ser>
          <c:idx val="3"/>
          <c:order val="3"/>
          <c:tx>
            <c:strRef>
              <c:f>Sheet1!$E$1</c:f>
              <c:strCache>
                <c:ptCount val="1"/>
                <c:pt idx="0">
                  <c:v>Black</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Sheet1!$E$2:$E$8</c:f>
              <c:numCache>
                <c:formatCode>General</c:formatCode>
                <c:ptCount val="7"/>
                <c:pt idx="0">
                  <c:v>1</c:v>
                </c:pt>
                <c:pt idx="1">
                  <c:v>1</c:v>
                </c:pt>
                <c:pt idx="2">
                  <c:v>2</c:v>
                </c:pt>
                <c:pt idx="3">
                  <c:v>1</c:v>
                </c:pt>
                <c:pt idx="4">
                  <c:v>1</c:v>
                </c:pt>
                <c:pt idx="5">
                  <c:v>1</c:v>
                </c:pt>
                <c:pt idx="6">
                  <c:v>1</c:v>
                </c:pt>
              </c:numCache>
            </c:numRef>
          </c:val>
          <c:extLst xmlns:c16r2="http://schemas.microsoft.com/office/drawing/2015/06/chart">
            <c:ext xmlns:c16="http://schemas.microsoft.com/office/drawing/2014/chart" uri="{C3380CC4-5D6E-409C-BE32-E72D297353CC}">
              <c16:uniqueId val="{00000003-6FB1-0246-856E-6E7A3AAFFEAE}"/>
            </c:ext>
          </c:extLst>
        </c:ser>
        <c:ser>
          <c:idx val="4"/>
          <c:order val="4"/>
          <c:tx>
            <c:strRef>
              <c:f>Sheet1!$F$1</c:f>
              <c:strCache>
                <c:ptCount val="1"/>
                <c:pt idx="0">
                  <c:v>Control</c:v>
                </c:pt>
              </c:strCache>
            </c:strRef>
          </c:tx>
          <c:invertIfNegative val="0"/>
          <c:cat>
            <c:strRef>
              <c:f>Sheet1!$A$2:$A$8</c:f>
              <c:strCache>
                <c:ptCount val="7"/>
                <c:pt idx="0">
                  <c:v>Day 1</c:v>
                </c:pt>
                <c:pt idx="1">
                  <c:v>Day 2</c:v>
                </c:pt>
                <c:pt idx="2">
                  <c:v>Day 3</c:v>
                </c:pt>
                <c:pt idx="3">
                  <c:v>Day 4</c:v>
                </c:pt>
                <c:pt idx="4">
                  <c:v>Day  5</c:v>
                </c:pt>
                <c:pt idx="5">
                  <c:v>Day 6</c:v>
                </c:pt>
                <c:pt idx="6">
                  <c:v>Day 7</c:v>
                </c:pt>
              </c:strCache>
            </c:strRef>
          </c:cat>
          <c:val>
            <c:numRef>
              <c:f>Sheet1!$F$2:$F$8</c:f>
              <c:numCache>
                <c:formatCode>General</c:formatCode>
                <c:ptCount val="7"/>
                <c:pt idx="0">
                  <c:v>1</c:v>
                </c:pt>
                <c:pt idx="1">
                  <c:v>1</c:v>
                </c:pt>
                <c:pt idx="2">
                  <c:v>1</c:v>
                </c:pt>
                <c:pt idx="3">
                  <c:v>1</c:v>
                </c:pt>
                <c:pt idx="4">
                  <c:v>1</c:v>
                </c:pt>
                <c:pt idx="5">
                  <c:v>1</c:v>
                </c:pt>
                <c:pt idx="6">
                  <c:v>1</c:v>
                </c:pt>
              </c:numCache>
            </c:numRef>
          </c:val>
          <c:extLst xmlns:c16r2="http://schemas.microsoft.com/office/drawing/2015/06/chart">
            <c:ext xmlns:c16="http://schemas.microsoft.com/office/drawing/2014/chart" uri="{C3380CC4-5D6E-409C-BE32-E72D297353CC}">
              <c16:uniqueId val="{00000004-6FB1-0246-856E-6E7A3AAFFEAE}"/>
            </c:ext>
          </c:extLst>
        </c:ser>
        <c:dLbls>
          <c:showLegendKey val="0"/>
          <c:showVal val="0"/>
          <c:showCatName val="0"/>
          <c:showSerName val="0"/>
          <c:showPercent val="0"/>
          <c:showBubbleSize val="0"/>
        </c:dLbls>
        <c:gapWidth val="305"/>
        <c:overlap val="-25"/>
        <c:axId val="362386648"/>
        <c:axId val="362387824"/>
      </c:barChart>
      <c:catAx>
        <c:axId val="362386648"/>
        <c:scaling>
          <c:orientation val="minMax"/>
        </c:scaling>
        <c:delete val="0"/>
        <c:axPos val="b"/>
        <c:numFmt formatCode="General" sourceLinked="0"/>
        <c:majorTickMark val="none"/>
        <c:minorTickMark val="none"/>
        <c:tickLblPos val="nextTo"/>
        <c:crossAx val="362387824"/>
        <c:crosses val="autoZero"/>
        <c:auto val="1"/>
        <c:lblAlgn val="ctr"/>
        <c:lblOffset val="100"/>
        <c:noMultiLvlLbl val="0"/>
      </c:catAx>
      <c:valAx>
        <c:axId val="362387824"/>
        <c:scaling>
          <c:orientation val="minMax"/>
        </c:scaling>
        <c:delete val="0"/>
        <c:axPos val="l"/>
        <c:majorGridlines/>
        <c:numFmt formatCode="General" sourceLinked="1"/>
        <c:majorTickMark val="none"/>
        <c:minorTickMark val="none"/>
        <c:tickLblPos val="nextTo"/>
        <c:spPr>
          <a:ln w="12700">
            <a:noFill/>
          </a:ln>
        </c:spPr>
        <c:crossAx val="362386648"/>
        <c:crosses val="autoZero"/>
        <c:crossBetween val="between"/>
      </c:valAx>
    </c:plotArea>
    <c:legend>
      <c:legendPos val="b"/>
      <c:layout>
        <c:manualLayout>
          <c:xMode val="edge"/>
          <c:yMode val="edge"/>
          <c:x val="0.11427949110527851"/>
          <c:y val="0.66814898137732781"/>
          <c:w val="0.86171861329833777"/>
          <c:h val="0.14534308211473571"/>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40</Pages>
  <Words>6345</Words>
  <Characters>36170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Microsoft account</cp:lastModifiedBy>
  <cp:revision>5</cp:revision>
  <dcterms:created xsi:type="dcterms:W3CDTF">2025-07-12T15:48:00Z</dcterms:created>
  <dcterms:modified xsi:type="dcterms:W3CDTF">2025-08-12T17:54:00Z</dcterms:modified>
</cp:coreProperties>
</file>