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w:t>
      </w:r>
      <w:bookmarkStart w:id="0" w:name="_GoBack"/>
      <w:bookmarkEnd w:id="0"/>
      <w:r w:rsidRPr="002D0E05">
        <w:rPr>
          <w:rFonts w:ascii="Bookman Old Style" w:hAnsi="Bookman Old Style" w:cs="Times New Roman"/>
          <w:b/>
          <w:bCs/>
          <w:color w:val="000000" w:themeColor="text1"/>
          <w:sz w:val="46"/>
          <w:szCs w:val="24"/>
          <w:shd w:val="clear" w:color="auto" w:fill="FFFFFF"/>
        </w:rPr>
        <w:t xml:space="preserve">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FD338B" w:rsidRDefault="006D7A4D" w:rsidP="002068B1">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AHMED TAIWO AJARAT</w:t>
      </w:r>
    </w:p>
    <w:p w:rsidR="002068B1" w:rsidRPr="00FD338B" w:rsidRDefault="006D7A4D"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ND/23/SLT/PT/0666</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006D7A4D">
        <w:rPr>
          <w:rFonts w:ascii="Times New Roman" w:hAnsi="Times New Roman" w:cs="Times New Roman"/>
          <w:b/>
          <w:bCs/>
          <w:color w:val="000000" w:themeColor="text1"/>
          <w:sz w:val="28"/>
          <w:szCs w:val="28"/>
          <w:lang w:val="en-GB"/>
        </w:rPr>
        <w:t>AHMED TAIWO</w:t>
      </w:r>
      <w:r w:rsidRPr="002D0E05">
        <w:rPr>
          <w:rFonts w:ascii="Times New Roman" w:hAnsi="Times New Roman" w:cs="Times New Roman"/>
          <w:b/>
          <w:bCs/>
          <w:color w:val="000000" w:themeColor="text1"/>
          <w:sz w:val="28"/>
          <w:szCs w:val="28"/>
          <w:lang w:val="en-GB"/>
        </w:rPr>
        <w:t xml:space="preserve"> </w:t>
      </w:r>
      <w:r w:rsidR="006D7A4D">
        <w:rPr>
          <w:rFonts w:ascii="Times New Roman" w:hAnsi="Times New Roman" w:cs="Times New Roman"/>
          <w:b/>
          <w:bCs/>
          <w:color w:val="000000" w:themeColor="text1"/>
          <w:sz w:val="28"/>
          <w:szCs w:val="28"/>
          <w:lang w:val="en-GB"/>
        </w:rPr>
        <w:t>AJARAT</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matric number </w:t>
      </w:r>
      <w:r w:rsidR="006D7A4D">
        <w:rPr>
          <w:rFonts w:ascii="Times New Roman" w:hAnsi="Times New Roman" w:cs="Times New Roman"/>
          <w:b/>
          <w:color w:val="000000" w:themeColor="text1"/>
          <w:sz w:val="28"/>
          <w:szCs w:val="28"/>
        </w:rPr>
        <w:t>ND/23/SLT/PT/0666</w:t>
      </w:r>
      <w:r w:rsidRPr="002D0E05">
        <w:rPr>
          <w:rFonts w:ascii="Times New Roman" w:hAnsi="Times New Roman" w:cs="Times New Roman"/>
          <w:color w:val="000000" w:themeColor="text1"/>
          <w:sz w:val="28"/>
          <w:szCs w:val="28"/>
        </w:rPr>
        <w:t xml:space="preserve"> in the Department of Science Laboratory Technology, Microbiology Unit, Kwara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MRS. AHMED  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 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Pr="008A09BC">
        <w:rPr>
          <w:b/>
          <w:bCs/>
          <w:sz w:val="28"/>
          <w:szCs w:val="28"/>
        </w:rPr>
        <w:t xml:space="preserve">Mrs. </w:t>
      </w:r>
      <w:r w:rsidR="00744C69">
        <w:rPr>
          <w:b/>
          <w:bCs/>
          <w:sz w:val="28"/>
          <w:szCs w:val="28"/>
        </w:rPr>
        <w:t xml:space="preserve">Ahmed Ramota </w:t>
      </w:r>
      <w:r w:rsidRPr="008A09BC">
        <w:rPr>
          <w:sz w:val="28"/>
          <w:szCs w:val="28"/>
        </w:rPr>
        <w:t xml:space="preserve">and </w:t>
      </w:r>
      <w:r w:rsidRPr="008A09BC">
        <w:rPr>
          <w:b/>
          <w:bCs/>
          <w:sz w:val="28"/>
          <w:szCs w:val="28"/>
        </w:rPr>
        <w:t xml:space="preserve">Mr. </w:t>
      </w:r>
      <w:r w:rsidR="00744C69">
        <w:rPr>
          <w:b/>
          <w:bCs/>
          <w:sz w:val="28"/>
          <w:szCs w:val="28"/>
        </w:rPr>
        <w:t xml:space="preserve">Ahmed </w:t>
      </w:r>
      <w:r w:rsidRPr="008A09BC">
        <w:rPr>
          <w:b/>
          <w:bCs/>
          <w:sz w:val="28"/>
          <w:szCs w:val="28"/>
        </w:rPr>
        <w:t xml:space="preserve"> </w:t>
      </w:r>
      <w:r w:rsidR="00744C69">
        <w:rPr>
          <w:b/>
          <w:bCs/>
          <w:sz w:val="28"/>
          <w:szCs w:val="28"/>
        </w:rPr>
        <w:t>Saba</w:t>
      </w:r>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 xml:space="preserve">I also extend heartfelt thanks to my dear siblings, </w:t>
      </w:r>
      <w:r w:rsidRPr="008A09BC">
        <w:rPr>
          <w:b/>
          <w:bCs/>
          <w:sz w:val="28"/>
          <w:szCs w:val="28"/>
        </w:rPr>
        <w:t>Brother</w:t>
      </w:r>
      <w:r w:rsidR="00744C69">
        <w:rPr>
          <w:b/>
          <w:bCs/>
          <w:sz w:val="28"/>
          <w:szCs w:val="28"/>
        </w:rPr>
        <w:t xml:space="preserve"> Ibrahim</w:t>
      </w:r>
      <w:r w:rsidRPr="008A09BC">
        <w:rPr>
          <w:sz w:val="28"/>
          <w:szCs w:val="28"/>
        </w:rPr>
        <w:t xml:space="preserve"> and </w:t>
      </w:r>
      <w:r w:rsidRPr="008A09BC">
        <w:rPr>
          <w:b/>
          <w:bCs/>
          <w:sz w:val="28"/>
          <w:szCs w:val="28"/>
        </w:rPr>
        <w:t xml:space="preserve">Sister </w:t>
      </w:r>
      <w:r w:rsidR="00744C69">
        <w:rPr>
          <w:b/>
          <w:bCs/>
          <w:sz w:val="28"/>
          <w:szCs w:val="28"/>
        </w:rPr>
        <w:t>Kehinde</w:t>
      </w:r>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t xml:space="preserve">To my special friends and companions: </w:t>
      </w:r>
      <w:r w:rsidR="00744C69">
        <w:rPr>
          <w:b/>
          <w:bCs/>
          <w:sz w:val="28"/>
          <w:szCs w:val="28"/>
        </w:rPr>
        <w:t>Khadijat, Mary</w:t>
      </w:r>
      <w:r w:rsidRPr="008A09BC">
        <w:rPr>
          <w:b/>
          <w:bCs/>
          <w:sz w:val="28"/>
          <w:szCs w:val="28"/>
        </w:rPr>
        <w:t xml:space="preserve">, </w:t>
      </w:r>
      <w:r w:rsidR="00744C69">
        <w:rPr>
          <w:b/>
          <w:bCs/>
          <w:sz w:val="28"/>
          <w:szCs w:val="28"/>
        </w:rPr>
        <w:t>Ramota</w:t>
      </w:r>
      <w:r w:rsidRPr="008A09BC">
        <w:rPr>
          <w:b/>
          <w:bCs/>
          <w:sz w:val="28"/>
          <w:szCs w:val="28"/>
        </w:rPr>
        <w:t>,</w:t>
      </w:r>
      <w:r w:rsidR="00744C69">
        <w:rPr>
          <w:b/>
          <w:bCs/>
          <w:sz w:val="28"/>
          <w:szCs w:val="28"/>
        </w:rPr>
        <w:t xml:space="preserve"> and</w:t>
      </w:r>
      <w:r w:rsidRPr="008A09BC">
        <w:rPr>
          <w:b/>
          <w:bCs/>
          <w:sz w:val="28"/>
          <w:szCs w:val="28"/>
        </w:rPr>
        <w:t xml:space="preserve"> Ro</w:t>
      </w:r>
      <w:r w:rsidR="00744C69">
        <w:rPr>
          <w:b/>
          <w:bCs/>
          <w:sz w:val="28"/>
          <w:szCs w:val="28"/>
        </w:rPr>
        <w:t>diat</w:t>
      </w:r>
      <w:r w:rsidRPr="008A09BC">
        <w:rPr>
          <w:b/>
          <w:bCs/>
          <w:sz w:val="28"/>
          <w:szCs w:val="28"/>
        </w:rPr>
        <w:t xml:space="preserve">, </w:t>
      </w:r>
      <w:r w:rsidRPr="008A09BC">
        <w:rPr>
          <w:sz w:val="28"/>
          <w:szCs w:val="28"/>
        </w:rPr>
        <w:t>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7"/>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8"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9"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Adeleye, T. A., Adebayo, M. O., &amp; Salami, R. K. (2022).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 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0"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introduction to geological geophysics.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Bashir, I., Adam, A. S., Yahaya, H. S., Makeri, D., Ntulume, I., Aliero, 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 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Wamakko local government, Sokoto state,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 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Chukwudi, C. N., Eze, B. U., &amp; Ubah, P. E. (2025).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 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and Olabode O. (2012). A critical Review of Hand pump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Ibrahim, M. Y., &amp; Usman, A. K. (2023).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1"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Research Journal.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Bioattenuation of Polluted Soil.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 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Ifite-Awka,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 xml:space="preserve">Okonkwo, J. A., Ezeaku, P. I., &amp; Madu, C. E. (2023).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hydrogeological applications in crystalline basement areas of Nigeria.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Olayinka AI, Olorunfemi MO (1992). Determination of geoelectrical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 xml:space="preserve">Olowolafe, E. A., Ogunleye, S. O., &amp; Bello, M. T. (2021). </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 (2020).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 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 xml:space="preserve">Organization. </w:t>
      </w:r>
      <w:r>
        <w:rPr>
          <w:rFonts w:ascii="Times New Roman" w:hAnsi="Times New Roman" w:cs="Times New Roman"/>
          <w:sz w:val="28"/>
          <w:szCs w:val="28"/>
        </w:rPr>
        <w:tab/>
      </w:r>
      <w:hyperlink r:id="rId12"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Yahaya, H. A., Musa, K. M., &amp; Salihu, B. A. (2024). </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1DC" w:rsidRDefault="005F61DC">
      <w:pPr>
        <w:spacing w:after="0" w:line="240" w:lineRule="auto"/>
      </w:pPr>
      <w:r>
        <w:separator/>
      </w:r>
    </w:p>
  </w:endnote>
  <w:endnote w:type="continuationSeparator" w:id="0">
    <w:p w:rsidR="005F61DC" w:rsidRDefault="005F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08265"/>
      <w:docPartObj>
        <w:docPartGallery w:val="Page Numbers (Bottom of Page)"/>
        <w:docPartUnique/>
      </w:docPartObj>
    </w:sdtPr>
    <w:sdtEndPr>
      <w:rPr>
        <w:noProof/>
      </w:rPr>
    </w:sdtEndPr>
    <w:sdtContent>
      <w:p w:rsidR="006D7A4D" w:rsidRDefault="006D7A4D">
        <w:pPr>
          <w:pStyle w:val="Footer"/>
          <w:jc w:val="center"/>
        </w:pPr>
        <w:r>
          <w:fldChar w:fldCharType="begin"/>
        </w:r>
        <w:r>
          <w:instrText xml:space="preserve"> PAGE   \* MERGEFORMAT </w:instrText>
        </w:r>
        <w:r>
          <w:fldChar w:fldCharType="separate"/>
        </w:r>
        <w:r w:rsidR="00744C69">
          <w:rPr>
            <w:noProof/>
          </w:rPr>
          <w:t>i</w:t>
        </w:r>
        <w:r>
          <w:rPr>
            <w:noProof/>
          </w:rPr>
          <w:fldChar w:fldCharType="end"/>
        </w:r>
      </w:p>
    </w:sdtContent>
  </w:sdt>
  <w:p w:rsidR="006D7A4D" w:rsidRDefault="006D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1DC" w:rsidRDefault="005F61DC">
      <w:pPr>
        <w:spacing w:after="0" w:line="240" w:lineRule="auto"/>
      </w:pPr>
      <w:r>
        <w:separator/>
      </w:r>
    </w:p>
  </w:footnote>
  <w:footnote w:type="continuationSeparator" w:id="0">
    <w:p w:rsidR="005F61DC" w:rsidRDefault="005F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5F61DC"/>
    <w:rsid w:val="006D7A4D"/>
    <w:rsid w:val="00700E3A"/>
    <w:rsid w:val="00744C69"/>
    <w:rsid w:val="00841C48"/>
    <w:rsid w:val="008639EA"/>
    <w:rsid w:val="008643A2"/>
    <w:rsid w:val="008A09BC"/>
    <w:rsid w:val="008E7455"/>
    <w:rsid w:val="009E3FE4"/>
    <w:rsid w:val="00A21E81"/>
    <w:rsid w:val="00BB1967"/>
    <w:rsid w:val="00E221CC"/>
    <w:rsid w:val="00E305FC"/>
    <w:rsid w:val="00E567CB"/>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165B8-6A3A-4F08-BABF-5624FFD3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s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publications/i/item/9789241549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org" TargetMode="External"/><Relationship Id="rId5" Type="http://schemas.openxmlformats.org/officeDocument/2006/relationships/footnotes" Target="footnotes.xml"/><Relationship Id="rId10" Type="http://schemas.openxmlformats.org/officeDocument/2006/relationships/hyperlink" Target="https://doi.org/10.4324/NOE0419216001" TargetMode="External"/><Relationship Id="rId4" Type="http://schemas.openxmlformats.org/officeDocument/2006/relationships/webSettings" Target="webSettings.xml"/><Relationship Id="rId9" Type="http://schemas.openxmlformats.org/officeDocument/2006/relationships/hyperlink" Target="https://rwsn.ch/documentation/skatdocumentation.2009-11-%0916.31739403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9181</Words>
  <Characters>52332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Autoworld</cp:lastModifiedBy>
  <cp:revision>2</cp:revision>
  <dcterms:created xsi:type="dcterms:W3CDTF">2025-08-12T14:42:00Z</dcterms:created>
  <dcterms:modified xsi:type="dcterms:W3CDTF">2025-08-12T14:42:00Z</dcterms:modified>
</cp:coreProperties>
</file>