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E38F1" w:rsidRDefault="00AE38F1" w:rsidP="00690C0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AE38F1">
        <w:rPr>
          <w:rFonts w:eastAsiaTheme="minorHAnsi" w:cstheme="minorBidi"/>
          <w:b/>
          <w:bCs/>
          <w:color w:val="000000"/>
          <w:sz w:val="32"/>
          <w:szCs w:val="32"/>
        </w:rPr>
        <w:t>IDRIS BAMITALE TAWAKALITU</w:t>
      </w:r>
      <w:bookmarkEnd w:id="0"/>
    </w:p>
    <w:p w:rsidR="00B86DE7" w:rsidRDefault="00AE38F1" w:rsidP="00690C00">
      <w:pPr>
        <w:pStyle w:val="NormalWeb"/>
        <w:spacing w:beforeAutospacing="0" w:after="150" w:afterAutospacing="0" w:line="18" w:lineRule="atLeast"/>
        <w:jc w:val="center"/>
        <w:rPr>
          <w:rFonts w:eastAsia="-webkit-standard"/>
          <w:b/>
          <w:color w:val="000000"/>
          <w:sz w:val="28"/>
          <w:szCs w:val="28"/>
        </w:rPr>
      </w:pPr>
      <w:r>
        <w:rPr>
          <w:rFonts w:eastAsiaTheme="minorHAnsi" w:cstheme="minorBidi"/>
          <w:b/>
          <w:bCs/>
          <w:color w:val="000000"/>
          <w:sz w:val="32"/>
          <w:szCs w:val="32"/>
        </w:rPr>
        <w:t>HND/23/SLT/FT/0264</w:t>
      </w:r>
    </w:p>
    <w:p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E38F1" w:rsidRPr="00AE38F1">
        <w:rPr>
          <w:rFonts w:ascii="Times New Roman" w:hAnsi="Times New Roman"/>
          <w:b/>
          <w:bCs/>
          <w:color w:val="000000"/>
          <w:sz w:val="28"/>
          <w:szCs w:val="28"/>
        </w:rPr>
        <w:t>IDRIS BAMITALE TAWAKALITU</w:t>
      </w:r>
      <w:r w:rsidR="002C3D89">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sidR="002C3D89">
        <w:rPr>
          <w:rFonts w:ascii="Times New Roman" w:hAnsi="Times New Roman"/>
          <w:bCs/>
          <w:color w:val="000000"/>
          <w:sz w:val="32"/>
          <w:szCs w:val="32"/>
        </w:rPr>
        <w:t xml:space="preserve"> </w:t>
      </w:r>
      <w:r w:rsidR="00AE38F1">
        <w:rPr>
          <w:rFonts w:ascii="Times New Roman" w:hAnsi="Times New Roman"/>
          <w:b/>
          <w:bCs/>
          <w:color w:val="000000"/>
          <w:sz w:val="28"/>
          <w:szCs w:val="32"/>
        </w:rPr>
        <w:t>HND/23/SLT/FT/0264</w:t>
      </w:r>
      <w:r w:rsidR="002C3D89">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2C3D89" w:rsidP="00B86DE7">
      <w:pPr>
        <w:spacing w:after="0" w:line="240" w:lineRule="auto"/>
        <w:rPr>
          <w:rFonts w:ascii="Times New Roman" w:hAnsi="Times New Roman"/>
          <w:color w:val="000000"/>
          <w:sz w:val="28"/>
          <w:szCs w:val="28"/>
        </w:rPr>
      </w:pPr>
      <w:r>
        <w:rPr>
          <w:noProof/>
          <w:lang w:eastAsia="en-US"/>
        </w:rPr>
        <w:drawing>
          <wp:inline distT="0" distB="0" distL="0" distR="0">
            <wp:extent cx="6570345" cy="3778609"/>
            <wp:effectExtent l="19050" t="0" r="1905" b="0"/>
            <wp:docPr id="1" name="Picture 1" descr="C:\Users\USER\AppData\Local\Microsoft\Windows\Temporary Internet Files\Content.Word\WhatsApp Image 2025-08-11 at 12.1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1 at 12.14.42.jpeg"/>
                    <pic:cNvPicPr>
                      <a:picLocks noChangeAspect="1" noChangeArrowheads="1"/>
                    </pic:cNvPicPr>
                  </pic:nvPicPr>
                  <pic:blipFill>
                    <a:blip r:embed="rId8"/>
                    <a:srcRect/>
                    <a:stretch>
                      <a:fillRect/>
                    </a:stretch>
                  </pic:blipFill>
                  <pic:spPr bwMode="auto">
                    <a:xfrm>
                      <a:off x="0" y="0"/>
                      <a:ext cx="6570345" cy="3778609"/>
                    </a:xfrm>
                    <a:prstGeom prst="rect">
                      <a:avLst/>
                    </a:prstGeom>
                    <a:noFill/>
                    <a:ln w="9525">
                      <a:noFill/>
                      <a:miter lim="800000"/>
                      <a:headEnd/>
                      <a:tailEnd/>
                    </a:ln>
                  </pic:spPr>
                </pic:pic>
              </a:graphicData>
            </a:graphic>
          </wp:inline>
        </w:drawing>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2C3D89" w:rsidRDefault="002C3D89"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sidR="002C3D89">
        <w:rPr>
          <w:rFonts w:ascii="Times New Roman" w:hAnsi="Times New Roman"/>
          <w:color w:val="000000"/>
          <w:sz w:val="28"/>
          <w:szCs w:val="28"/>
        </w:rPr>
        <w:tab/>
        <w:t xml:space="preserve">    </w:t>
      </w:r>
      <w:r>
        <w:rPr>
          <w:rFonts w:ascii="Times New Roman" w:hAnsi="Times New Roman"/>
          <w:color w:val="000000"/>
          <w:sz w:val="28"/>
          <w:szCs w:val="28"/>
        </w:rPr>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C3D89">
        <w:rPr>
          <w:rFonts w:ascii="Times New Roman" w:hAnsi="Times New Roman"/>
          <w:b/>
          <w:color w:val="000000"/>
          <w:sz w:val="28"/>
          <w:szCs w:val="28"/>
        </w:rPr>
        <w:tab/>
        <w:t xml:space="preserve">         </w:t>
      </w:r>
      <w:r>
        <w:rPr>
          <w:rFonts w:ascii="Times New Roman" w:hAnsi="Times New Roman"/>
          <w:b/>
          <w:color w:val="000000"/>
          <w:sz w:val="28"/>
          <w:szCs w:val="28"/>
        </w:rPr>
        <w:t>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AE38F1" w:rsidRPr="00AE38F1" w:rsidRDefault="00B86DE7" w:rsidP="00AE38F1">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86DE7" w:rsidRDefault="00AE38F1" w:rsidP="00AE38F1">
      <w:pPr>
        <w:spacing w:after="0" w:line="480" w:lineRule="auto"/>
        <w:rPr>
          <w:rFonts w:ascii="Times New Roman" w:hAnsi="Times New Roman"/>
          <w:b/>
          <w:color w:val="000000"/>
          <w:sz w:val="26"/>
          <w:szCs w:val="26"/>
        </w:rPr>
      </w:pPr>
      <w:r w:rsidRPr="00AE38F1">
        <w:rPr>
          <w:rFonts w:ascii="Times New Roman" w:hAnsi="Times New Roman"/>
          <w:color w:val="000000"/>
          <w:sz w:val="28"/>
          <w:szCs w:val="28"/>
        </w:rPr>
        <w:t>I dedicate this project to Almighty Allah , whose strength and grace sustained me through every challenges.</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AE38F1" w:rsidRPr="00AE38F1" w:rsidRDefault="00AE38F1" w:rsidP="00AE38F1">
      <w:pPr>
        <w:spacing w:after="0" w:line="480" w:lineRule="auto"/>
        <w:jc w:val="both"/>
        <w:rPr>
          <w:rFonts w:ascii="Times New Roman" w:hAnsi="Times New Roman"/>
          <w:sz w:val="28"/>
          <w:szCs w:val="28"/>
        </w:rPr>
      </w:pPr>
      <w:r w:rsidRPr="00AE38F1">
        <w:rPr>
          <w:rFonts w:ascii="Times New Roman" w:hAnsi="Times New Roman"/>
          <w:sz w:val="28"/>
          <w:szCs w:val="28"/>
        </w:rPr>
        <w:t>All praises and adoration belong to the almighty Allah, the most mer</w:t>
      </w:r>
      <w:r>
        <w:rPr>
          <w:rFonts w:ascii="Times New Roman" w:hAnsi="Times New Roman"/>
          <w:sz w:val="28"/>
          <w:szCs w:val="28"/>
        </w:rPr>
        <w:t xml:space="preserve">ciful, beneficent and guidance. </w:t>
      </w:r>
      <w:r w:rsidRPr="00AE38F1">
        <w:rPr>
          <w:rFonts w:ascii="Times New Roman" w:hAnsi="Times New Roman"/>
          <w:sz w:val="28"/>
          <w:szCs w:val="28"/>
        </w:rPr>
        <w:t>I would like to express my sincere gratitude to all those who supported me throughou</w:t>
      </w:r>
      <w:r>
        <w:rPr>
          <w:rFonts w:ascii="Times New Roman" w:hAnsi="Times New Roman"/>
          <w:sz w:val="28"/>
          <w:szCs w:val="28"/>
        </w:rPr>
        <w:t xml:space="preserve">t the duration of this project. </w:t>
      </w:r>
      <w:r w:rsidRPr="00AE38F1">
        <w:rPr>
          <w:rFonts w:ascii="Times New Roman" w:hAnsi="Times New Roman"/>
          <w:sz w:val="28"/>
          <w:szCs w:val="28"/>
        </w:rPr>
        <w:t>First and foremost, I</w:t>
      </w:r>
      <w:r>
        <w:rPr>
          <w:rFonts w:ascii="Times New Roman" w:hAnsi="Times New Roman"/>
          <w:sz w:val="28"/>
          <w:szCs w:val="28"/>
        </w:rPr>
        <w:t xml:space="preserve"> extend my heartfelt thanks to Mr Oseni .T. Olatunji</w:t>
      </w:r>
      <w:r w:rsidRPr="00AE38F1">
        <w:rPr>
          <w:rFonts w:ascii="Times New Roman" w:hAnsi="Times New Roman"/>
          <w:sz w:val="28"/>
          <w:szCs w:val="28"/>
        </w:rPr>
        <w:t>, Mr and Mrs Mah</w:t>
      </w:r>
      <w:r>
        <w:rPr>
          <w:rFonts w:ascii="Times New Roman" w:hAnsi="Times New Roman"/>
          <w:sz w:val="28"/>
          <w:szCs w:val="28"/>
        </w:rPr>
        <w:t xml:space="preserve">mud ,Sulieman Ibrahim Temitope </w:t>
      </w:r>
      <w:r w:rsidRPr="00AE38F1">
        <w:rPr>
          <w:rFonts w:ascii="Times New Roman" w:hAnsi="Times New Roman"/>
          <w:sz w:val="28"/>
          <w:szCs w:val="28"/>
        </w:rPr>
        <w:t>, whose valuable guidance, encouragement, and feedback were instrumental in the success</w:t>
      </w:r>
      <w:r>
        <w:rPr>
          <w:rFonts w:ascii="Times New Roman" w:hAnsi="Times New Roman"/>
          <w:sz w:val="28"/>
          <w:szCs w:val="28"/>
        </w:rPr>
        <w:t xml:space="preserve">ful completion of this project. </w:t>
      </w:r>
      <w:r w:rsidRPr="00AE38F1">
        <w:rPr>
          <w:rFonts w:ascii="Times New Roman" w:hAnsi="Times New Roman"/>
          <w:sz w:val="28"/>
          <w:szCs w:val="28"/>
        </w:rPr>
        <w:t>I am also gratef</w:t>
      </w:r>
      <w:r>
        <w:rPr>
          <w:rFonts w:ascii="Times New Roman" w:hAnsi="Times New Roman"/>
          <w:sz w:val="28"/>
          <w:szCs w:val="28"/>
        </w:rPr>
        <w:t>ul to Kwara state polytechnic</w:t>
      </w:r>
      <w:r w:rsidRPr="00AE38F1">
        <w:rPr>
          <w:rFonts w:ascii="Times New Roman" w:hAnsi="Times New Roman"/>
          <w:sz w:val="28"/>
          <w:szCs w:val="28"/>
        </w:rPr>
        <w:t xml:space="preserve"> for providing the resources and environment necessa</w:t>
      </w:r>
      <w:r>
        <w:rPr>
          <w:rFonts w:ascii="Times New Roman" w:hAnsi="Times New Roman"/>
          <w:sz w:val="28"/>
          <w:szCs w:val="28"/>
        </w:rPr>
        <w:t xml:space="preserve">ry for conducting this project. </w:t>
      </w:r>
      <w:r w:rsidRPr="00AE38F1">
        <w:rPr>
          <w:rFonts w:ascii="Times New Roman" w:hAnsi="Times New Roman"/>
          <w:sz w:val="28"/>
          <w:szCs w:val="28"/>
        </w:rPr>
        <w:t>A special thanks to my colleagues, (Nafisah, Mariam,Aminah, Islamiyah ,</w:t>
      </w:r>
      <w:r>
        <w:rPr>
          <w:rFonts w:ascii="Times New Roman" w:hAnsi="Times New Roman"/>
          <w:sz w:val="28"/>
          <w:szCs w:val="28"/>
        </w:rPr>
        <w:t xml:space="preserve"> Kabiroh</w:t>
      </w:r>
      <w:r w:rsidRPr="00AE38F1">
        <w:rPr>
          <w:rFonts w:ascii="Times New Roman" w:hAnsi="Times New Roman"/>
          <w:sz w:val="28"/>
          <w:szCs w:val="28"/>
        </w:rPr>
        <w:t>,AbdulRasheed ),friends, and family for their unwavering support, patience, and motivation.</w:t>
      </w:r>
    </w:p>
    <w:p w:rsidR="00B86DE7" w:rsidRDefault="00AE38F1" w:rsidP="00AE38F1">
      <w:pPr>
        <w:spacing w:after="0" w:line="480" w:lineRule="auto"/>
        <w:jc w:val="both"/>
        <w:rPr>
          <w:rFonts w:ascii="Times New Roman" w:hAnsi="Times New Roman"/>
          <w:sz w:val="28"/>
          <w:szCs w:val="28"/>
        </w:rPr>
      </w:pPr>
      <w:r w:rsidRPr="00AE38F1">
        <w:rPr>
          <w:rFonts w:ascii="Times New Roman" w:hAnsi="Times New Roman"/>
          <w:sz w:val="28"/>
          <w:szCs w:val="28"/>
        </w:rPr>
        <w:t>Lastly, I appreciate everyone who directly or indirectly contributed to this project. Your assistance has been immensely helpful, and I am truly thankful.</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06722E">
          <w:pPr>
            <w:pStyle w:val="TOC1"/>
            <w:tabs>
              <w:tab w:val="right" w:leader="dot" w:pos="10337"/>
            </w:tabs>
            <w:rPr>
              <w:rFonts w:ascii="Times New Roman" w:hAnsi="Times New Roman"/>
              <w:noProof/>
              <w:sz w:val="28"/>
              <w:szCs w:val="28"/>
            </w:rPr>
          </w:pPr>
          <w:r w:rsidRPr="0006722E">
            <w:rPr>
              <w:rFonts w:ascii="Times New Roman" w:hAnsi="Times New Roman"/>
              <w:sz w:val="28"/>
              <w:szCs w:val="28"/>
            </w:rPr>
            <w:fldChar w:fldCharType="begin"/>
          </w:r>
          <w:r w:rsidR="004339FF" w:rsidRPr="004339FF">
            <w:rPr>
              <w:rFonts w:ascii="Times New Roman" w:hAnsi="Times New Roman"/>
              <w:sz w:val="28"/>
              <w:szCs w:val="28"/>
            </w:rPr>
            <w:instrText xml:space="preserve"> TOC \o "1-3" \h \z \u </w:instrText>
          </w:r>
          <w:r w:rsidRPr="0006722E">
            <w:rPr>
              <w:rFonts w:ascii="Times New Roman" w:hAnsi="Times New Roman"/>
              <w:sz w:val="28"/>
              <w:szCs w:val="28"/>
            </w:rPr>
            <w:fldChar w:fldCharType="separate"/>
          </w:r>
          <w:hyperlink w:anchor="_Toc203724583" w:history="1">
            <w:r w:rsidR="004339FF" w:rsidRPr="004339FF">
              <w:rPr>
                <w:rStyle w:val="Hyperlink"/>
                <w:rFonts w:ascii="Times New Roman" w:hAnsi="Times New Roman"/>
                <w:b/>
                <w:noProof/>
                <w:sz w:val="28"/>
                <w:szCs w:val="28"/>
              </w:rPr>
              <w:t>CHAPTER ONE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84" w:history="1">
            <w:r w:rsidR="004339FF" w:rsidRPr="004339FF">
              <w:rPr>
                <w:rStyle w:val="Hyperlink"/>
                <w:rFonts w:ascii="Times New Roman" w:hAnsi="Times New Roman"/>
                <w:b/>
                <w:noProof/>
                <w:sz w:val="28"/>
                <w:szCs w:val="28"/>
              </w:rPr>
              <w:t>1.0 INTRODUCTION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85" w:history="1">
            <w:r w:rsidR="004339FF" w:rsidRPr="004339FF">
              <w:rPr>
                <w:rStyle w:val="Hyperlink"/>
                <w:rFonts w:ascii="Times New Roman" w:hAnsi="Times New Roman"/>
                <w:b/>
                <w:noProof/>
                <w:sz w:val="28"/>
                <w:szCs w:val="28"/>
              </w:rPr>
              <w:t>1.1 Justification of the Study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86" w:history="1">
            <w:r w:rsidR="004339FF" w:rsidRPr="004339FF">
              <w:rPr>
                <w:rStyle w:val="Hyperlink"/>
                <w:rFonts w:ascii="Times New Roman" w:hAnsi="Times New Roman"/>
                <w:b/>
                <w:noProof/>
                <w:sz w:val="28"/>
                <w:szCs w:val="28"/>
              </w:rPr>
              <w:t>1.2 Aim and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587" w:history="1">
            <w:r w:rsidR="004339FF" w:rsidRPr="004339FF">
              <w:rPr>
                <w:rStyle w:val="Hyperlink"/>
                <w:rFonts w:ascii="Times New Roman" w:hAnsi="Times New Roman"/>
                <w:b/>
                <w:noProof/>
                <w:sz w:val="28"/>
                <w:szCs w:val="28"/>
              </w:rPr>
              <w:t>1.2.1 Aim</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588" w:history="1">
            <w:r w:rsidR="004339FF" w:rsidRPr="004339FF">
              <w:rPr>
                <w:rStyle w:val="Hyperlink"/>
                <w:rFonts w:ascii="Times New Roman" w:hAnsi="Times New Roman"/>
                <w:b/>
                <w:noProof/>
                <w:sz w:val="28"/>
                <w:szCs w:val="28"/>
              </w:rPr>
              <w:t>1.2.2 Objectives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89" w:history="1">
            <w:r w:rsidR="004339FF" w:rsidRPr="004339FF">
              <w:rPr>
                <w:rStyle w:val="Hyperlink"/>
                <w:rFonts w:ascii="Times New Roman" w:hAnsi="Times New Roman"/>
                <w:b/>
                <w:noProof/>
                <w:sz w:val="28"/>
                <w:szCs w:val="28"/>
              </w:rPr>
              <w:t>CHAPTER TWO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0" w:history="1">
            <w:r w:rsidR="004339FF" w:rsidRPr="004339FF">
              <w:rPr>
                <w:rStyle w:val="Hyperlink"/>
                <w:rFonts w:ascii="Times New Roman" w:hAnsi="Times New Roman"/>
                <w:b/>
                <w:noProof/>
                <w:sz w:val="28"/>
                <w:szCs w:val="28"/>
              </w:rPr>
              <w:t>2.0 LITERATURE REVIEW</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1" w:history="1">
            <w:r w:rsidR="004339FF"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2" w:history="1">
            <w:r w:rsidR="004339FF"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3" w:history="1">
            <w:r w:rsidR="004339FF" w:rsidRPr="004339FF">
              <w:rPr>
                <w:rStyle w:val="Hyperlink"/>
                <w:rFonts w:ascii="Times New Roman" w:hAnsi="Times New Roman"/>
                <w:b/>
                <w:noProof/>
                <w:sz w:val="28"/>
                <w:szCs w:val="28"/>
              </w:rPr>
              <w:t>2.2.1 CLIMATE AND SOIL REQUIREMENTS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4" w:history="1">
            <w:r w:rsidR="004339FF" w:rsidRPr="004339FF">
              <w:rPr>
                <w:rStyle w:val="Hyperlink"/>
                <w:rFonts w:ascii="Times New Roman" w:hAnsi="Times New Roman"/>
                <w:b/>
                <w:noProof/>
                <w:sz w:val="28"/>
                <w:szCs w:val="28"/>
              </w:rPr>
              <w:t>2.2.2 PROPAGATION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5" w:history="1">
            <w:r w:rsidR="004339FF" w:rsidRPr="004339FF">
              <w:rPr>
                <w:rStyle w:val="Hyperlink"/>
                <w:rFonts w:ascii="Times New Roman" w:hAnsi="Times New Roman"/>
                <w:b/>
                <w:noProof/>
                <w:sz w:val="28"/>
                <w:szCs w:val="28"/>
              </w:rPr>
              <w:t>2.2.3 SPACING AND PLANTING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6" w:history="1">
            <w:r w:rsidR="004339FF" w:rsidRPr="004339FF">
              <w:rPr>
                <w:rStyle w:val="Hyperlink"/>
                <w:rFonts w:ascii="Times New Roman" w:hAnsi="Times New Roman"/>
                <w:b/>
                <w:noProof/>
                <w:sz w:val="28"/>
                <w:szCs w:val="28"/>
              </w:rPr>
              <w:t>2.2.4 FERTILIZATION AND MAINTENANCE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7" w:history="1">
            <w:r w:rsidR="004339FF" w:rsidRPr="004339FF">
              <w:rPr>
                <w:rStyle w:val="Hyperlink"/>
                <w:rFonts w:ascii="Times New Roman" w:hAnsi="Times New Roman"/>
                <w:b/>
                <w:noProof/>
                <w:sz w:val="28"/>
                <w:szCs w:val="28"/>
              </w:rPr>
              <w:t>2.2.5 PEST AND DISEASE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8" w:history="1">
            <w:r w:rsidR="004339FF" w:rsidRPr="004339FF">
              <w:rPr>
                <w:rStyle w:val="Hyperlink"/>
                <w:rFonts w:ascii="Times New Roman" w:hAnsi="Times New Roman"/>
                <w:b/>
                <w:noProof/>
                <w:sz w:val="28"/>
                <w:szCs w:val="28"/>
              </w:rPr>
              <w:t>2.2.6 HARVESTING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599" w:history="1">
            <w:r w:rsidR="004339FF" w:rsidRPr="004339FF">
              <w:rPr>
                <w:rStyle w:val="Hyperlink"/>
                <w:rFonts w:ascii="Times New Roman" w:hAnsi="Times New Roman"/>
                <w:b/>
                <w:noProof/>
                <w:sz w:val="28"/>
                <w:szCs w:val="28"/>
              </w:rPr>
              <w:t>2.2.7 COMMERCIAL AND ECONOMIC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_Toc203724599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0" w:history="1">
            <w:r w:rsidR="004339FF"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1" w:history="1">
            <w:r w:rsidR="004339FF" w:rsidRPr="004339FF">
              <w:rPr>
                <w:rStyle w:val="Hyperlink"/>
                <w:rFonts w:ascii="Times New Roman" w:hAnsi="Times New Roman"/>
                <w:b/>
                <w:noProof/>
                <w:sz w:val="28"/>
                <w:szCs w:val="28"/>
              </w:rPr>
              <w:t>2.3.1 RICH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2" w:history="1">
            <w:r w:rsidR="004339FF" w:rsidRPr="004339FF">
              <w:rPr>
                <w:rStyle w:val="Hyperlink"/>
                <w:rFonts w:ascii="Times New Roman" w:hAnsi="Times New Roman"/>
                <w:b/>
                <w:noProof/>
                <w:sz w:val="28"/>
                <w:szCs w:val="28"/>
              </w:rPr>
              <w:t>2.3.2 IMMUNE SYSTEM SUPPORT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3" w:history="1">
            <w:r w:rsidR="004339FF" w:rsidRPr="004339FF">
              <w:rPr>
                <w:rStyle w:val="Hyperlink"/>
                <w:rFonts w:ascii="Times New Roman" w:hAnsi="Times New Roman"/>
                <w:b/>
                <w:noProof/>
                <w:sz w:val="28"/>
                <w:szCs w:val="28"/>
              </w:rPr>
              <w:t>2.3.3 ANTIOXIDANT AND ANTI-AGING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4" w:history="1">
            <w:r w:rsidR="004339FF" w:rsidRPr="004339FF">
              <w:rPr>
                <w:rStyle w:val="Hyperlink"/>
                <w:rFonts w:ascii="Times New Roman" w:hAnsi="Times New Roman"/>
                <w:b/>
                <w:noProof/>
                <w:sz w:val="28"/>
                <w:szCs w:val="28"/>
              </w:rPr>
              <w:t>2.3.4 BLOOD SUGAR AND DIABETES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5" w:history="1">
            <w:r w:rsidR="004339FF" w:rsidRPr="004339FF">
              <w:rPr>
                <w:rStyle w:val="Hyperlink"/>
                <w:rFonts w:ascii="Times New Roman" w:hAnsi="Times New Roman"/>
                <w:noProof/>
                <w:sz w:val="28"/>
                <w:szCs w:val="28"/>
              </w:rPr>
              <w:t>2.3.5 BLOOD PRESSURE AND HEART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6" w:history="1">
            <w:r w:rsidR="004339FF" w:rsidRPr="004339FF">
              <w:rPr>
                <w:rStyle w:val="Hyperlink"/>
                <w:rFonts w:ascii="Times New Roman" w:hAnsi="Times New Roman"/>
                <w:b/>
                <w:noProof/>
                <w:sz w:val="28"/>
                <w:szCs w:val="28"/>
              </w:rPr>
              <w:t>2.3.6 ANTIBACTERIAL AND ANTIMICROBIAL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7" w:history="1">
            <w:r w:rsidR="004339FF" w:rsidRPr="004339FF">
              <w:rPr>
                <w:rStyle w:val="Hyperlink"/>
                <w:rFonts w:ascii="Times New Roman" w:hAnsi="Times New Roman"/>
                <w:b/>
                <w:noProof/>
                <w:sz w:val="28"/>
                <w:szCs w:val="28"/>
              </w:rPr>
              <w:t>2.3.7 SKIN AND HAIR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8" w:history="1">
            <w:r w:rsidR="004339FF" w:rsidRPr="004339FF">
              <w:rPr>
                <w:rStyle w:val="Hyperlink"/>
                <w:rFonts w:ascii="Times New Roman" w:hAnsi="Times New Roman"/>
                <w:b/>
                <w:noProof/>
                <w:sz w:val="28"/>
                <w:szCs w:val="28"/>
              </w:rPr>
              <w:t>2.3.8 BRAIN HEALTH AND MENTAL CLARITY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09" w:history="1">
            <w:r w:rsidR="004339FF" w:rsidRPr="004339FF">
              <w:rPr>
                <w:rStyle w:val="Hyperlink"/>
                <w:rFonts w:ascii="Times New Roman" w:hAnsi="Times New Roman"/>
                <w:b/>
                <w:noProof/>
                <w:sz w:val="28"/>
                <w:szCs w:val="28"/>
              </w:rPr>
              <w:t>2.3.9 SUPPORT DURING PREGNANCY AND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_Toc203724609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0" w:history="1">
            <w:r w:rsidR="004339FF" w:rsidRPr="004339FF">
              <w:rPr>
                <w:rStyle w:val="Hyperlink"/>
                <w:rFonts w:ascii="Times New Roman" w:hAnsi="Times New Roman"/>
                <w:b/>
                <w:noProof/>
                <w:sz w:val="28"/>
                <w:szCs w:val="28"/>
              </w:rPr>
              <w:t>2.3.10 SUSTAINABLE FOOD SECURITY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1" w:history="1">
            <w:r w:rsidR="004339FF"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2" w:history="1">
            <w:r w:rsidR="004339FF" w:rsidRPr="004339FF">
              <w:rPr>
                <w:rStyle w:val="Hyperlink"/>
                <w:rFonts w:ascii="Times New Roman" w:hAnsi="Times New Roman"/>
                <w:b/>
                <w:noProof/>
                <w:sz w:val="28"/>
                <w:szCs w:val="28"/>
              </w:rPr>
              <w:t>2.4.1 NUTRITIONAL SUPPLEMENT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3" w:history="1">
            <w:r w:rsidR="004339FF" w:rsidRPr="004339FF">
              <w:rPr>
                <w:rStyle w:val="Hyperlink"/>
                <w:rFonts w:ascii="Times New Roman" w:hAnsi="Times New Roman"/>
                <w:b/>
                <w:noProof/>
                <w:sz w:val="28"/>
                <w:szCs w:val="28"/>
              </w:rPr>
              <w:t>2.4.2 ANTIOXIDANT AND ANTI-AGING AGENT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4" w:history="1">
            <w:r w:rsidR="004339FF" w:rsidRPr="004339FF">
              <w:rPr>
                <w:rStyle w:val="Hyperlink"/>
                <w:rFonts w:ascii="Times New Roman" w:hAnsi="Times New Roman"/>
                <w:b/>
                <w:noProof/>
                <w:sz w:val="28"/>
                <w:szCs w:val="28"/>
              </w:rPr>
              <w:t>2.4.3 BLOOD SUGAR CONTROL (ANTIDIABETIC USE)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5" w:history="1">
            <w:r w:rsidR="004339FF" w:rsidRPr="004339FF">
              <w:rPr>
                <w:rStyle w:val="Hyperlink"/>
                <w:rFonts w:ascii="Times New Roman" w:hAnsi="Times New Roman"/>
                <w:b/>
                <w:noProof/>
                <w:sz w:val="28"/>
                <w:szCs w:val="28"/>
              </w:rPr>
              <w:t>2.4.4 ANTI-INFLAMMATORY AND PAIN RELIEF</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6" w:history="1">
            <w:r w:rsidR="004339FF" w:rsidRPr="004339FF">
              <w:rPr>
                <w:rStyle w:val="Hyperlink"/>
                <w:rFonts w:ascii="Times New Roman" w:hAnsi="Times New Roman"/>
                <w:b/>
                <w:noProof/>
                <w:sz w:val="28"/>
                <w:szCs w:val="28"/>
              </w:rPr>
              <w:t>2.4.5 ANTIMICROBIAL AND ANTIBACTERIAL USES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7" w:history="1">
            <w:r w:rsidR="004339FF" w:rsidRPr="004339FF">
              <w:rPr>
                <w:rStyle w:val="Hyperlink"/>
                <w:rFonts w:ascii="Times New Roman" w:hAnsi="Times New Roman"/>
                <w:b/>
                <w:noProof/>
                <w:sz w:val="28"/>
                <w:szCs w:val="28"/>
              </w:rPr>
              <w:t>2.4.6 IMMUNE SYSTEM BOOSTER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6E3686" w:rsidRDefault="0006722E">
          <w:pPr>
            <w:pStyle w:val="TOC1"/>
            <w:tabs>
              <w:tab w:val="right" w:leader="dot" w:pos="10337"/>
            </w:tabs>
            <w:rPr>
              <w:rFonts w:ascii="Times New Roman" w:hAnsi="Times New Roman"/>
              <w:b/>
              <w:noProof/>
              <w:sz w:val="28"/>
              <w:szCs w:val="28"/>
            </w:rPr>
          </w:pPr>
          <w:hyperlink w:anchor="_Toc203724618" w:history="1">
            <w:r w:rsidR="004339FF" w:rsidRPr="006E3686">
              <w:rPr>
                <w:rStyle w:val="Hyperlink"/>
                <w:rFonts w:ascii="Times New Roman" w:hAnsi="Times New Roman"/>
                <w:b/>
                <w:noProof/>
                <w:sz w:val="28"/>
                <w:szCs w:val="28"/>
              </w:rPr>
              <w:t>2.4.7 SUPPORTS HEART HEALTH</w:t>
            </w:r>
            <w:r w:rsidR="004339FF" w:rsidRPr="006E3686">
              <w:rPr>
                <w:rFonts w:ascii="Times New Roman" w:hAnsi="Times New Roman"/>
                <w:b/>
                <w:noProof/>
                <w:webHidden/>
                <w:sz w:val="28"/>
                <w:szCs w:val="28"/>
              </w:rPr>
              <w:tab/>
            </w:r>
            <w:r w:rsidRPr="006E3686">
              <w:rPr>
                <w:rFonts w:ascii="Times New Roman" w:hAnsi="Times New Roman"/>
                <w:b/>
                <w:noProof/>
                <w:webHidden/>
                <w:sz w:val="28"/>
                <w:szCs w:val="28"/>
              </w:rPr>
              <w:fldChar w:fldCharType="begin"/>
            </w:r>
            <w:r w:rsidR="004339FF" w:rsidRPr="006E3686">
              <w:rPr>
                <w:rFonts w:ascii="Times New Roman" w:hAnsi="Times New Roman"/>
                <w:b/>
                <w:noProof/>
                <w:webHidden/>
                <w:sz w:val="28"/>
                <w:szCs w:val="28"/>
              </w:rPr>
              <w:instrText xml:space="preserve"> PAGEREF _Toc203724618 \h </w:instrText>
            </w:r>
            <w:r w:rsidRPr="006E3686">
              <w:rPr>
                <w:rFonts w:ascii="Times New Roman" w:hAnsi="Times New Roman"/>
                <w:b/>
                <w:noProof/>
                <w:webHidden/>
                <w:sz w:val="28"/>
                <w:szCs w:val="28"/>
              </w:rPr>
            </w:r>
            <w:r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Pr="006E3686">
              <w:rPr>
                <w:rFonts w:ascii="Times New Roman" w:hAnsi="Times New Roman"/>
                <w:b/>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19" w:history="1">
            <w:r w:rsidR="004339FF" w:rsidRPr="004339FF">
              <w:rPr>
                <w:rStyle w:val="Hyperlink"/>
                <w:rFonts w:ascii="Times New Roman" w:hAnsi="Times New Roman"/>
                <w:b/>
                <w:noProof/>
                <w:sz w:val="28"/>
                <w:szCs w:val="28"/>
              </w:rPr>
              <w:t>2.4.8 ENHANCES MILK PRODUCTION: (GALACTAGOGUE)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_Toc203724619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0" w:history="1">
            <w:r w:rsidR="004339FF" w:rsidRPr="004339FF">
              <w:rPr>
                <w:rStyle w:val="Hyperlink"/>
                <w:rFonts w:ascii="Times New Roman" w:hAnsi="Times New Roman"/>
                <w:b/>
                <w:noProof/>
                <w:sz w:val="28"/>
                <w:szCs w:val="28"/>
              </w:rPr>
              <w:t>2.4.9 USED IN SKINCARE AND COSMETICS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1" w:history="1">
            <w:r w:rsidR="004339FF" w:rsidRPr="004339FF">
              <w:rPr>
                <w:rStyle w:val="Hyperlink"/>
                <w:rFonts w:ascii="Times New Roman" w:hAnsi="Times New Roman"/>
                <w:b/>
                <w:noProof/>
                <w:sz w:val="28"/>
                <w:szCs w:val="28"/>
              </w:rPr>
              <w:t>2.4.10 MENTAL CLARITY AND BRAIN FUNCTION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2" w:history="1">
            <w:r w:rsidR="004339FF"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3" w:history="1">
            <w:r w:rsidR="004339FF" w:rsidRPr="004339FF">
              <w:rPr>
                <w:rStyle w:val="Hyperlink"/>
                <w:rFonts w:ascii="Times New Roman" w:hAnsi="Times New Roman"/>
                <w:b/>
                <w:noProof/>
                <w:sz w:val="28"/>
                <w:szCs w:val="28"/>
              </w:rPr>
              <w:t>2.5.1 GASTROINTESTINAL SIDE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4" w:history="1">
            <w:r w:rsidR="004339FF" w:rsidRPr="004339FF">
              <w:rPr>
                <w:rStyle w:val="Hyperlink"/>
                <w:rFonts w:ascii="Times New Roman" w:hAnsi="Times New Roman"/>
                <w:b/>
                <w:noProof/>
                <w:sz w:val="28"/>
                <w:szCs w:val="28"/>
              </w:rPr>
              <w:t>2.5.2 REPRODUCTIVE AND PREGNANCY-RELATED RISKS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5" w:history="1">
            <w:r w:rsidR="004339FF" w:rsidRPr="004339FF">
              <w:rPr>
                <w:rStyle w:val="Hyperlink"/>
                <w:rFonts w:ascii="Times New Roman" w:hAnsi="Times New Roman"/>
                <w:b/>
                <w:noProof/>
                <w:sz w:val="28"/>
                <w:szCs w:val="28"/>
              </w:rPr>
              <w:t>2.5.3 BLOOD PRESSURE AND BLOOD SUGAR COMPLICATIONS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6" w:history="1">
            <w:r w:rsidR="004339FF" w:rsidRPr="004339FF">
              <w:rPr>
                <w:rStyle w:val="Hyperlink"/>
                <w:rFonts w:ascii="Times New Roman" w:hAnsi="Times New Roman"/>
                <w:b/>
                <w:noProof/>
                <w:sz w:val="28"/>
                <w:szCs w:val="28"/>
              </w:rPr>
              <w:t>2.5.4 TOXICITY FROM OVERCONSUMPTION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7" w:history="1">
            <w:r w:rsidR="004339FF" w:rsidRPr="004339FF">
              <w:rPr>
                <w:rStyle w:val="Hyperlink"/>
                <w:rFonts w:ascii="Times New Roman" w:hAnsi="Times New Roman"/>
                <w:b/>
                <w:noProof/>
                <w:sz w:val="28"/>
                <w:szCs w:val="28"/>
              </w:rPr>
              <w:t>2.5.5 ANTI-NUTRITIONAL FACTORS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8" w:history="1">
            <w:r w:rsidR="004339FF" w:rsidRPr="004339FF">
              <w:rPr>
                <w:rStyle w:val="Hyperlink"/>
                <w:rFonts w:ascii="Times New Roman" w:hAnsi="Times New Roman"/>
                <w:b/>
                <w:noProof/>
                <w:sz w:val="28"/>
                <w:szCs w:val="28"/>
              </w:rPr>
              <w:t>2.6 BENEFITS OF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29" w:history="1">
            <w:r w:rsidR="004339FF" w:rsidRPr="004339FF">
              <w:rPr>
                <w:rStyle w:val="Hyperlink"/>
                <w:rFonts w:ascii="Times New Roman" w:hAnsi="Times New Roman"/>
                <w:b/>
                <w:noProof/>
                <w:sz w:val="28"/>
                <w:szCs w:val="28"/>
              </w:rPr>
              <w:t>2.6.1 COGNITIVE FUNCTION AND MOOD REGULATION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_Toc203724629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0" w:history="1">
            <w:r w:rsidR="004339FF" w:rsidRPr="004339FF">
              <w:rPr>
                <w:rStyle w:val="Hyperlink"/>
                <w:rFonts w:ascii="Times New Roman" w:hAnsi="Times New Roman"/>
                <w:b/>
                <w:noProof/>
                <w:sz w:val="28"/>
                <w:szCs w:val="28"/>
              </w:rPr>
              <w:t>2.6.1 HEALTH BENEFITS OF MORINGA FOR 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1" w:history="1">
            <w:r w:rsidR="004339FF" w:rsidRPr="004339FF">
              <w:rPr>
                <w:rStyle w:val="Hyperlink"/>
                <w:rFonts w:ascii="Times New Roman" w:hAnsi="Times New Roman"/>
                <w:b/>
                <w:noProof/>
                <w:sz w:val="28"/>
                <w:szCs w:val="28"/>
              </w:rPr>
              <w:t>2.6.1.1 TESTOSTERONE, LIBIDO, AND SEXUAL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2" w:history="1">
            <w:r w:rsidR="004339FF" w:rsidRPr="004339FF">
              <w:rPr>
                <w:rStyle w:val="Hyperlink"/>
                <w:rFonts w:ascii="Times New Roman" w:hAnsi="Times New Roman"/>
                <w:b/>
                <w:noProof/>
                <w:sz w:val="28"/>
                <w:szCs w:val="28"/>
              </w:rPr>
              <w:t>2.6.1.2. NATURAL APHRODISIAC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3" w:history="1">
            <w:r w:rsidR="004339FF" w:rsidRPr="004339FF">
              <w:rPr>
                <w:rStyle w:val="Hyperlink"/>
                <w:rFonts w:ascii="Times New Roman" w:hAnsi="Times New Roman"/>
                <w:b/>
                <w:noProof/>
                <w:sz w:val="28"/>
                <w:szCs w:val="28"/>
              </w:rPr>
              <w:t>2.6.1.3 FERTILITY AND SPERM QUALITY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4" w:history="1">
            <w:r w:rsidR="004339FF" w:rsidRPr="004339FF">
              <w:rPr>
                <w:rStyle w:val="Hyperlink"/>
                <w:rFonts w:ascii="Times New Roman" w:hAnsi="Times New Roman"/>
                <w:b/>
                <w:noProof/>
                <w:sz w:val="28"/>
                <w:szCs w:val="28"/>
              </w:rPr>
              <w:t>2.6.1.4 BLOOD SUGAR CONTROL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5" w:history="1">
            <w:r w:rsidR="004339FF" w:rsidRPr="004339FF">
              <w:rPr>
                <w:rStyle w:val="Hyperlink"/>
                <w:rFonts w:ascii="Times New Roman" w:hAnsi="Times New Roman"/>
                <w:b/>
                <w:noProof/>
                <w:sz w:val="28"/>
                <w:szCs w:val="28"/>
              </w:rPr>
              <w:t>2.6.1.5 PROSTATE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6" w:history="1">
            <w:r w:rsidR="004339FF" w:rsidRPr="004339FF">
              <w:rPr>
                <w:rStyle w:val="Hyperlink"/>
                <w:rFonts w:ascii="Times New Roman" w:hAnsi="Times New Roman"/>
                <w:b/>
                <w:noProof/>
                <w:sz w:val="28"/>
                <w:szCs w:val="28"/>
              </w:rPr>
              <w:t>2.6.1.6 CARDIOVASCULAR HEALTH AND ENERGY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7" w:history="1">
            <w:r w:rsidR="004339FF" w:rsidRPr="004339FF">
              <w:rPr>
                <w:rStyle w:val="Hyperlink"/>
                <w:rFonts w:ascii="Times New Roman" w:hAnsi="Times New Roman"/>
                <w:b/>
                <w:noProof/>
                <w:sz w:val="28"/>
                <w:szCs w:val="28"/>
              </w:rPr>
              <w:t>2.6.1.7 MENTAL HEALTH AND MOOD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8" w:history="1">
            <w:r w:rsidR="004339FF" w:rsidRPr="004339FF">
              <w:rPr>
                <w:rStyle w:val="Hyperlink"/>
                <w:rFonts w:ascii="Times New Roman" w:hAnsi="Times New Roman"/>
                <w:b/>
                <w:noProof/>
                <w:sz w:val="28"/>
                <w:szCs w:val="28"/>
              </w:rPr>
              <w:t>2.6.2 HEALTH BENEFITS OF MORINGA FOR WOMEN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39" w:history="1">
            <w:r w:rsidR="004339FF" w:rsidRPr="004339FF">
              <w:rPr>
                <w:rStyle w:val="Hyperlink"/>
                <w:rFonts w:ascii="Times New Roman" w:hAnsi="Times New Roman"/>
                <w:b/>
                <w:noProof/>
                <w:sz w:val="28"/>
                <w:szCs w:val="28"/>
              </w:rPr>
              <w:t>2.6.2.1 MAY HELP PROMOTE LACTATION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_Toc203724639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0" w:history="1">
            <w:r w:rsidR="004339FF" w:rsidRPr="004339FF">
              <w:rPr>
                <w:rStyle w:val="Hyperlink"/>
                <w:rFonts w:ascii="Times New Roman" w:hAnsi="Times New Roman"/>
                <w:b/>
                <w:noProof/>
                <w:sz w:val="28"/>
                <w:szCs w:val="28"/>
              </w:rPr>
              <w:t>2.6.2.2 MAY SUPPORT LIBIDO</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1" w:history="1">
            <w:r w:rsidR="004339FF" w:rsidRPr="004339FF">
              <w:rPr>
                <w:rStyle w:val="Hyperlink"/>
                <w:rFonts w:ascii="Times New Roman" w:hAnsi="Times New Roman"/>
                <w:b/>
                <w:noProof/>
                <w:sz w:val="28"/>
                <w:szCs w:val="28"/>
              </w:rPr>
              <w:t>2.6.2.3 MAY AID IN WEIGHT MANAGEMENT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2" w:history="1">
            <w:r w:rsidR="004339FF" w:rsidRPr="004339FF">
              <w:rPr>
                <w:rStyle w:val="Hyperlink"/>
                <w:rFonts w:ascii="Times New Roman" w:hAnsi="Times New Roman"/>
                <w:b/>
                <w:noProof/>
                <w:sz w:val="28"/>
                <w:szCs w:val="28"/>
              </w:rPr>
              <w:t>2.6.2.4 SUPPORTS BONE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3" w:history="1">
            <w:r w:rsidR="004339FF" w:rsidRPr="004339FF">
              <w:rPr>
                <w:rStyle w:val="Hyperlink"/>
                <w:rFonts w:ascii="Times New Roman" w:hAnsi="Times New Roman"/>
                <w:b/>
                <w:noProof/>
                <w:sz w:val="28"/>
                <w:szCs w:val="28"/>
              </w:rPr>
              <w:t>2.7 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4" w:history="1">
            <w:r w:rsidR="004339FF" w:rsidRPr="004339FF">
              <w:rPr>
                <w:rStyle w:val="Hyperlink"/>
                <w:rFonts w:ascii="Times New Roman" w:hAnsi="Times New Roman"/>
                <w:b/>
                <w:noProof/>
                <w:sz w:val="28"/>
                <w:szCs w:val="28"/>
              </w:rPr>
              <w:t>2.7.1 Macronutrients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5" w:history="1">
            <w:r w:rsidR="004339FF" w:rsidRPr="004339FF">
              <w:rPr>
                <w:rStyle w:val="Hyperlink"/>
                <w:rFonts w:ascii="Times New Roman" w:hAnsi="Times New Roman"/>
                <w:b/>
                <w:noProof/>
                <w:sz w:val="28"/>
                <w:szCs w:val="28"/>
              </w:rPr>
              <w:t>2.7.1.1 Proteins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6" w:history="1">
            <w:r w:rsidR="004339FF" w:rsidRPr="004339FF">
              <w:rPr>
                <w:rStyle w:val="Hyperlink"/>
                <w:rFonts w:ascii="Times New Roman" w:hAnsi="Times New Roman"/>
                <w:b/>
                <w:noProof/>
                <w:sz w:val="28"/>
                <w:szCs w:val="28"/>
              </w:rPr>
              <w:t>2.7.1.1.2 Carbohydrates and Fats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47" w:history="1">
            <w:r w:rsidR="004339FF" w:rsidRPr="004339FF">
              <w:rPr>
                <w:rStyle w:val="Hyperlink"/>
                <w:rFonts w:ascii="Times New Roman" w:hAnsi="Times New Roman"/>
                <w:b/>
                <w:noProof/>
                <w:sz w:val="28"/>
                <w:szCs w:val="28"/>
              </w:rPr>
              <w:t>2.7.2 MICRONUTRIENTS IN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48" w:history="1">
            <w:r w:rsidR="004339FF" w:rsidRPr="004339FF">
              <w:rPr>
                <w:rStyle w:val="Hyperlink"/>
                <w:rFonts w:ascii="Times New Roman" w:hAnsi="Times New Roman"/>
                <w:noProof/>
                <w:sz w:val="28"/>
                <w:szCs w:val="28"/>
              </w:rPr>
              <w:t>2.7.2.1 Vitamin A (as beta-carotene)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49" w:history="1">
            <w:r w:rsidR="004339FF" w:rsidRPr="004339FF">
              <w:rPr>
                <w:rStyle w:val="Hyperlink"/>
                <w:rFonts w:ascii="Times New Roman" w:hAnsi="Times New Roman"/>
                <w:noProof/>
                <w:sz w:val="28"/>
                <w:szCs w:val="28"/>
              </w:rPr>
              <w:t>2.7.2.2 Vitamin C</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_Toc203724649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50" w:history="1">
            <w:r w:rsidR="004339FF" w:rsidRPr="004339FF">
              <w:rPr>
                <w:rStyle w:val="Hyperlink"/>
                <w:rFonts w:ascii="Times New Roman" w:hAnsi="Times New Roman"/>
                <w:noProof/>
                <w:sz w:val="28"/>
                <w:szCs w:val="28"/>
              </w:rPr>
              <w:t>2.7.2.3 Vitamin 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1" w:history="1">
            <w:r w:rsidR="004339FF" w:rsidRPr="004339FF">
              <w:rPr>
                <w:rStyle w:val="Hyperlink"/>
                <w:rFonts w:ascii="Times New Roman" w:hAnsi="Times New Roman"/>
                <w:b/>
                <w:noProof/>
                <w:sz w:val="28"/>
                <w:szCs w:val="28"/>
              </w:rPr>
              <w:t>2.7.3 Phytochemicals and Antioxidants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52" w:history="1">
            <w:r w:rsidR="004339FF" w:rsidRPr="004339FF">
              <w:rPr>
                <w:rStyle w:val="Hyperlink"/>
                <w:rFonts w:ascii="Times New Roman" w:hAnsi="Times New Roman"/>
                <w:noProof/>
                <w:sz w:val="28"/>
                <w:szCs w:val="28"/>
              </w:rPr>
              <w:t>2.7.3.1 Quercetin 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53" w:history="1">
            <w:r w:rsidR="004339FF" w:rsidRPr="004339FF">
              <w:rPr>
                <w:rStyle w:val="Hyperlink"/>
                <w:rFonts w:ascii="Times New Roman" w:hAnsi="Times New Roman"/>
                <w:noProof/>
                <w:sz w:val="28"/>
                <w:szCs w:val="28"/>
              </w:rPr>
              <w:t>2.7.3.2 Chlorogenic acid</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06722E">
          <w:pPr>
            <w:pStyle w:val="TOC2"/>
            <w:tabs>
              <w:tab w:val="right" w:leader="dot" w:pos="10337"/>
            </w:tabs>
            <w:rPr>
              <w:rFonts w:ascii="Times New Roman" w:hAnsi="Times New Roman"/>
              <w:noProof/>
              <w:sz w:val="28"/>
              <w:szCs w:val="28"/>
            </w:rPr>
          </w:pPr>
          <w:hyperlink w:anchor="_Toc203724654" w:history="1">
            <w:r w:rsidR="004339FF" w:rsidRPr="004339FF">
              <w:rPr>
                <w:rStyle w:val="Hyperlink"/>
                <w:rFonts w:ascii="Times New Roman" w:hAnsi="Times New Roman"/>
                <w:noProof/>
                <w:sz w:val="28"/>
                <w:szCs w:val="28"/>
              </w:rPr>
              <w:t>2.7.3.3  Isothiocyanates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5" w:history="1">
            <w:r w:rsidR="004339FF" w:rsidRPr="004339FF">
              <w:rPr>
                <w:rStyle w:val="Hyperlink"/>
                <w:rFonts w:ascii="Times New Roman" w:hAnsi="Times New Roman"/>
                <w:b/>
                <w:noProof/>
                <w:sz w:val="28"/>
                <w:szCs w:val="28"/>
              </w:rPr>
              <w:t>2.7.4 Comparative Nutritional Value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6" w:history="1">
            <w:r w:rsidR="004339FF"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7" w:history="1">
            <w:r w:rsidR="004339FF" w:rsidRPr="004339FF">
              <w:rPr>
                <w:rStyle w:val="Hyperlink"/>
                <w:rFonts w:ascii="Times New Roman" w:hAnsi="Times New Roman"/>
                <w:b/>
                <w:noProof/>
                <w:sz w:val="28"/>
                <w:szCs w:val="28"/>
              </w:rPr>
              <w:t>2.6.1 ANTIOXIDANT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8" w:history="1">
            <w:r w:rsidR="004339FF" w:rsidRPr="004339FF">
              <w:rPr>
                <w:rStyle w:val="Hyperlink"/>
                <w:rFonts w:ascii="Times New Roman" w:hAnsi="Times New Roman"/>
                <w:b/>
                <w:noProof/>
                <w:sz w:val="28"/>
                <w:szCs w:val="28"/>
              </w:rPr>
              <w:t>2.6.2 ANTI-INFLAMMATORY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59" w:history="1">
            <w:r w:rsidR="004339FF" w:rsidRPr="004339FF">
              <w:rPr>
                <w:rStyle w:val="Hyperlink"/>
                <w:rFonts w:ascii="Times New Roman" w:hAnsi="Times New Roman"/>
                <w:b/>
                <w:noProof/>
                <w:sz w:val="28"/>
                <w:szCs w:val="28"/>
              </w:rPr>
              <w:t>2.6.3 ANTI-DIABETIC AND ANTIHYPERGLYCEMIC PROPERTIES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_Toc203724659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0" w:history="1">
            <w:r w:rsidR="004339FF" w:rsidRPr="004339FF">
              <w:rPr>
                <w:rStyle w:val="Hyperlink"/>
                <w:rFonts w:ascii="Times New Roman" w:hAnsi="Times New Roman"/>
                <w:b/>
                <w:noProof/>
                <w:sz w:val="28"/>
                <w:szCs w:val="28"/>
              </w:rPr>
              <w:t>2.6.4 ANTIMICROBIAL AND ANTIBACTERIAL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1" w:history="1">
            <w:r w:rsidR="004339FF" w:rsidRPr="004339FF">
              <w:rPr>
                <w:rStyle w:val="Hyperlink"/>
                <w:rFonts w:ascii="Times New Roman" w:hAnsi="Times New Roman"/>
                <w:b/>
                <w:noProof/>
                <w:sz w:val="28"/>
                <w:szCs w:val="28"/>
              </w:rPr>
              <w:t>2.6.5 HEPATOPROTECTIVE (LIVER PROTECTING)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2" w:history="1">
            <w:r w:rsidR="004339FF" w:rsidRPr="004339FF">
              <w:rPr>
                <w:rStyle w:val="Hyperlink"/>
                <w:rFonts w:ascii="Times New Roman" w:hAnsi="Times New Roman"/>
                <w:b/>
                <w:noProof/>
                <w:sz w:val="28"/>
                <w:szCs w:val="28"/>
              </w:rPr>
              <w:t>2.8.6 CARDIOVASCULAR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3" w:history="1">
            <w:r w:rsidR="004339FF" w:rsidRPr="004339FF">
              <w:rPr>
                <w:rStyle w:val="Hyperlink"/>
                <w:rFonts w:ascii="Times New Roman" w:hAnsi="Times New Roman"/>
                <w:b/>
                <w:noProof/>
                <w:sz w:val="28"/>
                <w:szCs w:val="28"/>
              </w:rPr>
              <w:t>2.6.7 ANTI-CANCER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4" w:history="1">
            <w:r w:rsidR="004339FF" w:rsidRPr="004339FF">
              <w:rPr>
                <w:rStyle w:val="Hyperlink"/>
                <w:rFonts w:ascii="Times New Roman" w:hAnsi="Times New Roman"/>
                <w:b/>
                <w:noProof/>
                <w:sz w:val="28"/>
                <w:szCs w:val="28"/>
              </w:rPr>
              <w:t>2.6.8 NEUROPROTECTIVE EFFECTS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5" w:history="1">
            <w:r w:rsidR="004339FF" w:rsidRPr="004339FF">
              <w:rPr>
                <w:rStyle w:val="Hyperlink"/>
                <w:rFonts w:ascii="Times New Roman" w:hAnsi="Times New Roman"/>
                <w:b/>
                <w:noProof/>
                <w:sz w:val="28"/>
                <w:szCs w:val="28"/>
              </w:rPr>
              <w:t>2.6.9 WOUND HEALING AND SKIN HEALTH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6" w:history="1">
            <w:r w:rsidR="004339FF" w:rsidRPr="004339FF">
              <w:rPr>
                <w:rStyle w:val="Hyperlink"/>
                <w:rFonts w:ascii="Times New Roman" w:hAnsi="Times New Roman"/>
                <w:b/>
                <w:noProof/>
                <w:sz w:val="28"/>
                <w:szCs w:val="28"/>
              </w:rPr>
              <w:t>2.9 PRECAUTIONS AND WARNINGS OF TAKING MORINGA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7" w:history="1">
            <w:r w:rsidR="004339FF" w:rsidRPr="004339FF">
              <w:rPr>
                <w:rStyle w:val="Hyperlink"/>
                <w:rFonts w:ascii="Times New Roman" w:hAnsi="Times New Roman"/>
                <w:b/>
                <w:noProof/>
                <w:sz w:val="28"/>
                <w:szCs w:val="28"/>
              </w:rPr>
              <w:t>2.9.1 PREGNANCY AND BREASTFEEDING</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8" w:history="1">
            <w:r w:rsidR="004339FF" w:rsidRPr="004339FF">
              <w:rPr>
                <w:rStyle w:val="Hyperlink"/>
                <w:rFonts w:ascii="Times New Roman" w:hAnsi="Times New Roman"/>
                <w:b/>
                <w:noProof/>
                <w:sz w:val="28"/>
                <w:szCs w:val="28"/>
              </w:rPr>
              <w:t>2.9.2 MEDICATION INTERACTIONS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69" w:history="1">
            <w:r w:rsidR="004339FF" w:rsidRPr="004339FF">
              <w:rPr>
                <w:rStyle w:val="Hyperlink"/>
                <w:rFonts w:ascii="Times New Roman" w:hAnsi="Times New Roman"/>
                <w:b/>
                <w:noProof/>
                <w:sz w:val="28"/>
                <w:szCs w:val="28"/>
              </w:rPr>
              <w:t>2.9.3 AUTOIMMUNE CONDITIONS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_Toc203724669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0" w:history="1">
            <w:r w:rsidR="004339FF" w:rsidRPr="004339FF">
              <w:rPr>
                <w:rStyle w:val="Hyperlink"/>
                <w:rFonts w:ascii="Times New Roman" w:hAnsi="Times New Roman"/>
                <w:b/>
                <w:noProof/>
                <w:sz w:val="28"/>
                <w:szCs w:val="28"/>
              </w:rPr>
              <w:t>2.9.4 BLOOD DISORDERS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1" w:history="1">
            <w:r w:rsidR="004339FF" w:rsidRPr="004339FF">
              <w:rPr>
                <w:rStyle w:val="Hyperlink"/>
                <w:rFonts w:ascii="Times New Roman" w:hAnsi="Times New Roman"/>
                <w:b/>
                <w:noProof/>
                <w:sz w:val="28"/>
                <w:szCs w:val="28"/>
              </w:rPr>
              <w:t>2.9.5 TOXIC PARTS OF THE PLANT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2" w:history="1">
            <w:r w:rsidR="004339FF" w:rsidRPr="004339FF">
              <w:rPr>
                <w:rStyle w:val="Hyperlink"/>
                <w:rFonts w:ascii="Times New Roman" w:hAnsi="Times New Roman"/>
                <w:b/>
                <w:noProof/>
                <w:sz w:val="28"/>
                <w:szCs w:val="28"/>
              </w:rPr>
              <w:t>CHAPTER THREE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3" w:history="1">
            <w:r w:rsidR="004339FF" w:rsidRPr="004339FF">
              <w:rPr>
                <w:rStyle w:val="Hyperlink"/>
                <w:rFonts w:ascii="Times New Roman" w:hAnsi="Times New Roman"/>
                <w:b/>
                <w:noProof/>
                <w:sz w:val="28"/>
                <w:szCs w:val="28"/>
              </w:rPr>
              <w:t>3.0 MATERIALS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4" w:history="1">
            <w:r w:rsidR="004339FF"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004339FF" w:rsidRPr="004339FF">
              <w:rPr>
                <w:rStyle w:val="Hyperlink"/>
                <w:rFonts w:ascii="Times New Roman" w:hAnsi="Times New Roman"/>
                <w:b/>
                <w:noProof/>
                <w:sz w:val="28"/>
                <w:szCs w:val="28"/>
              </w:rPr>
              <w:t xml:space="preserve"> LEAVES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5" w:history="1">
            <w:r w:rsidR="004339FF" w:rsidRPr="004339FF">
              <w:rPr>
                <w:rStyle w:val="Hyperlink"/>
                <w:rFonts w:ascii="Times New Roman" w:hAnsi="Times New Roman"/>
                <w:b/>
                <w:noProof/>
                <w:sz w:val="28"/>
                <w:szCs w:val="28"/>
              </w:rPr>
              <w:t>3.2 APPARATUS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6" w:history="1">
            <w:r w:rsidR="004339FF" w:rsidRPr="004339FF">
              <w:rPr>
                <w:rStyle w:val="Hyperlink"/>
                <w:rFonts w:ascii="Times New Roman" w:hAnsi="Times New Roman"/>
                <w:b/>
                <w:noProof/>
                <w:sz w:val="28"/>
                <w:szCs w:val="28"/>
              </w:rPr>
              <w:t>3.3 REAGENTS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7" w:history="1">
            <w:r w:rsidR="004339FF" w:rsidRPr="004339FF">
              <w:rPr>
                <w:rStyle w:val="Hyperlink"/>
                <w:rFonts w:ascii="Times New Roman" w:hAnsi="Times New Roman"/>
                <w:b/>
                <w:noProof/>
                <w:sz w:val="28"/>
                <w:szCs w:val="28"/>
              </w:rPr>
              <w:t>3.2 METHODS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8" w:history="1">
            <w:r w:rsidR="004339FF" w:rsidRPr="004339FF">
              <w:rPr>
                <w:rStyle w:val="Hyperlink"/>
                <w:rFonts w:ascii="Times New Roman" w:hAnsi="Times New Roman"/>
                <w:b/>
                <w:noProof/>
                <w:sz w:val="28"/>
                <w:szCs w:val="28"/>
              </w:rPr>
              <w:t>3.2.1 PHYTOCHEMICAL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79" w:history="1">
            <w:r w:rsidR="004339FF" w:rsidRPr="004339FF">
              <w:rPr>
                <w:rStyle w:val="Hyperlink"/>
                <w:rFonts w:ascii="Times New Roman" w:hAnsi="Times New Roman"/>
                <w:b/>
                <w:noProof/>
                <w:sz w:val="28"/>
                <w:szCs w:val="28"/>
              </w:rPr>
              <w:t>3.2.2 PROXIMATE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_Toc203724679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0" w:history="1">
            <w:r w:rsidR="004339FF" w:rsidRPr="004339FF">
              <w:rPr>
                <w:rStyle w:val="Hyperlink"/>
                <w:rFonts w:ascii="Times New Roman" w:hAnsi="Times New Roman"/>
                <w:b/>
                <w:noProof/>
                <w:sz w:val="28"/>
                <w:szCs w:val="28"/>
              </w:rPr>
              <w:t>3.2.2.1 DETERMINATION OF MOISTURE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1" w:history="1">
            <w:r w:rsidR="004339FF" w:rsidRPr="004339FF">
              <w:rPr>
                <w:rStyle w:val="Hyperlink"/>
                <w:rFonts w:ascii="Times New Roman" w:hAnsi="Times New Roman"/>
                <w:b/>
                <w:noProof/>
                <w:sz w:val="28"/>
                <w:szCs w:val="28"/>
              </w:rPr>
              <w:t>3.2.2.2 ASH CONTENT</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2" w:history="1">
            <w:r w:rsidR="004339FF" w:rsidRPr="004339FF">
              <w:rPr>
                <w:rStyle w:val="Hyperlink"/>
                <w:rFonts w:ascii="Times New Roman" w:hAnsi="Times New Roman"/>
                <w:b/>
                <w:noProof/>
                <w:sz w:val="28"/>
                <w:szCs w:val="28"/>
              </w:rPr>
              <w:t>3.2.2.3 LIPID CONTENT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3" w:history="1">
            <w:r w:rsidR="004339FF" w:rsidRPr="004339FF">
              <w:rPr>
                <w:rStyle w:val="Hyperlink"/>
                <w:rFonts w:ascii="Times New Roman" w:hAnsi="Times New Roman"/>
                <w:b/>
                <w:noProof/>
                <w:sz w:val="28"/>
                <w:szCs w:val="28"/>
              </w:rPr>
              <w:t>3.2.3 MINERALS DETERMINATION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4" w:history="1">
            <w:r w:rsidR="004339FF" w:rsidRPr="004339FF">
              <w:rPr>
                <w:rStyle w:val="Hyperlink"/>
                <w:rFonts w:ascii="Times New Roman" w:hAnsi="Times New Roman"/>
                <w:b/>
                <w:noProof/>
                <w:sz w:val="28"/>
                <w:szCs w:val="28"/>
              </w:rPr>
              <w:t>3.2.3.1 SAMPLE EXTRACTION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5" w:history="1">
            <w:r w:rsidR="004339FF" w:rsidRPr="004339FF">
              <w:rPr>
                <w:rStyle w:val="Hyperlink"/>
                <w:rFonts w:ascii="Times New Roman" w:hAnsi="Times New Roman"/>
                <w:b/>
                <w:noProof/>
                <w:sz w:val="28"/>
                <w:szCs w:val="28"/>
              </w:rPr>
              <w:t>3.2.3.2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6" w:history="1">
            <w:r w:rsidR="004339FF" w:rsidRPr="004339FF">
              <w:rPr>
                <w:rStyle w:val="Hyperlink"/>
                <w:rFonts w:ascii="Times New Roman" w:hAnsi="Times New Roman"/>
                <w:b/>
                <w:noProof/>
                <w:sz w:val="28"/>
                <w:szCs w:val="28"/>
              </w:rPr>
              <w:t>3.2.4 Antioxidant Analysis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7" w:history="1">
            <w:r w:rsidR="004339FF" w:rsidRPr="004339FF">
              <w:rPr>
                <w:rStyle w:val="Hyperlink"/>
                <w:rFonts w:ascii="Times New Roman" w:hAnsi="Times New Roman"/>
                <w:b/>
                <w:noProof/>
                <w:sz w:val="28"/>
                <w:szCs w:val="28"/>
              </w:rPr>
              <w:t>3.2.4.1 DPPH</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8" w:history="1">
            <w:r w:rsidR="004339FF" w:rsidRPr="004339FF">
              <w:rPr>
                <w:rStyle w:val="Hyperlink"/>
                <w:rFonts w:ascii="Times New Roman" w:hAnsi="Times New Roman"/>
                <w:b/>
                <w:noProof/>
                <w:sz w:val="28"/>
                <w:szCs w:val="28"/>
              </w:rPr>
              <w:t>3.2.4.2 FRAP (Ferric Reducing Antioxidant Potential)</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89" w:history="1">
            <w:r w:rsidR="004339FF" w:rsidRPr="004339FF">
              <w:rPr>
                <w:rStyle w:val="Hyperlink"/>
                <w:rFonts w:ascii="Times New Roman" w:hAnsi="Times New Roman"/>
                <w:b/>
                <w:noProof/>
                <w:sz w:val="28"/>
                <w:szCs w:val="28"/>
              </w:rPr>
              <w:t>3.2.4.3 NO (Nitric oxide) Free Radical Scavenging Activity</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0" w:history="1">
            <w:r w:rsidR="004339FF" w:rsidRPr="004339FF">
              <w:rPr>
                <w:rStyle w:val="Hyperlink"/>
                <w:rFonts w:ascii="Times New Roman" w:hAnsi="Times New Roman"/>
                <w:b/>
                <w:noProof/>
                <w:sz w:val="28"/>
                <w:szCs w:val="28"/>
              </w:rPr>
              <w:t>3.2.4.4 Lipid Peroxidation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1" w:history="1">
            <w:r w:rsidR="004339FF" w:rsidRPr="004339FF">
              <w:rPr>
                <w:rStyle w:val="Hyperlink"/>
                <w:rFonts w:ascii="Times New Roman" w:hAnsi="Times New Roman"/>
                <w:b/>
                <w:noProof/>
                <w:sz w:val="28"/>
                <w:szCs w:val="28"/>
              </w:rPr>
              <w:t>CHAPTER FOUR</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2" w:history="1">
            <w:r w:rsidR="004339FF" w:rsidRPr="004339FF">
              <w:rPr>
                <w:rStyle w:val="Hyperlink"/>
                <w:rFonts w:ascii="Times New Roman" w:hAnsi="Times New Roman"/>
                <w:b/>
                <w:noProof/>
                <w:sz w:val="28"/>
                <w:szCs w:val="28"/>
              </w:rPr>
              <w:t>4.0 RESULT AND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3" w:history="1">
            <w:r w:rsidR="004339FF"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4" w:history="1">
            <w:r w:rsidR="004339FF"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5" w:history="1">
            <w:r w:rsidR="004339FF"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6" w:history="1">
            <w:r w:rsidR="004339FF"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7" w:history="1">
            <w:r w:rsidR="004339FF" w:rsidRPr="004339FF">
              <w:rPr>
                <w:rStyle w:val="Hyperlink"/>
                <w:rFonts w:ascii="Times New Roman" w:hAnsi="Times New Roman"/>
                <w:b/>
                <w:noProof/>
                <w:sz w:val="28"/>
                <w:szCs w:val="28"/>
              </w:rPr>
              <w:t>4.5 DISCUSSION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8" w:history="1">
            <w:r w:rsidR="004339FF" w:rsidRPr="004339FF">
              <w:rPr>
                <w:rStyle w:val="Hyperlink"/>
                <w:rFonts w:ascii="Times New Roman" w:hAnsi="Times New Roman"/>
                <w:b/>
                <w:noProof/>
                <w:sz w:val="28"/>
                <w:szCs w:val="28"/>
              </w:rPr>
              <w:t>CHAPTER FIVE</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699" w:history="1">
            <w:r w:rsidR="004339FF" w:rsidRPr="004339FF">
              <w:rPr>
                <w:rStyle w:val="Hyperlink"/>
                <w:rFonts w:ascii="Times New Roman" w:hAnsi="Times New Roman"/>
                <w:b/>
                <w:noProof/>
                <w:sz w:val="28"/>
                <w:szCs w:val="28"/>
              </w:rPr>
              <w:t>5.0 CONCLUSION AND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_Toc203724699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700" w:history="1">
            <w:r w:rsidR="004339FF" w:rsidRPr="004339FF">
              <w:rPr>
                <w:rStyle w:val="Hyperlink"/>
                <w:rFonts w:ascii="Times New Roman" w:hAnsi="Times New Roman"/>
                <w:b/>
                <w:noProof/>
                <w:sz w:val="28"/>
                <w:szCs w:val="28"/>
              </w:rPr>
              <w:t>5.1 CONCLUSION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701" w:history="1">
            <w:r w:rsidR="004339FF" w:rsidRPr="004339FF">
              <w:rPr>
                <w:rStyle w:val="Hyperlink"/>
                <w:rFonts w:ascii="Times New Roman" w:hAnsi="Times New Roman"/>
                <w:b/>
                <w:noProof/>
                <w:sz w:val="28"/>
                <w:szCs w:val="28"/>
              </w:rPr>
              <w:t>5.2 RECOMMENDATION</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06722E">
          <w:pPr>
            <w:pStyle w:val="TOC1"/>
            <w:tabs>
              <w:tab w:val="right" w:leader="dot" w:pos="10337"/>
            </w:tabs>
            <w:rPr>
              <w:rFonts w:ascii="Times New Roman" w:hAnsi="Times New Roman"/>
              <w:noProof/>
              <w:sz w:val="28"/>
              <w:szCs w:val="28"/>
            </w:rPr>
          </w:pPr>
          <w:hyperlink w:anchor="_Toc203724702" w:history="1">
            <w:r w:rsidR="004339FF" w:rsidRPr="004339FF">
              <w:rPr>
                <w:rStyle w:val="Hyperlink"/>
                <w:rFonts w:ascii="Times New Roman" w:hAnsi="Times New Roman"/>
                <w:b/>
                <w:noProof/>
                <w:sz w:val="28"/>
                <w:szCs w:val="28"/>
              </w:rPr>
              <w:t>REFERENCES</w:t>
            </w:r>
            <w:r w:rsidR="004339FF"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004339FF" w:rsidRPr="004339FF">
              <w:rPr>
                <w:rFonts w:ascii="Times New Roman" w:hAnsi="Times New Roman"/>
                <w:noProof/>
                <w:webHidden/>
                <w:sz w:val="28"/>
                <w:szCs w:val="28"/>
              </w:rPr>
              <w:instrText xml:space="preserve"> PAGEREF _Toc203724702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Pr="004339FF">
              <w:rPr>
                <w:rFonts w:ascii="Times New Roman" w:hAnsi="Times New Roman"/>
                <w:noProof/>
                <w:webHidden/>
                <w:sz w:val="28"/>
                <w:szCs w:val="28"/>
              </w:rPr>
              <w:fldChar w:fldCharType="end"/>
            </w:r>
          </w:hyperlink>
        </w:p>
        <w:p w:rsidR="004339FF" w:rsidRDefault="0006722E">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lastRenderedPageBreak/>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9"/>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lastRenderedPageBreak/>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In the present study, moringa leaves were selected because they are considered by many to be a superfood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w:t>
      </w:r>
      <w:r w:rsidRPr="006E3686">
        <w:rPr>
          <w:rFonts w:ascii="Times New Roman" w:hAnsi="Times New Roman"/>
          <w:sz w:val="28"/>
          <w:szCs w:val="28"/>
        </w:rPr>
        <w:lastRenderedPageBreak/>
        <w:t>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w:t>
      </w:r>
      <w:r w:rsidRPr="006E3686">
        <w:rPr>
          <w:rFonts w:ascii="Times New Roman" w:hAnsi="Times New Roman"/>
          <w:sz w:val="28"/>
          <w:szCs w:val="28"/>
        </w:rPr>
        <w:lastRenderedPageBreak/>
        <w:t>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lastRenderedPageBreak/>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known as phytochemicals, which include flavonoids, tannins, saponins, and alkaloids. These natural chemicals help the body fight diseases and infections; for example, flavonoids act as antioxidants, protecting the body from harmful substances called free radicals. These </w:t>
      </w:r>
      <w:r w:rsidRPr="006E3686">
        <w:rPr>
          <w:rFonts w:ascii="Times New Roman" w:hAnsi="Times New Roman"/>
          <w:sz w:val="28"/>
          <w:szCs w:val="28"/>
        </w:rPr>
        <w:lastRenderedPageBreak/>
        <w:t>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lastRenderedPageBreak/>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w:t>
      </w:r>
      <w:r w:rsidRPr="006E3686">
        <w:rPr>
          <w:rFonts w:ascii="Times New Roman" w:hAnsi="Times New Roman"/>
          <w:sz w:val="28"/>
          <w:szCs w:val="28"/>
        </w:rPr>
        <w:lastRenderedPageBreak/>
        <w:t>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also known as the "drumstick tree" or "miracle tree" is a fast growing drought- resistant plant that thrives in many tropical and subtropical regions of the world. Because of its high nutritional and medicinal value it is cultivated widely for both </w:t>
      </w:r>
      <w:r w:rsidR="00B55210" w:rsidRPr="006E3686">
        <w:rPr>
          <w:rFonts w:ascii="Times New Roman" w:hAnsi="Times New Roman"/>
          <w:sz w:val="28"/>
          <w:szCs w:val="28"/>
        </w:rPr>
        <w:lastRenderedPageBreak/>
        <w:t>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lastRenderedPageBreak/>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lastRenderedPageBreak/>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lastRenderedPageBreak/>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lastRenderedPageBreak/>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2.4.9 EFFECTIVENESS:Its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lastRenderedPageBreak/>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lastRenderedPageBreak/>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Moringa's high content of Vitamins E and C may help slow neural degeneration and improve brain function. These vitamins are known to act as neuro-enhancers, potentially benefiting individuals with migraines or learning headaches. Additionally, moringa may </w:t>
      </w:r>
      <w:r w:rsidRPr="006E3686">
        <w:rPr>
          <w:rFonts w:ascii="Times New Roman" w:hAnsi="Times New Roman"/>
          <w:sz w:val="28"/>
          <w:szCs w:val="28"/>
        </w:rPr>
        <w:lastRenderedPageBreak/>
        <w:t>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lastRenderedPageBreak/>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lastRenderedPageBreak/>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lastRenderedPageBreak/>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w:t>
      </w:r>
      <w:r w:rsidRPr="006E3686">
        <w:rPr>
          <w:rFonts w:ascii="Times New Roman" w:hAnsi="Times New Roman"/>
          <w:sz w:val="28"/>
          <w:szCs w:val="28"/>
        </w:rPr>
        <w:lastRenderedPageBreak/>
        <w:t>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lastRenderedPageBreak/>
        <w:t xml:space="preserve">2.7.2.5 </w:t>
      </w:r>
      <w:r w:rsidR="00480744" w:rsidRPr="006E3686">
        <w:rPr>
          <w:rFonts w:ascii="Times New Roman" w:hAnsi="Times New Roman"/>
          <w:sz w:val="28"/>
          <w:szCs w:val="28"/>
        </w:rPr>
        <w:t>CalciumImportant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lastRenderedPageBreak/>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xml:space="preserve">,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w:t>
      </w:r>
      <w:r w:rsidR="00480744" w:rsidRPr="006E3686">
        <w:rPr>
          <w:rFonts w:ascii="Times New Roman" w:hAnsi="Times New Roman"/>
          <w:sz w:val="28"/>
          <w:szCs w:val="28"/>
        </w:rPr>
        <w:lastRenderedPageBreak/>
        <w:t>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lastRenderedPageBreak/>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Preliminary studies suggest that moringa may have anti-cancer properties, especially against cancers such as breast, colon, and prostate. The plant contains niazimmin and other bioactive 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lastRenderedPageBreak/>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lastRenderedPageBreak/>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lastRenderedPageBreak/>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lastRenderedPageBreak/>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lastRenderedPageBreak/>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06722E"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in;margin-top:18.05pt;width:50.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w:r>
      <w:r w:rsidR="00480744" w:rsidRPr="006E3686">
        <w:rPr>
          <w:rFonts w:ascii="Times New Roman" w:hAnsi="Times New Roman"/>
          <w:sz w:val="28"/>
          <w:szCs w:val="28"/>
        </w:rPr>
        <w:t>Loss in weight (W₂ - W₃)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w:t>
      </w:r>
      <w:r w:rsidRPr="006E3686">
        <w:rPr>
          <w:rFonts w:ascii="Times New Roman" w:hAnsi="Times New Roman"/>
          <w:sz w:val="28"/>
          <w:szCs w:val="28"/>
        </w:rPr>
        <w:lastRenderedPageBreak/>
        <w:t>triplicate. The amount of pet extracted was calculated by difference.Ether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(g/100g</w:t>
      </w:r>
      <w:r w:rsidRPr="006E3686">
        <w:rPr>
          <w:rFonts w:ascii="Times New Roman" w:hAnsi="Times New Roman"/>
          <w:sz w:val="28"/>
          <w:szCs w:val="28"/>
        </w:rPr>
        <w:t xml:space="preserve">)  </w:t>
      </w:r>
    </w:p>
    <w:p w:rsidR="00480744" w:rsidRPr="006E3686" w:rsidRDefault="0006722E" w:rsidP="00552365">
      <w:pPr>
        <w:spacing w:line="480" w:lineRule="auto"/>
        <w:jc w:val="both"/>
        <w:rPr>
          <w:rFonts w:ascii="Times New Roman" w:hAnsi="Times New Roman"/>
          <w:sz w:val="28"/>
          <w:szCs w:val="28"/>
        </w:rPr>
      </w:pPr>
      <w:r>
        <w:rPr>
          <w:rFonts w:ascii="Times New Roman" w:hAnsi="Times New Roman"/>
          <w:noProof/>
          <w:sz w:val="28"/>
          <w:szCs w:val="28"/>
          <w:lang w:eastAsia="en-US"/>
        </w:rPr>
        <w:pict>
          <v:shape id="AutoShape 3" o:spid="_x0000_s1027" type="#_x0000_t32" style="position:absolute;left:0;text-align:left;margin-left:83.25pt;margin-top:20.05pt;width:51.7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w:r>
      <w:r w:rsidR="00480744" w:rsidRPr="006E3686">
        <w:rPr>
          <w:rFonts w:ascii="Times New Roman" w:hAnsi="Times New Roman"/>
          <w:sz w:val="28"/>
          <w:szCs w:val="28"/>
        </w:rPr>
        <w:t xml:space="preserve">= Loss in weight (W₂ - W₃) × 100  </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ab/>
      </w:r>
      <w:r w:rsidRPr="006E3686">
        <w:rPr>
          <w:rFonts w:ascii="Times New Roman" w:hAnsi="Times New Roman"/>
          <w:sz w:val="28"/>
          <w:szCs w:val="28"/>
        </w:rPr>
        <w:tab/>
      </w:r>
      <w:r w:rsidR="00480744"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and20ml of methanol 3 extracting solution added; this was placed onshaker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 xml:space="preserve">PG Instrument </w:t>
      </w:r>
      <w:r w:rsidRPr="006E3686">
        <w:rPr>
          <w:rFonts w:ascii="Times New Roman" w:hAnsi="Times New Roman"/>
          <w:sz w:val="28"/>
          <w:szCs w:val="28"/>
        </w:rPr>
        <w:lastRenderedPageBreak/>
        <w:t>Ltd., 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prepared in appropriate solvent; the concentration of the sample was varied to 100-500µlby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 xml:space="preserve">-TPTZ) complex to theferrous form, which has an intense blue colour, can be monitored by measuring the change in absorption at 593nm; the reaction is nonspecific: in that any half-reaction that has a lower redox </w:t>
      </w:r>
      <w:r w:rsidRPr="006E3686">
        <w:rPr>
          <w:rFonts w:ascii="Times New Roman" w:hAnsi="Times New Roman"/>
          <w:sz w:val="28"/>
          <w:szCs w:val="28"/>
        </w:rPr>
        <w:lastRenderedPageBreak/>
        <w:t xml:space="preserve">potential, 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xml:space="preserve">) reaction; the change in absorbance, therefore, is directly relatedto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w:t>
      </w:r>
      <w:r w:rsidRPr="006E3686">
        <w:rPr>
          <w:rFonts w:ascii="Times New Roman" w:hAnsi="Times New Roman"/>
          <w:sz w:val="28"/>
          <w:szCs w:val="28"/>
        </w:rPr>
        <w:lastRenderedPageBreak/>
        <w:t>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Malondialdehyde (MDA), an index of lipid peroxidation was determinedusing the method reported by Buege and Aust (1978); 1ml of samplewere added to 2.0ml of TBA reagent and </w:t>
      </w:r>
      <w:r w:rsidRPr="006E3686">
        <w:rPr>
          <w:rFonts w:ascii="Times New Roman" w:hAnsi="Times New Roman"/>
          <w:sz w:val="28"/>
          <w:szCs w:val="28"/>
        </w:rPr>
        <w:lastRenderedPageBreak/>
        <w:t xml:space="preserve">boiled at 100°C for 15min. The reaction mixture was then cooled down. The flocculent materialrolls were removed by centrifuging at 300 rpm for 10min. The supernatant were removed and absorbance read at 532nm against theblank. Visible spectrophotometer (721 Axiom medical, U.K) MDA was calculated using the molar extinction coefficient for MDA-TBAcomplex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lastRenderedPageBreak/>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W w:w="0" w:type="auto"/>
        <w:tblLook w:val="04A0"/>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2" w:name="_Toc203724694"/>
      <w:r w:rsidRPr="006E3686">
        <w:rPr>
          <w:rFonts w:ascii="Times New Roman" w:hAnsi="Times New Roman" w:cs="Times New Roman"/>
          <w:b/>
          <w:color w:val="auto"/>
        </w:rPr>
        <w:lastRenderedPageBreak/>
        <w:t xml:space="preserve">4.2 THE RESULT OF PROXIMATE ANALYSIS OF </w:t>
      </w:r>
      <w:r w:rsidR="006E3686" w:rsidRPr="006E3686">
        <w:rPr>
          <w:rFonts w:ascii="Times New Roman" w:hAnsi="Times New Roman" w:cs="Times New Roman"/>
          <w:b/>
          <w:i/>
          <w:color w:val="auto"/>
        </w:rPr>
        <w:t>MORINGA OLEIFERA</w:t>
      </w:r>
      <w:bookmarkEnd w:id="112"/>
    </w:p>
    <w:tbl>
      <w:tblPr>
        <w:tblW w:w="0" w:type="auto"/>
        <w:tblLook w:val="04A0"/>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lastRenderedPageBreak/>
        <w:t xml:space="preserve">4.3 THE RESULT OF MINERALS ANALYSIS OF </w:t>
      </w:r>
      <w:r w:rsidR="006E3686" w:rsidRPr="006E3686">
        <w:rPr>
          <w:rFonts w:ascii="Times New Roman" w:hAnsi="Times New Roman" w:cs="Times New Roman"/>
          <w:b/>
          <w:i/>
          <w:color w:val="auto"/>
        </w:rPr>
        <w:t>MORINGA OLEIFERA</w:t>
      </w:r>
      <w:bookmarkEnd w:id="113"/>
    </w:p>
    <w:tbl>
      <w:tblPr>
        <w:tblW w:w="0" w:type="auto"/>
        <w:tblLook w:val="04A0"/>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lastRenderedPageBreak/>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W w:w="0" w:type="auto"/>
        <w:tblLook w:val="04A0"/>
      </w:tblPr>
      <w:tblGrid>
        <w:gridCol w:w="2369"/>
        <w:gridCol w:w="1617"/>
        <w:gridCol w:w="1560"/>
        <w:gridCol w:w="1700"/>
        <w:gridCol w:w="1700"/>
        <w:gridCol w:w="161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lastRenderedPageBreak/>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revealed moderate content of carbohydrate (14.70 ± 0.95%) in the leaf and low content of protein (21.69 ± 0%) in the leaf. Compared to other composition as confirmed with the result obtained by Sodemade et al. (2013), carbohydrate is suitable for optimal functioning of the brain, heart, </w:t>
      </w:r>
      <w:r w:rsidRPr="006E3686">
        <w:rPr>
          <w:rFonts w:ascii="Times New Roman" w:hAnsi="Times New Roman"/>
          <w:sz w:val="28"/>
          <w:szCs w:val="28"/>
        </w:rPr>
        <w:lastRenderedPageBreak/>
        <w:t>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lastRenderedPageBreak/>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lastRenderedPageBreak/>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lastRenderedPageBreak/>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10"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1"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2"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3"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4"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5"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6"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7"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w:t>
      </w:r>
      <w:r w:rsidRPr="006E3686">
        <w:rPr>
          <w:sz w:val="28"/>
          <w:szCs w:val="28"/>
        </w:rPr>
        <w:lastRenderedPageBreak/>
        <w:t xml:space="preserve">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8"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9"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20"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1"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2"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3"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4"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5"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6"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lastRenderedPageBreak/>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7"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4AB" w:rsidRDefault="006E54AB" w:rsidP="004C4C35">
      <w:pPr>
        <w:spacing w:after="0" w:line="240" w:lineRule="auto"/>
      </w:pPr>
      <w:r>
        <w:separator/>
      </w:r>
    </w:p>
  </w:endnote>
  <w:endnote w:type="continuationSeparator" w:id="1">
    <w:p w:rsidR="006E54AB" w:rsidRDefault="006E54AB" w:rsidP="004C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5070"/>
      <w:docPartObj>
        <w:docPartGallery w:val="Page Numbers (Bottom of Page)"/>
        <w:docPartUnique/>
      </w:docPartObj>
    </w:sdtPr>
    <w:sdtEndPr>
      <w:rPr>
        <w:noProof/>
      </w:rPr>
    </w:sdtEndPr>
    <w:sdtContent>
      <w:p w:rsidR="004339FF" w:rsidRDefault="0006722E">
        <w:pPr>
          <w:pStyle w:val="Footer"/>
          <w:jc w:val="center"/>
        </w:pPr>
        <w:r>
          <w:fldChar w:fldCharType="begin"/>
        </w:r>
        <w:r w:rsidR="004339FF">
          <w:instrText xml:space="preserve"> PAGE   \* MERGEFORMAT </w:instrText>
        </w:r>
        <w:r>
          <w:fldChar w:fldCharType="separate"/>
        </w:r>
        <w:r w:rsidR="002C3D89">
          <w:rPr>
            <w:noProof/>
          </w:rPr>
          <w:t>ii</w:t>
        </w:r>
        <w:r>
          <w:rPr>
            <w:noProof/>
          </w:rPr>
          <w:fldChar w:fldCharType="end"/>
        </w:r>
      </w:p>
    </w:sdtContent>
  </w:sdt>
  <w:p w:rsidR="004339FF" w:rsidRDefault="00433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4AB" w:rsidRDefault="006E54AB" w:rsidP="004C4C35">
      <w:pPr>
        <w:spacing w:after="0" w:line="240" w:lineRule="auto"/>
      </w:pPr>
      <w:r>
        <w:separator/>
      </w:r>
    </w:p>
  </w:footnote>
  <w:footnote w:type="continuationSeparator" w:id="1">
    <w:p w:rsidR="006E54AB" w:rsidRDefault="006E54AB" w:rsidP="004C4C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5952ED"/>
    <w:rsid w:val="0006722E"/>
    <w:rsid w:val="000935F6"/>
    <w:rsid w:val="000C2B11"/>
    <w:rsid w:val="000E3C0F"/>
    <w:rsid w:val="000F6614"/>
    <w:rsid w:val="00110C3E"/>
    <w:rsid w:val="001E0663"/>
    <w:rsid w:val="00234FBC"/>
    <w:rsid w:val="00264753"/>
    <w:rsid w:val="00281071"/>
    <w:rsid w:val="00287520"/>
    <w:rsid w:val="002C3D89"/>
    <w:rsid w:val="002C44A2"/>
    <w:rsid w:val="0033285B"/>
    <w:rsid w:val="00350E9F"/>
    <w:rsid w:val="003D33A9"/>
    <w:rsid w:val="003F1E0A"/>
    <w:rsid w:val="00410585"/>
    <w:rsid w:val="004120F4"/>
    <w:rsid w:val="004339FF"/>
    <w:rsid w:val="00480744"/>
    <w:rsid w:val="004B0C4E"/>
    <w:rsid w:val="004C4C35"/>
    <w:rsid w:val="00552365"/>
    <w:rsid w:val="005952ED"/>
    <w:rsid w:val="00671F43"/>
    <w:rsid w:val="0067227E"/>
    <w:rsid w:val="00690C00"/>
    <w:rsid w:val="006E3686"/>
    <w:rsid w:val="006E54AB"/>
    <w:rsid w:val="00710428"/>
    <w:rsid w:val="00857F04"/>
    <w:rsid w:val="00885D69"/>
    <w:rsid w:val="009310DC"/>
    <w:rsid w:val="00970C48"/>
    <w:rsid w:val="009C5876"/>
    <w:rsid w:val="009F5257"/>
    <w:rsid w:val="00A21954"/>
    <w:rsid w:val="00A36331"/>
    <w:rsid w:val="00AE38F1"/>
    <w:rsid w:val="00B55210"/>
    <w:rsid w:val="00B86DE7"/>
    <w:rsid w:val="00B92CD7"/>
    <w:rsid w:val="00BC2966"/>
    <w:rsid w:val="00BE6F44"/>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 w:val="00FE19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r="http://schemas.openxmlformats.org/officeDocument/2006/relationships" xmlns:w="http://schemas.openxmlformats.org/wordprocessingml/2006/main">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ia.es/sjar" TargetMode="External"/><Relationship Id="rId18" Type="http://schemas.openxmlformats.org/officeDocument/2006/relationships/hyperlink" Target="http://www.meritresearchjournals.org/mms/index.htm" TargetMode="External"/><Relationship Id="rId26" Type="http://schemas.openxmlformats.org/officeDocument/2006/relationships/hyperlink" Target="https://doi.org/10.1016/B978-0-12-804019-5.00011-6" TargetMode="External"/><Relationship Id="rId3" Type="http://schemas.openxmlformats.org/officeDocument/2006/relationships/styles" Target="styles.xml"/><Relationship Id="rId21" Type="http://schemas.openxmlformats.org/officeDocument/2006/relationships/hyperlink" Target="https://www.researchgate.net/publication/279195165" TargetMode="External"/><Relationship Id="rId7" Type="http://schemas.openxmlformats.org/officeDocument/2006/relationships/endnotes" Target="endnotes.xml"/><Relationship Id="rId12" Type="http://schemas.openxmlformats.org/officeDocument/2006/relationships/hyperlink" Target="http://www.ijprbs.com/issuedocs/2012/" TargetMode="External"/><Relationship Id="rId17" Type="http://schemas.openxmlformats.org/officeDocument/2006/relationships/hyperlink" Target="https://doi.org/10.1007/s13596-018-0333-y" TargetMode="External"/><Relationship Id="rId25" Type="http://schemas.openxmlformats.org/officeDocument/2006/relationships/hyperlink" Target="https://www.jaypeebrothers.com" TargetMode="External"/><Relationship Id="rId2" Type="http://schemas.openxmlformats.org/officeDocument/2006/relationships/numbering" Target="numbering.xml"/><Relationship Id="rId16" Type="http://schemas.openxmlformats.org/officeDocument/2006/relationships/hyperlink" Target="https://doi.org/10.1155/2016/7584318" TargetMode="External"/><Relationship Id="rId20" Type="http://schemas.openxmlformats.org/officeDocument/2006/relationships/hyperlink" Target="https://doi.org/10.20450/mjcce.2013.4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bms.info" TargetMode="External"/><Relationship Id="rId24" Type="http://schemas.openxmlformats.org/officeDocument/2006/relationships/hyperlink" Target="https://doi.org/10.1093/jaoac/92.1.61" TargetMode="External"/><Relationship Id="rId5" Type="http://schemas.openxmlformats.org/officeDocument/2006/relationships/webSettings" Target="webSettings.xml"/><Relationship Id="rId15" Type="http://schemas.openxmlformats.org/officeDocument/2006/relationships/hyperlink" Target="https://doi.org/10.1016/j.foodchem.2010.11.064" TargetMode="External"/><Relationship Id="rId23" Type="http://schemas.openxmlformats.org/officeDocument/2006/relationships/hyperlink" Target="https://www.researchgate.net/publication/284483349" TargetMode="External"/><Relationship Id="rId28" Type="http://schemas.openxmlformats.org/officeDocument/2006/relationships/fontTable" Target="fontTable.xml"/><Relationship Id="rId10" Type="http://schemas.openxmlformats.org/officeDocument/2006/relationships/hyperlink" Target="https://doi.org/10.1016/j.sajb.2019.07.049" TargetMode="External"/><Relationship Id="rId19" Type="http://schemas.openxmlformats.org/officeDocument/2006/relationships/hyperlink" Target="http://www.currentbiotic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phytol.2007.10.001" TargetMode="External"/><Relationship Id="rId22" Type="http://schemas.openxmlformats.org/officeDocument/2006/relationships/hyperlink" Target="http://www.academicjournals.org/AJest" TargetMode="External"/><Relationship Id="rId27" Type="http://schemas.openxmlformats.org/officeDocument/2006/relationships/hyperlink" Target="https://www.researchgate.net/publication/31167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EF60B-866C-4250-B19A-6E4FE79D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12698</Words>
  <Characters>72383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USER</cp:lastModifiedBy>
  <cp:revision>3</cp:revision>
  <cp:lastPrinted>2025-07-17T08:42:00Z</cp:lastPrinted>
  <dcterms:created xsi:type="dcterms:W3CDTF">2025-07-19T07:57:00Z</dcterms:created>
  <dcterms:modified xsi:type="dcterms:W3CDTF">2025-08-12T14:34:00Z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