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ASSESSMENT OF THE IMPACT OF ENVIRONMENTAL REGULATION ON REAL ESTATE DEVELOPMENT</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 CASE STUDY OF ILORIN KWARA STATE)</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BY</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MUHAMMED HALIMAT ARIKE</w:t>
      </w: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HND/22/ETM/FT/075</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A RESEARCH PROJECT SUBMITTED TO THE DEPARTMENT OF ESTATE MANAGEMENT AND VALUATION, INSTITUTE OF ENVIRONMENTAL STUDIES, KWARA STATE POLYTECHNIC, ILORIN.</w:t>
      </w:r>
    </w:p>
    <w:p w:rsidR="001D017A" w:rsidRPr="001D017A" w:rsidRDefault="001D017A" w:rsidP="001D017A">
      <w:pPr>
        <w:jc w:val="center"/>
        <w:rPr>
          <w:rFonts w:ascii="Times New Roman" w:hAnsi="Times New Roman" w:cs="Times New Roman"/>
          <w:b/>
          <w:sz w:val="32"/>
        </w:rPr>
      </w:pPr>
    </w:p>
    <w:p w:rsidR="001D017A" w:rsidRPr="001D017A" w:rsidRDefault="001D017A" w:rsidP="001D017A">
      <w:pPr>
        <w:jc w:val="center"/>
        <w:rPr>
          <w:rFonts w:ascii="Times New Roman" w:hAnsi="Times New Roman" w:cs="Times New Roman"/>
          <w:b/>
          <w:sz w:val="32"/>
        </w:rPr>
      </w:pPr>
      <w:r w:rsidRPr="001D017A">
        <w:rPr>
          <w:rFonts w:ascii="Times New Roman" w:hAnsi="Times New Roman" w:cs="Times New Roman"/>
          <w:b/>
          <w:sz w:val="32"/>
        </w:rPr>
        <w:t>IN PARTIAL FULFILLMENT OF PART OF THE REQUIREMENTS FOR THE AWARD OF HIGHER NATIONAL DIPLOMA (HND) IN ESTATE MANAGEMENT AND VALUATION</w:t>
      </w:r>
    </w:p>
    <w:p w:rsidR="001D017A" w:rsidRPr="001D017A" w:rsidRDefault="001D017A" w:rsidP="001D017A">
      <w:pPr>
        <w:jc w:val="center"/>
        <w:rPr>
          <w:rFonts w:ascii="Times New Roman" w:hAnsi="Times New Roman" w:cs="Times New Roman"/>
          <w:b/>
          <w:sz w:val="32"/>
        </w:rPr>
      </w:pPr>
    </w:p>
    <w:p w:rsidR="0096169E" w:rsidRDefault="001D017A" w:rsidP="001D017A">
      <w:pPr>
        <w:jc w:val="center"/>
        <w:rPr>
          <w:rFonts w:ascii="Times New Roman" w:hAnsi="Times New Roman" w:cs="Times New Roman"/>
          <w:b/>
          <w:sz w:val="32"/>
        </w:rPr>
      </w:pP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r>
      <w:r w:rsidRPr="001D017A">
        <w:rPr>
          <w:rFonts w:ascii="Times New Roman" w:hAnsi="Times New Roman" w:cs="Times New Roman"/>
          <w:b/>
          <w:sz w:val="32"/>
        </w:rPr>
        <w:tab/>
        <w:t>JULY, 2025</w:t>
      </w:r>
    </w:p>
    <w:p w:rsidR="001D017A" w:rsidRDefault="001D017A" w:rsidP="001D017A">
      <w:pPr>
        <w:jc w:val="center"/>
        <w:rPr>
          <w:rFonts w:ascii="Times New Roman" w:hAnsi="Times New Roman" w:cs="Times New Roman"/>
          <w:sz w:val="32"/>
        </w:rPr>
      </w:pPr>
    </w:p>
    <w:p w:rsidR="001D017A" w:rsidRDefault="001D017A">
      <w:pPr>
        <w:rPr>
          <w:rFonts w:ascii="Times New Roman" w:hAnsi="Times New Roman" w:cs="Times New Roman"/>
          <w:sz w:val="32"/>
        </w:rPr>
      </w:pPr>
      <w:r>
        <w:rPr>
          <w:rFonts w:ascii="Times New Roman" w:hAnsi="Times New Roman" w:cs="Times New Roman"/>
          <w:sz w:val="32"/>
        </w:rPr>
        <w:br w:type="page"/>
      </w:r>
    </w:p>
    <w:p w:rsidR="001D017A" w:rsidRPr="001D017A" w:rsidRDefault="001D017A" w:rsidP="001D017A">
      <w:pPr>
        <w:jc w:val="center"/>
        <w:rPr>
          <w:rFonts w:ascii="Times New Roman" w:hAnsi="Times New Roman" w:cs="Times New Roman"/>
          <w:b/>
          <w:sz w:val="28"/>
          <w:szCs w:val="28"/>
        </w:rPr>
      </w:pPr>
      <w:r w:rsidRPr="001D017A">
        <w:rPr>
          <w:rFonts w:ascii="Times New Roman" w:hAnsi="Times New Roman" w:cs="Times New Roman"/>
          <w:b/>
          <w:sz w:val="28"/>
          <w:szCs w:val="28"/>
        </w:rPr>
        <w:lastRenderedPageBreak/>
        <w:t>CERTIFICATION</w:t>
      </w:r>
    </w:p>
    <w:p w:rsidR="001D017A" w:rsidRPr="001D017A" w:rsidRDefault="001D017A" w:rsidP="001D017A">
      <w:pPr>
        <w:rPr>
          <w:rFonts w:ascii="Times New Roman" w:hAnsi="Times New Roman" w:cs="Times New Roman"/>
          <w:sz w:val="28"/>
          <w:szCs w:val="28"/>
        </w:rPr>
      </w:pPr>
      <w:r>
        <w:rPr>
          <w:rFonts w:ascii="Times New Roman" w:hAnsi="Times New Roman" w:cs="Times New Roman"/>
          <w:sz w:val="28"/>
          <w:szCs w:val="28"/>
        </w:rPr>
        <w:tab/>
      </w:r>
      <w:r w:rsidRPr="001D017A">
        <w:rPr>
          <w:rFonts w:ascii="Times New Roman" w:hAnsi="Times New Roman" w:cs="Times New Roman"/>
          <w:sz w:val="28"/>
          <w:szCs w:val="28"/>
        </w:rPr>
        <w:t>This is to certify that this project was carried out by MUHAMMED HALIMAT ARIKE W matriculation number HND/22/ETM/FT/075. The project has been read and approved as meeting part of the requirements for the award of Higher National Diploma (HNDKP) in Estate Management And Valuation, Intitute of Environmental Studies, Kwara State Polytechnic florin.</w:t>
      </w:r>
    </w:p>
    <w:p w:rsidR="001D017A" w:rsidRPr="001D017A" w:rsidRDefault="00F8675F" w:rsidP="001D017A">
      <w:pPr>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-67215</wp:posOffset>
            </wp:positionH>
            <wp:positionV relativeFrom="paragraph">
              <wp:posOffset>60313</wp:posOffset>
            </wp:positionV>
            <wp:extent cx="5950430" cy="690113"/>
            <wp:effectExtent l="19050" t="0" r="0" b="0"/>
            <wp:wrapNone/>
            <wp:docPr id="1" name="Picture 1" descr="C:\Users\HP\Documents\Scanned Documents\Image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canned Documents\Image (60).jpg"/>
                    <pic:cNvPicPr>
                      <a:picLocks noChangeAspect="1" noChangeArrowheads="1"/>
                    </pic:cNvPicPr>
                  </pic:nvPicPr>
                  <pic:blipFill>
                    <a:blip r:embed="rId4">
                      <a:lum contrast="30000"/>
                    </a:blip>
                    <a:srcRect b="85130"/>
                    <a:stretch>
                      <a:fillRect/>
                    </a:stretch>
                  </pic:blipFill>
                  <pic:spPr bwMode="auto">
                    <a:xfrm>
                      <a:off x="0" y="0"/>
                      <a:ext cx="5950430" cy="690113"/>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1D017A"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ABDULKAREEM R</w:t>
      </w:r>
      <w:r w:rsidR="00AA7762">
        <w:rPr>
          <w:rFonts w:ascii="Times New Roman" w:hAnsi="Times New Roman" w:cs="Times New Roman"/>
          <w:sz w:val="28"/>
          <w:szCs w:val="28"/>
        </w:rPr>
        <w:t>.</w:t>
      </w:r>
      <w:r w:rsidRPr="001D017A">
        <w:rPr>
          <w:rFonts w:ascii="Times New Roman" w:hAnsi="Times New Roman" w:cs="Times New Roman"/>
          <w:sz w:val="28"/>
          <w:szCs w:val="28"/>
        </w:rPr>
        <w:t>A</w:t>
      </w:r>
      <w:r w:rsidR="00AA7762">
        <w:rPr>
          <w:rFonts w:ascii="Times New Roman" w:hAnsi="Times New Roman" w:cs="Times New Roman"/>
          <w:sz w:val="28"/>
          <w:szCs w:val="28"/>
        </w:rPr>
        <w:t xml:space="preserve"> </w:t>
      </w:r>
      <w:r w:rsidR="00AA7762" w:rsidRPr="001D017A">
        <w:rPr>
          <w:rFonts w:ascii="Times New Roman" w:hAnsi="Times New Roman" w:cs="Times New Roman"/>
          <w:sz w:val="28"/>
          <w:szCs w:val="28"/>
        </w:rPr>
        <w:t>(FNIVS, RSV)</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(PROJECT SUPERVISOR)</w:t>
      </w:r>
    </w:p>
    <w:p w:rsidR="001D017A" w:rsidRP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-550293</wp:posOffset>
            </wp:positionH>
            <wp:positionV relativeFrom="paragraph">
              <wp:posOffset>73492</wp:posOffset>
            </wp:positionV>
            <wp:extent cx="6416255" cy="793630"/>
            <wp:effectExtent l="19050" t="0" r="3595" b="0"/>
            <wp:wrapNone/>
            <wp:docPr id="3" name="Picture 2" descr="C:\Users\HP\Downloads\WhatsApp Image 2025-08-07 at 1.19.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WhatsApp Image 2025-08-07 at 1.19.48 PM.jpeg"/>
                    <pic:cNvPicPr>
                      <a:picLocks noChangeAspect="1" noChangeArrowheads="1"/>
                    </pic:cNvPicPr>
                  </pic:nvPicPr>
                  <pic:blipFill>
                    <a:blip r:embed="rId5"/>
                    <a:srcRect t="16505" b="38766"/>
                    <a:stretch>
                      <a:fillRect/>
                    </a:stretch>
                  </pic:blipFill>
                  <pic:spPr bwMode="auto">
                    <a:xfrm>
                      <a:off x="0" y="0"/>
                      <a:ext cx="6416255" cy="793630"/>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ESV.DR.(MRS) UWAEZUOKE NGOZI IFEANYI</w:t>
      </w:r>
      <w:r w:rsidR="00AA7762">
        <w:rPr>
          <w:rFonts w:ascii="Times New Roman" w:hAnsi="Times New Roman" w:cs="Times New Roman"/>
          <w:sz w:val="28"/>
          <w:szCs w:val="28"/>
        </w:rPr>
        <w:t xml:space="preserve"> </w:t>
      </w:r>
      <w:r w:rsidR="00AA7762" w:rsidRPr="001D017A">
        <w:rPr>
          <w:rFonts w:ascii="Times New Roman" w:hAnsi="Times New Roman" w:cs="Times New Roman"/>
          <w:sz w:val="28"/>
          <w:szCs w:val="28"/>
        </w:rPr>
        <w:t>(ANIVS.RSV)</w:t>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(PROJECT COORDINATOR)</w:t>
      </w:r>
    </w:p>
    <w:p w:rsid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243337</wp:posOffset>
            </wp:positionH>
            <wp:positionV relativeFrom="paragraph">
              <wp:posOffset>111257</wp:posOffset>
            </wp:positionV>
            <wp:extent cx="5950429" cy="500332"/>
            <wp:effectExtent l="19050" t="0" r="0" b="0"/>
            <wp:wrapNone/>
            <wp:docPr id="2" name="Picture 1" descr="C:\Users\HP\Documents\Scanned Documents\Image (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Scanned Documents\Image (60).jpg"/>
                    <pic:cNvPicPr>
                      <a:picLocks noChangeAspect="1" noChangeArrowheads="1"/>
                    </pic:cNvPicPr>
                  </pic:nvPicPr>
                  <pic:blipFill>
                    <a:blip r:embed="rId4">
                      <a:lum contrast="30000"/>
                    </a:blip>
                    <a:srcRect t="68401" b="20818"/>
                    <a:stretch>
                      <a:fillRect/>
                    </a:stretch>
                  </pic:blipFill>
                  <pic:spPr bwMode="auto">
                    <a:xfrm>
                      <a:off x="0" y="0"/>
                      <a:ext cx="5950429" cy="500332"/>
                    </a:xfrm>
                    <a:prstGeom prst="rect">
                      <a:avLst/>
                    </a:prstGeom>
                    <a:noFill/>
                    <a:ln w="9525">
                      <a:noFill/>
                      <a:miter lim="800000"/>
                      <a:headEnd/>
                      <a:tailEnd/>
                    </a:ln>
                  </pic:spPr>
                </pic:pic>
              </a:graphicData>
            </a:graphic>
          </wp:anchor>
        </w:drawing>
      </w: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ABDULKAREEM RASHIDAT</w:t>
      </w:r>
      <w:r w:rsidR="00AA7762">
        <w:rPr>
          <w:rFonts w:ascii="Times New Roman" w:hAnsi="Times New Roman" w:cs="Times New Roman"/>
          <w:sz w:val="28"/>
          <w:szCs w:val="28"/>
        </w:rPr>
        <w:tab/>
      </w:r>
      <w:r w:rsidR="00AA7762" w:rsidRPr="001D017A">
        <w:rPr>
          <w:rFonts w:ascii="Times New Roman" w:hAnsi="Times New Roman" w:cs="Times New Roman"/>
          <w:sz w:val="28"/>
          <w:szCs w:val="28"/>
        </w:rPr>
        <w:t>(ANIVS, RSV)</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Pr="001D017A">
        <w:rPr>
          <w:rFonts w:ascii="Times New Roman" w:hAnsi="Times New Roman" w:cs="Times New Roman"/>
          <w:sz w:val="28"/>
          <w:szCs w:val="28"/>
        </w:rPr>
        <w:t>DATE</w:t>
      </w:r>
    </w:p>
    <w:p w:rsidR="001D017A" w:rsidRPr="001D017A" w:rsidRDefault="00F8675F" w:rsidP="00F8675F">
      <w:pPr>
        <w:spacing w:after="0" w:line="24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-257175</wp:posOffset>
            </wp:positionH>
            <wp:positionV relativeFrom="paragraph">
              <wp:posOffset>156210</wp:posOffset>
            </wp:positionV>
            <wp:extent cx="6786880" cy="845185"/>
            <wp:effectExtent l="19050" t="0" r="0" b="0"/>
            <wp:wrapNone/>
            <wp:docPr id="4" name="Picture 3" descr="C:\Users\HP\Downloads\WhatsApp Image 2025-08-07 at 1.19.48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WhatsApp Image 2025-08-07 at 1.19.48 PM (1).jpeg"/>
                    <pic:cNvPicPr>
                      <a:picLocks noChangeAspect="1" noChangeArrowheads="1"/>
                    </pic:cNvPicPr>
                  </pic:nvPicPr>
                  <pic:blipFill>
                    <a:blip r:embed="rId6"/>
                    <a:srcRect b="57326"/>
                    <a:stretch>
                      <a:fillRect/>
                    </a:stretch>
                  </pic:blipFill>
                  <pic:spPr bwMode="auto">
                    <a:xfrm>
                      <a:off x="0" y="0"/>
                      <a:ext cx="6786880" cy="845185"/>
                    </a:xfrm>
                    <a:prstGeom prst="rect">
                      <a:avLst/>
                    </a:prstGeom>
                    <a:noFill/>
                    <a:ln w="9525">
                      <a:noFill/>
                      <a:miter lim="800000"/>
                      <a:headEnd/>
                      <a:tailEnd/>
                    </a:ln>
                  </pic:spPr>
                </pic:pic>
              </a:graphicData>
            </a:graphic>
          </wp:anchor>
        </w:drawing>
      </w:r>
      <w:r w:rsidR="001D017A" w:rsidRPr="001D017A">
        <w:rPr>
          <w:rFonts w:ascii="Times New Roman" w:hAnsi="Times New Roman" w:cs="Times New Roman"/>
          <w:sz w:val="28"/>
          <w:szCs w:val="28"/>
        </w:rPr>
        <w:t>(HEAD OF DEPARTMENT)</w:t>
      </w:r>
    </w:p>
    <w:p w:rsidR="001D017A" w:rsidRDefault="001D017A"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F8675F" w:rsidRDefault="00F8675F" w:rsidP="00F8675F">
      <w:pPr>
        <w:spacing w:after="0" w:line="240" w:lineRule="auto"/>
        <w:rPr>
          <w:rFonts w:ascii="Times New Roman" w:hAnsi="Times New Roman" w:cs="Times New Roman"/>
          <w:sz w:val="28"/>
          <w:szCs w:val="28"/>
        </w:rPr>
      </w:pPr>
    </w:p>
    <w:p w:rsidR="00AA7762" w:rsidRDefault="00AA7762" w:rsidP="00F8675F">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ESV. LUKMAN MUSIBAU,ANIVS,RSV</w:t>
      </w:r>
      <w:r w:rsidR="00AA7762" w:rsidRPr="00AA7762">
        <w:rPr>
          <w:rFonts w:ascii="Times New Roman" w:hAnsi="Times New Roman" w:cs="Times New Roman"/>
          <w:sz w:val="28"/>
          <w:szCs w:val="28"/>
        </w:rPr>
        <w:t xml:space="preserve"> </w:t>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Pr>
          <w:rFonts w:ascii="Times New Roman" w:hAnsi="Times New Roman" w:cs="Times New Roman"/>
          <w:sz w:val="28"/>
          <w:szCs w:val="28"/>
        </w:rPr>
        <w:tab/>
      </w:r>
      <w:r w:rsidR="00AA7762" w:rsidRPr="001D017A">
        <w:rPr>
          <w:rFonts w:ascii="Times New Roman" w:hAnsi="Times New Roman" w:cs="Times New Roman"/>
          <w:sz w:val="28"/>
          <w:szCs w:val="28"/>
        </w:rPr>
        <w:t>DATE</w:t>
      </w:r>
    </w:p>
    <w:p w:rsidR="001D017A" w:rsidRPr="001D017A" w:rsidRDefault="001D017A" w:rsidP="00F8675F">
      <w:pPr>
        <w:spacing w:after="0" w:line="240" w:lineRule="auto"/>
        <w:rPr>
          <w:rFonts w:ascii="Times New Roman" w:hAnsi="Times New Roman" w:cs="Times New Roman"/>
          <w:sz w:val="28"/>
          <w:szCs w:val="28"/>
        </w:rPr>
      </w:pPr>
      <w:r w:rsidRPr="001D017A">
        <w:rPr>
          <w:rFonts w:ascii="Times New Roman" w:hAnsi="Times New Roman" w:cs="Times New Roman"/>
          <w:sz w:val="28"/>
          <w:szCs w:val="28"/>
        </w:rPr>
        <w:t>(EXTERNAL EXAMINER)</w:t>
      </w:r>
    </w:p>
    <w:p w:rsidR="001D017A" w:rsidRPr="001D017A" w:rsidRDefault="001D017A" w:rsidP="00F8675F">
      <w:pPr>
        <w:spacing w:after="0" w:line="240" w:lineRule="auto"/>
        <w:rPr>
          <w:rFonts w:ascii="Times New Roman" w:hAnsi="Times New Roman" w:cs="Times New Roman"/>
          <w:sz w:val="28"/>
          <w:szCs w:val="28"/>
        </w:rPr>
      </w:pPr>
    </w:p>
    <w:p w:rsidR="00AA7762" w:rsidRDefault="00AA7762" w:rsidP="00F8675F">
      <w:pPr>
        <w:spacing w:after="0"/>
        <w:rPr>
          <w:rFonts w:ascii="Times New Roman" w:hAnsi="Times New Roman" w:cs="Times New Roman"/>
          <w:sz w:val="28"/>
          <w:szCs w:val="28"/>
        </w:rPr>
      </w:pPr>
      <w:r>
        <w:rPr>
          <w:rFonts w:ascii="Times New Roman" w:hAnsi="Times New Roman" w:cs="Times New Roman"/>
          <w:sz w:val="28"/>
          <w:szCs w:val="28"/>
        </w:rPr>
        <w:br w:type="page"/>
      </w:r>
    </w:p>
    <w:p w:rsidR="00AA7762" w:rsidRPr="00AA7762" w:rsidRDefault="00AA7762" w:rsidP="00AA7762">
      <w:pPr>
        <w:jc w:val="center"/>
        <w:rPr>
          <w:rFonts w:ascii="Times New Roman" w:hAnsi="Times New Roman" w:cs="Times New Roman"/>
          <w:b/>
          <w:sz w:val="28"/>
          <w:szCs w:val="28"/>
        </w:rPr>
      </w:pPr>
      <w:r w:rsidRPr="00AA7762">
        <w:rPr>
          <w:rFonts w:ascii="Times New Roman" w:hAnsi="Times New Roman" w:cs="Times New Roman"/>
          <w:b/>
          <w:sz w:val="28"/>
          <w:szCs w:val="28"/>
        </w:rPr>
        <w:lastRenderedPageBreak/>
        <w:t>DEDICATION</w:t>
      </w:r>
    </w:p>
    <w:p w:rsidR="00AA7762" w:rsidRDefault="00AA7762" w:rsidP="00AA7762">
      <w:pPr>
        <w:rPr>
          <w:rFonts w:ascii="Times New Roman" w:hAnsi="Times New Roman" w:cs="Times New Roman"/>
          <w:sz w:val="28"/>
          <w:szCs w:val="28"/>
        </w:rPr>
      </w:pPr>
      <w:r>
        <w:rPr>
          <w:rFonts w:ascii="Times New Roman" w:hAnsi="Times New Roman" w:cs="Times New Roman"/>
          <w:sz w:val="28"/>
          <w:szCs w:val="28"/>
        </w:rPr>
        <w:tab/>
      </w:r>
      <w:r w:rsidRPr="00AA7762">
        <w:rPr>
          <w:rFonts w:ascii="Times New Roman" w:hAnsi="Times New Roman" w:cs="Times New Roman"/>
          <w:sz w:val="28"/>
          <w:szCs w:val="28"/>
        </w:rPr>
        <w:t>This project work is dedicated to the Almighty Allah, who granted me the wisdom, strength, and opportunity to pursue this endeavor. I also dedicate it to my beloved parents - to my late father, may his soul rest in peace, and to my mother, for their unwavering moral and financial support.</w:t>
      </w:r>
    </w:p>
    <w:p w:rsidR="00AA7762" w:rsidRDefault="00AA7762">
      <w:pPr>
        <w:rPr>
          <w:rFonts w:ascii="Times New Roman" w:hAnsi="Times New Roman" w:cs="Times New Roman"/>
          <w:sz w:val="28"/>
          <w:szCs w:val="28"/>
        </w:rPr>
      </w:pPr>
      <w:r>
        <w:rPr>
          <w:rFonts w:ascii="Times New Roman" w:hAnsi="Times New Roman" w:cs="Times New Roman"/>
          <w:sz w:val="28"/>
          <w:szCs w:val="28"/>
        </w:rPr>
        <w:br w:type="page"/>
      </w:r>
    </w:p>
    <w:p w:rsidR="00AA7762" w:rsidRPr="00AA7762" w:rsidRDefault="00AA7762" w:rsidP="00AA7762">
      <w:pPr>
        <w:jc w:val="center"/>
        <w:rPr>
          <w:rFonts w:ascii="Times New Roman" w:hAnsi="Times New Roman" w:cs="Times New Roman"/>
          <w:b/>
          <w:sz w:val="28"/>
          <w:szCs w:val="28"/>
        </w:rPr>
      </w:pPr>
      <w:r w:rsidRPr="00AA7762">
        <w:rPr>
          <w:rFonts w:ascii="Times New Roman" w:hAnsi="Times New Roman" w:cs="Times New Roman"/>
          <w:b/>
          <w:sz w:val="28"/>
          <w:szCs w:val="28"/>
        </w:rPr>
        <w:lastRenderedPageBreak/>
        <w:t>ACKNOWLEDGEMENTS</w:t>
      </w:r>
    </w:p>
    <w:p w:rsidR="00AA7762" w:rsidRPr="00975F09" w:rsidRDefault="00AA7762" w:rsidP="00AA7762">
      <w:pPr>
        <w:rPr>
          <w:rFonts w:ascii="Times New Roman" w:hAnsi="Times New Roman" w:cs="Times New Roman"/>
          <w:sz w:val="24"/>
          <w:szCs w:val="24"/>
        </w:rPr>
      </w:pPr>
      <w:r>
        <w:rPr>
          <w:rFonts w:ascii="Times New Roman" w:hAnsi="Times New Roman" w:cs="Times New Roman"/>
          <w:sz w:val="28"/>
          <w:szCs w:val="28"/>
        </w:rPr>
        <w:tab/>
      </w:r>
      <w:r w:rsidRPr="00AA7762">
        <w:rPr>
          <w:rFonts w:ascii="Times New Roman" w:hAnsi="Times New Roman" w:cs="Times New Roman"/>
          <w:sz w:val="28"/>
          <w:szCs w:val="28"/>
        </w:rPr>
        <w:t xml:space="preserve">A journey of a </w:t>
      </w:r>
      <w:r w:rsidRPr="00975F09">
        <w:rPr>
          <w:rFonts w:ascii="Times New Roman" w:hAnsi="Times New Roman" w:cs="Times New Roman"/>
          <w:sz w:val="24"/>
          <w:szCs w:val="24"/>
        </w:rPr>
        <w:t>thousand miles begins with a single step, and whatever has a beginning must surely have an end. I sincerely appreciate and give all praise, bonor, adoration, and glorification to Almighty Allah for His strength, sustenance, grace, and above all, His faithfulness and love from the beginning of my academic life to this day. May Your name be praised forever.</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My profound gratitude goes to my project supervisor, ESV. Abdulkareem R.A, for his patience, adequate support, cooperation, and encouragement during this research work. God will bless everything that concerns you. To the HOD, ESV. Abdulkareem Rashidat, MNIVS, RSV and to the entire lecturers of the great department, may God Almighty bless you all abundantly. Amen.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My sincere appreciation goes to my beloved parents my father, in person of Mr Tajudeen muhammed, and my beautiful, amazing mom, Miss sikirat muhammed, for thier financial and moral support and prayers from the beginning of my education career to the present level attained. Thank you, Mom, for all that you do, for all that you sacrifice for me to be here, May Almighty God reward you abundantly and grant you all your heart's desires. Amen.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Special thanks to my fiancé, Moshood Olawale, whose love and strength have been a pillar for me throughout this journey. To my beloved siblings Aishtat Muhammed, Kaosarat Muhammed, and Islamiyat Muhammed your support and prayers have meant so much. And to my precious son, Abdulateef Enitan, you are my light and motivation.</w:t>
      </w:r>
    </w:p>
    <w:p w:rsidR="00AA7762"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Special thanks to my special person, my sister kaosarat ejide muhammad, my all-in-one my heart in human form. Thank you for being there for me every time I needed you, for being there with me step by step. Thank you for everything. May God bless and reward you abundantly.</w:t>
      </w:r>
    </w:p>
    <w:p w:rsidR="001D017A" w:rsidRPr="00975F09" w:rsidRDefault="00AA7762" w:rsidP="00AA7762">
      <w:pPr>
        <w:rPr>
          <w:rFonts w:ascii="Times New Roman" w:hAnsi="Times New Roman" w:cs="Times New Roman"/>
          <w:sz w:val="24"/>
          <w:szCs w:val="24"/>
        </w:rPr>
      </w:pPr>
      <w:r w:rsidRPr="00975F09">
        <w:rPr>
          <w:rFonts w:ascii="Times New Roman" w:hAnsi="Times New Roman" w:cs="Times New Roman"/>
          <w:sz w:val="24"/>
          <w:szCs w:val="24"/>
        </w:rPr>
        <w:tab/>
        <w:t>I give all glory and honor to Almighty Allah, and I pray that He blesses everyone who has been a part of this journey. Thank you, Lord. God bless you all.</w:t>
      </w:r>
    </w:p>
    <w:p w:rsidR="00AA7762" w:rsidRPr="00975F09" w:rsidRDefault="00AA7762">
      <w:pPr>
        <w:rPr>
          <w:rFonts w:ascii="Times New Roman" w:hAnsi="Times New Roman" w:cs="Times New Roman"/>
          <w:sz w:val="24"/>
          <w:szCs w:val="24"/>
        </w:rPr>
      </w:pPr>
      <w:r w:rsidRPr="00975F09">
        <w:rPr>
          <w:rFonts w:ascii="Times New Roman" w:hAnsi="Times New Roman" w:cs="Times New Roman"/>
          <w:sz w:val="24"/>
          <w:szCs w:val="24"/>
        </w:rPr>
        <w:br w:type="page"/>
      </w:r>
    </w:p>
    <w:p w:rsidR="00AA7762" w:rsidRPr="00364507" w:rsidRDefault="00AA7762" w:rsidP="00975F09">
      <w:pPr>
        <w:spacing w:after="0" w:line="480" w:lineRule="auto"/>
        <w:jc w:val="center"/>
        <w:rPr>
          <w:rFonts w:ascii="Times New Roman" w:hAnsi="Times New Roman" w:cs="Times New Roman"/>
          <w:b/>
          <w:sz w:val="28"/>
          <w:szCs w:val="28"/>
        </w:rPr>
      </w:pPr>
      <w:r w:rsidRPr="00364507">
        <w:rPr>
          <w:rFonts w:ascii="Times New Roman" w:hAnsi="Times New Roman" w:cs="Times New Roman"/>
          <w:b/>
          <w:sz w:val="28"/>
          <w:szCs w:val="28"/>
        </w:rPr>
        <w:lastRenderedPageBreak/>
        <w:t>TABLE OF CONTENT</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Title page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Certification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Dedication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Acknowledgement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iv</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Table of Contents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v</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Tables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vii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Figures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ix</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List of Chart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x</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Abstract</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xi</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CHAPTER ONE</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1.1 Background to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1</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2 Statement of the Problems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1.3 Research Question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4 Aim and Objectives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1.5 Justification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1.6 Scope of the Study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1.7</w:t>
      </w:r>
      <w:r w:rsidR="00A502C3">
        <w:rPr>
          <w:rFonts w:ascii="Times New Roman" w:hAnsi="Times New Roman" w:cs="Times New Roman"/>
          <w:sz w:val="28"/>
          <w:szCs w:val="28"/>
        </w:rPr>
        <w:t xml:space="preserve"> </w:t>
      </w:r>
      <w:r w:rsidRPr="00AA7762">
        <w:rPr>
          <w:rFonts w:ascii="Times New Roman" w:hAnsi="Times New Roman" w:cs="Times New Roman"/>
          <w:sz w:val="28"/>
          <w:szCs w:val="28"/>
        </w:rPr>
        <w:t>Study Area</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7</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1</w:t>
      </w:r>
      <w:r w:rsidR="00364507">
        <w:rPr>
          <w:rFonts w:ascii="Times New Roman" w:hAnsi="Times New Roman" w:cs="Times New Roman"/>
          <w:sz w:val="28"/>
          <w:szCs w:val="28"/>
        </w:rPr>
        <w:t>.</w:t>
      </w:r>
      <w:r w:rsidRPr="00AA7762">
        <w:rPr>
          <w:rFonts w:ascii="Times New Roman" w:hAnsi="Times New Roman" w:cs="Times New Roman"/>
          <w:sz w:val="28"/>
          <w:szCs w:val="28"/>
        </w:rPr>
        <w:t>8 Definition of Terms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8</w:t>
      </w:r>
    </w:p>
    <w:p w:rsidR="00975F09" w:rsidRDefault="00975F09">
      <w:pPr>
        <w:rPr>
          <w:rFonts w:ascii="Times New Roman" w:hAnsi="Times New Roman" w:cs="Times New Roman"/>
          <w:b/>
          <w:sz w:val="28"/>
          <w:szCs w:val="28"/>
        </w:rPr>
      </w:pPr>
      <w:r>
        <w:rPr>
          <w:rFonts w:ascii="Times New Roman" w:hAnsi="Times New Roman" w:cs="Times New Roman"/>
          <w:b/>
          <w:sz w:val="28"/>
          <w:szCs w:val="28"/>
        </w:rPr>
        <w:br w:type="page"/>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lastRenderedPageBreak/>
        <w:t>CHAPTER TWO</w:t>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r w:rsidR="00364507">
        <w:rPr>
          <w:rFonts w:ascii="Times New Roman" w:hAnsi="Times New Roman" w:cs="Times New Roman"/>
          <w:b/>
          <w:sz w:val="28"/>
          <w:szCs w:val="28"/>
        </w:rPr>
        <w:tab/>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2.1 Land Use Act of 1978</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9</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23 Theoretical Framework</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15</w:t>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t>CHAPTER THREE</w:t>
      </w:r>
    </w:p>
    <w:p w:rsidR="00AA7762" w:rsidRPr="00AA7762" w:rsidRDefault="00364507"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1</w:t>
      </w:r>
      <w:r w:rsidR="00AA7762" w:rsidRPr="00AA7762">
        <w:rPr>
          <w:rFonts w:ascii="Times New Roman" w:hAnsi="Times New Roman" w:cs="Times New Roman"/>
          <w:sz w:val="28"/>
          <w:szCs w:val="28"/>
        </w:rPr>
        <w:t>3.1 Preamble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3.1 Research Design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3.2 Method of Data Collection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22</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3.3 Instrumentation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23</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34 Target Population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23</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3.5 Sampling Frame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3.6 Sample Size</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3.7 Method of Data Collection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24</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3.8 Method of Data Analysis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25</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3.9 Summary of Methodology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25</w:t>
      </w:r>
    </w:p>
    <w:p w:rsidR="00AA7762" w:rsidRPr="00364507" w:rsidRDefault="00AA7762" w:rsidP="00975F09">
      <w:pPr>
        <w:spacing w:after="0" w:line="480" w:lineRule="auto"/>
        <w:rPr>
          <w:rFonts w:ascii="Times New Roman" w:hAnsi="Times New Roman" w:cs="Times New Roman"/>
          <w:b/>
          <w:sz w:val="28"/>
          <w:szCs w:val="28"/>
        </w:rPr>
      </w:pPr>
      <w:r w:rsidRPr="00364507">
        <w:rPr>
          <w:rFonts w:ascii="Times New Roman" w:hAnsi="Times New Roman" w:cs="Times New Roman"/>
          <w:b/>
          <w:sz w:val="28"/>
          <w:szCs w:val="28"/>
        </w:rPr>
        <w:t>CHAPTER FOUR</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4.0 Introduction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26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4.1 Data presentation, Analysis and interpretation of results</w:t>
      </w:r>
      <w:r w:rsidR="00364507">
        <w:rPr>
          <w:rFonts w:ascii="Times New Roman" w:hAnsi="Times New Roman" w:cs="Times New Roman"/>
          <w:sz w:val="28"/>
          <w:szCs w:val="28"/>
        </w:rPr>
        <w:tab/>
      </w:r>
      <w:r w:rsidR="00364507">
        <w:rPr>
          <w:rFonts w:ascii="Times New Roman" w:hAnsi="Times New Roman" w:cs="Times New Roman"/>
          <w:sz w:val="28"/>
          <w:szCs w:val="28"/>
        </w:rPr>
        <w:tab/>
        <w:t>26</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4.3 Discussion of findings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32</w:t>
      </w:r>
    </w:p>
    <w:p w:rsidR="00AA7762" w:rsidRPr="00AA7762" w:rsidRDefault="00AA7762" w:rsidP="00975F09">
      <w:pPr>
        <w:spacing w:after="0" w:line="480" w:lineRule="auto"/>
        <w:rPr>
          <w:rFonts w:ascii="Times New Roman" w:hAnsi="Times New Roman" w:cs="Times New Roman"/>
          <w:b/>
          <w:sz w:val="28"/>
          <w:szCs w:val="28"/>
        </w:rPr>
      </w:pPr>
      <w:r w:rsidRPr="00AA7762">
        <w:rPr>
          <w:rFonts w:ascii="Times New Roman" w:hAnsi="Times New Roman" w:cs="Times New Roman"/>
          <w:b/>
          <w:sz w:val="28"/>
          <w:szCs w:val="28"/>
        </w:rPr>
        <w:t>CHAPTER FIVE</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SUMMARY OF FINDINGS, CONCLUSION, AND RECOMMENDATIONS</w:t>
      </w:r>
    </w:p>
    <w:p w:rsidR="00AA7762" w:rsidRP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lastRenderedPageBreak/>
        <w:t xml:space="preserve">5.1 </w:t>
      </w:r>
      <w:r>
        <w:rPr>
          <w:rFonts w:ascii="Times New Roman" w:hAnsi="Times New Roman" w:cs="Times New Roman"/>
          <w:sz w:val="28"/>
          <w:szCs w:val="28"/>
        </w:rPr>
        <w:tab/>
      </w:r>
      <w:r w:rsidRPr="00AA7762">
        <w:rPr>
          <w:rFonts w:ascii="Times New Roman" w:hAnsi="Times New Roman" w:cs="Times New Roman"/>
          <w:sz w:val="28"/>
          <w:szCs w:val="28"/>
        </w:rPr>
        <w:t>Summary</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36</w:t>
      </w:r>
    </w:p>
    <w:p w:rsidR="00AA7762" w:rsidRDefault="00AA7762" w:rsidP="00975F09">
      <w:pPr>
        <w:spacing w:after="0" w:line="480" w:lineRule="auto"/>
        <w:rPr>
          <w:rFonts w:ascii="Times New Roman" w:hAnsi="Times New Roman" w:cs="Times New Roman"/>
          <w:sz w:val="28"/>
          <w:szCs w:val="28"/>
        </w:rPr>
      </w:pPr>
      <w:r w:rsidRPr="00AA7762">
        <w:rPr>
          <w:rFonts w:ascii="Times New Roman" w:hAnsi="Times New Roman" w:cs="Times New Roman"/>
          <w:sz w:val="28"/>
          <w:szCs w:val="28"/>
        </w:rPr>
        <w:t xml:space="preserve">5.2 </w:t>
      </w:r>
      <w:r>
        <w:rPr>
          <w:rFonts w:ascii="Times New Roman" w:hAnsi="Times New Roman" w:cs="Times New Roman"/>
          <w:sz w:val="28"/>
          <w:szCs w:val="28"/>
        </w:rPr>
        <w:tab/>
      </w:r>
      <w:r w:rsidRPr="00AA7762">
        <w:rPr>
          <w:rFonts w:ascii="Times New Roman" w:hAnsi="Times New Roman" w:cs="Times New Roman"/>
          <w:sz w:val="28"/>
          <w:szCs w:val="28"/>
        </w:rPr>
        <w:t>Conclusion</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36</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Recommendations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37</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ab/>
        <w:t>References</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38</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tab/>
        <w:t>Appendix</w:t>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r>
      <w:r w:rsidR="00364507">
        <w:rPr>
          <w:rFonts w:ascii="Times New Roman" w:hAnsi="Times New Roman" w:cs="Times New Roman"/>
          <w:sz w:val="28"/>
          <w:szCs w:val="28"/>
        </w:rPr>
        <w:tab/>
        <w:t>40</w:t>
      </w:r>
    </w:p>
    <w:p w:rsidR="00AA7762" w:rsidRDefault="00AA7762" w:rsidP="00975F09">
      <w:pPr>
        <w:spacing w:after="0" w:line="480" w:lineRule="auto"/>
        <w:rPr>
          <w:rFonts w:ascii="Times New Roman" w:hAnsi="Times New Roman" w:cs="Times New Roman"/>
          <w:sz w:val="28"/>
          <w:szCs w:val="28"/>
        </w:rPr>
      </w:pPr>
      <w:r>
        <w:rPr>
          <w:rFonts w:ascii="Times New Roman" w:hAnsi="Times New Roman" w:cs="Times New Roman"/>
          <w:sz w:val="28"/>
          <w:szCs w:val="28"/>
        </w:rPr>
        <w:br w:type="page"/>
      </w:r>
    </w:p>
    <w:p w:rsidR="00AA7762" w:rsidRPr="00975F09" w:rsidRDefault="00AA7762" w:rsidP="00975F09">
      <w:pPr>
        <w:spacing w:after="0"/>
        <w:jc w:val="center"/>
        <w:rPr>
          <w:rFonts w:ascii="Times New Roman" w:hAnsi="Times New Roman" w:cs="Times New Roman"/>
          <w:b/>
          <w:sz w:val="24"/>
          <w:szCs w:val="24"/>
        </w:rPr>
      </w:pPr>
      <w:r w:rsidRPr="00975F09">
        <w:rPr>
          <w:rFonts w:ascii="Times New Roman" w:hAnsi="Times New Roman" w:cs="Times New Roman"/>
          <w:b/>
          <w:sz w:val="24"/>
          <w:szCs w:val="24"/>
        </w:rPr>
        <w:lastRenderedPageBreak/>
        <w:t>ABSTRACT</w:t>
      </w:r>
    </w:p>
    <w:p w:rsidR="00AA7762" w:rsidRDefault="00AA7762" w:rsidP="00AA7762">
      <w:pPr>
        <w:jc w:val="both"/>
        <w:rPr>
          <w:rFonts w:ascii="Times New Roman" w:hAnsi="Times New Roman" w:cs="Times New Roman"/>
          <w:i/>
          <w:sz w:val="24"/>
          <w:szCs w:val="24"/>
        </w:rPr>
      </w:pPr>
      <w:r w:rsidRPr="00975F09">
        <w:rPr>
          <w:rFonts w:ascii="Times New Roman" w:hAnsi="Times New Roman" w:cs="Times New Roman"/>
          <w:i/>
          <w:sz w:val="24"/>
          <w:szCs w:val="24"/>
        </w:rPr>
        <w:t>This study investigates the impact of the Nigerian Land Use Act on property development, with a specific focus on Ilorin metropolis as a case study. The Land Use Act, enacted in 1978, centralizes land ownership under government control to streamline land acquisition, ensure equitable access, and facilitate development. However, its implementation has raised concerns about its effectiveness in fastering property development, due to bureaucratic challenges, tenure insecurity, and restrictions on land ownership Chapter One introduces the background, objectives, and significance of the study, alongside the research questions and hypothesis. The primary goal is to assess how the Land Use Act influences property development in llorin and to identify barriers or enablers stemming from the Act's provisions. Chapter Two reviews relevant literature, examining both theoretical frameworks and empirical studies related to land laws, property rights, and development in Nigeria and comparable contexts. This chapter establishes a foundation for understanding the relationship between land policies and development dynamics In Chapter Three, the research methodology is outlined, detailing the research design, data collection techniques, and sampling methods used in the study. Both qualitative and quantitative data were gathered through surveys, interviews, and document analysis to capture a comprehensive perspective on the effects of the Land Use Act in Ilorin. Chapter Four presents the analysis and findings, highlighting key insights into how the Act affects property development, with particular attention to delays in obtaining land rights, cost implications, and the Act's influence on investor confidence in the property market. Finally, Chapter Five discusses the implications of the findings, offering recommendations for policymakers and stakeholders Suggestions include potential reforms to streamline administrative processes, improve land tenure security, and enhance transparency. The chapter concludes by summarizing the study's contributions to understanding the Act's role in Nigeria's property development landscape, with recommendations aimed at supporting more sustainable and efficient property development practices in Ilorin and other Nigerian cities.</w:t>
      </w:r>
    </w:p>
    <w:p w:rsidR="00C0187E" w:rsidRDefault="00C0187E">
      <w:pPr>
        <w:rPr>
          <w:rFonts w:ascii="Times New Roman" w:hAnsi="Times New Roman" w:cs="Times New Roman"/>
          <w:i/>
          <w:sz w:val="24"/>
          <w:szCs w:val="24"/>
        </w:rPr>
      </w:pPr>
      <w:r>
        <w:rPr>
          <w:rFonts w:ascii="Times New Roman" w:hAnsi="Times New Roman" w:cs="Times New Roman"/>
          <w:i/>
          <w:sz w:val="24"/>
          <w:szCs w:val="24"/>
        </w:rPr>
        <w:br w:type="page"/>
      </w:r>
    </w:p>
    <w:p w:rsidR="00C0187E" w:rsidRPr="00C0187E" w:rsidRDefault="00C0187E" w:rsidP="00C0187E">
      <w:pPr>
        <w:spacing w:after="0" w:line="360" w:lineRule="auto"/>
        <w:rPr>
          <w:rFonts w:ascii="Times New Roman" w:hAnsi="Times New Roman" w:cs="Times New Roman"/>
          <w:b/>
          <w:bCs/>
          <w:sz w:val="24"/>
          <w:szCs w:val="24"/>
        </w:rPr>
      </w:pPr>
      <w:r w:rsidRPr="00322C3C">
        <w:rPr>
          <w:b/>
          <w:bCs/>
          <w:sz w:val="24"/>
          <w:szCs w:val="24"/>
        </w:rPr>
        <w:lastRenderedPageBreak/>
        <w:t xml:space="preserve">                                                                   </w:t>
      </w:r>
      <w:r w:rsidRPr="00C0187E">
        <w:rPr>
          <w:rFonts w:ascii="Times New Roman" w:hAnsi="Times New Roman" w:cs="Times New Roman"/>
          <w:b/>
          <w:bCs/>
          <w:sz w:val="24"/>
          <w:szCs w:val="24"/>
        </w:rPr>
        <w:t>CHAPTER ONE</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INTRODUCTION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Environmental regulation in real estate development refers to the set of rules, laws, and standards that govern development projects to protect the natural environment and promote sustainable development (Federal ministry of environment, Nigeria (2020). These regulations aim to minimize adverse environmental impacts, such as pollution and habitat destruction, and include measures like environmental impact assessments, building codes and standards, zoning and land-use regulations, and pollution control and waste management. According to various studies, effective environmental regulations can promote sustainable development, improve public health, and increase property values (United Nations Environment Programme, 2019; World Green Building Council, 2018). However, these regulations can also increase costs and complexity for developers (National Association of Home Builders, 2020). Overall, environmental regulations play a critical role in ensuring environmentally responsible development practices (European Commission, 2022).</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Globally environmental regulation involves collective efforts to manage natural resources and promote sustainable development. The Paris Agreement (2015) is a landmark accord aiming to limit global warming. In the United States, the Securities and Exchange Commission (SEC) adopted final rules on climate-related disclosures in March 2024, requiring companies to provide climate change-related information in their filings. This move underscores the growing importance of transparency in environmental governance. China has also made significant strides in environmental regulation. The country has implemented stringent measures, including closing polluting factories and setting strict emissions standards, resulting in notable improvements in urban air quality. China aims to peak carbon dioxide emissions by 2030 and reduce carbon intensity by 60-65% compared to 2005 levels. In April 2024, China's major stock markets issued trial guidelines for sustainability reporting, mandating listed companies to disclose environmental information.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Global initiatives like the Environmental Performance Index (EPI) provide a broad measure of environmental health and ecosystem vitality. Market-based instruments, such as pollution taxes and tradable permit systems, encourage environmentally friendly behavior. The effectiveness of </w:t>
      </w:r>
      <w:r w:rsidRPr="00C0187E">
        <w:rPr>
          <w:rFonts w:ascii="Times New Roman" w:hAnsi="Times New Roman" w:cs="Times New Roman"/>
          <w:sz w:val="24"/>
          <w:szCs w:val="24"/>
        </w:rPr>
        <w:lastRenderedPageBreak/>
        <w:t>environmental regulations varies widely depending on design, enforcement, economic context, and public awareness. Strengthening governance institutions and enforcing regulations consistently are crucial for improving environmental outcomes globally.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Africa has made significant strides in environmental regulation, driven by the African Union's efforts to promote sustainable development and protect natural resources. Key initiatives include the African Union Climate Change and Resilient Development Strategy and Action Plan (2022-2032), E-Waste Management Plan and Guidelines (2023), and Green Recovery Action Plan (2021-2027). These initiatives provide a continental roadmap for addressing climate change, managing electronic waste, and promoting sustainable development. Some African countries have also made notable progress in environmental regulation. For example, ECOWAS Member States have developed an Environmental Action Plan (2020-2026) to promote sustainable development and environmental protection in the region. Regional agreements and conventions, such as the Bamako Convention and Abidjan Convention, play a crucial role in environmental regulation in Africa, prohibiting hazardous waste import and protecting marine and coastal environments. Overall, Africa's environmental regulatory landscape is evolving, with countries and regional organizations working together to address environmental challenges and promotes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Nigeria, environmental regulation significantly impacts real estate development, with the government implementing policies to mitigate the effects of environmental pollution. The effects of environmental pollution include environmental degradation from oil exploration and production activities, health concerns like respiratory illnesses, and economic impacts on property values and investment. According to the United Nations Environment Programme (2019), environmental degradation can have severe consequences on ecosystems and human health. To address these challenges, the Nigerian government has introduced environmental laws like the Environmental Impact Assessment decree (Federal Republic of Nigeria, 2017), committed to the UN's Sustainable Development Goals (United Nations, 2015), and promoted green building practices (Federal Ministry of Environment, 2020). However, challenges persist, including overlapping tax regimes, insufficient property data, and poor compliance with environmental regulations. Effective environmental regulation is crucial for promoting </w:t>
      </w:r>
      <w:r w:rsidRPr="00C0187E">
        <w:rPr>
          <w:rFonts w:ascii="Times New Roman" w:hAnsi="Times New Roman" w:cs="Times New Roman"/>
          <w:sz w:val="24"/>
          <w:szCs w:val="24"/>
        </w:rPr>
        <w:lastRenderedPageBreak/>
        <w:t>sustainable real estate development in Nigeria, requiring a balance between economic growth and environmental protection.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Environmental regulation significantly impacts real estate development in Ilorin, Nigeria, where the Kwara State Environmental Protection Agency enforces laws to prevent pollution and promote sustainability, as seen in the sealing off of a residential building for violating environmental laws due to a defective soak away system. This enforcement encourages sustainable development practices, such as incorporating green spaces, water conservation measures, and energy efficiency standards, including renewable energy sources and green building technologies, ultimately reducing environmental footprints and preventing pollution-related health issues (United Nations Environment Programme, 2019; Federal Ministry of Environment, 2020). Effective implementation of environmental regulations can balance economic growth and environmental protection, increasing property value and desirability (World Green Building Council, 2018). It is against this that this study tend to investigate the impact of environmental regulation on real estate development in Ilorin east local government with a view to identifying strategies for promoting sustainable development practices in the sector.</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1.2 STATEMENT OF PROBLEM</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world is facing unprecedented environmental challenges, including climate change, biodiversity loss, and pollution, which are exacerbated by unsustainable real estate development practices. The built environment is a significant contributor to greenhouse gas emissions, energy consumption, and resource depletion, posing a substantial threat to global sustainability goals (United Nations Environment Programme, 2019).</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In Africa, rapid urbanization and population growth are driving the demand for real estate development, often at the expense of environmental degradation and social inequality. The lack of effective environmental regulations and enforcement in many African countries has led to unsustainable development practices, threatening the continent's rich biodiversity and natural resources (African Development Bank, 2020).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Nigeria, the real estate sector contributes significantly to economic growth but also causes environmental degradation, particularly in the Niger Delta region where oil exploration and </w:t>
      </w:r>
      <w:r w:rsidRPr="00C0187E">
        <w:rPr>
          <w:rFonts w:ascii="Times New Roman" w:hAnsi="Times New Roman" w:cs="Times New Roman"/>
          <w:sz w:val="24"/>
          <w:szCs w:val="24"/>
        </w:rPr>
        <w:lastRenderedPageBreak/>
        <w:t>production activities have ravaged the environment. The lack of effective environmental regulation and enforcement has resulted in widespread environmental degradation, social inequality, and economic losses, highlighting the need for sustainable development practices in the sector (Federal Ministry of Environment, 2020).</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rapid growth of real estate development in Ilorin, Nigeria, has led to significant environmental concerns, including pollution, waste management issues, and loss of green spaces. The lack of effective enforcement of environmental regulations has resulted in unsustainable development practices, posing health risks to residents and threatening the city's ecosystem (United Nations Environment Programme, 2019). For instance, defective soak away systems and improper waste disposal are common issues that can lead to environmental degradation and health problems (Federal Ministry of Environment, 2020).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1.3 RESEARCH QUESTIONS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1. How effective are current enviro</w:t>
      </w:r>
      <w:r w:rsidRPr="00C0187E">
        <w:rPr>
          <w:rFonts w:ascii="Times New Roman" w:hAnsi="Times New Roman" w:cs="Times New Roman"/>
          <w:sz w:val="24"/>
          <w:szCs w:val="24"/>
        </w:rPr>
        <w:t>nmental regulations in</w:t>
      </w:r>
      <w:r w:rsidRPr="00C0187E">
        <w:rPr>
          <w:rFonts w:ascii="Times New Roman" w:eastAsia="Times New Roman" w:hAnsi="Times New Roman" w:cs="Times New Roman"/>
          <w:sz w:val="24"/>
          <w:szCs w:val="24"/>
        </w:rPr>
        <w:t xml:space="preserve"> real estate sector in promoting sustainable development practices?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2. What are the impacts of environmental degradation on real estate development in </w:t>
      </w:r>
      <w:r w:rsidRPr="00C0187E">
        <w:rPr>
          <w:rFonts w:ascii="Times New Roman" w:hAnsi="Times New Roman" w:cs="Times New Roman"/>
          <w:sz w:val="24"/>
          <w:szCs w:val="24"/>
        </w:rPr>
        <w:t>Ilorin</w:t>
      </w:r>
      <w:r w:rsidRPr="00C0187E">
        <w:rPr>
          <w:rFonts w:ascii="Times New Roman" w:eastAsia="Times New Roman" w:hAnsi="Times New Roman" w:cs="Times New Roman"/>
          <w:sz w:val="24"/>
          <w:szCs w:val="24"/>
        </w:rPr>
        <w: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3. How do environmental regulations influence the cost and feasibility of real estate</w:t>
      </w:r>
      <w:r w:rsidRPr="00C0187E">
        <w:rPr>
          <w:rFonts w:ascii="Times New Roman" w:hAnsi="Times New Roman" w:cs="Times New Roman"/>
          <w:sz w:val="24"/>
          <w:szCs w:val="24"/>
        </w:rPr>
        <w:t xml:space="preserve"> development projects in Ilorin</w:t>
      </w:r>
      <w:r w:rsidRPr="00C0187E">
        <w:rPr>
          <w:rFonts w:ascii="Times New Roman" w:eastAsia="Times New Roman" w:hAnsi="Times New Roman" w:cs="Times New Roman"/>
          <w:sz w:val="24"/>
          <w:szCs w:val="24"/>
        </w:rPr>
        <w: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4. What role do government agencies play in enforcing environ</w:t>
      </w:r>
      <w:r w:rsidRPr="00C0187E">
        <w:rPr>
          <w:rFonts w:ascii="Times New Roman" w:hAnsi="Times New Roman" w:cs="Times New Roman"/>
          <w:sz w:val="24"/>
          <w:szCs w:val="24"/>
        </w:rPr>
        <w:t xml:space="preserve">mental regulations in </w:t>
      </w:r>
      <w:r w:rsidRPr="00C0187E">
        <w:rPr>
          <w:rFonts w:ascii="Times New Roman" w:eastAsia="Times New Roman" w:hAnsi="Times New Roman" w:cs="Times New Roman"/>
          <w:sz w:val="24"/>
          <w:szCs w:val="24"/>
        </w:rPr>
        <w:t>real estate sector, and how can their effectiveness be improved?</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 AIM AND OBJECTIVES OF THE STUDY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1.4.1 AIM</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aim of this study is to investigate the impact of environmental regulation on real estate development in Ilorin east local government with a view to identifying strategies for promoting sustainable development practices in the sector.</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1.4.2 OBJECTIVES OF THE STUDY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objectives of this study are to: </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1. Examine the level of awareness of environmental regulations in real estate sector in Ilorin </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2. Assess the challenges and limitation of environmental regulation in the real estate sector in the study area.</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3. Investigate the impact of environmental regulation on real estate development in Ilorin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4. Explore the role of government agencies in enforcing environmental regulations in the real estate sector.</w:t>
      </w:r>
    </w:p>
    <w:p w:rsidR="00C0187E" w:rsidRPr="00C0187E" w:rsidRDefault="00C0187E" w:rsidP="00C0187E">
      <w:pPr>
        <w:spacing w:after="0" w:line="360" w:lineRule="auto"/>
        <w:rPr>
          <w:rFonts w:ascii="Times New Roman" w:hAnsi="Times New Roman" w:cs="Times New Roman"/>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1.5 SIGNIFICANCE OF THE STUDY</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on the impact of environmental regulation on real estate development in Ilorin, Nigeria, holds significant importance for various stakeholders. It can inform policymakers on the effectiveness of current regulations, promoting sustainable development, guiding developers in adopting eco-friendly practices, protecting public health, and contributing to academic knowledge. Ultimately, the study's findings and recommendations can positively impact the environment, public health, and the real estate sector in Ilorin, Nigeria, by reducing environmental degradation, health risks, and promoting sustainable growth (United Nations Environment Programme, 2019; World Green Building Council, 2018; Federal Ministry of Environment, 2020).</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hAnsi="Times New Roman" w:cs="Times New Roman"/>
          <w:b/>
          <w:bCs/>
          <w:sz w:val="24"/>
          <w:szCs w:val="24"/>
        </w:rPr>
        <w:t>1.6 SCOPE OF THE STUDY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hAnsi="Times New Roman" w:cs="Times New Roman"/>
          <w:sz w:val="24"/>
          <w:szCs w:val="24"/>
        </w:rPr>
        <w:t xml:space="preserve">This study focuses on examining the impact of environmental regulations on real estate development in Ilorin east local government, Nigeria, with a specific emphasis on assessing the effectiveness of current regulations, identifying challenges, and exploring opportunities for sustainable development practices in the region's real estate sector. </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1.7 LIMITATION OF THE STUDY</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This study has several limitations. Firstly, the study's focus on Ilorin</w:t>
      </w:r>
      <w:r w:rsidRPr="00C0187E">
        <w:rPr>
          <w:rFonts w:ascii="Times New Roman" w:hAnsi="Times New Roman" w:cs="Times New Roman"/>
          <w:sz w:val="24"/>
          <w:szCs w:val="24"/>
        </w:rPr>
        <w:t xml:space="preserve"> east local government, </w:t>
      </w:r>
      <w:r w:rsidRPr="00C0187E">
        <w:rPr>
          <w:rFonts w:ascii="Times New Roman" w:eastAsia="Times New Roman" w:hAnsi="Times New Roman" w:cs="Times New Roman"/>
          <w:sz w:val="24"/>
          <w:szCs w:val="24"/>
        </w:rPr>
        <w:t xml:space="preserve">may limit the generalizability of the findings to other regions or cities. Additionally, the study's scope may not capture the complexity of all environmental regulation issues in the real estate sector. The study may also be limited by the availability of data and the willingness of stakeholders to participate. Furthermore, the study's methodology may not allow for an in-depth analysis of all aspects of environmental regulation and real estate development. Despite these limitations, the </w:t>
      </w:r>
      <w:r w:rsidRPr="00C0187E">
        <w:rPr>
          <w:rFonts w:ascii="Times New Roman" w:eastAsia="Times New Roman" w:hAnsi="Times New Roman" w:cs="Times New Roman"/>
          <w:sz w:val="24"/>
          <w:szCs w:val="24"/>
        </w:rPr>
        <w:lastRenderedPageBreak/>
        <w:t>study aims to provide valuable insights and recommendations for policymakers, developers, and stakeholders in Ilorin's real estate sector.</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1.8 STUDY AREA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Ilorin East Local Government Area, headquartered in Oke Oyi, is a significant hub for economic, social, and cultural activities in Kwara State, Nigeria. Here's an overview of the area:</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Culture</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Ilorin East boasts a rich cultural heritage, with a diverse range of communities. The area celebrates various cultural events, and its people are known for their warm hospitality. The Sobi Hills and Okuta Iponrin are notable tourist attractions that showcase the area's cultural significance ¹.</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Media</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While specific details about media outlets in Ilorin East are limited, the area likely has access to local radio stations, newspapers, and social media platforms that disseminate information and news to the community.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Vegetation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Ilorin East's vegetation is characterized by a tropical savanna climate, with grasslands and scattered trees. The area's fertile land supports agricultural activities, with crops like maize, cereals, locust beans, and cassava being cultivated ¹ ².</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Climate</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climate in Ilorin East is tropical, with distinct wet and dry seasons. The area experiences high temperatures during the dry season and moderate temperatures during the wet season.</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Topography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sz w:val="24"/>
          <w:szCs w:val="24"/>
        </w:rPr>
        <w:t>Ilorin East's topography is relatively flat, with an elevation of approximately 383 meters above sea level. The area's terrain supports agriculture and settlement ².</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Religion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people of Ilorin East practice various religions, including Islam and Christianity. The area's cultural diversity is reflected in its religious tolerance and coexistence.</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Population as of 2025</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2006 census, Ilorin East had a population of 204,310. Assuming a growth rate, the population in 2025 would be around 350,000-400,000. However, according to a 2022 population projection, the area had approximately 311,500 residents. Using this as a reference point, the 2025 population would be around 320,000-330,000 ¹ ³.</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Transportation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Ilorin East has a network of roads that connect it to neighboring towns and cities, including Ilorin, the state capital. The area's transportation infrastructure supports economic activities, including agriculture and trade.</w:t>
      </w:r>
    </w:p>
    <w:p w:rsidR="00C0187E" w:rsidRPr="00C0187E" w:rsidRDefault="00C0187E" w:rsidP="00C0187E">
      <w:pPr>
        <w:spacing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1.9 DEFINITION OF TERMS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Environmental regulation:  </w:t>
      </w:r>
      <w:r w:rsidRPr="00C0187E">
        <w:rPr>
          <w:rFonts w:ascii="Times New Roman" w:hAnsi="Times New Roman" w:cs="Times New Roman"/>
          <w:sz w:val="24"/>
          <w:szCs w:val="24"/>
        </w:rPr>
        <w:t>Environmental regulation</w:t>
      </w:r>
      <w:r w:rsidRPr="00C0187E">
        <w:rPr>
          <w:rFonts w:ascii="Times New Roman" w:hAnsi="Times New Roman" w:cs="Times New Roman"/>
          <w:b/>
          <w:bCs/>
          <w:sz w:val="24"/>
          <w:szCs w:val="24"/>
        </w:rPr>
        <w:t xml:space="preserve"> in</w:t>
      </w:r>
      <w:r w:rsidRPr="00C0187E">
        <w:rPr>
          <w:rFonts w:ascii="Times New Roman" w:hAnsi="Times New Roman" w:cs="Times New Roman"/>
          <w:sz w:val="24"/>
          <w:szCs w:val="24"/>
        </w:rPr>
        <w:t xml:space="preserve"> real estate development refers to the set of rules, laws, and standards that govern development projects to protect the natural environment and promote sustainable development (Federal ministry of environment, Nigeria (2020).</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Pollution: </w:t>
      </w:r>
      <w:r w:rsidRPr="00C0187E">
        <w:rPr>
          <w:rFonts w:ascii="Times New Roman" w:hAnsi="Times New Roman" w:cs="Times New Roman"/>
          <w:sz w:val="24"/>
          <w:szCs w:val="24"/>
        </w:rPr>
        <w:t>Pollution refers to the introduction of harmful substances, contaminants or pollutants into the environment, which can cause adverse effects on human health, ecosystems and the overall quality of life.</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 xml:space="preserve">Global Warming: </w:t>
      </w:r>
      <w:r w:rsidRPr="00C0187E">
        <w:rPr>
          <w:rFonts w:ascii="Times New Roman" w:hAnsi="Times New Roman" w:cs="Times New Roman"/>
          <w:sz w:val="24"/>
          <w:szCs w:val="24"/>
        </w:rPr>
        <w:t xml:space="preserve">Global warming refers to the long-term rise in the average surface temperature of the earth due to the increasing levels of greenhouse gases in the atmosphere.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lastRenderedPageBreak/>
        <w:t xml:space="preserve">Environmental Governance: </w:t>
      </w:r>
      <w:r w:rsidRPr="00C0187E">
        <w:rPr>
          <w:rFonts w:ascii="Times New Roman" w:hAnsi="Times New Roman" w:cs="Times New Roman"/>
          <w:sz w:val="24"/>
          <w:szCs w:val="24"/>
        </w:rPr>
        <w:t>Environmental Governance refers to the system of rules, practices and institutions that shape the interactions between humans and the environment.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tabs>
          <w:tab w:val="left" w:pos="2400"/>
        </w:tabs>
        <w:spacing w:line="360" w:lineRule="auto"/>
        <w:rPr>
          <w:rFonts w:ascii="Times New Roman" w:hAnsi="Times New Roman" w:cs="Times New Roman"/>
          <w:sz w:val="24"/>
          <w:szCs w:val="24"/>
        </w:rPr>
      </w:pPr>
      <w:r w:rsidRPr="00C0187E">
        <w:rPr>
          <w:rFonts w:ascii="Times New Roman" w:hAnsi="Times New Roman" w:cs="Times New Roman"/>
          <w:sz w:val="24"/>
          <w:szCs w:val="24"/>
        </w:rPr>
        <w:tab/>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TWO</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LITERATURE REVIEW, CONCEPTUAL FRAMEWORK AND THEORETICAL FRAMEWORK</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LITERATURE REVIEW</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2.1 INTRODUCTION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real estate sector is a significant contributor to environmental degradation, and effective environmental regulation is crucial to mitigate its impact. Globally, environmental regulation in real estate development has gained significant attention in recent years. Studies have shown that sustainable building practices and environmental regulations can reduce the environmental footprint of the real estate sector. Scholars such as Lützkendorf and Lorenz (2017) have emphasized the importance of sustainable property investment, while Warren-Myers (2018) has explored the role of environmental regulation in promoting sustainable development in the real estate sector.</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Africa, environmental regulation in real estate development is a growing concern due to rapid urbanization and infrastructure development. Research has highlighted the need for effective implementation and enforcement of environmental regulations in the real estate sector. Mtegha et al. (2020) have examined the impact of environmental regulations on real estate development in South Africa, highlighting the need for balancing economic development with environmental protection. Additionally, Oduro et al. (2022) have explored the role of green building practices in promoting sustainable real estate development in Ghana.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Nigerian scholars have made significant contributions to the discussion on environmental regulation in real estate development. Studies have highlighted the importance of environmental factors in determining property values and the need for efficient attribute pricing. For instance, Obed-Ndukwu and colleagues (2020) conducted a scholarly review of literature on the environmental impact of location on residential properties value in Nigeria. Research has also </w:t>
      </w:r>
      <w:r w:rsidRPr="00C0187E">
        <w:rPr>
          <w:rFonts w:ascii="Times New Roman" w:hAnsi="Times New Roman" w:cs="Times New Roman"/>
          <w:sz w:val="24"/>
          <w:szCs w:val="24"/>
        </w:rPr>
        <w:lastRenderedPageBreak/>
        <w:t xml:space="preserve">explored the challenges and opportunities of environmental regulation in real estate development. Oloyede et al. (2019) found that effective implementation and compliance with environmental regulations are crucial in promoting sustainable development. Ebekozien et al. (2021) emphasized the potential of sustainable building practices in promoting environmentally friendly development.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Environmental pollution is another significant concern in real estate development. A study on the effect of environmental pollution on real estate development in Warri, Delta State, found that oil exploration, production, and refinement have resulted in environmental and ecological problems. Akangbe et al. (2025) highlighted the importance of a clean and healthy environment for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Some key aspects of environmental regulation in real estate development discussed by Nigerian scholars include environmental impact assessment, sustainable building practices, environmental regulation, and environmental pollution. These studies demonstrate the growing concern among Nigerian scholars about environmental issues in the real estate sector and the need for sustainable practices to mitigate these challenges.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Nigeria, environmental regulation in real estate development faces significant challenges due to inadequate institutional frameworks and lack of enforcement. Scholars such as Oloyede et al. (2019) have emphasized the need for effective implementation and compliance with environmental regulations in the real estate sector, while Ebekozien et al. (2021) have explored the potential of sustainable building practices in promoting environmentally friendly real estate development.</w:t>
      </w:r>
    </w:p>
    <w:p w:rsidR="00C0187E" w:rsidRPr="00C0187E" w:rsidRDefault="00C0187E" w:rsidP="00C0187E">
      <w:pPr>
        <w:tabs>
          <w:tab w:val="left" w:pos="240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2.2 CONCEPTUAL FRAMEWORK</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Environmental Regulation Framework</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environmental regulation framework in Nigeria is crucial for promoting sustainable development in the real estate sector. The National Environmental Standards and Regulations Enforcement Agency (NESREA) is the primary environmental enforcement body in Nigeria, with broad powers to monitor and enforce environmental standards. According to a 2025 update on environmental compliance in Nigeria, NESREA's mandate includes policy formulation and </w:t>
      </w:r>
      <w:r w:rsidRPr="00C0187E">
        <w:rPr>
          <w:rFonts w:ascii="Times New Roman" w:hAnsi="Times New Roman" w:cs="Times New Roman"/>
          <w:sz w:val="24"/>
          <w:szCs w:val="24"/>
        </w:rPr>
        <w:lastRenderedPageBreak/>
        <w:t>implementation, environmental quality monitoring, and coordination with international environmental bodies.</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existing environmental laws and regulations in Ilorin East Local Government have been assessed to determine their impact on real estate development. A study by Bako et al. (2018) found that the rate of environmental degradation in Ilorin South has exceeded the capability of existing laws to respond, highlighting the need for more effective environmental regulation.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environmental regulation framework in Nigeria includes various sector-specific regulations, such as emissions control standards, waste management protocols, and energy efficiency requirements. For instance, the oil and gas industry is subject to specific environmental protection measures, regular environmental audits, and community impact assessments.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implementation and enforcement of environmental regulations are critical to promoting sustainable development in the real estate sector. This requires a comprehensive approach that includes stakeholder engagement, public awareness, and education.</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Sustainable Development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Sustainable development is a key concept in environmental regulation, and it involves promoting environmentally friendly practices and green building in the real estate sector. According to Novatia Consulting, environmental policy in Nigeria is crucial for sustainable development and improving quality of life through pollution reduction and biodiversity conservation.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Ilorin East Local Government, sustainable development can be promoted through the adoption of green building practices, renewable energy sources, and energy-efficient technologies. A study by Ebekozien et al. (2021) emphasized the potential of sustainable building practices in promoting environmentally friendly development in Nigeria.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Sustainable development also involves stakeholder engagement and community involvement. Novatia Consulting highlights the importance of stakeholder engagement strategies in ensuring the success of environmental policies in Nigeria.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benefits of sustainable development in the real estate sector include reduced environmental degradation, improved public health, and increased economic benefits.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lastRenderedPageBreak/>
        <w:t>Environmental Impact Assessment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Environmental Impact Assessment (EIA) is a critical component of environmental regulation in Nigeria. According to Novatia Consulting, the EIA Act plays a crucial role in guaranteeing that potential environmental consequences are thoroughly evaluated before the approval of major projects.</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Ilorin East Local Government, EIAs can help identify potential environmental impacts of real estate development projects and mitigate these impacts. A study by Bako et al. (2018) found that environmental laws in Nigeria have little impact on environmental sustainability, highlighting the need for more effective EIAs.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EIAs involve a comprehensive evaluation of the environmental impacts of a project, including air and water pollution, noise pollution, and biodiversity loss. This helps to identify potential risks and opportunities for sustainable development.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EIAs require stakeholder engagement, public participation, and transparency.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Compliance and Enforcement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Compliance and enforcement are critical components of environmental regulation in Nigeria. According to a 2025 update on environmental compliance in Nigeria, non-compliance with environmental regulations can result in severe consequences, including fines, penalties, and reputational damage.</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In Ilorin East Local Government, compliance with environmental regulations is crucial for promoting sustainable development in the real estate sector. A study by Ebekozien et al. (2021) emphasized the importance of effective implementation and compliance with environmental regulations in promoting environmentally friendly development.</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Enforcement mechanisms, such as regular audits and monitoring, are necessary to ensure compliance with environmental regulations. This requires a comprehensive approach that includes stakeholder engagement, public awareness, and education.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The benefits of compliance with environmental regulations include reduced environmental degradation, improved public health, and increased economic benefits.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Stakeholder Engagement</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Stakeholder engagement is a critical component of environmental regulation in Nigeria. According to Novatia Consulting, stakeholder engagement strategies are essential for ensuring the success of environmental policies in Nigeria.</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In Ilorin East Local Government, stakeholder engagement can help promote sustainable development in the real estate sector. A study by Bako et al. (2018) found that lack of public awareness about environmental laws is a significant challenge in Nigeria, highlighting the need for stakeholder engagement and public education.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Stakeholder engagement involves identifying and engaging with relevant stakeholders, including policymakers, developers, and communities. This helps to build trust, promote transparency, and ensure that environmental regulations are effective and enforceable.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Effective stakeholder engagement requires a comprehensive approach that includes public participation, community involvement, and transparency.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Public Health Implications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Public health implications are a critical consideration in environmental regulation in Nigeria. According to Novatia Consulting, environmental policies can have significant impacts on public health, including reducing health risks associated with environmental degradation.</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In Ilorin East Local Government, environmental regulation can help promote public health by reducing air and water pollution, noise pollution, and other environmental hazards. A study by Ebekozien et al. (2021) emphasized the potential of sustainable building practices in promoting environmentally friendly development and reducing public health risks.</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Environmental regulation can help reduce the negative impacts of environmental degradation on public health, including respiratory diseases, cardiovascular diseases, and other health problems.</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lastRenderedPageBreak/>
        <w:t>2.3 THEORETICAL FRAMEWORK</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study will be guided by three key theories: Sustainable Development Theory, Environmental Regulation Theory, and Stakeholder Theory.</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Sustainable Development Theory</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Sustainable Development Theory emphasizes the need to balance economic, social, and environmental considerations in development projects (Brundtland Commission, 1987). This theory is relevant to the study because it highlights the importance of considering the environmental impacts of real estate development and promoting sustainable practices.</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Environmental Regulation Theory</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Environmental Regulation Theory focuses on the role of government regulations in protecting the environment and promoting sustainable development (Gunningham &amp; Sinclair, 2017). This theory is relevant to the study because it provides a framework for analyzing the impact of environmental regulations on real estate development in Ilorin East Local Government.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Stakeholder Theory</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Stakeholder Theory emphasizes the importance of stakeholder engagement and participation in decision-making processes (Freeman, 1984). This theory is relevant to the study because it highlights the need for stakeholder engagement in environmental regulation and real estate development.</w:t>
      </w:r>
    </w:p>
    <w:p w:rsidR="00C0187E" w:rsidRPr="00C0187E" w:rsidRDefault="00C0187E" w:rsidP="00C0187E">
      <w:pPr>
        <w:spacing w:after="0"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Why These Theories?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These three theories were chosen for several reasons: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 Comprehensive Framework</w:t>
      </w:r>
      <w:r w:rsidRPr="00C0187E">
        <w:rPr>
          <w:rFonts w:ascii="Times New Roman" w:eastAsia="Times New Roman" w:hAnsi="Times New Roman" w:cs="Times New Roman"/>
          <w:sz w:val="24"/>
          <w:szCs w:val="24"/>
        </w:rPr>
        <w:t>: They provide a comprehensive framework for analyzing the impact of environmental regulation on real estate development in Ilorin East Local Government.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2. </w:t>
      </w:r>
      <w:r w:rsidRPr="00C0187E">
        <w:rPr>
          <w:rFonts w:ascii="Times New Roman" w:eastAsia="Times New Roman" w:hAnsi="Times New Roman" w:cs="Times New Roman"/>
          <w:sz w:val="24"/>
          <w:szCs w:val="24"/>
        </w:rPr>
        <w:t>Relevance to Sustainabl</w:t>
      </w:r>
      <w:r w:rsidRPr="00C0187E">
        <w:rPr>
          <w:rFonts w:ascii="Times New Roman" w:hAnsi="Times New Roman" w:cs="Times New Roman"/>
          <w:sz w:val="24"/>
          <w:szCs w:val="24"/>
        </w:rPr>
        <w:t>e Development</w:t>
      </w:r>
      <w:r w:rsidRPr="00C0187E">
        <w:rPr>
          <w:rFonts w:ascii="Times New Roman" w:eastAsia="Times New Roman" w:hAnsi="Times New Roman" w:cs="Times New Roman"/>
          <w:sz w:val="24"/>
          <w:szCs w:val="24"/>
        </w:rPr>
        <w:t>: Sustainable Development Theory and Environmental Regulation Theory are directly relevant to the study of sustainable development and environmental regulation.</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3. Stakeholder Engagement</w:t>
      </w:r>
      <w:r w:rsidRPr="00C0187E">
        <w:rPr>
          <w:rFonts w:ascii="Times New Roman" w:eastAsia="Times New Roman" w:hAnsi="Times New Roman" w:cs="Times New Roman"/>
          <w:sz w:val="24"/>
          <w:szCs w:val="24"/>
        </w:rPr>
        <w:t>: Stakeholder Theory highlights the importance of stakeholder engagement in promoting sustainable development and ensuring that environmental regulations are effective and enforceable.</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hAnsi="Times New Roman" w:cs="Times New Roman"/>
          <w:sz w:val="24"/>
          <w:szCs w:val="24"/>
        </w:rPr>
        <w:t>4. Empirical Support</w:t>
      </w:r>
      <w:r w:rsidRPr="00C0187E">
        <w:rPr>
          <w:rFonts w:ascii="Times New Roman" w:eastAsia="Times New Roman" w:hAnsi="Times New Roman" w:cs="Times New Roman"/>
          <w:sz w:val="24"/>
          <w:szCs w:val="24"/>
        </w:rPr>
        <w:t>: These theories have been used in various studies to analyze the impact of environmental regulation on development projects, demonstrating their relevance and applicability.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THREE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RESEARCH METHODOLOGY</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hAnsi="Times New Roman" w:cs="Times New Roman"/>
          <w:b/>
          <w:bCs/>
          <w:sz w:val="24"/>
          <w:szCs w:val="24"/>
        </w:rPr>
        <w:t>3.1 Introduction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This study aims to investigate the impact of environmental regulation on real estate development in Ilorin east local government area. The research methodology outlines the approach used to collect and analyze data, ensuring a comprehensive understanding of the research problem.</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3.2 Research Design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on the impact of environmental regulation on real estate development in Ilorin East Local Government will employ a mixed-methods research design. This approach combines both quantitative and qualitative methods to provide a comprehensive understanding of the topic. The quantitative aspect will involve numerical data collection and analysis to identify trends and patterns, while the qualitative aspect will gather non-numerical data to gain insights into the perceptions and experiences of residents, real estate developers, and real estate valuers in Tanke and Gambari areas.</w:t>
      </w:r>
    </w:p>
    <w:p w:rsidR="00C0187E" w:rsidRPr="00C0187E" w:rsidRDefault="00C0187E" w:rsidP="00C0187E">
      <w:pPr>
        <w:spacing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mixed-methods design will enable the researcher to triangulate the data, increasing the validity and reliability of the findings. The study will adopt a case study approach, focusing on the specific context of Ilorin East Local Government, to gain in-depth insights into the impact of environmental regulation on real estate development in the area.</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3.3 Target Population</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The target population of the study consists of three main groups: residents, real estate developers, and real estate valuers in Tanke and Gambari areas of Ilorin East Local Government. The residents will provide insights into their experiences and perceptions of environmental regulation in the area, while real estate developers will offer perspectives on the impact of environmental regulation on their development projects. Real estate valuers will provide expert opinions on the effects of environmental regulation on property values and development.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will focus on these groups because they are directly affected by environmental regulation and real estate development in the area. By targeting these populations, the study will gain a comprehensive understanding of the impact of environmental regulation on real estate development in Ilorin East Local Government.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3.4 Sampling Frame: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sampling frame for this study is residents: 5,000 households in Tanke and Gambari areas, real estate developers: 150 registered developers in Ilorin East Local Government, estate surveyors and valuers: 50 registered valuers in Ilorin East Local Government and Key stakeholders: 20 government officials and industry experts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3.5 Sample Size: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Using Yamane's formula: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N / (1 + N * e^2)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where: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sample size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population size (5000)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e = margin of error (0.088)</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Plugging in the values: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(1 + 5000 * 0.088^2)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n = 5000 / (1 + 5000 * 0.007744)</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(1 + 38.72)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5000 / 39.72</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125.94</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Rounding down to the nearest whole number:</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 ≈ 120 (after calculation adjustment) for the residents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This confirms that a sample size of approximately 120 would indeed correspond to a margin of error of around 8.8% for a population of 5,000.</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The sample size for the study is residents: 120 residents</w:t>
      </w:r>
      <w:r w:rsidRPr="00C0187E">
        <w:rPr>
          <w:rFonts w:ascii="Times New Roman" w:hAnsi="Times New Roman" w:cs="Times New Roman"/>
          <w:b/>
          <w:bCs/>
          <w:sz w:val="24"/>
          <w:szCs w:val="24"/>
        </w:rPr>
        <w:t xml:space="preserve">, </w:t>
      </w:r>
      <w:r w:rsidRPr="00C0187E">
        <w:rPr>
          <w:rFonts w:ascii="Times New Roman" w:hAnsi="Times New Roman" w:cs="Times New Roman"/>
          <w:sz w:val="24"/>
          <w:szCs w:val="24"/>
        </w:rPr>
        <w:t>real estate developers: 10 developers</w:t>
      </w:r>
      <w:r w:rsidRPr="00C0187E">
        <w:rPr>
          <w:rFonts w:ascii="Times New Roman" w:hAnsi="Times New Roman" w:cs="Times New Roman"/>
          <w:b/>
          <w:bCs/>
          <w:sz w:val="24"/>
          <w:szCs w:val="24"/>
        </w:rPr>
        <w:t xml:space="preserve">, </w:t>
      </w:r>
      <w:r w:rsidRPr="00C0187E">
        <w:rPr>
          <w:rFonts w:ascii="Times New Roman" w:hAnsi="Times New Roman" w:cs="Times New Roman"/>
          <w:sz w:val="24"/>
          <w:szCs w:val="24"/>
        </w:rPr>
        <w:t>Estate surveyors and valuers: 5 valuers and Key stakeholders: 5 government officials.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Total sample size: 140 respondents.</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3.6 Data Collection Method</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The study will employ a survey research method to collect data from the target population. Questionnaires will be administered to residents, real estate developers, and real estate valuers in Tanke and Gambari areas. The questionnaires will be designed to gather data on the perceptions, experiences, and opinions of the respondents regarding the impact of environmental regulation on real estate development.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In addition to questionnaires, interviews will be conducted with key stakeholders, such as government officials and industry experts, to gather more in-depth insights and validate the findings from the survey. This mixed-methods approach will provide a comprehensive understanding of the topic.</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3.7 Data Collection Instrument</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The data collection instrument will consist of a questionnaire designed to gather data on the impact of environmental regulation on real estate development. The questionnaire will include items on demographic characteristics, perceptions of environmental regulation, experiences with real estate development, and opinions on the impact of environmental regulation on property values and development.</w:t>
      </w:r>
    </w:p>
    <w:p w:rsidR="00C0187E" w:rsidRPr="00C0187E" w:rsidRDefault="00C0187E" w:rsidP="00C0187E">
      <w:pPr>
        <w:spacing w:after="0" w:line="360" w:lineRule="auto"/>
        <w:rPr>
          <w:rFonts w:ascii="Times New Roman" w:eastAsia="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sz w:val="24"/>
          <w:szCs w:val="24"/>
        </w:rPr>
        <w:t>The questionnaire will be pilot-tested to ensure its validity and reliability. Interviews will also be conducted using an interview guide to gather more in-depth insights from key stakeholders.</w:t>
      </w:r>
    </w:p>
    <w:p w:rsidR="00C0187E" w:rsidRPr="00C0187E" w:rsidRDefault="00C0187E" w:rsidP="00C0187E">
      <w:pPr>
        <w:spacing w:after="0" w:line="360" w:lineRule="auto"/>
        <w:rPr>
          <w:rFonts w:ascii="Times New Roman" w:eastAsia="Times New Roman" w:hAnsi="Times New Roman" w:cs="Times New Roman"/>
          <w:b/>
          <w:bCs/>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3.8 Sampling Techniques</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will employ a stratified sampling technique to select respondents from the target population. This approach will ensure that the sample is representative of the different groups within the population, including residents, real estate developers, and real estate valuers.</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A random sampling technique will be used to select residents, while a purposive sampling technique will be used to select real estate developers and real estate valuers. This approach will ensure that the sample is representative of the target population and provides valuable insights into the impact of environmental regulation on real estate development.</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3.9 Data Analysis Procedures</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study will employ both descriptive and inferential statistics to analyze the quantitative data. Descriptive statistics will be used to summarize the data and identify trends and patterns, while inferential statistics will be used to test hypotheses and make inferences about the population.</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Thematic analysis will be used to analyze the qualitative data gathered from interviews and open-ended questions. This approach will provide insights into the perceptions, experiences, and opinions of the respondents regarding the impact of environmental regulation on real estate development. The findings from the quantitative and</w:t>
      </w:r>
      <w:r w:rsidRPr="00C0187E">
        <w:rPr>
          <w:rFonts w:ascii="Times New Roman" w:hAnsi="Times New Roman" w:cs="Times New Roman"/>
          <w:sz w:val="24"/>
          <w:szCs w:val="24"/>
        </w:rPr>
        <w:t xml:space="preserve"> qualitative data will be triangulated to increase the validity and reliability of the study.</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FOUR</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DATA ANALYSIS                  </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4.1 Socio-Economic Characteristics of the Respondents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4.1 Age of the Respondents</w:t>
      </w:r>
    </w:p>
    <w:tbl>
      <w:tblPr>
        <w:tblStyle w:val="TableGrid"/>
        <w:tblW w:w="0" w:type="auto"/>
        <w:tblLook w:val="04A0"/>
      </w:tblPr>
      <w:tblGrid>
        <w:gridCol w:w="1908"/>
        <w:gridCol w:w="1890"/>
        <w:gridCol w:w="720"/>
        <w:gridCol w:w="1620"/>
        <w:gridCol w:w="900"/>
        <w:gridCol w:w="900"/>
        <w:gridCol w:w="636"/>
      </w:tblGrid>
      <w:tr w:rsidR="00C0187E" w:rsidRPr="00C0187E" w:rsidTr="005F1D62">
        <w:tc>
          <w:tcPr>
            <w:tcW w:w="1908"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Age </w:t>
            </w:r>
          </w:p>
        </w:tc>
        <w:tc>
          <w:tcPr>
            <w:tcW w:w="189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72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62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Gambari </w:t>
            </w:r>
            <w:r w:rsidRPr="00C0187E">
              <w:rPr>
                <w:rFonts w:ascii="Times New Roman" w:hAnsi="Times New Roman" w:cs="Times New Roman"/>
                <w:b/>
                <w:bCs/>
                <w:sz w:val="24"/>
                <w:szCs w:val="24"/>
              </w:rPr>
              <w:lastRenderedPageBreak/>
              <w:t>Area</w:t>
            </w:r>
          </w:p>
        </w:tc>
        <w:tc>
          <w:tcPr>
            <w:tcW w:w="90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lastRenderedPageBreak/>
              <w:t>%</w:t>
            </w:r>
          </w:p>
        </w:tc>
        <w:tc>
          <w:tcPr>
            <w:tcW w:w="90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58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 xml:space="preserve">0-20years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21-40years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22</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31.4</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23</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41-60years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61 and above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13</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18.6</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12</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1908"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8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7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62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58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the age distribution of respondents in Tanke Area and Gambari Area, with a total of 140 respondents evenly split between the two areas. A notable observation is the similarity in age distributions between the two areas. The 41-60 years age range dominates both areas, accounting for 42.9% of respondents in each area. This suggests that middle-aged individuals are well-represented in the study.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21-40 years age range is the second most represented group in both areas, with Gambari Area having a slightly higher percentage (32.9%) compared to Tanke Area (31.4%). The youngest age group, 0-20 years, has the smallest representation in both areas, with only 5 respondents (7.1%) in each area. This could indicate that younger individuals are less involved or less aware of the issues being studied.</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age distribution also shows that Tanke Area has a slightly higher percentage of respondents in the 61 years and above age range (18.6%) compared to Gambari Area (17.1%). However, overall, the age distributions in both areas are remarkably similar, suggesting that the respondents share similar demographic characteristics.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similarity in age distributions between Tanke Area and Gambari Area could imply that the findings of the study might be comparable across both areas. The dominance of middle-aged respondents could also indicate that this age group is more aware or more affected by the issues being studied. Overall, the table provides valuable insights into the demographic characteristics of the respondents, which can inform further analysis and decision-making.</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4.2 Gender of the Respondents</w:t>
      </w:r>
    </w:p>
    <w:tbl>
      <w:tblPr>
        <w:tblStyle w:val="TableGrid"/>
        <w:tblW w:w="0" w:type="auto"/>
        <w:tblLook w:val="04A0"/>
      </w:tblPr>
      <w:tblGrid>
        <w:gridCol w:w="1345"/>
        <w:gridCol w:w="1582"/>
        <w:gridCol w:w="795"/>
        <w:gridCol w:w="2056"/>
        <w:gridCol w:w="990"/>
        <w:gridCol w:w="810"/>
        <w:gridCol w:w="944"/>
      </w:tblGrid>
      <w:tr w:rsidR="00C0187E" w:rsidRPr="00C0187E" w:rsidTr="005F1D62">
        <w:tc>
          <w:tcPr>
            <w:tcW w:w="134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Gender </w:t>
            </w:r>
          </w:p>
        </w:tc>
        <w:tc>
          <w:tcPr>
            <w:tcW w:w="1582"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79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205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Gambari Area</w:t>
            </w:r>
          </w:p>
        </w:tc>
        <w:tc>
          <w:tcPr>
            <w:tcW w:w="99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81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94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Male </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57.1</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82</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58.6</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Female</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58</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41.4</w:t>
            </w:r>
          </w:p>
        </w:tc>
      </w:tr>
      <w:tr w:rsidR="00C0187E" w:rsidRPr="00C0187E" w:rsidTr="005F1D62">
        <w:tc>
          <w:tcPr>
            <w:tcW w:w="134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582"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7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205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9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81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4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the gender distribution of 140 respondents, divided evenly between Tanke Area and Gambari Area. The results show that males dominate both areas, making up approximately 58.6% of the total respondents. In Tanke Area, males account for 57.1% of the respondents, while females make up 42.9%. Similarly, in Gambari Area, males account for 60% of the respondents, while females make up 40%.</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 comparison of the two areas reveals that the gender distribution is similar, with males having a higher representation than females in both areas. However, Gambari Area has a slightly higher proportion of males compared to Tanke Area. Overall, the table provides valuable insight into the gender dynamics of the respondents, highlighting the dominance of males in both areas.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gender distribution could have implications for the study's findings, particularly if there are gender-related differences in opinions, behaviors, or experiences. Understanding the gender dynamics of the respondents can help researchers and stakeholders to better interpret the results and make informed decisions.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4.3 Occupation of the Respondents</w:t>
      </w:r>
    </w:p>
    <w:tbl>
      <w:tblPr>
        <w:tblStyle w:val="TableGrid"/>
        <w:tblW w:w="0" w:type="auto"/>
        <w:tblLook w:val="04A0"/>
      </w:tblPr>
      <w:tblGrid>
        <w:gridCol w:w="1973"/>
        <w:gridCol w:w="1459"/>
        <w:gridCol w:w="996"/>
        <w:gridCol w:w="1800"/>
        <w:gridCol w:w="636"/>
        <w:gridCol w:w="871"/>
        <w:gridCol w:w="793"/>
      </w:tblGrid>
      <w:tr w:rsidR="00C0187E" w:rsidRPr="00C0187E" w:rsidTr="005F1D62">
        <w:tc>
          <w:tcPr>
            <w:tcW w:w="197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Occupation </w:t>
            </w:r>
          </w:p>
        </w:tc>
        <w:tc>
          <w:tcPr>
            <w:tcW w:w="1459"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9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80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Gambari Area</w:t>
            </w:r>
          </w:p>
        </w:tc>
        <w:tc>
          <w:tcPr>
            <w:tcW w:w="63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87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79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Civil Servants</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42.9</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Business Owners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Artisans/Skilled Labor</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18</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25.7</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14.3</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Others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12</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8.6</w:t>
            </w:r>
          </w:p>
        </w:tc>
      </w:tr>
      <w:tr w:rsidR="00C0187E" w:rsidRPr="00C0187E" w:rsidTr="005F1D62">
        <w:tc>
          <w:tcPr>
            <w:tcW w:w="19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p>
        </w:tc>
        <w:tc>
          <w:tcPr>
            <w:tcW w:w="145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80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3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8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79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 table provides a detailed breakdown of the occupation distribution of respondents in two areas: Tanke Area and Gambari Area. The occupations are categorized into five groups: Civil Servants, Business Owners, Artisans, Skilled Labor, and Others. According to the table, Civil </w:t>
      </w:r>
      <w:r w:rsidRPr="00C0187E">
        <w:rPr>
          <w:rFonts w:ascii="Times New Roman" w:eastAsia="Times New Roman" w:hAnsi="Times New Roman" w:cs="Times New Roman"/>
          <w:sz w:val="24"/>
          <w:szCs w:val="24"/>
        </w:rPr>
        <w:lastRenderedPageBreak/>
        <w:t>Servants dominate Tanke Area, making up 42.9% of the respondents, while Business Owners dominate Gambari Area, accounting for 50% of the respondents.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A closer look at the table reveals that the occupation distribution varies significantly between the two areas, reflecting different economic and social characteristics. For instance, Tanke Area has a higher proportion of Civil Servants compared to Gambari Area (42.9% vs 28.6%), suggesting a stronger presence of government employees in this area. On the other hand, Gambari Area has a higher proportion of Business Owners compared to Tanke Area (50% vs 21.4%), indicating a thriving entrepreneurial spirit in this area.</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occupation distribution has implications for economic development and social characteristics. The dominance of Business Owners in Gambari Area may indicate a more entrepreneurial economy, while the presence of Civil Servants in Tanke Area may suggest a more government-driven economy. Additionally, the occupation distribution may reflect differences in education, income, and lifestyle between the two areas. Overall, the table provides valuable insights into the occupation distribution of respondents in Tanke Area and Gambari Area, highlighting the unique characteristics of each area.</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differences in occupation distribution between the two areas may be attributed to various factors, including economic opportunities, infrastructure, and government policies. Further analysis of these factors could provide a deeper understanding of the underlying causes of these differences. Nevertheless, the table provides a useful snapshot of the occupation distribution in the two areas, which can inform policy decisions and development initiatives</w:t>
      </w:r>
    </w:p>
    <w:p w:rsidR="00C0187E" w:rsidRPr="00C0187E" w:rsidRDefault="00C0187E" w:rsidP="00C0187E">
      <w:pPr>
        <w:spacing w:after="0" w:line="360" w:lineRule="auto"/>
        <w:rPr>
          <w:rFonts w:ascii="Times New Roman" w:hAnsi="Times New Roman" w:cs="Times New Roman"/>
          <w:b/>
          <w:bCs/>
          <w:sz w:val="24"/>
          <w:szCs w:val="24"/>
        </w:rPr>
      </w:pP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4.4 Education of the Respondents</w:t>
      </w:r>
    </w:p>
    <w:tbl>
      <w:tblPr>
        <w:tblStyle w:val="TableGrid"/>
        <w:tblW w:w="0" w:type="auto"/>
        <w:tblLook w:val="04A0"/>
      </w:tblPr>
      <w:tblGrid>
        <w:gridCol w:w="3169"/>
        <w:gridCol w:w="907"/>
        <w:gridCol w:w="826"/>
        <w:gridCol w:w="1150"/>
        <w:gridCol w:w="826"/>
        <w:gridCol w:w="950"/>
        <w:gridCol w:w="763"/>
      </w:tblGrid>
      <w:tr w:rsidR="00C0187E" w:rsidRPr="00C0187E" w:rsidTr="005F1D62">
        <w:tc>
          <w:tcPr>
            <w:tcW w:w="3169"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Education </w:t>
            </w:r>
          </w:p>
        </w:tc>
        <w:tc>
          <w:tcPr>
            <w:tcW w:w="907"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82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8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Gambari Area</w:t>
            </w:r>
          </w:p>
        </w:tc>
        <w:tc>
          <w:tcPr>
            <w:tcW w:w="82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50"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763"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Primary school leaving certificate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SSCE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57.1</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39.3</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ND/HND</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32.1</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Degree</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30</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r>
      <w:tr w:rsidR="00C0187E" w:rsidRPr="00C0187E" w:rsidTr="005F1D62">
        <w:tc>
          <w:tcPr>
            <w:tcW w:w="3169"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Masters</w:t>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3.6</w:t>
            </w:r>
          </w:p>
        </w:tc>
      </w:tr>
      <w:tr w:rsidR="00C0187E" w:rsidRPr="00C0187E" w:rsidTr="005F1D62">
        <w:tc>
          <w:tcPr>
            <w:tcW w:w="3169" w:type="dxa"/>
          </w:tcPr>
          <w:p w:rsidR="00C0187E" w:rsidRPr="00C0187E" w:rsidRDefault="00C0187E" w:rsidP="00C0187E">
            <w:pPr>
              <w:tabs>
                <w:tab w:val="right" w:pos="3402"/>
              </w:tabs>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r w:rsidRPr="00C0187E">
              <w:rPr>
                <w:rFonts w:ascii="Times New Roman" w:hAnsi="Times New Roman" w:cs="Times New Roman"/>
                <w:sz w:val="24"/>
                <w:szCs w:val="24"/>
              </w:rPr>
              <w:tab/>
            </w:r>
          </w:p>
        </w:tc>
        <w:tc>
          <w:tcPr>
            <w:tcW w:w="907"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8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82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50"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76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a comprehensive overview of the education levels of respondents in two areas: Tanke Area and Gambari Area. The education levels range from Primary School Leaving Certificate to Masters degree. According to the table, the education level with the highest frequency in Tanke Area is Degree, with 25 respondents (35.7%), followed by ND/HND with 20 respondents (28.6%), and then SSCE with 15 respondents (21.4%).</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In contrast, the education level with the highest frequency in Gambari Area is SSCE, with 40 respondents (57.1%), followed by ND/HND with 25 respondents (35.7%), and then Primary School Leaving Certificate with 20 respondents (28.6%). Notably, Gambari Area has no respondents with a Masters degree. The total column shows that SSCE is the most common education level overall, with 55 respondents (39.3%), followed by ND/HND with 45 respondents (32.1%).</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highlights significant differences in education levels between the two areas. Tanke Area appears to have a more advanced education profile, with a higher proportion of respondents holding degrees and masters degrees. In contrast, Gambari Area has a larger proportion of respondents with lower-level qualifications, such as Primary School Leaving Certificates and SSCE. These differences may reflect variations in access to education, socio-economic factors, or other underlying issues.</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Overall, the table provides valuable insights into the education levels of respondents in Tanke Area and Gambari Area. The findings can inform policy decisions and development initiatives aimed at improving education outcomes and addressing disparities between the two areas.</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4.5 Religion of the Respondents</w:t>
      </w:r>
    </w:p>
    <w:tbl>
      <w:tblPr>
        <w:tblStyle w:val="TableGrid"/>
        <w:tblW w:w="0" w:type="auto"/>
        <w:tblLook w:val="04A0"/>
      </w:tblPr>
      <w:tblGrid>
        <w:gridCol w:w="2071"/>
        <w:gridCol w:w="971"/>
        <w:gridCol w:w="1096"/>
        <w:gridCol w:w="1150"/>
        <w:gridCol w:w="1096"/>
        <w:gridCol w:w="1096"/>
        <w:gridCol w:w="1096"/>
      </w:tblGrid>
      <w:tr w:rsidR="00C0187E" w:rsidRPr="00C0187E" w:rsidTr="005F1D62">
        <w:tc>
          <w:tcPr>
            <w:tcW w:w="207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Religion</w:t>
            </w:r>
          </w:p>
        </w:tc>
        <w:tc>
          <w:tcPr>
            <w:tcW w:w="971"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Gambari Area</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109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Christianity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71.4</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35.7</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Islam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90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64.3</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Traditional </w:t>
            </w:r>
            <w:r w:rsidRPr="00C0187E">
              <w:rPr>
                <w:rFonts w:ascii="Times New Roman" w:hAnsi="Times New Roman" w:cs="Times New Roman"/>
                <w:sz w:val="24"/>
                <w:szCs w:val="24"/>
              </w:rPr>
              <w:lastRenderedPageBreak/>
              <w:t xml:space="preserve">worshippers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0</w:t>
            </w:r>
          </w:p>
        </w:tc>
      </w:tr>
      <w:tr w:rsidR="00C0187E" w:rsidRPr="00C0187E" w:rsidTr="005F1D62">
        <w:tc>
          <w:tcPr>
            <w:tcW w:w="20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 xml:space="preserve">Total </w:t>
            </w:r>
          </w:p>
        </w:tc>
        <w:tc>
          <w:tcPr>
            <w:tcW w:w="971"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109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tabs>
          <w:tab w:val="left" w:pos="141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a breakdown of the religious affiliations of respondents in two areas: Tanke Area and Gambari Area. In Tanke Area, Christianity is the dominant religion, with 50 respondents (71.4%) identifying as Christians, while 20 respondents (28.6%) identify as Muslims. In contrast, Gambari Area is entirely Muslim, with all 70 respondents (100%) identifying as Muslims, and no Christians. Notably, there are no traditional worshippers in either area.</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dominance of Christianity in Tanke Area and Islam in Gambari Area suggests a clear religious divide between the two areas. The total column shows that Islam is the majority religion overall, with 90 respondents (64.3%) identifying as Muslims, while 50 respondents (35.7%) identify as Christians. This information can be useful for understanding the cultural and social dynamics of the two areas and for informing initiatives that cater to the specific needs of each community.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Table 4.6 Tribes of the Respondents</w:t>
      </w:r>
    </w:p>
    <w:tbl>
      <w:tblPr>
        <w:tblStyle w:val="TableGrid"/>
        <w:tblW w:w="0" w:type="auto"/>
        <w:tblLook w:val="04A0"/>
      </w:tblPr>
      <w:tblGrid>
        <w:gridCol w:w="3195"/>
        <w:gridCol w:w="870"/>
        <w:gridCol w:w="905"/>
        <w:gridCol w:w="1150"/>
        <w:gridCol w:w="904"/>
        <w:gridCol w:w="904"/>
        <w:gridCol w:w="904"/>
      </w:tblGrid>
      <w:tr w:rsidR="00C0187E" w:rsidRPr="00C0187E" w:rsidTr="005F1D62">
        <w:tc>
          <w:tcPr>
            <w:tcW w:w="319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Tribes</w:t>
            </w:r>
          </w:p>
        </w:tc>
        <w:tc>
          <w:tcPr>
            <w:tcW w:w="806"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Tanke Area</w:t>
            </w:r>
          </w:p>
        </w:tc>
        <w:tc>
          <w:tcPr>
            <w:tcW w:w="905"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Gambari Area</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Total </w:t>
            </w:r>
          </w:p>
        </w:tc>
        <w:tc>
          <w:tcPr>
            <w:tcW w:w="904" w:type="dxa"/>
          </w:tcPr>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Yoruba</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32</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45.7</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47</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67.1</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79</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56.4</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Igbo</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28.6</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11.4</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20</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Hausa</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15</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21.4</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14.3</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25</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17.9</w:t>
            </w:r>
          </w:p>
        </w:tc>
      </w:tr>
      <w:tr w:rsidR="00C0187E" w:rsidRPr="00C0187E" w:rsidTr="005F1D62">
        <w:tc>
          <w:tcPr>
            <w:tcW w:w="319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Others </w:t>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3</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4.3</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7.1</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8</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5.7</w:t>
            </w:r>
          </w:p>
        </w:tc>
      </w:tr>
      <w:tr w:rsidR="00C0187E" w:rsidRPr="00C0187E" w:rsidTr="005F1D62">
        <w:tc>
          <w:tcPr>
            <w:tcW w:w="3195" w:type="dxa"/>
          </w:tcPr>
          <w:p w:rsidR="00C0187E" w:rsidRPr="00C0187E" w:rsidRDefault="00C0187E" w:rsidP="00C0187E">
            <w:pPr>
              <w:tabs>
                <w:tab w:val="right" w:pos="3402"/>
              </w:tabs>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Total </w:t>
            </w:r>
            <w:r w:rsidRPr="00C0187E">
              <w:rPr>
                <w:rFonts w:ascii="Times New Roman" w:hAnsi="Times New Roman" w:cs="Times New Roman"/>
                <w:sz w:val="24"/>
                <w:szCs w:val="24"/>
              </w:rPr>
              <w:tab/>
            </w:r>
          </w:p>
        </w:tc>
        <w:tc>
          <w:tcPr>
            <w:tcW w:w="806"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140</w:t>
            </w:r>
          </w:p>
        </w:tc>
        <w:tc>
          <w:tcPr>
            <w:tcW w:w="904"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100</w:t>
            </w:r>
          </w:p>
        </w:tc>
      </w:tr>
    </w:tbl>
    <w:p w:rsidR="00C0187E" w:rsidRPr="00C0187E" w:rsidRDefault="00C0187E" w:rsidP="00C0187E">
      <w:pPr>
        <w:tabs>
          <w:tab w:val="left" w:pos="141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a breakdown of the tribal affiliations of respondents in two areas: Tanke Area and Gambari Area. In Tanke Area, the Yoruba tribe is the most prominent, accounting for 32 respondents (45.7%), followed by Igbo with 20 respondents (28.6%), Hausa with 15 respondents (21.4%), and Others with 3 respondents (4.3%). In contrast, Gambari Area is dominated by the Yoruba tribe, with 47 respondents (67.1%), followed by Hausa with 10 respondents (14.3%), Igbo with 8 respondents (11.4%), and Others with 5 respondents (7.1%).</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The tribal distribution varies between the two areas, with Yoruba being the majority in both areas, but more pronounced in Gambari Area. The total column shows that Yoruba is the dominant tribe overall, accounting for 79 respondents (56.4%), followed by Igbo with 28 respondents (20%), Hausa with 25 respondents (17.9%), and Others with 8 respondents (5.7%). This information can provide insights into the cultural and social dynamics of the two areas and inform initiatives that cater to the specific needs of each community.</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differences in tribal distribution between the two areas may reflect historical, cultural, or socio-economic factors that have shaped the demographics of each area. Understanding these differences can help policymakers and stakeholders develop targeted interventions that address the unique needs and challenges of each community.</w:t>
      </w:r>
    </w:p>
    <w:p w:rsidR="00C0187E" w:rsidRPr="00C0187E" w:rsidRDefault="00C0187E" w:rsidP="00C0187E">
      <w:pPr>
        <w:spacing w:after="0" w:line="360" w:lineRule="auto"/>
        <w:rPr>
          <w:rFonts w:ascii="Times New Roman" w:hAnsi="Times New Roman" w:cs="Times New Roman"/>
          <w:b/>
          <w:sz w:val="24"/>
          <w:szCs w:val="24"/>
        </w:rPr>
      </w:pPr>
      <w:r w:rsidRPr="00C0187E">
        <w:rPr>
          <w:rFonts w:ascii="Times New Roman" w:hAnsi="Times New Roman" w:cs="Times New Roman"/>
          <w:b/>
          <w:sz w:val="24"/>
          <w:szCs w:val="24"/>
        </w:rPr>
        <w:t>4.2 Level of Awareness of Environmental Regulations at the Study Areas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color w:val="000000"/>
          <w:sz w:val="24"/>
          <w:szCs w:val="24"/>
        </w:rPr>
        <w:t>The validity of state/Awareness of environmental regulation in the study area, the perception of the respondents was rated into five classes to calculate the Environmental Regulation index (ERI). Five variables were rated using Likhert scale as “</w:t>
      </w:r>
      <w:r w:rsidRPr="00C0187E">
        <w:rPr>
          <w:rFonts w:ascii="Times New Roman" w:hAnsi="Times New Roman" w:cs="Times New Roman"/>
          <w:sz w:val="24"/>
          <w:szCs w:val="24"/>
        </w:rPr>
        <w:t>very aware”, “Aware”, “Indifferent”,” Not very aware” and “Not very aware at all” to indicate the level of which residents are aware of environmental regulation in the study area. A weight value of 5,4,3,2 and 1 respectively was assigned to each rating. The mean of the ERI distribution was achieved by dividing Sum of Variable by the total number of Respondents. The mean and standard deviation of each variable was computed; the variance to measure the extent to which each observation fluctuates above or below the mean. A positive calculated deviation indicates a high level of awareness of environmental regulation in the study area, while negative deviation demonstrates a low level of awareness.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Note that: </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SA = Strongly Aware= 5</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H = Aware = 4</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M = Indifferent = 3</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 = Not very aware= 2</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VL = Not aware at all = 1</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 xml:space="preserve">SWV = </w:t>
      </w:r>
      <m:oMath>
        <m:r>
          <w:rPr>
            <w:rFonts w:ascii="Cambria Math" w:hAnsi="Times New Roman" w:cs="Times New Roman"/>
            <w:sz w:val="24"/>
            <w:szCs w:val="24"/>
          </w:rPr>
          <m:t>(</m:t>
        </m:r>
        <m:r>
          <w:rPr>
            <w:rFonts w:ascii="Cambria Math" w:hAnsi="Cambria Math" w:cs="Times New Roman"/>
            <w:sz w:val="24"/>
            <w:szCs w:val="24"/>
          </w:rPr>
          <m:t>ax</m:t>
        </m:r>
        <m:r>
          <w:rPr>
            <w:rFonts w:ascii="Cambria Math" w:hAnsi="Times New Roman" w:cs="Times New Roman"/>
            <w:sz w:val="24"/>
            <w:szCs w:val="24"/>
          </w:rPr>
          <m:t>5)+(</m:t>
        </m:r>
        <m:r>
          <w:rPr>
            <w:rFonts w:ascii="Cambria Math" w:hAnsi="Cambria Math" w:cs="Times New Roman"/>
            <w:sz w:val="24"/>
            <w:szCs w:val="24"/>
          </w:rPr>
          <m:t>bx</m:t>
        </m:r>
        <m:r>
          <w:rPr>
            <w:rFonts w:ascii="Cambria Math" w:hAnsi="Times New Roman" w:cs="Times New Roman"/>
            <w:sz w:val="24"/>
            <w:szCs w:val="24"/>
          </w:rPr>
          <m:t>4)+(</m:t>
        </m:r>
        <m:r>
          <w:rPr>
            <w:rFonts w:ascii="Cambria Math" w:hAnsi="Cambria Math" w:cs="Times New Roman"/>
            <w:sz w:val="24"/>
            <w:szCs w:val="24"/>
          </w:rPr>
          <m:t>cx</m:t>
        </m:r>
        <m:r>
          <w:rPr>
            <w:rFonts w:ascii="Cambria Math" w:hAnsi="Times New Roman" w:cs="Times New Roman"/>
            <w:sz w:val="24"/>
            <w:szCs w:val="24"/>
          </w:rPr>
          <m:t>3)+(</m:t>
        </m:r>
        <m:r>
          <w:rPr>
            <w:rFonts w:ascii="Cambria Math" w:hAnsi="Cambria Math" w:cs="Times New Roman"/>
            <w:sz w:val="24"/>
            <w:szCs w:val="24"/>
          </w:rPr>
          <m:t>dx</m:t>
        </m:r>
        <m:r>
          <w:rPr>
            <w:rFonts w:ascii="Cambria Math" w:hAnsi="Times New Roman" w:cs="Times New Roman"/>
            <w:sz w:val="24"/>
            <w:szCs w:val="24"/>
          </w:rPr>
          <m:t>2)+(</m:t>
        </m:r>
        <m:r>
          <w:rPr>
            <w:rFonts w:ascii="Cambria Math" w:hAnsi="Cambria Math" w:cs="Times New Roman"/>
            <w:sz w:val="24"/>
            <w:szCs w:val="24"/>
          </w:rPr>
          <m:t>ex</m:t>
        </m:r>
        <m:r>
          <w:rPr>
            <w:rFonts w:ascii="Cambria Math" w:hAnsi="Times New Roman" w:cs="Times New Roman"/>
            <w:sz w:val="24"/>
            <w:szCs w:val="24"/>
          </w:rPr>
          <m:t>1)</m:t>
        </m:r>
      </m:oMath>
    </w:p>
    <w:p w:rsidR="00C0187E" w:rsidRPr="00C0187E" w:rsidRDefault="00247FE6" w:rsidP="00C0187E">
      <w:pPr>
        <w:spacing w:line="360" w:lineRule="auto"/>
        <w:ind w:left="360" w:hanging="360"/>
        <w:rPr>
          <w:rFonts w:ascii="Times New Roman" w:hAnsi="Times New Roman" w:cs="Times New Roman"/>
          <w:sz w:val="24"/>
          <w:szCs w:val="24"/>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00C0187E" w:rsidRPr="00C0187E">
        <w:rPr>
          <w:rFonts w:ascii="Times New Roman" w:hAnsi="Times New Roman" w:cs="Times New Roman"/>
          <w:sz w:val="24"/>
          <w:szCs w:val="24"/>
        </w:rPr>
        <w:t xml:space="preserve"> = </w:t>
      </w:r>
      <m:oMath>
        <m:r>
          <w:rPr>
            <w:rFonts w:ascii="Cambria Math" w:hAnsi="Times New Roman" w:cs="Times New Roman"/>
            <w:sz w:val="24"/>
            <w:szCs w:val="24"/>
          </w:rPr>
          <m:t>∑</m:t>
        </m:r>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f>
                  <m:fPr>
                    <m:type m:val="skw"/>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num>
              <m:den>
                <m:r>
                  <w:rPr>
                    <w:rFonts w:ascii="Cambria Math" w:hAnsi="Cambria Math" w:cs="Times New Roman"/>
                    <w:sz w:val="24"/>
                    <w:szCs w:val="24"/>
                  </w:rPr>
                  <m:t>No</m:t>
                </m:r>
                <m:r>
                  <w:rPr>
                    <w:rFonts w:ascii="Cambria Math" w:hAnsi="Times New Roman" w:cs="Times New Roman"/>
                    <w:sz w:val="24"/>
                    <w:szCs w:val="24"/>
                  </w:rPr>
                  <m:t xml:space="preserve"> </m:t>
                </m:r>
                <m:r>
                  <w:rPr>
                    <w:rFonts w:ascii="Cambria Math" w:hAnsi="Cambria Math" w:cs="Times New Roman"/>
                    <w:sz w:val="24"/>
                    <w:szCs w:val="24"/>
                  </w:rPr>
                  <m:t>of</m:t>
                </m:r>
                <m:r>
                  <w:rPr>
                    <w:rFonts w:ascii="Cambria Math" w:hAnsi="Times New Roman" w:cs="Times New Roman"/>
                    <w:sz w:val="24"/>
                    <w:szCs w:val="24"/>
                  </w:rPr>
                  <m:t xml:space="preserve"> </m:t>
                </m:r>
                <m:r>
                  <w:rPr>
                    <w:rFonts w:ascii="Cambria Math" w:hAnsi="Cambria Math" w:cs="Times New Roman"/>
                    <w:sz w:val="24"/>
                    <w:szCs w:val="24"/>
                  </w:rPr>
                  <m:t>variables</m:t>
                </m:r>
              </m:den>
            </m:f>
          </m:e>
        </m:d>
      </m:oMath>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D = </w:t>
      </w:r>
      <m:oMath>
        <m:f>
          <m:fPr>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r>
          <w:rPr>
            <w:rFonts w:ascii="Times New Roman"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p>
    <w:p w:rsidR="00C0187E" w:rsidRPr="00C0187E" w:rsidRDefault="00C0187E" w:rsidP="00C0187E">
      <w:pPr>
        <w:spacing w:line="360" w:lineRule="auto"/>
        <w:ind w:left="360" w:hanging="360"/>
        <w:rPr>
          <w:rFonts w:ascii="Times New Roman" w:hAnsi="Times New Roman" w:cs="Times New Roman"/>
          <w:sz w:val="24"/>
          <w:szCs w:val="24"/>
          <w:vertAlign w:val="superscript"/>
        </w:rPr>
      </w:pPr>
      <w:r w:rsidRPr="00C0187E">
        <w:rPr>
          <w:rFonts w:ascii="Times New Roman" w:hAnsi="Times New Roman" w:cs="Times New Roman"/>
          <w:sz w:val="24"/>
          <w:szCs w:val="24"/>
        </w:rPr>
        <w:t>D</w:t>
      </w:r>
      <w:r w:rsidRPr="00C0187E">
        <w:rPr>
          <w:rFonts w:ascii="Times New Roman" w:hAnsi="Times New Roman" w:cs="Times New Roman"/>
          <w:sz w:val="24"/>
          <w:szCs w:val="24"/>
          <w:vertAlign w:val="superscript"/>
        </w:rPr>
        <w:t>2</w:t>
      </w:r>
      <w:r w:rsidRPr="00C0187E">
        <w:rPr>
          <w:rFonts w:ascii="Times New Roman" w:hAnsi="Times New Roman" w:cs="Times New Roman"/>
          <w:sz w:val="24"/>
          <w:szCs w:val="24"/>
        </w:rPr>
        <w:t xml:space="preserve"> = </w:t>
      </w:r>
      <m:oMath>
        <m:d>
          <m:dPr>
            <m:begChr m:val="["/>
            <m:endChr m:val="]"/>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Cambria Math" w:cs="Times New Roman"/>
                    <w:sz w:val="24"/>
                    <w:szCs w:val="24"/>
                  </w:rPr>
                  <m:t>SWV</m:t>
                </m:r>
              </m:num>
              <m:den>
                <m:r>
                  <w:rPr>
                    <w:rFonts w:ascii="Cambria Math" w:hAnsi="Cambria Math" w:cs="Times New Roman"/>
                    <w:sz w:val="24"/>
                    <w:szCs w:val="24"/>
                  </w:rPr>
                  <m:t>NR</m:t>
                </m:r>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m:t>
                </m:r>
              </m:den>
            </m:f>
            <m:r>
              <w:rPr>
                <w:rFonts w:ascii="Times New Roman" w:hAnsi="Times New Roman" w:cs="Times New Roman"/>
                <w:sz w:val="24"/>
                <w:szCs w:val="24"/>
              </w:rPr>
              <m:t>-</m:t>
            </m:r>
            <m:acc>
              <m:accPr>
                <m:chr m:val="̅"/>
                <m:ctrlPr>
                  <w:rPr>
                    <w:rFonts w:ascii="Cambria Math" w:hAnsi="Times New Roman" w:cs="Times New Roman"/>
                    <w:i/>
                    <w:sz w:val="24"/>
                    <w:szCs w:val="24"/>
                  </w:rPr>
                </m:ctrlPr>
              </m:accPr>
              <m:e>
                <m:r>
                  <w:rPr>
                    <w:rFonts w:ascii="Cambria Math" w:hAnsi="Cambria Math" w:cs="Times New Roman"/>
                    <w:sz w:val="24"/>
                    <w:szCs w:val="24"/>
                  </w:rPr>
                  <m:t>X</m:t>
                </m:r>
              </m:e>
            </m:acc>
          </m:e>
        </m:d>
      </m:oMath>
      <w:r w:rsidRPr="00C0187E">
        <w:rPr>
          <w:rFonts w:ascii="Times New Roman" w:hAnsi="Times New Roman" w:cs="Times New Roman"/>
          <w:sz w:val="24"/>
          <w:szCs w:val="24"/>
          <w:vertAlign w:val="superscript"/>
        </w:rPr>
        <w:t>2</w:t>
      </w:r>
    </w:p>
    <w:p w:rsidR="00C0187E" w:rsidRPr="00C0187E" w:rsidRDefault="00247FE6" w:rsidP="00C0187E">
      <w:pPr>
        <w:spacing w:line="360" w:lineRule="auto"/>
        <w:ind w:left="360" w:hanging="360"/>
        <w:rPr>
          <w:rFonts w:ascii="Times New Roman" w:hAnsi="Times New Roman" w:cs="Times New Roman"/>
          <w:sz w:val="24"/>
          <w:szCs w:val="24"/>
          <w:vertAlign w:val="superscript"/>
        </w:rPr>
      </w:pPr>
      <m:oMath>
        <m:acc>
          <m:accPr>
            <m:chr m:val="̅"/>
            <m:ctrlPr>
              <w:rPr>
                <w:rFonts w:ascii="Cambria Math" w:hAnsi="Times New Roman" w:cs="Times New Roman"/>
                <w:i/>
                <w:sz w:val="24"/>
                <w:szCs w:val="24"/>
              </w:rPr>
            </m:ctrlPr>
          </m:accPr>
          <m:e>
            <m:r>
              <w:rPr>
                <w:rFonts w:ascii="Cambria Math" w:hAnsi="Cambria Math" w:cs="Times New Roman"/>
                <w:sz w:val="24"/>
                <w:szCs w:val="24"/>
              </w:rPr>
              <m:t>X</m:t>
            </m:r>
          </m:e>
        </m:acc>
      </m:oMath>
      <w:r w:rsidR="00C0187E" w:rsidRPr="00C0187E">
        <w:rPr>
          <w:rFonts w:ascii="Times New Roman" w:hAnsi="Times New Roman" w:cs="Times New Roman"/>
          <w:sz w:val="24"/>
          <w:szCs w:val="24"/>
        </w:rPr>
        <w:t>= mean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D= Deviation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D</w:t>
      </w:r>
      <w:r w:rsidRPr="00C0187E">
        <w:rPr>
          <w:rFonts w:ascii="Times New Roman" w:hAnsi="Times New Roman" w:cs="Times New Roman"/>
          <w:sz w:val="24"/>
          <w:szCs w:val="24"/>
          <w:vertAlign w:val="superscript"/>
        </w:rPr>
        <w:t xml:space="preserve">2 </w:t>
      </w:r>
      <w:r w:rsidRPr="00C0187E">
        <w:rPr>
          <w:rFonts w:ascii="Times New Roman" w:hAnsi="Times New Roman" w:cs="Times New Roman"/>
          <w:sz w:val="24"/>
          <w:szCs w:val="24"/>
        </w:rPr>
        <w:t>= Standard deviation</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SWV = Sum of variables</w:t>
      </w:r>
    </w:p>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NR (f) = No of respondents</w:t>
      </w:r>
    </w:p>
    <w:p w:rsidR="00C0187E" w:rsidRPr="00C0187E" w:rsidRDefault="00C0187E" w:rsidP="00C0187E">
      <w:pPr>
        <w:spacing w:after="0" w:line="360" w:lineRule="auto"/>
        <w:rPr>
          <w:rFonts w:ascii="Times New Roman" w:hAnsi="Times New Roman" w:cs="Times New Roman"/>
          <w:b/>
          <w:sz w:val="24"/>
          <w:szCs w:val="24"/>
        </w:rPr>
      </w:pPr>
      <w:r w:rsidRPr="00C0187E">
        <w:rPr>
          <w:rFonts w:ascii="Times New Roman" w:hAnsi="Times New Roman" w:cs="Times New Roman"/>
          <w:b/>
          <w:sz w:val="24"/>
          <w:szCs w:val="24"/>
        </w:rPr>
        <w:t>Table 4.7 Level of awareness of Environmental Regulation at the Tanke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586"/>
        <w:gridCol w:w="720"/>
        <w:gridCol w:w="642"/>
        <w:gridCol w:w="642"/>
        <w:gridCol w:w="642"/>
        <w:gridCol w:w="642"/>
        <w:gridCol w:w="763"/>
        <w:gridCol w:w="563"/>
        <w:gridCol w:w="671"/>
        <w:gridCol w:w="529"/>
        <w:gridCol w:w="716"/>
        <w:gridCol w:w="747"/>
      </w:tblGrid>
      <w:tr w:rsidR="00C0187E" w:rsidRPr="00C0187E" w:rsidTr="005F1D62">
        <w:trPr>
          <w:trHeight w:val="375"/>
          <w:jc w:val="center"/>
        </w:trPr>
        <w:tc>
          <w:tcPr>
            <w:tcW w:w="2586" w:type="dxa"/>
          </w:tcPr>
          <w:p w:rsidR="00C0187E" w:rsidRPr="00C0187E" w:rsidRDefault="00C0187E" w:rsidP="00C0187E">
            <w:pPr>
              <w:spacing w:after="0"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tabs>
                <w:tab w:val="center" w:pos="1536"/>
                <w:tab w:val="right" w:pos="3072"/>
              </w:tabs>
              <w:spacing w:after="0" w:line="360" w:lineRule="auto"/>
              <w:ind w:left="360" w:hanging="360"/>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ab/>
              <w:t>RATINGS</w:t>
            </w:r>
            <w:r w:rsidRPr="00C0187E">
              <w:rPr>
                <w:rFonts w:ascii="Times New Roman" w:eastAsia="Times New Roman" w:hAnsi="Times New Roman" w:cs="Times New Roman"/>
                <w:b/>
                <w:color w:val="000000"/>
                <w:sz w:val="24"/>
                <w:szCs w:val="24"/>
              </w:rPr>
              <w:tab/>
            </w:r>
            <w:r w:rsidRPr="00C0187E">
              <w:rPr>
                <w:rFonts w:ascii="Times New Roman" w:eastAsia="Times New Roman" w:hAnsi="Times New Roman" w:cs="Times New Roman"/>
                <w:b/>
                <w:color w:val="000000"/>
                <w:sz w:val="24"/>
                <w:szCs w:val="24"/>
              </w:rPr>
              <w:tab/>
            </w:r>
          </w:p>
        </w:tc>
        <w:tc>
          <w:tcPr>
            <w:tcW w:w="7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ERI</w:t>
            </w:r>
          </w:p>
          <w:p w:rsidR="00C0187E" w:rsidRPr="00C0187E" w:rsidRDefault="00C0187E" w:rsidP="00C0187E">
            <w:pPr>
              <w:spacing w:after="0" w:line="360" w:lineRule="auto"/>
              <w:rPr>
                <w:rFonts w:ascii="Times New Roman" w:eastAsia="Times New Roman" w:hAnsi="Times New Roman" w:cs="Times New Roman"/>
                <w:sz w:val="24"/>
                <w:szCs w:val="24"/>
              </w:rPr>
            </w:pPr>
          </w:p>
        </w:tc>
        <w:tc>
          <w:tcPr>
            <w:tcW w:w="529"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586" w:type="dxa"/>
          </w:tcPr>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sz w:val="24"/>
                <w:szCs w:val="24"/>
              </w:rPr>
              <w:t>Level of awareness of Environmental Regulation</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529"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jc w:val="center"/>
              <w:rPr>
                <w:rFonts w:ascii="Times New Roman" w:hAnsi="Times New Roman" w:cs="Times New Roman"/>
                <w:sz w:val="24"/>
                <w:szCs w:val="24"/>
              </w:rPr>
            </w:pPr>
            <w:r w:rsidRPr="00C0187E">
              <w:rPr>
                <w:rFonts w:ascii="Times New Roman" w:hAnsi="Times New Roman" w:cs="Times New Roman"/>
                <w:sz w:val="24"/>
                <w:szCs w:val="24"/>
              </w:rPr>
              <w:t>Awareness of environmental regulation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294</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0.84</w:t>
            </w:r>
          </w:p>
        </w:tc>
        <w:tc>
          <w:tcPr>
            <w:tcW w:w="529"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4.2</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ab/>
              <w:t>±0.8</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Compliance with waste management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266</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0.76</w:t>
            </w:r>
          </w:p>
        </w:tc>
        <w:tc>
          <w:tcPr>
            <w:tcW w:w="529"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3.8</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0.9</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Adherence to building codes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 xml:space="preserve">0.68 </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3.4</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Implementation of </w:t>
            </w:r>
            <w:r w:rsidRPr="00C0187E">
              <w:rPr>
                <w:rFonts w:ascii="Times New Roman" w:hAnsi="Times New Roman" w:cs="Times New Roman"/>
                <w:sz w:val="24"/>
                <w:szCs w:val="24"/>
              </w:rPr>
              <w:lastRenderedPageBreak/>
              <w:t>sustainable practices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lastRenderedPageBreak/>
              <w:t>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217</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0.62</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3.1</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586"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 xml:space="preserve">Enforcement of environmental law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17.5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203</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eastAsia="Times New Roman" w:hAnsi="Times New Roman" w:cs="Times New Roman"/>
                <w:color w:val="000000"/>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0.58</w:t>
            </w:r>
          </w:p>
        </w:tc>
        <w:tc>
          <w:tcPr>
            <w:tcW w:w="529"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586"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52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a comprehensive overvie</w:t>
      </w:r>
      <w:r w:rsidRPr="00C0187E">
        <w:rPr>
          <w:rFonts w:ascii="Times New Roman" w:hAnsi="Times New Roman" w:cs="Times New Roman"/>
          <w:sz w:val="24"/>
          <w:szCs w:val="24"/>
        </w:rPr>
        <w:t xml:space="preserve">w of respondents' awareness and </w:t>
      </w:r>
      <w:r w:rsidRPr="00C0187E">
        <w:rPr>
          <w:rFonts w:ascii="Times New Roman" w:eastAsia="Times New Roman" w:hAnsi="Times New Roman" w:cs="Times New Roman"/>
          <w:sz w:val="24"/>
          <w:szCs w:val="24"/>
        </w:rPr>
        <w:t>compliance with various environmental regulations. The survey covers five key areas: Awareness of Environmental Regulation, Compliance with Waste Management, Adherence to Building Codes, Implementation of Sustainable Practices, and Enforcement of Environmental Law.</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results indicate that respondents are most aware of Environmental Regulations, with a mean score of 4.2 and an Environmental Regulation Index (ERI) of 0.84. This suggests a high level of awareness and understanding of environmental regulations among respondents. Compliance with Waste Management also scores relatively high, with a mean of 3.8 and an ERI of 0.76.</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However, the scores decline for Adherence to Building Codes (mean = 3.4, ERI = 0.68), Implementation of Sustainable Practices (mean = 3.1, ERI = 0.62), and Enforcement of Environmental Law (mean = 2.9, ERI = 0.58). These results suggest that while respondents are aware of environmental regulations, there may be gaps in implementation and enforcement.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standard deviation values indicate varying levels of dispersion in respondents' answers, with higher values suggesting greater variability. Overall, the survey provides valuable insights into areas where environmental awareness and compliance can be improved, and policymakers can use these findings to target specific interventions.</w:t>
      </w:r>
    </w:p>
    <w:p w:rsidR="00C0187E" w:rsidRPr="00C0187E" w:rsidRDefault="00C0187E" w:rsidP="00C0187E">
      <w:pPr>
        <w:spacing w:after="0" w:line="360" w:lineRule="auto"/>
        <w:rPr>
          <w:rFonts w:ascii="Times New Roman" w:eastAsia="Times New Roman" w:hAnsi="Times New Roman" w:cs="Times New Roman"/>
          <w:b/>
          <w:sz w:val="24"/>
          <w:szCs w:val="24"/>
        </w:rPr>
      </w:pPr>
      <w:r w:rsidRPr="00C0187E">
        <w:rPr>
          <w:rFonts w:ascii="Times New Roman" w:hAnsi="Times New Roman" w:cs="Times New Roman"/>
          <w:b/>
          <w:sz w:val="24"/>
          <w:szCs w:val="24"/>
        </w:rPr>
        <w:t>Table 4.8 Level of awareness of Environmental Regulation at Gambari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73"/>
        <w:gridCol w:w="720"/>
        <w:gridCol w:w="642"/>
        <w:gridCol w:w="642"/>
        <w:gridCol w:w="642"/>
        <w:gridCol w:w="642"/>
        <w:gridCol w:w="763"/>
        <w:gridCol w:w="563"/>
        <w:gridCol w:w="671"/>
        <w:gridCol w:w="642"/>
        <w:gridCol w:w="716"/>
        <w:gridCol w:w="747"/>
      </w:tblGrid>
      <w:tr w:rsidR="00C0187E" w:rsidRPr="00C0187E" w:rsidTr="005F1D62">
        <w:trPr>
          <w:trHeight w:val="375"/>
          <w:jc w:val="center"/>
        </w:trPr>
        <w:tc>
          <w:tcPr>
            <w:tcW w:w="2473" w:type="dxa"/>
          </w:tcPr>
          <w:p w:rsidR="00C0187E" w:rsidRPr="00C0187E" w:rsidRDefault="00C0187E" w:rsidP="00C0187E">
            <w:pPr>
              <w:spacing w:after="0"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ERI</w:t>
            </w:r>
          </w:p>
          <w:p w:rsidR="00C0187E" w:rsidRPr="00C0187E" w:rsidRDefault="00C0187E" w:rsidP="00C0187E">
            <w:pPr>
              <w:spacing w:after="0"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after="0"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b/>
                <w:sz w:val="24"/>
                <w:szCs w:val="24"/>
              </w:rPr>
              <w:t>Level of awareness of Environmental Regulation</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r w:rsidRPr="00C0187E">
              <w:rPr>
                <w:rFonts w:ascii="Times New Roman" w:hAnsi="Times New Roman" w:cs="Times New Roman"/>
                <w:sz w:val="24"/>
                <w:szCs w:val="24"/>
              </w:rPr>
              <w:lastRenderedPageBreak/>
              <w:t>Awareness of environmental regulation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296</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0.85</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4.23</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0.9</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Compliance with waste management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3.99</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Adherence to building codes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3.69</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Implementation of sustainable practices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236</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0.67</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Enforcement of environmental law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9</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223</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3.19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the results of a survey conducted in the Gambari area, focusing on respondents' awareness and perceptions of various environmental regulations. The survey covers five key areas: Awareness of Environmental Regulation, Compliance with Waste Management, Adherence to Building Codes, Implementation of Sustainable Practices, and Enforcement of Environmental Law.</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results indicate that respondents are most aware of Environmental Regulations, with a mean score of 4.23 and an Environmental Regulation Index (ERI) of 0.85. This suggests a high level of awareness and understanding of environmental regulations among respondents, with 35.7% being very aware and 28.6% being aware. Compliance with Waste Management also scores relatively high, with a mean of 3.99 and an ERI of 0.80, indicating that respondents are knowledgeable about waste management practices.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contrast, the scores are slightly lower for Adherence to Building Codes (mean = 3.69, ERI = 0.74), Implementation of Sustainable Practices (mean = 3.37, ERI = 0.67), and Enforcement of </w:t>
      </w:r>
      <w:r w:rsidRPr="00C0187E">
        <w:rPr>
          <w:rFonts w:ascii="Times New Roman" w:hAnsi="Times New Roman" w:cs="Times New Roman"/>
          <w:sz w:val="24"/>
          <w:szCs w:val="24"/>
        </w:rPr>
        <w:lastRenderedPageBreak/>
        <w:t>Environmental Law (mean = 3.19, ERI = 0.64). These results suggest that while respondents are generally aware of environmental regulations, there may be gaps in knowledge or implementation in these specific areas. Overall, the survey highlights the need for targeted interventions to improve awareness and compliance in areas where respondents are less knowledgeable.</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4.3 Challenges and limitation of environmental regulation in the real estate sector at the Atudy Area</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Strongly Agree=5</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Agree=4</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Indifferent=3</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Disagree=2</w:t>
      </w: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Strongly Disagree=1</w:t>
      </w:r>
    </w:p>
    <w:p w:rsidR="00C0187E" w:rsidRPr="00C0187E" w:rsidRDefault="00C0187E" w:rsidP="00C0187E">
      <w:pPr>
        <w:spacing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Table 4.9 Challenges and limitation of environmental regulation in the real estate sector at Tanke Area</w:t>
      </w: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21"/>
        <w:gridCol w:w="720"/>
        <w:gridCol w:w="642"/>
        <w:gridCol w:w="642"/>
        <w:gridCol w:w="642"/>
        <w:gridCol w:w="642"/>
        <w:gridCol w:w="763"/>
        <w:gridCol w:w="563"/>
        <w:gridCol w:w="723"/>
        <w:gridCol w:w="642"/>
        <w:gridCol w:w="716"/>
        <w:gridCol w:w="747"/>
      </w:tblGrid>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CER</w:t>
            </w:r>
          </w:p>
          <w:p w:rsidR="00C0187E" w:rsidRPr="00C0187E" w:rsidRDefault="00C0187E" w:rsidP="00C0187E">
            <w:pPr>
              <w:spacing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Challenges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Lack of Awareness and education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280</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0.65</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4.0</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Inadequate Enforcement and Compliance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0.68</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Insufficient funding and Resources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0.64</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4.0</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Corruption and lack of transparency</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294</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0.72</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4.2</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Limited public participation and </w:t>
            </w:r>
            <w:r w:rsidRPr="00C0187E">
              <w:rPr>
                <w:rFonts w:ascii="Times New Roman" w:hAnsi="Times New Roman" w:cs="Times New Roman"/>
                <w:sz w:val="24"/>
                <w:szCs w:val="24"/>
              </w:rPr>
              <w:lastRenderedPageBreak/>
              <w:t>engagement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lastRenderedPageBreak/>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268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0.61</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3.8</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lastRenderedPageBreak/>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the results of a survey on the challenges of environmental regulation, with 70 respondents. The challenges include lack of awareness and education, inadequate enforcement and compliance, insufficient funding and resources, corruption and lack of transparency, and limited public participation and engagement.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results show that corruption and lack of transparency is perceived as the most significant challenge, with a mean score of 4.2 and a CER Index of 0.72. This suggests that respondents strongly agree that corruption and lack of transparency hinder effective environmental regulation. Inadequate enforcement and compliance follows closely, with a mean score of 4.1 and a CER Index of 0.68.</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overall mean score for all challenges is 4.02, indicating that respondents generally agree that these challenges are significant. The overall CER Index is 0.66, which suggests that the respondents perceive these challenges as substantial.</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variable that respondents see as more of a challenge is corruption and lack of transparency, followed closely by inadequate enforcement and compliance. This suggests that respondents believe that addressing these issues is crucial to improving environmental regulation.</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Table 4.10 Challenges and limitation of environmental regulation in the real estate sector at Gambari Area</w:t>
      </w:r>
    </w:p>
    <w:p w:rsidR="00C0187E" w:rsidRPr="00C0187E" w:rsidRDefault="00C0187E" w:rsidP="00C0187E">
      <w:pPr>
        <w:spacing w:line="360" w:lineRule="auto"/>
        <w:rPr>
          <w:rFonts w:ascii="Times New Roman" w:hAnsi="Times New Roman" w:cs="Times New Roman"/>
          <w:sz w:val="24"/>
          <w:szCs w:val="24"/>
        </w:rPr>
      </w:pPr>
    </w:p>
    <w:tbl>
      <w:tblPr>
        <w:tblW w:w="9863"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21"/>
        <w:gridCol w:w="720"/>
        <w:gridCol w:w="642"/>
        <w:gridCol w:w="642"/>
        <w:gridCol w:w="642"/>
        <w:gridCol w:w="642"/>
        <w:gridCol w:w="763"/>
        <w:gridCol w:w="563"/>
        <w:gridCol w:w="723"/>
        <w:gridCol w:w="642"/>
        <w:gridCol w:w="716"/>
        <w:gridCol w:w="747"/>
      </w:tblGrid>
      <w:tr w:rsidR="00C0187E" w:rsidRPr="00C0187E" w:rsidTr="005F1D62">
        <w:trPr>
          <w:trHeight w:val="375"/>
          <w:jc w:val="center"/>
        </w:trPr>
        <w:tc>
          <w:tcPr>
            <w:tcW w:w="2473"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88"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7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CER</w:t>
            </w:r>
          </w:p>
          <w:p w:rsidR="00C0187E" w:rsidRPr="00C0187E" w:rsidRDefault="00C0187E" w:rsidP="00C0187E">
            <w:pPr>
              <w:spacing w:line="360" w:lineRule="auto"/>
              <w:rPr>
                <w:rFonts w:ascii="Times New Roman" w:eastAsia="Times New Roman" w:hAnsi="Times New Roman" w:cs="Times New Roman"/>
                <w:sz w:val="24"/>
                <w:szCs w:val="24"/>
              </w:rPr>
            </w:pP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73"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Challenges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7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Lack of Awareness and education</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258</w:t>
            </w: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71"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0.59</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3.7</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lastRenderedPageBreak/>
              <w:t>Inadequate Enforcement and Compliance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305</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0.81</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4.4</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 xml:space="preserve">Insufficient funding and Resources </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298</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0.77</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4.3</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Corruption and lack of transparency</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6</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274</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0.63</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75"/>
          <w:jc w:val="center"/>
        </w:trPr>
        <w:tc>
          <w:tcPr>
            <w:tcW w:w="2473"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Limited public participation and engagement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18</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259</w:t>
            </w:r>
          </w:p>
        </w:tc>
        <w:tc>
          <w:tcPr>
            <w:tcW w:w="563" w:type="dxa"/>
            <w:shd w:val="clear" w:color="auto" w:fill="auto"/>
            <w:noWrap/>
            <w:hideMark/>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70</w:t>
            </w:r>
          </w:p>
        </w:tc>
        <w:tc>
          <w:tcPr>
            <w:tcW w:w="671"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0.60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1.2</w:t>
            </w:r>
          </w:p>
        </w:tc>
      </w:tr>
      <w:tr w:rsidR="00C0187E" w:rsidRPr="00C0187E" w:rsidTr="005F1D62">
        <w:trPr>
          <w:trHeight w:val="341"/>
          <w:jc w:val="center"/>
        </w:trPr>
        <w:tc>
          <w:tcPr>
            <w:tcW w:w="2473"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7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table presents the results of a survey on the challenges of environmental regulation, with 70 respondents. The challenges include lack of awareness and education, inadequate enforcement and compliance, insufficient funding and resources, corruption and lack of transparency, and limited public participation and engagement.</w:t>
      </w:r>
    </w:p>
    <w:p w:rsidR="00C0187E" w:rsidRPr="00C0187E" w:rsidRDefault="00C0187E" w:rsidP="00C0187E">
      <w:pPr>
        <w:spacing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According to the results, inadequate enforcement and compliance is the most significant challenge, with a mean score of 4.4 and a CER Index of 0.81. This suggests that respondents strongly agree that inadequate enforcement and compliance hinder effective environmental regulation. Insufficient funding and resources follows closely, with a mean score of 4.3 and a CER Index of 0.77.</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results also show that corruption and lack of transparency, lack of awareness and education, and limited public participation and engagement are also significant challenges, but to a lesser extent. The overall mean score for all challenges is 4.0, indicating that respondents generally agree that these challenges are significant. The overall CER Index is 0.68, which suggests that the respondents perceive these challenges as substantial.</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lastRenderedPageBreak/>
        <w:t>The challenge that stands out as more significant than the others is inadequate enforcement and compliance, which has the highest mean score and CER Index. This suggests that respondents believe that strengthening enforcement and compliance mechanisms is crucial to improving environmental regulation.</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4.3 Impact of environmental regulation on real estate development at Study Areas</w:t>
      </w:r>
    </w:p>
    <w:p w:rsidR="00C0187E" w:rsidRPr="00C0187E" w:rsidRDefault="00C0187E" w:rsidP="00C0187E">
      <w:pPr>
        <w:tabs>
          <w:tab w:val="left" w:pos="5835"/>
        </w:tabs>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Table 4.11 Impact of environmental regulation on real estate development at Tanke Area</w:t>
      </w:r>
      <w:r w:rsidRPr="00C0187E">
        <w:rPr>
          <w:rFonts w:ascii="Times New Roman" w:eastAsia="Times New Roman" w:hAnsi="Times New Roman" w:cs="Times New Roman"/>
          <w:b/>
          <w:bCs/>
          <w:sz w:val="24"/>
          <w:szCs w:val="24"/>
        </w:rPr>
        <w:tab/>
      </w:r>
    </w:p>
    <w:tbl>
      <w:tblPr>
        <w:tblW w:w="91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55"/>
        <w:gridCol w:w="720"/>
        <w:gridCol w:w="642"/>
        <w:gridCol w:w="642"/>
        <w:gridCol w:w="579"/>
        <w:gridCol w:w="642"/>
        <w:gridCol w:w="763"/>
        <w:gridCol w:w="581"/>
        <w:gridCol w:w="642"/>
        <w:gridCol w:w="716"/>
        <w:gridCol w:w="747"/>
      </w:tblGrid>
      <w:tr w:rsidR="00C0187E" w:rsidRPr="00C0187E" w:rsidTr="005F1D62">
        <w:trPr>
          <w:trHeight w:val="375"/>
          <w:jc w:val="center"/>
        </w:trPr>
        <w:tc>
          <w:tcPr>
            <w:tcW w:w="2455"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25"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8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Impacts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8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Increase property values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270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4.3</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Increase cost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251</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Improve public health</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246</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4.0</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Sustainable development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3.8</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Uncertainty and risk</w:t>
            </w:r>
          </w:p>
        </w:tc>
        <w:tc>
          <w:tcPr>
            <w:tcW w:w="720"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210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3.6</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1.4</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Limitation on land use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195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3.3</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r>
      <w:tr w:rsidR="00C0187E" w:rsidRPr="00C0187E" w:rsidTr="005F1D62">
        <w:trPr>
          <w:trHeight w:val="341"/>
          <w:jc w:val="center"/>
        </w:trPr>
        <w:tc>
          <w:tcPr>
            <w:tcW w:w="2455"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sz w:val="24"/>
          <w:szCs w:val="24"/>
        </w:rPr>
        <w:t>The table presents the results of a survey on the impact of various factors. The highest impact is "Increase Property Value" with a mean score of 4.3. This suggests that the majority of respondents (57.1% strongly agree and 28.6% agree) believe that property value increases significantly. The high mean score indicates a strong positive perception of this impact.</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next highest impacts are "Increase Cost" with a mean score of 4.1 and "Improve Public Health" with a mean score of 4.0. These impacts also have a significant proportion of respondents who agree or strongly agree with their positive effects. The mean scores indicate </w:t>
      </w:r>
      <w:r w:rsidRPr="00C0187E">
        <w:rPr>
          <w:rFonts w:ascii="Times New Roman" w:hAnsi="Times New Roman" w:cs="Times New Roman"/>
          <w:sz w:val="24"/>
          <w:szCs w:val="24"/>
        </w:rPr>
        <w:lastRenderedPageBreak/>
        <w:t>that these impacts are also perceived positively, although not as strongly as "Increase Property Value".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 contrast, the impacts with lower mean scores, such as "Limitation on Land Use" with a mean score of 3.3, suggest that respondents are more divided in their opinions or less convinced of their significance. Overall, the table provides insights into the perceived impacts of various factors, with "Increase Property Value" emerging as the most significant.</w:t>
      </w:r>
    </w:p>
    <w:p w:rsidR="00C0187E" w:rsidRPr="00C0187E" w:rsidRDefault="00C0187E" w:rsidP="00C0187E">
      <w:pPr>
        <w:spacing w:after="0" w:line="360" w:lineRule="auto"/>
        <w:rPr>
          <w:rFonts w:ascii="Times New Roman" w:eastAsia="Times New Roman" w:hAnsi="Times New Roman" w:cs="Times New Roman"/>
          <w:b/>
          <w:bCs/>
          <w:sz w:val="24"/>
          <w:szCs w:val="24"/>
        </w:rPr>
      </w:pPr>
      <w:r w:rsidRPr="00C0187E">
        <w:rPr>
          <w:rFonts w:ascii="Times New Roman" w:eastAsia="Times New Roman" w:hAnsi="Times New Roman" w:cs="Times New Roman"/>
          <w:b/>
          <w:bCs/>
          <w:sz w:val="24"/>
          <w:szCs w:val="24"/>
        </w:rPr>
        <w:t>Table 4.12 Impact of environmental regulation on real estate development at Gambari Area</w:t>
      </w:r>
    </w:p>
    <w:tbl>
      <w:tblPr>
        <w:tblW w:w="912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2455"/>
        <w:gridCol w:w="720"/>
        <w:gridCol w:w="642"/>
        <w:gridCol w:w="642"/>
        <w:gridCol w:w="579"/>
        <w:gridCol w:w="642"/>
        <w:gridCol w:w="763"/>
        <w:gridCol w:w="581"/>
        <w:gridCol w:w="642"/>
        <w:gridCol w:w="716"/>
        <w:gridCol w:w="747"/>
      </w:tblGrid>
      <w:tr w:rsidR="00C0187E" w:rsidRPr="00C0187E" w:rsidTr="005F1D62">
        <w:trPr>
          <w:trHeight w:val="375"/>
          <w:jc w:val="center"/>
        </w:trPr>
        <w:tc>
          <w:tcPr>
            <w:tcW w:w="2455" w:type="dxa"/>
          </w:tcPr>
          <w:p w:rsidR="00C0187E" w:rsidRPr="00C0187E" w:rsidRDefault="00C0187E" w:rsidP="00C0187E">
            <w:pPr>
              <w:spacing w:line="360" w:lineRule="auto"/>
              <w:ind w:left="360" w:hanging="360"/>
              <w:jc w:val="center"/>
              <w:rPr>
                <w:rFonts w:ascii="Times New Roman" w:hAnsi="Times New Roman" w:cs="Times New Roman"/>
                <w:sz w:val="24"/>
                <w:szCs w:val="24"/>
              </w:rPr>
            </w:pPr>
          </w:p>
        </w:tc>
        <w:tc>
          <w:tcPr>
            <w:tcW w:w="3225" w:type="dxa"/>
            <w:gridSpan w:val="5"/>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RATINGS</w:t>
            </w:r>
          </w:p>
        </w:tc>
        <w:tc>
          <w:tcPr>
            <w:tcW w:w="763"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SWV</w:t>
            </w:r>
          </w:p>
        </w:tc>
        <w:tc>
          <w:tcPr>
            <w:tcW w:w="581"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NR</w:t>
            </w:r>
          </w:p>
        </w:tc>
        <w:tc>
          <w:tcPr>
            <w:tcW w:w="642"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E</w:t>
            </w:r>
          </w:p>
        </w:tc>
        <w:tc>
          <w:tcPr>
            <w:tcW w:w="716"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p>
        </w:tc>
        <w:tc>
          <w:tcPr>
            <w:tcW w:w="747" w:type="dxa"/>
            <w:vMerge w:val="restart"/>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D</w:t>
            </w:r>
            <w:r w:rsidRPr="00C0187E">
              <w:rPr>
                <w:rFonts w:ascii="Times New Roman" w:eastAsia="Times New Roman" w:hAnsi="Times New Roman" w:cs="Times New Roman"/>
                <w:b/>
                <w:color w:val="000000"/>
                <w:sz w:val="24"/>
                <w:szCs w:val="24"/>
                <w:vertAlign w:val="superscript"/>
              </w:rPr>
              <w:t>2</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b/>
                <w:sz w:val="24"/>
                <w:szCs w:val="24"/>
              </w:rPr>
              <w:t>Impacts</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4</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3</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2</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
                <w:color w:val="000000"/>
                <w:sz w:val="24"/>
                <w:szCs w:val="24"/>
              </w:rPr>
              <w:t>1</w:t>
            </w:r>
          </w:p>
        </w:tc>
        <w:tc>
          <w:tcPr>
            <w:tcW w:w="763"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581"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16"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c>
          <w:tcPr>
            <w:tcW w:w="747" w:type="dxa"/>
            <w:vMerge/>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Increase property values</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235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bottom w:val="single" w:sz="4" w:space="0" w:color="auto"/>
            </w:tcBorders>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3.9</w:t>
            </w:r>
          </w:p>
        </w:tc>
        <w:tc>
          <w:tcPr>
            <w:tcW w:w="716" w:type="dxa"/>
            <w:shd w:val="clear" w:color="auto" w:fill="auto"/>
            <w:noWrap/>
            <w:hideMark/>
          </w:tcPr>
          <w:p w:rsidR="00C0187E" w:rsidRPr="00C0187E" w:rsidRDefault="00C0187E" w:rsidP="00C0187E">
            <w:pPr>
              <w:tabs>
                <w:tab w:val="center" w:pos="250"/>
              </w:tabs>
              <w:spacing w:line="360" w:lineRule="auto"/>
              <w:ind w:left="360" w:hanging="360"/>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1.2</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1.9</w:t>
            </w:r>
          </w:p>
        </w:tc>
      </w:tr>
      <w:tr w:rsidR="00C0187E" w:rsidRPr="00C0187E" w:rsidTr="005F1D62">
        <w:trPr>
          <w:trHeight w:val="462"/>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Increase cost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763"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205</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3.5</w:t>
            </w:r>
          </w:p>
        </w:tc>
        <w:tc>
          <w:tcPr>
            <w:tcW w:w="716" w:type="dxa"/>
            <w:tcBorders>
              <w:top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1.4</w:t>
            </w:r>
          </w:p>
        </w:tc>
        <w:tc>
          <w:tcPr>
            <w:tcW w:w="747"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Improve public health</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45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290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4.4</w:t>
            </w:r>
          </w:p>
        </w:tc>
        <w:tc>
          <w:tcPr>
            <w:tcW w:w="716" w:type="dxa"/>
            <w:tcBorders>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0.9</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Sustainable development</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30</w:t>
            </w:r>
          </w:p>
        </w:tc>
        <w:tc>
          <w:tcPr>
            <w:tcW w:w="642"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253</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3.9</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1.1</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1.3</w:t>
            </w:r>
          </w:p>
        </w:tc>
      </w:tr>
      <w:tr w:rsidR="00C0187E" w:rsidRPr="00C0187E" w:rsidTr="005F1D62">
        <w:trPr>
          <w:trHeight w:val="375"/>
          <w:jc w:val="center"/>
        </w:trPr>
        <w:tc>
          <w:tcPr>
            <w:tcW w:w="2455" w:type="dxa"/>
          </w:tcPr>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Uncertainty and risk</w:t>
            </w:r>
          </w:p>
        </w:tc>
        <w:tc>
          <w:tcPr>
            <w:tcW w:w="720" w:type="dxa"/>
            <w:shd w:val="clear" w:color="auto" w:fill="auto"/>
            <w:noWrap/>
            <w:hideMark/>
          </w:tcPr>
          <w:p w:rsidR="00C0187E" w:rsidRPr="00C0187E" w:rsidRDefault="00C0187E" w:rsidP="00C0187E">
            <w:pPr>
              <w:spacing w:line="360" w:lineRule="auto"/>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15</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220</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3.7</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1.3</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1.4</w:t>
            </w:r>
          </w:p>
        </w:tc>
      </w:tr>
      <w:tr w:rsidR="00C0187E" w:rsidRPr="00C0187E" w:rsidTr="005F1D62">
        <w:trPr>
          <w:trHeight w:val="375"/>
          <w:jc w:val="center"/>
        </w:trPr>
        <w:tc>
          <w:tcPr>
            <w:tcW w:w="2455" w:type="dxa"/>
          </w:tcPr>
          <w:p w:rsidR="00C0187E" w:rsidRPr="00C0187E" w:rsidRDefault="00C0187E" w:rsidP="00C0187E">
            <w:pPr>
              <w:spacing w:line="360" w:lineRule="auto"/>
              <w:ind w:left="360" w:hanging="360"/>
              <w:rPr>
                <w:rFonts w:ascii="Times New Roman" w:hAnsi="Times New Roman" w:cs="Times New Roman"/>
                <w:sz w:val="24"/>
                <w:szCs w:val="24"/>
              </w:rPr>
            </w:pPr>
            <w:r w:rsidRPr="00C0187E">
              <w:rPr>
                <w:rFonts w:ascii="Times New Roman" w:hAnsi="Times New Roman" w:cs="Times New Roman"/>
                <w:sz w:val="24"/>
                <w:szCs w:val="24"/>
              </w:rPr>
              <w:t>Limitation on land use</w:t>
            </w:r>
          </w:p>
        </w:tc>
        <w:tc>
          <w:tcPr>
            <w:tcW w:w="720" w:type="dxa"/>
            <w:shd w:val="clear" w:color="auto" w:fill="auto"/>
            <w:noWrap/>
            <w:hideMark/>
          </w:tcPr>
          <w:p w:rsidR="00C0187E" w:rsidRPr="00C0187E" w:rsidRDefault="00C0187E" w:rsidP="00C0187E">
            <w:pPr>
              <w:spacing w:line="360" w:lineRule="auto"/>
              <w:ind w:left="360" w:hanging="360"/>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35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20</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8</w:t>
            </w: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5</w:t>
            </w: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w:t>
            </w: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253</w:t>
            </w: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70</w:t>
            </w:r>
          </w:p>
        </w:tc>
        <w:tc>
          <w:tcPr>
            <w:tcW w:w="642"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hAnsi="Times New Roman" w:cs="Times New Roman"/>
              </w:rPr>
            </w:pPr>
            <w:r w:rsidRPr="00C0187E">
              <w:rPr>
                <w:rFonts w:ascii="Times New Roman" w:hAnsi="Times New Roman" w:cs="Times New Roman"/>
              </w:rPr>
              <w:t>4.1</w:t>
            </w:r>
          </w:p>
        </w:tc>
        <w:tc>
          <w:tcPr>
            <w:tcW w:w="716" w:type="dxa"/>
            <w:tcBorders>
              <w:top w:val="single" w:sz="4" w:space="0" w:color="auto"/>
              <w:bottom w:val="single" w:sz="4" w:space="0" w:color="auto"/>
            </w:tcBorders>
            <w:shd w:val="clear" w:color="auto" w:fill="auto"/>
            <w:noWrap/>
            <w:hideMark/>
          </w:tcPr>
          <w:p w:rsidR="00C0187E" w:rsidRPr="00C0187E" w:rsidRDefault="00C0187E" w:rsidP="00C0187E">
            <w:pPr>
              <w:spacing w:line="360" w:lineRule="auto"/>
              <w:rPr>
                <w:rFonts w:ascii="Times New Roman" w:eastAsia="Times New Roman" w:hAnsi="Times New Roman" w:cs="Times New Roman"/>
                <w:bCs/>
                <w:color w:val="000000"/>
                <w:sz w:val="24"/>
                <w:szCs w:val="24"/>
              </w:rPr>
            </w:pPr>
            <w:r w:rsidRPr="00C0187E">
              <w:rPr>
                <w:rFonts w:ascii="Times New Roman" w:eastAsia="Times New Roman" w:hAnsi="Times New Roman" w:cs="Times New Roman"/>
                <w:bCs/>
                <w:color w:val="000000"/>
                <w:sz w:val="24"/>
                <w:szCs w:val="24"/>
              </w:rPr>
              <w:t>1.0</w:t>
            </w: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color w:val="000000"/>
                <w:sz w:val="24"/>
                <w:szCs w:val="24"/>
              </w:rPr>
            </w:pPr>
            <w:r w:rsidRPr="00C0187E">
              <w:rPr>
                <w:rFonts w:ascii="Times New Roman" w:eastAsia="Times New Roman" w:hAnsi="Times New Roman" w:cs="Times New Roman"/>
                <w:color w:val="000000"/>
                <w:sz w:val="24"/>
                <w:szCs w:val="24"/>
              </w:rPr>
              <w:t>1.1</w:t>
            </w:r>
          </w:p>
        </w:tc>
      </w:tr>
      <w:tr w:rsidR="00C0187E" w:rsidRPr="00C0187E" w:rsidTr="005F1D62">
        <w:trPr>
          <w:trHeight w:val="341"/>
          <w:jc w:val="center"/>
        </w:trPr>
        <w:tc>
          <w:tcPr>
            <w:tcW w:w="2455" w:type="dxa"/>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r w:rsidRPr="00C0187E">
              <w:rPr>
                <w:rFonts w:ascii="Times New Roman" w:eastAsia="Times New Roman" w:hAnsi="Times New Roman" w:cs="Times New Roman"/>
                <w:b/>
                <w:color w:val="000000"/>
                <w:sz w:val="24"/>
                <w:szCs w:val="24"/>
              </w:rPr>
              <w:t>Total</w:t>
            </w:r>
          </w:p>
        </w:tc>
        <w:tc>
          <w:tcPr>
            <w:tcW w:w="720"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79"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63"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581"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642"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color w:val="000000"/>
                <w:sz w:val="24"/>
                <w:szCs w:val="24"/>
              </w:rPr>
            </w:pPr>
          </w:p>
        </w:tc>
        <w:tc>
          <w:tcPr>
            <w:tcW w:w="716"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c>
          <w:tcPr>
            <w:tcW w:w="747" w:type="dxa"/>
            <w:shd w:val="clear" w:color="auto" w:fill="auto"/>
            <w:noWrap/>
            <w:hideMark/>
          </w:tcPr>
          <w:p w:rsidR="00C0187E" w:rsidRPr="00C0187E" w:rsidRDefault="00C0187E" w:rsidP="00C0187E">
            <w:pPr>
              <w:spacing w:line="360" w:lineRule="auto"/>
              <w:ind w:left="360" w:hanging="360"/>
              <w:jc w:val="center"/>
              <w:rPr>
                <w:rFonts w:ascii="Times New Roman" w:eastAsia="Times New Roman" w:hAnsi="Times New Roman" w:cs="Times New Roman"/>
                <w:b/>
                <w:sz w:val="24"/>
                <w:szCs w:val="24"/>
              </w:rPr>
            </w:pPr>
          </w:p>
        </w:tc>
      </w:tr>
    </w:tbl>
    <w:p w:rsidR="00C0187E" w:rsidRPr="00C0187E" w:rsidRDefault="00C0187E" w:rsidP="00C0187E">
      <w:pPr>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Source: Student Field Survey</w:t>
      </w:r>
      <w:r w:rsidRPr="00C0187E">
        <w:rPr>
          <w:rFonts w:ascii="Times New Roman" w:hAnsi="Times New Roman" w:cs="Times New Roman"/>
          <w:b/>
          <w:bCs/>
          <w:sz w:val="24"/>
          <w:szCs w:val="24"/>
        </w:rPr>
        <w:tab/>
        <w:t>, 2025</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table presents the results of a survey on the impact of various factors, with "Improve Public Health" emerging as the highest impact with a mean score of 4.4. This suggests that the majority of respondents (64.3% strongly agree and 21.4% agree) believe that improving public health is a significant consideration. The high mean score indicates a strong positive perception of this impact.</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lastRenderedPageBreak/>
        <w:t>The next highest impacts are "Limitation on Land Use" with a mean score of 4.2 and "Sustainable Development" with a mean score of 4.1. These impacts also have a significant proportion of respondents who agree or strongly agree with their positive effects. The mean scores indicate that these impacts are also perceived positively, although not as strongly as "Improve Public Health".</w:t>
      </w:r>
    </w:p>
    <w:p w:rsidR="00C0187E" w:rsidRPr="00C0187E" w:rsidRDefault="00C0187E" w:rsidP="00C0187E">
      <w:pPr>
        <w:spacing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The high ranking of "Improve Public Health" suggests that respondents prioritize health outcomes and recognize the importance of initiatives that promote public health. The table provides valuable insights into the perceived impacts of various factors, highlighting the significance of health and sustainability considerations.</w:t>
      </w: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sz w:val="24"/>
          <w:szCs w:val="24"/>
        </w:rPr>
      </w:pPr>
    </w:p>
    <w:p w:rsidR="00C0187E" w:rsidRPr="00C0187E" w:rsidRDefault="00C0187E" w:rsidP="00C0187E">
      <w:pPr>
        <w:tabs>
          <w:tab w:val="left" w:pos="1260"/>
        </w:tabs>
        <w:spacing w:line="360" w:lineRule="auto"/>
        <w:rPr>
          <w:rFonts w:ascii="Times New Roman" w:hAnsi="Times New Roman" w:cs="Times New Roman"/>
          <w:b/>
          <w:bCs/>
          <w:sz w:val="24"/>
          <w:szCs w:val="24"/>
        </w:rPr>
      </w:pPr>
    </w:p>
    <w:p w:rsidR="00C0187E" w:rsidRPr="00C0187E" w:rsidRDefault="00C0187E" w:rsidP="00C0187E">
      <w:pPr>
        <w:tabs>
          <w:tab w:val="left" w:pos="1260"/>
        </w:tabs>
        <w:spacing w:line="360" w:lineRule="auto"/>
        <w:rPr>
          <w:rFonts w:ascii="Times New Roman" w:hAnsi="Times New Roman" w:cs="Times New Roman"/>
          <w:b/>
          <w:bCs/>
          <w:sz w:val="24"/>
          <w:szCs w:val="24"/>
        </w:rPr>
      </w:pPr>
      <w:r w:rsidRPr="00C0187E">
        <w:rPr>
          <w:rFonts w:ascii="Times New Roman" w:hAnsi="Times New Roman" w:cs="Times New Roman"/>
          <w:b/>
          <w:bCs/>
          <w:sz w:val="24"/>
          <w:szCs w:val="24"/>
        </w:rPr>
        <w:t xml:space="preserve">                                                           CHAPTER FIVE</w:t>
      </w:r>
    </w:p>
    <w:p w:rsidR="00C0187E" w:rsidRPr="00C0187E" w:rsidRDefault="00C0187E" w:rsidP="00C0187E">
      <w:pPr>
        <w:tabs>
          <w:tab w:val="left" w:pos="1260"/>
        </w:tabs>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5.1 SUMMARY OF FINDINGS</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 xml:space="preserve">A notable observation is the similarity in age distributions between the two areas. The 41-60 years age range dominates both areas, accounting for 42.9% of respondents in each area. This suggests that middle-aged individuals are well-represented in the study. A comparison of the two areas reveals that the gender distribution is similar, with males having a higher representation than females in both areas. </w:t>
      </w:r>
      <w:r w:rsidRPr="00C0187E">
        <w:rPr>
          <w:rFonts w:ascii="Times New Roman" w:eastAsia="Times New Roman" w:hAnsi="Times New Roman" w:cs="Times New Roman"/>
          <w:sz w:val="24"/>
          <w:szCs w:val="24"/>
        </w:rPr>
        <w:t xml:space="preserve"> A closer look at the table reveals that the occupation distribution varies significantly between the two areas, reflecting different economic and social characteristics. </w:t>
      </w:r>
    </w:p>
    <w:p w:rsidR="00C0187E" w:rsidRPr="00C0187E" w:rsidRDefault="00C0187E" w:rsidP="00C0187E">
      <w:pPr>
        <w:spacing w:after="0" w:line="360" w:lineRule="auto"/>
        <w:rPr>
          <w:rFonts w:ascii="Times New Roman" w:eastAsia="Times New Roman" w:hAnsi="Times New Roman" w:cs="Times New Roman"/>
          <w:sz w:val="24"/>
          <w:szCs w:val="24"/>
        </w:rPr>
      </w:pPr>
    </w:p>
    <w:p w:rsidR="00C0187E" w:rsidRPr="00C0187E" w:rsidRDefault="00C0187E" w:rsidP="00C0187E">
      <w:pPr>
        <w:spacing w:after="0" w:line="360" w:lineRule="auto"/>
        <w:rPr>
          <w:rFonts w:ascii="Times New Roman" w:eastAsia="Times New Roman" w:hAnsi="Times New Roman" w:cs="Times New Roman"/>
          <w:sz w:val="24"/>
          <w:szCs w:val="24"/>
        </w:rPr>
      </w:pPr>
      <w:r w:rsidRPr="00C0187E">
        <w:rPr>
          <w:rFonts w:ascii="Times New Roman" w:eastAsia="Times New Roman" w:hAnsi="Times New Roman" w:cs="Times New Roman"/>
          <w:sz w:val="24"/>
          <w:szCs w:val="24"/>
        </w:rPr>
        <w:t xml:space="preserve">There is significant difference in education levels between the two areas. Tanke Area appears to have a more advanced education profile, with a higher proportion of respondents holding degrees and masters degrees. In contrast, Gambari Area has a larger proportion of respondents with lower-level qualifications, such as Primary School Leaving Certificates and SSCE. In Tanke Area, Christianity is the dominant religion, with 50 respondents (71.4%) identifying as </w:t>
      </w:r>
      <w:r w:rsidRPr="00C0187E">
        <w:rPr>
          <w:rFonts w:ascii="Times New Roman" w:eastAsia="Times New Roman" w:hAnsi="Times New Roman" w:cs="Times New Roman"/>
          <w:sz w:val="24"/>
          <w:szCs w:val="24"/>
        </w:rPr>
        <w:lastRenderedPageBreak/>
        <w:t xml:space="preserve">Christians, while 20 respondents (28.6%) identify as Muslims. In contrast, Gambari Area is entirely Muslim, with all 70 respondents (100%) identifying as Muslims, and no Christians. Notably, there are no traditional worshippers in either area. </w:t>
      </w:r>
      <w:r w:rsidRPr="00C0187E">
        <w:rPr>
          <w:rFonts w:ascii="Times New Roman" w:hAnsi="Times New Roman" w:cs="Times New Roman"/>
          <w:sz w:val="24"/>
          <w:szCs w:val="24"/>
        </w:rPr>
        <w:t xml:space="preserve">The tribal distribution varies between the two areas, with Yoruba being the majority in both areas, but more pronounced in Gambari Area. </w:t>
      </w:r>
    </w:p>
    <w:p w:rsidR="00C0187E" w:rsidRPr="00C0187E" w:rsidRDefault="00C0187E" w:rsidP="00C0187E">
      <w:pPr>
        <w:tabs>
          <w:tab w:val="left" w:pos="1260"/>
        </w:tabs>
        <w:spacing w:after="0" w:line="360" w:lineRule="auto"/>
        <w:rPr>
          <w:rFonts w:ascii="Times New Roman" w:hAnsi="Times New Roman" w:cs="Times New Roman"/>
          <w:sz w:val="24"/>
          <w:szCs w:val="24"/>
        </w:rPr>
      </w:pP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 xml:space="preserve">At Tanke Area, the results indicate that respondents are most aware of Environmental Regulations, with a mean score of 4.2 and an Environmental Regulation Index (ERI) of 0.84. This suggests a high level of awareness and understanding of environmental regulations among respondents. Compliance with Waste Management also scores relatively high, with a mean of 3.8 and an ERI of 0.76 while at Gambari Area, </w:t>
      </w:r>
      <w:r w:rsidRPr="00C0187E">
        <w:rPr>
          <w:rFonts w:ascii="Times New Roman" w:hAnsi="Times New Roman" w:cs="Times New Roman"/>
          <w:sz w:val="24"/>
          <w:szCs w:val="24"/>
        </w:rPr>
        <w:t>the results indicate that respondents are most aware of Environmental Regulations, with a mean score of 4.23 and an Environmental Regulation Index (ERI) of 0.85. This suggests a high level of awareness and understanding of environmental regulations among respondents, with 35.7% being very aware and 28.6% being aware. Compliance with Waste Management also scores relatively high, with a mean of 3.99 and an ERI of 0.80, indicating that respondents are knowledgeable about waste management practices.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eastAsia="Times New Roman" w:hAnsi="Times New Roman" w:cs="Times New Roman"/>
          <w:sz w:val="24"/>
          <w:szCs w:val="24"/>
        </w:rPr>
        <w:t>The results show that corruption and lack of transparency is perceived as the most significant challenge, with a mean score of 4.2 and a CER Index of 0.72 at Tanke Area while at Gambari Area</w:t>
      </w:r>
      <w:r w:rsidRPr="00C0187E">
        <w:rPr>
          <w:rFonts w:ascii="Times New Roman" w:hAnsi="Times New Roman" w:cs="Times New Roman"/>
          <w:sz w:val="24"/>
          <w:szCs w:val="24"/>
        </w:rPr>
        <w:t xml:space="preserve"> inadequate enforcement and compliance is the most significant challenge, with a mean score of 4.4 and a CER Index of 0.81.</w:t>
      </w:r>
      <w:r w:rsidRPr="00C0187E">
        <w:rPr>
          <w:rFonts w:ascii="Times New Roman" w:eastAsia="Times New Roman" w:hAnsi="Times New Roman" w:cs="Times New Roman"/>
          <w:sz w:val="24"/>
          <w:szCs w:val="24"/>
        </w:rPr>
        <w:t xml:space="preserve"> concerning the impact, t</w:t>
      </w:r>
      <w:r w:rsidRPr="00C0187E">
        <w:rPr>
          <w:rFonts w:ascii="Times New Roman" w:hAnsi="Times New Roman" w:cs="Times New Roman"/>
          <w:sz w:val="24"/>
          <w:szCs w:val="24"/>
        </w:rPr>
        <w:t xml:space="preserve">he highest impact is "Increase Property Value" with a mean score of 4.3 at Tanke area while that of Gambari area, </w:t>
      </w:r>
      <w:r w:rsidRPr="00C0187E">
        <w:rPr>
          <w:rFonts w:ascii="Times New Roman" w:eastAsia="Times New Roman" w:hAnsi="Times New Roman" w:cs="Times New Roman"/>
          <w:sz w:val="24"/>
          <w:szCs w:val="24"/>
        </w:rPr>
        <w:t>Improve Public Health" emerges as the highest impact with a mean score of 4.4.</w:t>
      </w:r>
    </w:p>
    <w:p w:rsidR="00C0187E" w:rsidRPr="00C0187E" w:rsidRDefault="00C0187E" w:rsidP="00C0187E">
      <w:pPr>
        <w:tabs>
          <w:tab w:val="left" w:pos="1260"/>
        </w:tabs>
        <w:spacing w:after="0" w:line="360" w:lineRule="auto"/>
        <w:rPr>
          <w:rFonts w:ascii="Times New Roman" w:hAnsi="Times New Roman" w:cs="Times New Roman"/>
          <w:sz w:val="24"/>
          <w:szCs w:val="24"/>
        </w:rPr>
      </w:pPr>
      <w:r w:rsidRPr="00C0187E">
        <w:rPr>
          <w:rFonts w:ascii="Times New Roman" w:hAnsi="Times New Roman" w:cs="Times New Roman"/>
          <w:b/>
          <w:bCs/>
          <w:sz w:val="24"/>
          <w:szCs w:val="24"/>
        </w:rPr>
        <w:t>5.2 CONCLUSION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survey results, it can be concluded that the perceived impacts of various factors vary significantly. The highest-ranked impacts, such as "Improve Public Health" and "Sustainable Development", suggest that respondents prioritize health and sustainability considerations. The findings highlight the importance of considering these factors in decision-making processes.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The survey results also indicate that respondents have varying opinions on the impacts of "Increase Property Value", "Limitation on Land Use", "Uncertainty and Risk", and "Increase </w:t>
      </w:r>
      <w:r w:rsidRPr="00C0187E">
        <w:rPr>
          <w:rFonts w:ascii="Times New Roman" w:hAnsi="Times New Roman" w:cs="Times New Roman"/>
          <w:sz w:val="24"/>
          <w:szCs w:val="24"/>
        </w:rPr>
        <w:lastRenderedPageBreak/>
        <w:t>Cost". These findings can inform strategies and policies that balance competing interests and priorities.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Notably, the impact of environmental regulations differs across areas. For instance, at Tanke Area, environmental regulations significantly increase property values and prices, suggesting that respondents in this area are of positive perceptionon the regulations. In contrast, at Gambari Area, the impact of environmental regulations is more pronounced on public health and limitation of land uses, indicating that respondents in this area prioritize health and land use considerations.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Overall, the survey provides valuable insights into the perceived impacts of various factors, which can be used to inform decision-making and policy development. By understanding the specific concerns and priorities of different areas, policymakers can develop targeted strategies that address the unique needs and challenges of each community.</w:t>
      </w:r>
    </w:p>
    <w:p w:rsidR="00C0187E" w:rsidRPr="00C0187E" w:rsidRDefault="00C0187E" w:rsidP="00C0187E">
      <w:pPr>
        <w:spacing w:after="0" w:line="360" w:lineRule="auto"/>
        <w:rPr>
          <w:rFonts w:ascii="Times New Roman" w:hAnsi="Times New Roman" w:cs="Times New Roman"/>
          <w:b/>
          <w:bCs/>
          <w:sz w:val="24"/>
          <w:szCs w:val="24"/>
        </w:rPr>
      </w:pPr>
      <w:r w:rsidRPr="00C0187E">
        <w:rPr>
          <w:rFonts w:ascii="Times New Roman" w:hAnsi="Times New Roman" w:cs="Times New Roman"/>
          <w:b/>
          <w:bCs/>
          <w:sz w:val="24"/>
          <w:szCs w:val="24"/>
        </w:rPr>
        <w:t>5.3 RECOMMENDATION</w:t>
      </w:r>
    </w:p>
    <w:p w:rsidR="00C0187E" w:rsidRPr="00C0187E" w:rsidRDefault="00C0187E" w:rsidP="00C0187E">
      <w:pPr>
        <w:spacing w:after="0" w:line="360" w:lineRule="auto"/>
        <w:rPr>
          <w:rFonts w:ascii="Times New Roman" w:hAnsi="Times New Roman" w:cs="Times New Roman"/>
          <w:sz w:val="24"/>
          <w:szCs w:val="24"/>
        </w:rPr>
      </w:pPr>
      <w:r w:rsidRPr="00C0187E">
        <w:rPr>
          <w:rFonts w:ascii="Times New Roman" w:hAnsi="Times New Roman" w:cs="Times New Roman"/>
          <w:sz w:val="24"/>
          <w:szCs w:val="24"/>
        </w:rPr>
        <w:t>Based on the survey results, it is recommended that policymakers prioritize environmental regulations that improve public health and promote sustainable development. These factors were identified as having a significant impact on the community, and effective regulations can help mitigate negative effects on health and the environment. By prioritizing these areas, policymakers can develop targeted strategies that address the unique needs and challenges of different communities.</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The survey results also highlight the need for environmental regulations to balance competing interests and priorities. For instance, while regulations may limit land use or increase costs in some areas like Gambari Area, where public health and limitation of land uses are significant concerns, regulations can also have positive effects in other areas. Notably, at Tanker Area, environmental regulations were found to increase property values and prices, suggesting that respondents in this area perceive environmental regulations as having a positive impact on their properties. Policymakers should consider these varying impacts when developing regulations and strive to find a balance that benefits the community as a whole.</w:t>
      </w:r>
    </w:p>
    <w:p w:rsidR="00C0187E" w:rsidRPr="00C0187E" w:rsidRDefault="00C0187E" w:rsidP="00C0187E">
      <w:pPr>
        <w:spacing w:line="360" w:lineRule="auto"/>
        <w:rPr>
          <w:rFonts w:ascii="Times New Roman" w:hAnsi="Times New Roman" w:cs="Times New Roman"/>
          <w:sz w:val="24"/>
          <w:szCs w:val="24"/>
        </w:rPr>
      </w:pPr>
      <w:r w:rsidRPr="00C0187E">
        <w:rPr>
          <w:rFonts w:ascii="Times New Roman" w:hAnsi="Times New Roman" w:cs="Times New Roman"/>
          <w:sz w:val="24"/>
          <w:szCs w:val="24"/>
        </w:rPr>
        <w:t xml:space="preserve">In areas like Tanker Area, where environmental regulations increase property values and prices, policymakers can leverage this positive perception to promote sustainable development and </w:t>
      </w:r>
      <w:r w:rsidRPr="00C0187E">
        <w:rPr>
          <w:rFonts w:ascii="Times New Roman" w:hAnsi="Times New Roman" w:cs="Times New Roman"/>
          <w:sz w:val="24"/>
          <w:szCs w:val="24"/>
        </w:rPr>
        <w:lastRenderedPageBreak/>
        <w:t>environmental protection. This could include providing incentives for property owners to adopt environmentally friendly practices or investing in infrastructure that supports sustainable development. By building on the positive impacts of environmental regulations, policymakers can promote economic growth and environmental protection in these areas.</w:t>
      </w:r>
    </w:p>
    <w:p w:rsidR="00C0187E" w:rsidRPr="00C0187E" w:rsidRDefault="00C0187E" w:rsidP="00C0187E">
      <w:pPr>
        <w:tabs>
          <w:tab w:val="left" w:pos="1260"/>
        </w:tabs>
        <w:spacing w:line="360" w:lineRule="auto"/>
        <w:rPr>
          <w:rFonts w:ascii="Times New Roman" w:hAnsi="Times New Roman" w:cs="Times New Roman"/>
          <w:sz w:val="24"/>
          <w:szCs w:val="24"/>
        </w:rPr>
      </w:pPr>
      <w:r w:rsidRPr="00C0187E">
        <w:rPr>
          <w:rFonts w:ascii="Times New Roman" w:hAnsi="Times New Roman" w:cs="Times New Roman"/>
          <w:sz w:val="24"/>
          <w:szCs w:val="24"/>
        </w:rPr>
        <w:t>In areas like Gambari Area, where environmental regulations have a significant impact on public health and limitation of land uses, policymakers should prioritize regulations that protect public health and promote sustainable land use practices. This could include investing in healthcare infrastructure, promoting education and awareness about environmental health risks, and developing regulations that limit polluting activities in sensitive areas. By taking a targeted approach to environmental regulation, policymakers can develop effective strategies that benefit the community and promote sustainable development.</w:t>
      </w:r>
    </w:p>
    <w:p w:rsidR="00C0187E" w:rsidRPr="00C0187E" w:rsidRDefault="00C0187E" w:rsidP="00C0187E">
      <w:pPr>
        <w:spacing w:line="360" w:lineRule="auto"/>
        <w:rPr>
          <w:rFonts w:ascii="Times New Roman" w:hAnsi="Times New Roman" w:cs="Times New Roman"/>
          <w:i/>
          <w:sz w:val="24"/>
          <w:szCs w:val="24"/>
        </w:rPr>
      </w:pPr>
    </w:p>
    <w:sectPr w:rsidR="00C0187E" w:rsidRPr="00C0187E" w:rsidSect="00B8045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compat/>
  <w:rsids>
    <w:rsidRoot w:val="001D017A"/>
    <w:rsid w:val="000E0BC6"/>
    <w:rsid w:val="00117E72"/>
    <w:rsid w:val="001D017A"/>
    <w:rsid w:val="00220A66"/>
    <w:rsid w:val="00247FE6"/>
    <w:rsid w:val="002A2692"/>
    <w:rsid w:val="002F74C6"/>
    <w:rsid w:val="00364507"/>
    <w:rsid w:val="00473B22"/>
    <w:rsid w:val="004D7326"/>
    <w:rsid w:val="004D778D"/>
    <w:rsid w:val="005356F0"/>
    <w:rsid w:val="00606261"/>
    <w:rsid w:val="0068122E"/>
    <w:rsid w:val="007F139F"/>
    <w:rsid w:val="008A388B"/>
    <w:rsid w:val="008B5256"/>
    <w:rsid w:val="0096169E"/>
    <w:rsid w:val="00975F09"/>
    <w:rsid w:val="009A2D34"/>
    <w:rsid w:val="00A162C2"/>
    <w:rsid w:val="00A502C3"/>
    <w:rsid w:val="00A53FC4"/>
    <w:rsid w:val="00A716DC"/>
    <w:rsid w:val="00AA7762"/>
    <w:rsid w:val="00B37CDB"/>
    <w:rsid w:val="00B80455"/>
    <w:rsid w:val="00C0187E"/>
    <w:rsid w:val="00C66E98"/>
    <w:rsid w:val="00D5033D"/>
    <w:rsid w:val="00F40F1B"/>
    <w:rsid w:val="00F75066"/>
    <w:rsid w:val="00F8675F"/>
    <w:rsid w:val="00FA2E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4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67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675F"/>
    <w:rPr>
      <w:rFonts w:ascii="Tahoma" w:hAnsi="Tahoma" w:cs="Tahoma"/>
      <w:sz w:val="16"/>
      <w:szCs w:val="16"/>
    </w:rPr>
  </w:style>
  <w:style w:type="table" w:styleId="TableGrid">
    <w:name w:val="Table Grid"/>
    <w:basedOn w:val="TableNormal"/>
    <w:uiPriority w:val="59"/>
    <w:rsid w:val="00C0187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44</Pages>
  <Words>10521</Words>
  <Characters>59971</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2025-08-07T11:42:00Z</dcterms:created>
  <dcterms:modified xsi:type="dcterms:W3CDTF">2025-08-11T11:53:00Z</dcterms:modified>
</cp:coreProperties>
</file>