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6069C" w:rsidRPr="00DF69F9" w:rsidRDefault="0006069C" w:rsidP="0006069C">
      <w:pPr>
        <w:spacing w:line="360" w:lineRule="auto"/>
        <w:jc w:val="center"/>
        <w:rPr>
          <w:rFonts w:asciiTheme="majorBidi" w:hAnsiTheme="majorBidi" w:cstheme="majorBidi"/>
          <w:b/>
          <w:sz w:val="28"/>
          <w:szCs w:val="28"/>
        </w:rPr>
      </w:pPr>
      <w:r w:rsidRPr="00DF69F9">
        <w:rPr>
          <w:rFonts w:asciiTheme="majorBidi" w:hAnsiTheme="majorBidi" w:cstheme="majorBidi"/>
          <w:b/>
          <w:sz w:val="28"/>
          <w:szCs w:val="28"/>
        </w:rPr>
        <w:t xml:space="preserve">INVESTMENT ANALYSIS OF SUSTAINABLE ENERGY TECHNOLOGIES IN MODERN CONSTRUCTION METHOD </w:t>
      </w:r>
    </w:p>
    <w:p w:rsidR="0006069C" w:rsidRPr="00DF69F9" w:rsidRDefault="0006069C" w:rsidP="0006069C">
      <w:pPr>
        <w:spacing w:line="360" w:lineRule="auto"/>
        <w:jc w:val="both"/>
        <w:rPr>
          <w:rFonts w:asciiTheme="majorBidi" w:hAnsiTheme="majorBidi" w:cstheme="majorBidi"/>
          <w:sz w:val="32"/>
          <w:szCs w:val="32"/>
        </w:rPr>
      </w:pPr>
    </w:p>
    <w:p w:rsidR="0006069C" w:rsidRPr="00DF69F9" w:rsidRDefault="0006069C" w:rsidP="0006069C">
      <w:pPr>
        <w:spacing w:line="360" w:lineRule="auto"/>
        <w:jc w:val="center"/>
        <w:rPr>
          <w:rFonts w:asciiTheme="majorBidi" w:hAnsiTheme="majorBidi" w:cstheme="majorBidi"/>
          <w:b/>
          <w:sz w:val="32"/>
          <w:szCs w:val="32"/>
        </w:rPr>
      </w:pPr>
    </w:p>
    <w:p w:rsidR="0006069C" w:rsidRPr="00DF69F9" w:rsidRDefault="0006069C" w:rsidP="0006069C">
      <w:pPr>
        <w:spacing w:line="360" w:lineRule="auto"/>
        <w:jc w:val="center"/>
        <w:rPr>
          <w:rFonts w:asciiTheme="majorBidi" w:hAnsiTheme="majorBidi" w:cstheme="majorBidi"/>
          <w:b/>
          <w:sz w:val="32"/>
          <w:szCs w:val="32"/>
        </w:rPr>
      </w:pPr>
      <w:r w:rsidRPr="00DF69F9">
        <w:rPr>
          <w:rFonts w:asciiTheme="majorBidi" w:hAnsiTheme="majorBidi" w:cstheme="majorBidi"/>
          <w:b/>
          <w:sz w:val="32"/>
          <w:szCs w:val="32"/>
        </w:rPr>
        <w:t>BY</w:t>
      </w:r>
    </w:p>
    <w:p w:rsidR="0006069C" w:rsidRPr="00DF69F9" w:rsidRDefault="0006069C" w:rsidP="0006069C">
      <w:pPr>
        <w:spacing w:line="360" w:lineRule="auto"/>
        <w:jc w:val="center"/>
        <w:rPr>
          <w:rFonts w:asciiTheme="majorBidi" w:hAnsiTheme="majorBidi" w:cstheme="majorBidi"/>
          <w:b/>
          <w:sz w:val="32"/>
          <w:szCs w:val="32"/>
        </w:rPr>
      </w:pPr>
      <w:r w:rsidRPr="00DF69F9">
        <w:rPr>
          <w:rFonts w:asciiTheme="majorBidi" w:hAnsiTheme="majorBidi" w:cstheme="majorBidi"/>
          <w:b/>
          <w:sz w:val="32"/>
          <w:szCs w:val="32"/>
        </w:rPr>
        <w:t>FOLORUNSHO DAVID ANUOLUWAPO</w:t>
      </w:r>
    </w:p>
    <w:p w:rsidR="0006069C" w:rsidRPr="00DF69F9" w:rsidRDefault="0006069C" w:rsidP="0006069C">
      <w:pPr>
        <w:spacing w:line="360" w:lineRule="auto"/>
        <w:jc w:val="center"/>
        <w:rPr>
          <w:rFonts w:asciiTheme="majorBidi" w:hAnsiTheme="majorBidi" w:cstheme="majorBidi"/>
          <w:b/>
          <w:sz w:val="32"/>
          <w:szCs w:val="32"/>
        </w:rPr>
      </w:pPr>
      <w:r w:rsidRPr="00DF69F9">
        <w:rPr>
          <w:rFonts w:asciiTheme="majorBidi" w:hAnsiTheme="majorBidi" w:cstheme="majorBidi"/>
          <w:b/>
          <w:sz w:val="32"/>
          <w:szCs w:val="32"/>
        </w:rPr>
        <w:t>HND/23/QTS/FT/0020</w:t>
      </w:r>
    </w:p>
    <w:p w:rsidR="0006069C" w:rsidRPr="00DF69F9" w:rsidRDefault="0006069C" w:rsidP="0006069C">
      <w:pPr>
        <w:spacing w:line="360" w:lineRule="auto"/>
        <w:jc w:val="both"/>
        <w:rPr>
          <w:rFonts w:asciiTheme="majorBidi" w:hAnsiTheme="majorBidi" w:cstheme="majorBidi"/>
          <w:b/>
          <w:sz w:val="32"/>
          <w:szCs w:val="32"/>
        </w:rPr>
      </w:pPr>
    </w:p>
    <w:p w:rsidR="0006069C" w:rsidRPr="00DF69F9" w:rsidRDefault="0006069C" w:rsidP="0006069C">
      <w:pPr>
        <w:spacing w:line="360" w:lineRule="auto"/>
        <w:jc w:val="center"/>
        <w:rPr>
          <w:rFonts w:asciiTheme="majorBidi" w:hAnsiTheme="majorBidi" w:cstheme="majorBidi"/>
          <w:b/>
          <w:sz w:val="28"/>
          <w:szCs w:val="28"/>
        </w:rPr>
      </w:pPr>
      <w:r w:rsidRPr="00DF69F9">
        <w:rPr>
          <w:rFonts w:asciiTheme="majorBidi" w:hAnsiTheme="majorBidi" w:cstheme="majorBidi"/>
          <w:b/>
          <w:sz w:val="28"/>
          <w:szCs w:val="28"/>
        </w:rPr>
        <w:t>BEING A PROJECT SUBMITTED TO THE DEPARTMENT OF QUANTITY SURVEYING, INSTITUTE OF ENVIRONMENTAL STUDIES, KWARA STATE POLYTECHNIC, ILORIN.</w:t>
      </w:r>
    </w:p>
    <w:p w:rsidR="0006069C" w:rsidRPr="00DF69F9" w:rsidRDefault="0006069C" w:rsidP="0006069C">
      <w:pPr>
        <w:spacing w:line="360" w:lineRule="auto"/>
        <w:jc w:val="center"/>
        <w:rPr>
          <w:rFonts w:asciiTheme="majorBidi" w:hAnsiTheme="majorBidi" w:cstheme="majorBidi"/>
          <w:b/>
          <w:sz w:val="28"/>
          <w:szCs w:val="28"/>
        </w:rPr>
      </w:pPr>
    </w:p>
    <w:p w:rsidR="0006069C" w:rsidRPr="00DF69F9" w:rsidRDefault="0006069C" w:rsidP="0006069C">
      <w:pPr>
        <w:spacing w:line="360" w:lineRule="auto"/>
        <w:jc w:val="center"/>
        <w:rPr>
          <w:rFonts w:asciiTheme="majorBidi" w:hAnsiTheme="majorBidi" w:cstheme="majorBidi"/>
          <w:b/>
          <w:sz w:val="28"/>
          <w:szCs w:val="28"/>
        </w:rPr>
      </w:pPr>
      <w:r w:rsidRPr="00DF69F9">
        <w:rPr>
          <w:rFonts w:asciiTheme="majorBidi" w:hAnsiTheme="majorBidi" w:cstheme="majorBidi"/>
          <w:b/>
          <w:sz w:val="28"/>
          <w:szCs w:val="28"/>
        </w:rPr>
        <w:t>IN PARTIAL FULFILLMENT OF THE REQUIREMENT FOR THE AWARD OF HIGHER NATIONAL DIPLOMA (HND) IN QUANTITY SURVEYING</w:t>
      </w:r>
    </w:p>
    <w:p w:rsidR="0006069C" w:rsidRPr="00DF69F9" w:rsidRDefault="0006069C" w:rsidP="0006069C">
      <w:pPr>
        <w:spacing w:line="360" w:lineRule="auto"/>
        <w:jc w:val="center"/>
        <w:rPr>
          <w:rFonts w:asciiTheme="majorBidi" w:hAnsiTheme="majorBidi" w:cstheme="majorBidi"/>
          <w:b/>
          <w:sz w:val="32"/>
          <w:szCs w:val="32"/>
        </w:rPr>
      </w:pPr>
    </w:p>
    <w:p w:rsidR="0006069C" w:rsidRPr="00DF69F9" w:rsidRDefault="0006069C" w:rsidP="0006069C">
      <w:pPr>
        <w:spacing w:line="360" w:lineRule="auto"/>
        <w:jc w:val="right"/>
        <w:rPr>
          <w:rFonts w:asciiTheme="majorBidi" w:hAnsiTheme="majorBidi" w:cstheme="majorBidi"/>
          <w:b/>
          <w:sz w:val="28"/>
          <w:szCs w:val="28"/>
        </w:rPr>
      </w:pPr>
      <w:r w:rsidRPr="00DF69F9">
        <w:rPr>
          <w:rFonts w:asciiTheme="majorBidi" w:hAnsiTheme="majorBidi" w:cstheme="majorBidi"/>
          <w:b/>
          <w:sz w:val="28"/>
          <w:szCs w:val="28"/>
        </w:rPr>
        <w:t>JULY, 2025</w:t>
      </w:r>
    </w:p>
    <w:p w:rsidR="0006069C" w:rsidRPr="00DF69F9" w:rsidRDefault="0006069C" w:rsidP="0006069C">
      <w:pPr>
        <w:rPr>
          <w:rFonts w:asciiTheme="majorBidi" w:hAnsiTheme="majorBidi" w:cstheme="majorBidi"/>
          <w:b/>
          <w:bCs/>
          <w:sz w:val="24"/>
          <w:szCs w:val="24"/>
        </w:rPr>
      </w:pPr>
    </w:p>
    <w:p w:rsidR="0006069C" w:rsidRPr="00DF69F9" w:rsidRDefault="0006069C" w:rsidP="0006069C">
      <w:pPr>
        <w:jc w:val="center"/>
        <w:rPr>
          <w:rFonts w:asciiTheme="majorBidi" w:hAnsiTheme="majorBidi" w:cstheme="majorBidi"/>
          <w:b/>
          <w:bCs/>
          <w:sz w:val="24"/>
          <w:szCs w:val="24"/>
        </w:rPr>
      </w:pPr>
      <w:r w:rsidRPr="00DF69F9">
        <w:rPr>
          <w:rFonts w:asciiTheme="majorBidi" w:hAnsiTheme="majorBidi" w:cstheme="majorBidi"/>
          <w:b/>
          <w:bCs/>
          <w:sz w:val="24"/>
          <w:szCs w:val="24"/>
        </w:rPr>
        <w:lastRenderedPageBreak/>
        <w:t>CERTIFICATION</w:t>
      </w:r>
    </w:p>
    <w:p w:rsidR="0006069C" w:rsidRPr="00DF69F9" w:rsidRDefault="0006069C" w:rsidP="0006069C">
      <w:pPr>
        <w:spacing w:line="360" w:lineRule="auto"/>
        <w:jc w:val="both"/>
        <w:rPr>
          <w:rFonts w:asciiTheme="majorBidi" w:hAnsiTheme="majorBidi" w:cstheme="majorBidi"/>
          <w:bCs/>
          <w:sz w:val="24"/>
          <w:szCs w:val="24"/>
        </w:rPr>
      </w:pPr>
      <w:r w:rsidRPr="00DF69F9">
        <w:rPr>
          <w:rFonts w:asciiTheme="majorBidi" w:hAnsiTheme="majorBidi" w:cstheme="majorBidi"/>
          <w:bCs/>
          <w:sz w:val="24"/>
          <w:szCs w:val="24"/>
        </w:rPr>
        <w:t xml:space="preserve">This is to certify that this project work was carried out by </w:t>
      </w:r>
      <w:r w:rsidRPr="00DF69F9">
        <w:rPr>
          <w:rFonts w:asciiTheme="majorBidi" w:hAnsiTheme="majorBidi" w:cstheme="majorBidi"/>
          <w:b/>
          <w:sz w:val="24"/>
          <w:szCs w:val="24"/>
        </w:rPr>
        <w:t xml:space="preserve">FALORUNSHO DAVID ANUOLUWAPO </w:t>
      </w:r>
      <w:r w:rsidRPr="00DF69F9">
        <w:rPr>
          <w:rFonts w:asciiTheme="majorBidi" w:hAnsiTheme="majorBidi" w:cstheme="majorBidi"/>
          <w:bCs/>
          <w:sz w:val="24"/>
          <w:szCs w:val="24"/>
        </w:rPr>
        <w:t xml:space="preserve">under the supervision of </w:t>
      </w:r>
      <w:r w:rsidRPr="00DF69F9">
        <w:rPr>
          <w:rFonts w:asciiTheme="majorBidi" w:hAnsiTheme="majorBidi" w:cstheme="majorBidi"/>
          <w:b/>
          <w:sz w:val="24"/>
          <w:szCs w:val="24"/>
        </w:rPr>
        <w:t xml:space="preserve">QS. ABDULRAHMAN B. S </w:t>
      </w:r>
      <w:r w:rsidRPr="00DF69F9">
        <w:rPr>
          <w:rFonts w:asciiTheme="majorBidi" w:hAnsiTheme="majorBidi" w:cstheme="majorBidi"/>
          <w:sz w:val="26"/>
          <w:szCs w:val="26"/>
        </w:rPr>
        <w:t>of the Department of Quantity Surveying, Institute of Environmental Studies, Kwara State Polytechnic, Ilorin. This Research project is submitted in partial fulfilment of the requirements for the award of the Higher National Diploma (HND) in Quantity Surveying</w:t>
      </w:r>
      <w:r w:rsidRPr="00DF69F9">
        <w:rPr>
          <w:rFonts w:asciiTheme="majorBidi" w:hAnsiTheme="majorBidi" w:cstheme="majorBidi"/>
          <w:bCs/>
          <w:sz w:val="24"/>
          <w:szCs w:val="24"/>
        </w:rPr>
        <w:t xml:space="preserve"> </w:t>
      </w:r>
    </w:p>
    <w:p w:rsidR="00652026" w:rsidRPr="00652026" w:rsidRDefault="00652026" w:rsidP="00652026">
      <w:pPr>
        <w:widowControl w:val="0"/>
        <w:autoSpaceDE w:val="0"/>
        <w:autoSpaceDN w:val="0"/>
        <w:spacing w:after="0" w:line="240" w:lineRule="auto"/>
        <w:rPr>
          <w:rFonts w:ascii="Times New Roman" w:eastAsia="Times New Roman" w:hAnsi="Times New Roman"/>
          <w:bCs/>
          <w:sz w:val="24"/>
          <w:szCs w:val="24"/>
          <w:lang w:eastAsia="en-US"/>
        </w:rPr>
      </w:pPr>
    </w:p>
    <w:p w:rsidR="00652026" w:rsidRPr="00652026" w:rsidRDefault="00652026" w:rsidP="00652026">
      <w:pPr>
        <w:widowControl w:val="0"/>
        <w:autoSpaceDE w:val="0"/>
        <w:autoSpaceDN w:val="0"/>
        <w:spacing w:after="0" w:line="240" w:lineRule="auto"/>
        <w:rPr>
          <w:rFonts w:ascii="Times New Roman" w:eastAsia="Times New Roman" w:hAnsi="Times New Roman"/>
          <w:bCs/>
          <w:sz w:val="24"/>
          <w:szCs w:val="24"/>
          <w:lang w:eastAsia="en-US"/>
        </w:rPr>
      </w:pPr>
      <w:r w:rsidRPr="00652026">
        <w:rPr>
          <w:rFonts w:ascii="Times New Roman" w:eastAsia="Times New Roman" w:hAnsi="Times New Roman"/>
          <w:noProof/>
          <w:sz w:val="24"/>
          <w:szCs w:val="24"/>
          <w:lang w:eastAsia="en-US"/>
        </w:rPr>
        <w:drawing>
          <wp:anchor distT="0" distB="0" distL="114300" distR="114300" simplePos="0" relativeHeight="251659264" behindDoc="1" locked="0" layoutInCell="1" allowOverlap="1" wp14:anchorId="31BDD55C" wp14:editId="5AAF0010">
            <wp:simplePos x="0" y="0"/>
            <wp:positionH relativeFrom="column">
              <wp:posOffset>-19049</wp:posOffset>
            </wp:positionH>
            <wp:positionV relativeFrom="paragraph">
              <wp:posOffset>114300</wp:posOffset>
            </wp:positionV>
            <wp:extent cx="5524500" cy="561975"/>
            <wp:effectExtent l="0" t="0" r="0" b="9525"/>
            <wp:wrapNone/>
            <wp:docPr id="1" name="Picture 1" descr="C:\Users\HP\Documents\Scanned Documents\Image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58).jpg"/>
                    <pic:cNvPicPr>
                      <a:picLocks noChangeAspect="1" noChangeArrowheads="1"/>
                    </pic:cNvPicPr>
                  </pic:nvPicPr>
                  <pic:blipFill rotWithShape="1">
                    <a:blip r:embed="rId8" cstate="print">
                      <a:lum contrast="20000"/>
                    </a:blip>
                    <a:srcRect t="26906" r="11180" b="66164"/>
                    <a:stretch>
                      <a:fillRect/>
                    </a:stretch>
                  </pic:blipFill>
                  <pic:spPr bwMode="auto">
                    <a:xfrm>
                      <a:off x="0" y="0"/>
                      <a:ext cx="5524500" cy="56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52026" w:rsidRPr="00652026" w:rsidRDefault="00652026" w:rsidP="00652026">
      <w:pPr>
        <w:widowControl w:val="0"/>
        <w:autoSpaceDE w:val="0"/>
        <w:autoSpaceDN w:val="0"/>
        <w:spacing w:after="0" w:line="240" w:lineRule="auto"/>
        <w:rPr>
          <w:rFonts w:ascii="Times New Roman" w:eastAsia="Times New Roman" w:hAnsi="Times New Roman"/>
          <w:bCs/>
          <w:sz w:val="24"/>
          <w:szCs w:val="24"/>
          <w:lang w:eastAsia="en-US"/>
        </w:rPr>
      </w:pPr>
    </w:p>
    <w:p w:rsidR="00652026" w:rsidRPr="00652026" w:rsidRDefault="00652026" w:rsidP="00652026">
      <w:pPr>
        <w:widowControl w:val="0"/>
        <w:autoSpaceDE w:val="0"/>
        <w:autoSpaceDN w:val="0"/>
        <w:spacing w:after="0" w:line="240" w:lineRule="auto"/>
        <w:rPr>
          <w:rFonts w:ascii="Times New Roman" w:eastAsia="Times New Roman" w:hAnsi="Times New Roman"/>
          <w:bCs/>
          <w:sz w:val="24"/>
          <w:szCs w:val="24"/>
          <w:lang w:eastAsia="en-US"/>
        </w:rPr>
      </w:pPr>
    </w:p>
    <w:p w:rsidR="00652026" w:rsidRPr="00652026" w:rsidRDefault="00652026" w:rsidP="00652026">
      <w:pPr>
        <w:widowControl w:val="0"/>
        <w:autoSpaceDE w:val="0"/>
        <w:autoSpaceDN w:val="0"/>
        <w:spacing w:after="0"/>
        <w:rPr>
          <w:rFonts w:ascii="Times New Roman" w:eastAsia="Times New Roman" w:hAnsi="Times New Roman"/>
          <w:bCs/>
          <w:sz w:val="24"/>
          <w:szCs w:val="24"/>
          <w:lang w:eastAsia="en-US"/>
        </w:rPr>
      </w:pPr>
      <w:r w:rsidRPr="00652026">
        <w:rPr>
          <w:rFonts w:ascii="Times New Roman" w:eastAsia="Times New Roman" w:hAnsi="Times New Roman"/>
          <w:bCs/>
          <w:sz w:val="24"/>
          <w:szCs w:val="24"/>
          <w:lang w:eastAsia="en-US"/>
        </w:rPr>
        <w:t>___________________</w:t>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t xml:space="preserve">_______________ </w:t>
      </w:r>
    </w:p>
    <w:p w:rsidR="00652026" w:rsidRPr="00652026" w:rsidRDefault="00652026" w:rsidP="00652026">
      <w:pPr>
        <w:widowControl w:val="0"/>
        <w:autoSpaceDE w:val="0"/>
        <w:autoSpaceDN w:val="0"/>
        <w:spacing w:after="0"/>
        <w:rPr>
          <w:rFonts w:ascii="Times New Roman" w:eastAsia="Times New Roman" w:hAnsi="Times New Roman"/>
          <w:b/>
          <w:sz w:val="24"/>
          <w:szCs w:val="24"/>
          <w:lang w:eastAsia="en-US"/>
        </w:rPr>
      </w:pPr>
      <w:r w:rsidRPr="00652026">
        <w:rPr>
          <w:rFonts w:ascii="Times New Roman" w:eastAsia="Times New Roman" w:hAnsi="Times New Roman"/>
          <w:b/>
          <w:sz w:val="24"/>
          <w:szCs w:val="24"/>
          <w:lang w:eastAsia="en-US"/>
        </w:rPr>
        <w:t>QS. ABDULRAHMAN B. S</w:t>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t>DATE</w:t>
      </w:r>
    </w:p>
    <w:p w:rsidR="00652026" w:rsidRPr="00652026" w:rsidRDefault="00652026" w:rsidP="00652026">
      <w:pPr>
        <w:widowControl w:val="0"/>
        <w:autoSpaceDE w:val="0"/>
        <w:autoSpaceDN w:val="0"/>
        <w:spacing w:after="0"/>
        <w:rPr>
          <w:rFonts w:ascii="Times New Roman" w:eastAsia="Times New Roman" w:hAnsi="Times New Roman"/>
          <w:b/>
          <w:sz w:val="24"/>
          <w:szCs w:val="24"/>
          <w:lang w:eastAsia="en-US"/>
        </w:rPr>
      </w:pPr>
      <w:r w:rsidRPr="00652026">
        <w:rPr>
          <w:rFonts w:ascii="Times New Roman" w:eastAsia="Times New Roman" w:hAnsi="Times New Roman"/>
          <w:b/>
          <w:sz w:val="24"/>
          <w:szCs w:val="24"/>
          <w:lang w:eastAsia="en-US"/>
        </w:rPr>
        <w:t>PROJECT SUPERVISOR</w:t>
      </w:r>
    </w:p>
    <w:p w:rsidR="00652026" w:rsidRPr="00652026" w:rsidRDefault="00652026" w:rsidP="00652026">
      <w:pPr>
        <w:widowControl w:val="0"/>
        <w:autoSpaceDE w:val="0"/>
        <w:autoSpaceDN w:val="0"/>
        <w:spacing w:after="0" w:line="240" w:lineRule="auto"/>
        <w:rPr>
          <w:rFonts w:ascii="Times New Roman" w:eastAsia="Times New Roman" w:hAnsi="Times New Roman"/>
          <w:b/>
          <w:sz w:val="24"/>
          <w:szCs w:val="24"/>
          <w:lang w:eastAsia="en-US"/>
        </w:rPr>
      </w:pPr>
    </w:p>
    <w:p w:rsidR="00652026" w:rsidRPr="00652026" w:rsidRDefault="00652026" w:rsidP="00652026">
      <w:pPr>
        <w:widowControl w:val="0"/>
        <w:autoSpaceDE w:val="0"/>
        <w:autoSpaceDN w:val="0"/>
        <w:spacing w:after="0" w:line="240" w:lineRule="auto"/>
        <w:rPr>
          <w:rFonts w:ascii="Times New Roman" w:eastAsia="Times New Roman" w:hAnsi="Times New Roman"/>
          <w:i/>
          <w:noProof/>
          <w:sz w:val="24"/>
          <w:szCs w:val="24"/>
          <w:lang w:eastAsia="en-US"/>
        </w:rPr>
      </w:pPr>
    </w:p>
    <w:p w:rsidR="00652026" w:rsidRPr="00652026" w:rsidRDefault="00652026" w:rsidP="00652026">
      <w:pPr>
        <w:widowControl w:val="0"/>
        <w:autoSpaceDE w:val="0"/>
        <w:autoSpaceDN w:val="0"/>
        <w:spacing w:after="0" w:line="240" w:lineRule="auto"/>
        <w:rPr>
          <w:rFonts w:ascii="Times New Roman" w:eastAsia="Times New Roman" w:hAnsi="Times New Roman"/>
          <w:bCs/>
          <w:sz w:val="24"/>
          <w:szCs w:val="24"/>
          <w:lang w:eastAsia="en-US"/>
        </w:rPr>
      </w:pPr>
      <w:r w:rsidRPr="00652026">
        <w:rPr>
          <w:rFonts w:ascii="Times New Roman" w:eastAsia="Times New Roman" w:hAnsi="Times New Roman"/>
          <w:i/>
          <w:noProof/>
          <w:sz w:val="24"/>
          <w:szCs w:val="24"/>
          <w:lang w:eastAsia="en-US"/>
        </w:rPr>
        <w:drawing>
          <wp:anchor distT="0" distB="0" distL="114300" distR="114300" simplePos="0" relativeHeight="251660288" behindDoc="1" locked="0" layoutInCell="1" allowOverlap="1" wp14:anchorId="06A25742" wp14:editId="1CFA329B">
            <wp:simplePos x="0" y="0"/>
            <wp:positionH relativeFrom="column">
              <wp:posOffset>-38100</wp:posOffset>
            </wp:positionH>
            <wp:positionV relativeFrom="paragraph">
              <wp:posOffset>142240</wp:posOffset>
            </wp:positionV>
            <wp:extent cx="5629275" cy="552450"/>
            <wp:effectExtent l="0" t="0" r="9525" b="0"/>
            <wp:wrapNone/>
            <wp:docPr id="8" name="Picture 5" descr="C:\Users\HP\Documents\Scanned Documents\Image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Scanned Documents\Image (59).jpg"/>
                    <pic:cNvPicPr>
                      <a:picLocks noChangeAspect="1" noChangeArrowheads="1"/>
                    </pic:cNvPicPr>
                  </pic:nvPicPr>
                  <pic:blipFill rotWithShape="1">
                    <a:blip r:embed="rId9" cstate="print">
                      <a:lum bright="10000"/>
                    </a:blip>
                    <a:srcRect t="37709" r="13072" b="55587"/>
                    <a:stretch>
                      <a:fillRect/>
                    </a:stretch>
                  </pic:blipFill>
                  <pic:spPr bwMode="auto">
                    <a:xfrm>
                      <a:off x="0" y="0"/>
                      <a:ext cx="562927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52026" w:rsidRPr="00652026" w:rsidRDefault="00652026" w:rsidP="00652026">
      <w:pPr>
        <w:widowControl w:val="0"/>
        <w:autoSpaceDE w:val="0"/>
        <w:autoSpaceDN w:val="0"/>
        <w:spacing w:after="0" w:line="240" w:lineRule="auto"/>
        <w:rPr>
          <w:rFonts w:ascii="Times New Roman" w:eastAsia="Times New Roman" w:hAnsi="Times New Roman"/>
          <w:bCs/>
          <w:sz w:val="24"/>
          <w:szCs w:val="24"/>
          <w:lang w:eastAsia="en-US"/>
        </w:rPr>
      </w:pPr>
    </w:p>
    <w:p w:rsidR="00652026" w:rsidRPr="00652026" w:rsidRDefault="00652026" w:rsidP="00652026">
      <w:pPr>
        <w:widowControl w:val="0"/>
        <w:autoSpaceDE w:val="0"/>
        <w:autoSpaceDN w:val="0"/>
        <w:spacing w:after="0" w:line="240" w:lineRule="auto"/>
        <w:rPr>
          <w:rFonts w:ascii="Times New Roman" w:eastAsia="Times New Roman" w:hAnsi="Times New Roman"/>
          <w:bCs/>
          <w:sz w:val="24"/>
          <w:szCs w:val="24"/>
          <w:lang w:eastAsia="en-US"/>
        </w:rPr>
      </w:pPr>
    </w:p>
    <w:p w:rsidR="00652026" w:rsidRPr="00652026" w:rsidRDefault="00652026" w:rsidP="00652026">
      <w:pPr>
        <w:widowControl w:val="0"/>
        <w:autoSpaceDE w:val="0"/>
        <w:autoSpaceDN w:val="0"/>
        <w:spacing w:after="0"/>
        <w:rPr>
          <w:rFonts w:ascii="Times New Roman" w:eastAsia="Times New Roman" w:hAnsi="Times New Roman"/>
          <w:bCs/>
          <w:sz w:val="24"/>
          <w:szCs w:val="24"/>
          <w:lang w:eastAsia="en-US"/>
        </w:rPr>
      </w:pPr>
      <w:r w:rsidRPr="00652026">
        <w:rPr>
          <w:rFonts w:ascii="Times New Roman" w:eastAsia="Times New Roman" w:hAnsi="Times New Roman"/>
          <w:bCs/>
          <w:sz w:val="24"/>
          <w:szCs w:val="24"/>
          <w:lang w:eastAsia="en-US"/>
        </w:rPr>
        <w:t>___________________</w:t>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t>_______________</w:t>
      </w:r>
    </w:p>
    <w:p w:rsidR="00652026" w:rsidRPr="00652026" w:rsidRDefault="00652026" w:rsidP="00652026">
      <w:pPr>
        <w:widowControl w:val="0"/>
        <w:autoSpaceDE w:val="0"/>
        <w:autoSpaceDN w:val="0"/>
        <w:spacing w:after="0"/>
        <w:rPr>
          <w:rFonts w:ascii="Times New Roman" w:eastAsia="Times New Roman" w:hAnsi="Times New Roman"/>
          <w:b/>
          <w:sz w:val="24"/>
          <w:szCs w:val="24"/>
          <w:lang w:eastAsia="en-US"/>
        </w:rPr>
      </w:pPr>
      <w:r w:rsidRPr="00652026">
        <w:rPr>
          <w:rFonts w:ascii="Times New Roman" w:eastAsia="Times New Roman" w:hAnsi="Times New Roman"/>
          <w:b/>
          <w:sz w:val="24"/>
          <w:szCs w:val="24"/>
          <w:lang w:eastAsia="en-US"/>
        </w:rPr>
        <w:t>QS (MRS.) AISHAT O.</w:t>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t>DATE</w:t>
      </w:r>
    </w:p>
    <w:p w:rsidR="00652026" w:rsidRPr="00652026" w:rsidRDefault="00652026" w:rsidP="00652026">
      <w:pPr>
        <w:widowControl w:val="0"/>
        <w:autoSpaceDE w:val="0"/>
        <w:autoSpaceDN w:val="0"/>
        <w:spacing w:after="0"/>
        <w:rPr>
          <w:rFonts w:ascii="Times New Roman" w:eastAsia="Times New Roman" w:hAnsi="Times New Roman"/>
          <w:b/>
          <w:sz w:val="24"/>
          <w:szCs w:val="24"/>
          <w:lang w:eastAsia="en-US"/>
        </w:rPr>
      </w:pPr>
      <w:r w:rsidRPr="00652026">
        <w:rPr>
          <w:rFonts w:ascii="Times New Roman" w:eastAsia="Times New Roman" w:hAnsi="Times New Roman"/>
          <w:b/>
          <w:sz w:val="24"/>
          <w:szCs w:val="24"/>
          <w:lang w:eastAsia="en-US"/>
        </w:rPr>
        <w:t>PROJECT COORDINATOR</w:t>
      </w:r>
    </w:p>
    <w:p w:rsidR="00652026" w:rsidRPr="00652026" w:rsidRDefault="00652026" w:rsidP="00652026">
      <w:pPr>
        <w:widowControl w:val="0"/>
        <w:autoSpaceDE w:val="0"/>
        <w:autoSpaceDN w:val="0"/>
        <w:spacing w:after="0" w:line="240" w:lineRule="auto"/>
        <w:rPr>
          <w:rFonts w:ascii="Times New Roman" w:eastAsia="Times New Roman" w:hAnsi="Times New Roman"/>
          <w:bCs/>
          <w:sz w:val="24"/>
          <w:szCs w:val="24"/>
          <w:lang w:eastAsia="en-US"/>
        </w:rPr>
      </w:pPr>
    </w:p>
    <w:p w:rsidR="00652026" w:rsidRPr="00652026" w:rsidRDefault="00652026" w:rsidP="00652026">
      <w:pPr>
        <w:widowControl w:val="0"/>
        <w:autoSpaceDE w:val="0"/>
        <w:autoSpaceDN w:val="0"/>
        <w:spacing w:after="0" w:line="240" w:lineRule="auto"/>
        <w:rPr>
          <w:rFonts w:ascii="Times New Roman" w:eastAsia="Times New Roman" w:hAnsi="Times New Roman"/>
          <w:bCs/>
          <w:sz w:val="24"/>
          <w:szCs w:val="24"/>
          <w:lang w:eastAsia="en-US"/>
        </w:rPr>
      </w:pPr>
      <w:r w:rsidRPr="00652026">
        <w:rPr>
          <w:rFonts w:ascii="Times New Roman" w:eastAsia="Times New Roman" w:hAnsi="Times New Roman"/>
          <w:noProof/>
          <w:sz w:val="24"/>
          <w:szCs w:val="24"/>
          <w:lang w:eastAsia="en-US"/>
        </w:rPr>
        <w:drawing>
          <wp:anchor distT="0" distB="0" distL="114300" distR="114300" simplePos="0" relativeHeight="251661312" behindDoc="1" locked="0" layoutInCell="1" allowOverlap="1" wp14:anchorId="45741D8E" wp14:editId="129EA1BD">
            <wp:simplePos x="0" y="0"/>
            <wp:positionH relativeFrom="column">
              <wp:posOffset>-28575</wp:posOffset>
            </wp:positionH>
            <wp:positionV relativeFrom="paragraph">
              <wp:posOffset>175895</wp:posOffset>
            </wp:positionV>
            <wp:extent cx="5772150" cy="533400"/>
            <wp:effectExtent l="0" t="0" r="0" b="0"/>
            <wp:wrapNone/>
            <wp:docPr id="2" name="Picture 2" descr="C:\Users\HP\Documents\Scanned Documents\Image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Scanned Documents\Image (58).jpg"/>
                    <pic:cNvPicPr>
                      <a:picLocks noChangeAspect="1" noChangeArrowheads="1"/>
                    </pic:cNvPicPr>
                  </pic:nvPicPr>
                  <pic:blipFill>
                    <a:blip r:embed="rId10" cstate="print">
                      <a:lum contrast="20000"/>
                    </a:blip>
                    <a:srcRect t="47111" r="5449" b="46426"/>
                    <a:stretch>
                      <a:fillRect/>
                    </a:stretch>
                  </pic:blipFill>
                  <pic:spPr bwMode="auto">
                    <a:xfrm>
                      <a:off x="0" y="0"/>
                      <a:ext cx="5772150" cy="533400"/>
                    </a:xfrm>
                    <a:prstGeom prst="rect">
                      <a:avLst/>
                    </a:prstGeom>
                    <a:noFill/>
                    <a:ln w="9525">
                      <a:noFill/>
                      <a:miter lim="800000"/>
                      <a:headEnd/>
                      <a:tailEnd/>
                    </a:ln>
                  </pic:spPr>
                </pic:pic>
              </a:graphicData>
            </a:graphic>
            <wp14:sizeRelH relativeFrom="margin">
              <wp14:pctWidth>0</wp14:pctWidth>
            </wp14:sizeRelH>
          </wp:anchor>
        </w:drawing>
      </w:r>
    </w:p>
    <w:p w:rsidR="00652026" w:rsidRPr="00652026" w:rsidRDefault="00652026" w:rsidP="00652026">
      <w:pPr>
        <w:widowControl w:val="0"/>
        <w:autoSpaceDE w:val="0"/>
        <w:autoSpaceDN w:val="0"/>
        <w:spacing w:after="0" w:line="240" w:lineRule="auto"/>
        <w:rPr>
          <w:rFonts w:ascii="Times New Roman" w:eastAsia="Times New Roman" w:hAnsi="Times New Roman"/>
          <w:bCs/>
          <w:sz w:val="24"/>
          <w:szCs w:val="24"/>
          <w:lang w:eastAsia="en-US"/>
        </w:rPr>
      </w:pPr>
    </w:p>
    <w:p w:rsidR="00652026" w:rsidRPr="00652026" w:rsidRDefault="00652026" w:rsidP="00652026">
      <w:pPr>
        <w:widowControl w:val="0"/>
        <w:autoSpaceDE w:val="0"/>
        <w:autoSpaceDN w:val="0"/>
        <w:spacing w:after="0" w:line="240" w:lineRule="auto"/>
        <w:rPr>
          <w:rFonts w:ascii="Times New Roman" w:eastAsia="Times New Roman" w:hAnsi="Times New Roman"/>
          <w:bCs/>
          <w:sz w:val="24"/>
          <w:szCs w:val="24"/>
          <w:lang w:eastAsia="en-US"/>
        </w:rPr>
      </w:pPr>
    </w:p>
    <w:p w:rsidR="00652026" w:rsidRPr="00652026" w:rsidRDefault="00652026" w:rsidP="00652026">
      <w:pPr>
        <w:widowControl w:val="0"/>
        <w:autoSpaceDE w:val="0"/>
        <w:autoSpaceDN w:val="0"/>
        <w:spacing w:after="0"/>
        <w:rPr>
          <w:rFonts w:ascii="Times New Roman" w:eastAsia="Times New Roman" w:hAnsi="Times New Roman"/>
          <w:bCs/>
          <w:sz w:val="24"/>
          <w:szCs w:val="24"/>
          <w:lang w:eastAsia="en-US"/>
        </w:rPr>
      </w:pPr>
      <w:r w:rsidRPr="00652026">
        <w:rPr>
          <w:rFonts w:ascii="Times New Roman" w:eastAsia="Times New Roman" w:hAnsi="Times New Roman"/>
          <w:bCs/>
          <w:sz w:val="24"/>
          <w:szCs w:val="24"/>
          <w:lang w:eastAsia="en-US"/>
        </w:rPr>
        <w:t>___________________</w:t>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t>_______________</w:t>
      </w:r>
    </w:p>
    <w:p w:rsidR="00652026" w:rsidRPr="00652026" w:rsidRDefault="00652026" w:rsidP="00652026">
      <w:pPr>
        <w:widowControl w:val="0"/>
        <w:autoSpaceDE w:val="0"/>
        <w:autoSpaceDN w:val="0"/>
        <w:spacing w:after="0"/>
        <w:rPr>
          <w:rFonts w:ascii="Times New Roman" w:eastAsia="Times New Roman" w:hAnsi="Times New Roman"/>
          <w:b/>
          <w:sz w:val="24"/>
          <w:szCs w:val="24"/>
          <w:lang w:eastAsia="en-US"/>
        </w:rPr>
      </w:pPr>
      <w:r w:rsidRPr="00652026">
        <w:rPr>
          <w:rFonts w:ascii="Times New Roman" w:eastAsia="Times New Roman" w:hAnsi="Times New Roman"/>
          <w:b/>
          <w:sz w:val="24"/>
          <w:szCs w:val="24"/>
          <w:lang w:eastAsia="en-US"/>
        </w:rPr>
        <w:t>QS.  SIDIQ L.</w:t>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t>DATE</w:t>
      </w:r>
    </w:p>
    <w:p w:rsidR="00652026" w:rsidRPr="00652026" w:rsidRDefault="00652026" w:rsidP="00652026">
      <w:pPr>
        <w:widowControl w:val="0"/>
        <w:autoSpaceDE w:val="0"/>
        <w:autoSpaceDN w:val="0"/>
        <w:spacing w:after="0"/>
        <w:rPr>
          <w:rFonts w:ascii="Times New Roman" w:eastAsia="Times New Roman" w:hAnsi="Times New Roman"/>
          <w:b/>
          <w:sz w:val="24"/>
          <w:szCs w:val="24"/>
          <w:lang w:eastAsia="en-US"/>
        </w:rPr>
      </w:pPr>
      <w:r w:rsidRPr="00652026">
        <w:rPr>
          <w:rFonts w:ascii="Times New Roman" w:eastAsia="Times New Roman" w:hAnsi="Times New Roman"/>
          <w:b/>
          <w:sz w:val="24"/>
          <w:szCs w:val="24"/>
          <w:lang w:eastAsia="en-US"/>
        </w:rPr>
        <w:t>HEAD OF DEPARTMENT</w:t>
      </w:r>
    </w:p>
    <w:p w:rsidR="00652026" w:rsidRPr="00652026" w:rsidRDefault="00652026" w:rsidP="00652026">
      <w:pPr>
        <w:widowControl w:val="0"/>
        <w:autoSpaceDE w:val="0"/>
        <w:autoSpaceDN w:val="0"/>
        <w:spacing w:after="0" w:line="240" w:lineRule="auto"/>
        <w:rPr>
          <w:rFonts w:ascii="Times New Roman" w:eastAsia="Times New Roman" w:hAnsi="Times New Roman"/>
          <w:b/>
          <w:sz w:val="24"/>
          <w:szCs w:val="24"/>
          <w:lang w:eastAsia="en-US"/>
        </w:rPr>
      </w:pPr>
    </w:p>
    <w:p w:rsidR="00652026" w:rsidRPr="00652026" w:rsidRDefault="00652026" w:rsidP="00652026">
      <w:pPr>
        <w:widowControl w:val="0"/>
        <w:autoSpaceDE w:val="0"/>
        <w:autoSpaceDN w:val="0"/>
        <w:spacing w:after="0" w:line="240" w:lineRule="auto"/>
        <w:rPr>
          <w:rFonts w:ascii="Times New Roman" w:eastAsia="Times New Roman" w:hAnsi="Times New Roman"/>
          <w:b/>
          <w:sz w:val="24"/>
          <w:szCs w:val="24"/>
          <w:lang w:eastAsia="en-US"/>
        </w:rPr>
      </w:pPr>
    </w:p>
    <w:p w:rsidR="00652026" w:rsidRPr="00652026" w:rsidRDefault="00652026" w:rsidP="00652026">
      <w:pPr>
        <w:widowControl w:val="0"/>
        <w:autoSpaceDE w:val="0"/>
        <w:autoSpaceDN w:val="0"/>
        <w:spacing w:after="0" w:line="240" w:lineRule="auto"/>
        <w:rPr>
          <w:rFonts w:ascii="Times New Roman" w:eastAsia="Times New Roman" w:hAnsi="Times New Roman"/>
          <w:b/>
          <w:sz w:val="24"/>
          <w:szCs w:val="24"/>
          <w:lang w:eastAsia="en-US"/>
        </w:rPr>
      </w:pPr>
      <w:r w:rsidRPr="00652026">
        <w:rPr>
          <w:rFonts w:ascii="Times New Roman" w:eastAsia="Times New Roman" w:hAnsi="Times New Roman"/>
          <w:noProof/>
          <w:sz w:val="24"/>
          <w:szCs w:val="24"/>
          <w:lang w:eastAsia="en-US"/>
        </w:rPr>
        <w:drawing>
          <wp:anchor distT="0" distB="0" distL="114300" distR="114300" simplePos="0" relativeHeight="251662336" behindDoc="1" locked="0" layoutInCell="1" allowOverlap="1" wp14:anchorId="6AAF7845" wp14:editId="68A5DA23">
            <wp:simplePos x="0" y="0"/>
            <wp:positionH relativeFrom="column">
              <wp:posOffset>0</wp:posOffset>
            </wp:positionH>
            <wp:positionV relativeFrom="paragraph">
              <wp:posOffset>146050</wp:posOffset>
            </wp:positionV>
            <wp:extent cx="5762625" cy="371475"/>
            <wp:effectExtent l="19050" t="0" r="9525" b="0"/>
            <wp:wrapNone/>
            <wp:docPr id="3" name="Picture 3" descr="C:\Users\HP\Documents\Scanned Documents\Image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Scanned Documents\Image (58).jpg"/>
                    <pic:cNvPicPr>
                      <a:picLocks noChangeAspect="1" noChangeArrowheads="1"/>
                    </pic:cNvPicPr>
                  </pic:nvPicPr>
                  <pic:blipFill>
                    <a:blip r:embed="rId11" cstate="print">
                      <a:lum contrast="20000"/>
                    </a:blip>
                    <a:srcRect t="68736" r="4423" b="26897"/>
                    <a:stretch>
                      <a:fillRect/>
                    </a:stretch>
                  </pic:blipFill>
                  <pic:spPr bwMode="auto">
                    <a:xfrm>
                      <a:off x="0" y="0"/>
                      <a:ext cx="5762625" cy="371475"/>
                    </a:xfrm>
                    <a:prstGeom prst="rect">
                      <a:avLst/>
                    </a:prstGeom>
                    <a:noFill/>
                    <a:ln w="9525">
                      <a:noFill/>
                      <a:miter lim="800000"/>
                      <a:headEnd/>
                      <a:tailEnd/>
                    </a:ln>
                  </pic:spPr>
                </pic:pic>
              </a:graphicData>
            </a:graphic>
          </wp:anchor>
        </w:drawing>
      </w:r>
    </w:p>
    <w:p w:rsidR="00652026" w:rsidRPr="00652026" w:rsidRDefault="00652026" w:rsidP="00652026">
      <w:pPr>
        <w:widowControl w:val="0"/>
        <w:autoSpaceDE w:val="0"/>
        <w:autoSpaceDN w:val="0"/>
        <w:spacing w:after="0" w:line="240" w:lineRule="auto"/>
        <w:rPr>
          <w:rFonts w:ascii="Times New Roman" w:eastAsia="Times New Roman" w:hAnsi="Times New Roman"/>
          <w:b/>
          <w:sz w:val="24"/>
          <w:szCs w:val="24"/>
          <w:lang w:eastAsia="en-US"/>
        </w:rPr>
      </w:pPr>
    </w:p>
    <w:p w:rsidR="00652026" w:rsidRPr="00652026" w:rsidRDefault="00652026" w:rsidP="00652026">
      <w:pPr>
        <w:widowControl w:val="0"/>
        <w:autoSpaceDE w:val="0"/>
        <w:autoSpaceDN w:val="0"/>
        <w:spacing w:after="0"/>
        <w:rPr>
          <w:rFonts w:ascii="Times New Roman" w:eastAsia="Times New Roman" w:hAnsi="Times New Roman"/>
          <w:bCs/>
          <w:sz w:val="24"/>
          <w:szCs w:val="24"/>
          <w:lang w:eastAsia="en-US"/>
        </w:rPr>
      </w:pPr>
      <w:r w:rsidRPr="00652026">
        <w:rPr>
          <w:rFonts w:ascii="Times New Roman" w:eastAsia="Times New Roman" w:hAnsi="Times New Roman"/>
          <w:bCs/>
          <w:sz w:val="24"/>
          <w:szCs w:val="24"/>
          <w:lang w:eastAsia="en-US"/>
        </w:rPr>
        <w:t>___________________</w:t>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r>
      <w:r w:rsidRPr="00652026">
        <w:rPr>
          <w:rFonts w:ascii="Times New Roman" w:eastAsia="Times New Roman" w:hAnsi="Times New Roman"/>
          <w:bCs/>
          <w:sz w:val="24"/>
          <w:szCs w:val="24"/>
          <w:lang w:eastAsia="en-US"/>
        </w:rPr>
        <w:tab/>
        <w:t>_______________</w:t>
      </w:r>
    </w:p>
    <w:p w:rsidR="0006069C" w:rsidRPr="00652026" w:rsidRDefault="00652026" w:rsidP="00652026">
      <w:pPr>
        <w:widowControl w:val="0"/>
        <w:autoSpaceDE w:val="0"/>
        <w:autoSpaceDN w:val="0"/>
        <w:spacing w:after="0"/>
        <w:rPr>
          <w:rFonts w:ascii="Times New Roman" w:eastAsia="Times New Roman" w:hAnsi="Times New Roman"/>
          <w:b/>
          <w:sz w:val="24"/>
          <w:szCs w:val="24"/>
          <w:lang w:eastAsia="en-US"/>
        </w:rPr>
      </w:pPr>
      <w:r w:rsidRPr="00652026">
        <w:rPr>
          <w:rFonts w:ascii="Times New Roman" w:eastAsia="Times New Roman" w:hAnsi="Times New Roman"/>
          <w:b/>
          <w:sz w:val="24"/>
          <w:szCs w:val="24"/>
          <w:lang w:eastAsia="en-US"/>
        </w:rPr>
        <w:t>EXTERNAL EXAMINER</w:t>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r>
      <w:r w:rsidRPr="00652026">
        <w:rPr>
          <w:rFonts w:ascii="Times New Roman" w:eastAsia="Times New Roman" w:hAnsi="Times New Roman"/>
          <w:b/>
          <w:sz w:val="24"/>
          <w:szCs w:val="24"/>
          <w:lang w:eastAsia="en-US"/>
        </w:rPr>
        <w:tab/>
        <w:t>DATE</w:t>
      </w:r>
    </w:p>
    <w:p w:rsidR="0006069C" w:rsidRPr="00DF69F9" w:rsidRDefault="0006069C" w:rsidP="0006069C">
      <w:pPr>
        <w:spacing w:after="0" w:line="480" w:lineRule="auto"/>
        <w:jc w:val="center"/>
        <w:rPr>
          <w:rFonts w:asciiTheme="majorBidi" w:hAnsiTheme="majorBidi" w:cstheme="majorBidi"/>
          <w:b/>
          <w:sz w:val="24"/>
          <w:szCs w:val="24"/>
        </w:rPr>
      </w:pPr>
      <w:r w:rsidRPr="00DF69F9">
        <w:rPr>
          <w:rFonts w:asciiTheme="majorBidi" w:hAnsiTheme="majorBidi" w:cstheme="majorBidi"/>
          <w:b/>
          <w:sz w:val="24"/>
          <w:szCs w:val="24"/>
        </w:rPr>
        <w:lastRenderedPageBreak/>
        <w:t>DEDICATION</w:t>
      </w:r>
    </w:p>
    <w:p w:rsidR="0006069C" w:rsidRPr="00DF69F9" w:rsidRDefault="0006069C" w:rsidP="0006069C">
      <w:pPr>
        <w:spacing w:after="0" w:line="480" w:lineRule="auto"/>
        <w:ind w:firstLine="720"/>
        <w:jc w:val="both"/>
        <w:rPr>
          <w:rFonts w:asciiTheme="majorBidi" w:hAnsiTheme="majorBidi" w:cstheme="majorBidi"/>
          <w:bCs/>
          <w:sz w:val="24"/>
          <w:szCs w:val="24"/>
        </w:rPr>
      </w:pPr>
      <w:r w:rsidRPr="00DF69F9">
        <w:rPr>
          <w:rFonts w:asciiTheme="majorBidi" w:hAnsiTheme="majorBidi" w:cstheme="majorBidi"/>
          <w:bCs/>
          <w:sz w:val="24"/>
          <w:szCs w:val="24"/>
        </w:rPr>
        <w:t>This project is wholeheartedly dedicated to Almighty Allah, the Most Gracious and Most Merciful, for His love, guidance, and strength that have brought me this far. Without Him, none of this would have been possible.</w:t>
      </w:r>
    </w:p>
    <w:p w:rsidR="0006069C" w:rsidRPr="00DF69F9" w:rsidRDefault="0006069C" w:rsidP="0006069C">
      <w:pPr>
        <w:spacing w:after="0" w:line="480" w:lineRule="auto"/>
        <w:ind w:firstLine="720"/>
        <w:jc w:val="both"/>
        <w:rPr>
          <w:rFonts w:asciiTheme="majorBidi" w:hAnsiTheme="majorBidi" w:cstheme="majorBidi"/>
          <w:bCs/>
          <w:sz w:val="24"/>
          <w:szCs w:val="24"/>
        </w:rPr>
      </w:pPr>
      <w:r w:rsidRPr="00DF69F9">
        <w:rPr>
          <w:rFonts w:asciiTheme="majorBidi" w:hAnsiTheme="majorBidi" w:cstheme="majorBidi"/>
          <w:bCs/>
          <w:sz w:val="24"/>
          <w:szCs w:val="24"/>
        </w:rPr>
        <w:t>I also dedicate this work to my wonderful parents, Mr. and Mrs. Folorunsho, for their endless care, support, and prayers throughout my life. Your love has been my greatest motivation.</w:t>
      </w:r>
    </w:p>
    <w:p w:rsidR="0006069C" w:rsidRPr="00DF69F9" w:rsidRDefault="0006069C" w:rsidP="0006069C">
      <w:pPr>
        <w:spacing w:after="0" w:line="480" w:lineRule="auto"/>
        <w:ind w:firstLine="720"/>
        <w:jc w:val="both"/>
        <w:rPr>
          <w:rFonts w:asciiTheme="majorBidi" w:hAnsiTheme="majorBidi" w:cstheme="majorBidi"/>
          <w:bCs/>
          <w:sz w:val="24"/>
          <w:szCs w:val="24"/>
        </w:rPr>
      </w:pPr>
      <w:r w:rsidRPr="00DF69F9">
        <w:rPr>
          <w:rFonts w:asciiTheme="majorBidi" w:hAnsiTheme="majorBidi" w:cstheme="majorBidi"/>
          <w:bCs/>
          <w:sz w:val="24"/>
          <w:szCs w:val="24"/>
        </w:rPr>
        <w:t>A special appreciation goes to my project supervisor for his support and encouragement during this research.</w:t>
      </w:r>
    </w:p>
    <w:p w:rsidR="0006069C" w:rsidRPr="00DF69F9" w:rsidRDefault="0006069C" w:rsidP="0006069C">
      <w:pPr>
        <w:spacing w:line="480" w:lineRule="auto"/>
        <w:rPr>
          <w:rFonts w:asciiTheme="majorBidi" w:hAnsiTheme="majorBidi" w:cstheme="majorBidi"/>
          <w:bCs/>
          <w:sz w:val="24"/>
          <w:szCs w:val="24"/>
        </w:rPr>
      </w:pPr>
    </w:p>
    <w:p w:rsidR="0006069C" w:rsidRPr="00DF69F9" w:rsidRDefault="0006069C" w:rsidP="0006069C">
      <w:pPr>
        <w:spacing w:line="480" w:lineRule="auto"/>
        <w:rPr>
          <w:rFonts w:asciiTheme="majorBidi" w:hAnsiTheme="majorBidi" w:cstheme="majorBidi"/>
          <w:bCs/>
          <w:sz w:val="24"/>
          <w:szCs w:val="24"/>
        </w:rPr>
      </w:pPr>
    </w:p>
    <w:p w:rsidR="0006069C" w:rsidRPr="00DF69F9" w:rsidRDefault="0006069C" w:rsidP="0006069C">
      <w:pPr>
        <w:spacing w:line="480" w:lineRule="auto"/>
        <w:rPr>
          <w:rFonts w:asciiTheme="majorBidi" w:hAnsiTheme="majorBidi" w:cstheme="majorBidi"/>
          <w:bCs/>
          <w:sz w:val="24"/>
          <w:szCs w:val="24"/>
        </w:rPr>
      </w:pPr>
    </w:p>
    <w:p w:rsidR="0006069C" w:rsidRPr="00DF69F9" w:rsidRDefault="0006069C" w:rsidP="0006069C">
      <w:pPr>
        <w:spacing w:line="480" w:lineRule="auto"/>
        <w:rPr>
          <w:rFonts w:asciiTheme="majorBidi" w:hAnsiTheme="majorBidi" w:cstheme="majorBidi"/>
          <w:bCs/>
          <w:sz w:val="24"/>
          <w:szCs w:val="24"/>
        </w:rPr>
      </w:pPr>
    </w:p>
    <w:p w:rsidR="0006069C" w:rsidRPr="00DF69F9" w:rsidRDefault="0006069C" w:rsidP="0006069C">
      <w:pPr>
        <w:spacing w:line="480" w:lineRule="auto"/>
        <w:rPr>
          <w:rFonts w:asciiTheme="majorBidi" w:hAnsiTheme="majorBidi" w:cstheme="majorBidi"/>
          <w:bCs/>
          <w:sz w:val="24"/>
          <w:szCs w:val="24"/>
        </w:rPr>
      </w:pPr>
    </w:p>
    <w:p w:rsidR="0006069C" w:rsidRPr="00DF69F9" w:rsidRDefault="0006069C" w:rsidP="0006069C">
      <w:pPr>
        <w:spacing w:line="480" w:lineRule="auto"/>
        <w:rPr>
          <w:rFonts w:asciiTheme="majorBidi" w:hAnsiTheme="majorBidi" w:cstheme="majorBidi"/>
          <w:bCs/>
          <w:sz w:val="24"/>
          <w:szCs w:val="24"/>
        </w:rPr>
      </w:pPr>
    </w:p>
    <w:p w:rsidR="0006069C" w:rsidRDefault="0006069C" w:rsidP="0006069C">
      <w:pPr>
        <w:spacing w:line="480" w:lineRule="auto"/>
        <w:rPr>
          <w:rFonts w:asciiTheme="majorBidi" w:hAnsiTheme="majorBidi" w:cstheme="majorBidi"/>
          <w:bCs/>
          <w:sz w:val="24"/>
          <w:szCs w:val="24"/>
        </w:rPr>
      </w:pPr>
    </w:p>
    <w:p w:rsidR="0006069C" w:rsidRPr="00DF69F9" w:rsidRDefault="0006069C" w:rsidP="0006069C">
      <w:pPr>
        <w:spacing w:line="480" w:lineRule="auto"/>
        <w:rPr>
          <w:rFonts w:asciiTheme="majorBidi" w:hAnsiTheme="majorBidi" w:cstheme="majorBidi"/>
          <w:bCs/>
          <w:sz w:val="24"/>
          <w:szCs w:val="24"/>
        </w:rPr>
      </w:pPr>
    </w:p>
    <w:p w:rsidR="0006069C" w:rsidRDefault="0006069C" w:rsidP="0006069C">
      <w:pPr>
        <w:jc w:val="center"/>
        <w:rPr>
          <w:rFonts w:asciiTheme="majorBidi" w:hAnsiTheme="majorBidi" w:cstheme="majorBidi"/>
          <w:b/>
          <w:bCs/>
          <w:sz w:val="24"/>
          <w:szCs w:val="24"/>
        </w:rPr>
      </w:pPr>
    </w:p>
    <w:p w:rsidR="0006069C" w:rsidRPr="00DF69F9" w:rsidRDefault="0006069C" w:rsidP="0006069C">
      <w:pPr>
        <w:jc w:val="center"/>
        <w:rPr>
          <w:rFonts w:asciiTheme="majorBidi" w:hAnsiTheme="majorBidi" w:cstheme="majorBidi"/>
          <w:b/>
          <w:bCs/>
          <w:sz w:val="24"/>
          <w:szCs w:val="24"/>
        </w:rPr>
      </w:pPr>
      <w:r w:rsidRPr="00DF69F9">
        <w:rPr>
          <w:rFonts w:asciiTheme="majorBidi" w:hAnsiTheme="majorBidi" w:cstheme="majorBidi"/>
          <w:b/>
          <w:bCs/>
          <w:sz w:val="24"/>
          <w:szCs w:val="24"/>
        </w:rPr>
        <w:lastRenderedPageBreak/>
        <w:t>ACKNOWLEDGMENT</w:t>
      </w:r>
    </w:p>
    <w:p w:rsidR="0006069C" w:rsidRPr="00DF69F9" w:rsidRDefault="0006069C" w:rsidP="0006069C">
      <w:pPr>
        <w:spacing w:line="360" w:lineRule="auto"/>
        <w:ind w:firstLine="720"/>
        <w:jc w:val="both"/>
        <w:rPr>
          <w:rFonts w:asciiTheme="majorBidi" w:hAnsiTheme="majorBidi" w:cstheme="majorBidi"/>
          <w:sz w:val="24"/>
          <w:szCs w:val="24"/>
        </w:rPr>
      </w:pPr>
      <w:r w:rsidRPr="00DF69F9">
        <w:rPr>
          <w:rFonts w:asciiTheme="majorBidi" w:hAnsiTheme="majorBidi" w:cstheme="majorBidi"/>
          <w:sz w:val="24"/>
          <w:szCs w:val="24"/>
        </w:rPr>
        <w:t>First and foremost, I give all glory and thanks to the Almighty God for the strength, wisdom, and grace granted to me throughout my academic journey.</w:t>
      </w:r>
    </w:p>
    <w:p w:rsidR="0006069C" w:rsidRPr="00DF69F9" w:rsidRDefault="0006069C" w:rsidP="0006069C">
      <w:pPr>
        <w:spacing w:line="360" w:lineRule="auto"/>
        <w:ind w:firstLine="720"/>
        <w:jc w:val="both"/>
        <w:rPr>
          <w:rFonts w:asciiTheme="majorBidi" w:hAnsiTheme="majorBidi" w:cstheme="majorBidi"/>
          <w:sz w:val="24"/>
          <w:szCs w:val="24"/>
        </w:rPr>
      </w:pPr>
      <w:r w:rsidRPr="00DF69F9">
        <w:rPr>
          <w:rFonts w:asciiTheme="majorBidi" w:hAnsiTheme="majorBidi" w:cstheme="majorBidi"/>
          <w:sz w:val="24"/>
          <w:szCs w:val="24"/>
        </w:rPr>
        <w:t>I would like to express my deepest gratitude to my wonderful parents and siblings whose unwavering love, prayers, encouragement, and financial support have been the solid foundation of my academic pursuit. Your belief in me has been my greatest motivation, and I am forever grateful.</w:t>
      </w:r>
    </w:p>
    <w:p w:rsidR="0006069C" w:rsidRPr="00DF69F9" w:rsidRDefault="0006069C" w:rsidP="0006069C">
      <w:pPr>
        <w:spacing w:line="360" w:lineRule="auto"/>
        <w:ind w:firstLine="720"/>
        <w:jc w:val="both"/>
        <w:rPr>
          <w:rFonts w:asciiTheme="majorBidi" w:hAnsiTheme="majorBidi" w:cstheme="majorBidi"/>
          <w:sz w:val="24"/>
          <w:szCs w:val="24"/>
        </w:rPr>
      </w:pPr>
      <w:r w:rsidRPr="00DF69F9">
        <w:rPr>
          <w:rFonts w:asciiTheme="majorBidi" w:hAnsiTheme="majorBidi" w:cstheme="majorBidi"/>
          <w:sz w:val="24"/>
          <w:szCs w:val="24"/>
        </w:rPr>
        <w:t>My sincere appreciation also goes to a very special person in my life, Opeyemi, for her endless love, care, and support. Your words of encouragement and constant presence have been a source of strength to me during challenging times.</w:t>
      </w:r>
    </w:p>
    <w:p w:rsidR="0006069C" w:rsidRPr="00DF69F9" w:rsidRDefault="0006069C" w:rsidP="0006069C">
      <w:pPr>
        <w:spacing w:line="360" w:lineRule="auto"/>
        <w:ind w:firstLine="720"/>
        <w:jc w:val="both"/>
        <w:rPr>
          <w:rFonts w:asciiTheme="majorBidi" w:hAnsiTheme="majorBidi" w:cstheme="majorBidi"/>
          <w:sz w:val="24"/>
          <w:szCs w:val="24"/>
        </w:rPr>
      </w:pPr>
      <w:r w:rsidRPr="00DF69F9">
        <w:rPr>
          <w:rFonts w:asciiTheme="majorBidi" w:hAnsiTheme="majorBidi" w:cstheme="majorBidi"/>
          <w:sz w:val="24"/>
          <w:szCs w:val="24"/>
        </w:rPr>
        <w:t>I would also like to acknowledge one of my favorite course mates, Fola, for her kindness, assistance, and immense support. Your selflessness and willingness to help contributed significantly to the successful completion of my academic journey at Kwara State Polytechnic.</w:t>
      </w:r>
    </w:p>
    <w:p w:rsidR="0006069C" w:rsidRPr="00DF69F9" w:rsidRDefault="0006069C" w:rsidP="0006069C">
      <w:pPr>
        <w:spacing w:line="360" w:lineRule="auto"/>
        <w:ind w:firstLine="720"/>
        <w:jc w:val="both"/>
        <w:rPr>
          <w:rFonts w:asciiTheme="majorBidi" w:hAnsiTheme="majorBidi" w:cstheme="majorBidi"/>
          <w:sz w:val="24"/>
          <w:szCs w:val="24"/>
        </w:rPr>
      </w:pPr>
      <w:r w:rsidRPr="00DF69F9">
        <w:rPr>
          <w:rFonts w:asciiTheme="majorBidi" w:hAnsiTheme="majorBidi" w:cstheme="majorBidi"/>
          <w:sz w:val="24"/>
          <w:szCs w:val="24"/>
        </w:rPr>
        <w:t>To all my lecturers, colleagues, and everyone who played a part in my growth during my time at this institution, I say thank you.</w:t>
      </w:r>
    </w:p>
    <w:p w:rsidR="0006069C" w:rsidRPr="00DF69F9" w:rsidRDefault="0006069C" w:rsidP="0006069C">
      <w:pPr>
        <w:spacing w:line="360" w:lineRule="auto"/>
        <w:ind w:firstLine="720"/>
        <w:jc w:val="both"/>
        <w:rPr>
          <w:rFonts w:asciiTheme="majorBidi" w:hAnsiTheme="majorBidi" w:cstheme="majorBidi"/>
          <w:sz w:val="24"/>
          <w:szCs w:val="24"/>
        </w:rPr>
      </w:pPr>
      <w:r w:rsidRPr="00DF69F9">
        <w:rPr>
          <w:rFonts w:asciiTheme="majorBidi" w:hAnsiTheme="majorBidi" w:cstheme="majorBidi"/>
          <w:sz w:val="24"/>
          <w:szCs w:val="24"/>
        </w:rPr>
        <w:t>This achievement is not mine alone it's a reflection of the love, support, and guidance I received from all of you.</w:t>
      </w:r>
    </w:p>
    <w:p w:rsidR="0006069C" w:rsidRPr="00DF69F9" w:rsidRDefault="0006069C" w:rsidP="0006069C">
      <w:pPr>
        <w:spacing w:line="360" w:lineRule="auto"/>
        <w:jc w:val="both"/>
        <w:rPr>
          <w:rFonts w:asciiTheme="majorBidi" w:hAnsiTheme="majorBidi" w:cstheme="majorBidi"/>
          <w:sz w:val="24"/>
          <w:szCs w:val="24"/>
        </w:rPr>
      </w:pPr>
      <w:r w:rsidRPr="00DF69F9">
        <w:rPr>
          <w:rFonts w:asciiTheme="majorBidi" w:hAnsiTheme="majorBidi" w:cstheme="majorBidi"/>
          <w:sz w:val="24"/>
          <w:szCs w:val="24"/>
        </w:rPr>
        <w:t>Thank you.</w:t>
      </w:r>
    </w:p>
    <w:p w:rsidR="0006069C" w:rsidRPr="00DF69F9" w:rsidRDefault="0006069C" w:rsidP="0006069C">
      <w:pPr>
        <w:jc w:val="center"/>
        <w:rPr>
          <w:rFonts w:asciiTheme="majorBidi" w:hAnsiTheme="majorBidi" w:cstheme="majorBidi"/>
          <w:b/>
          <w:bCs/>
          <w:sz w:val="24"/>
          <w:szCs w:val="24"/>
        </w:rPr>
      </w:pPr>
    </w:p>
    <w:p w:rsidR="0006069C" w:rsidRPr="00DF69F9" w:rsidRDefault="0006069C" w:rsidP="0006069C">
      <w:pPr>
        <w:jc w:val="center"/>
        <w:rPr>
          <w:rFonts w:asciiTheme="majorBidi" w:hAnsiTheme="majorBidi" w:cstheme="majorBidi"/>
          <w:b/>
          <w:bCs/>
          <w:sz w:val="24"/>
          <w:szCs w:val="24"/>
        </w:rPr>
      </w:pPr>
    </w:p>
    <w:p w:rsidR="0006069C" w:rsidRDefault="0006069C" w:rsidP="0006069C">
      <w:pPr>
        <w:jc w:val="center"/>
        <w:rPr>
          <w:rFonts w:asciiTheme="majorBidi" w:hAnsiTheme="majorBidi" w:cstheme="majorBidi"/>
          <w:b/>
          <w:bCs/>
          <w:sz w:val="24"/>
          <w:szCs w:val="24"/>
        </w:rPr>
      </w:pPr>
    </w:p>
    <w:p w:rsidR="0006069C" w:rsidRPr="00DF69F9" w:rsidRDefault="0006069C" w:rsidP="0006069C">
      <w:pPr>
        <w:jc w:val="center"/>
        <w:rPr>
          <w:rFonts w:asciiTheme="majorBidi" w:hAnsiTheme="majorBidi" w:cstheme="majorBidi"/>
          <w:b/>
          <w:bCs/>
          <w:sz w:val="24"/>
          <w:szCs w:val="24"/>
        </w:rPr>
      </w:pPr>
    </w:p>
    <w:p w:rsidR="0006069C" w:rsidRPr="00DF69F9" w:rsidRDefault="0006069C" w:rsidP="0006069C">
      <w:pPr>
        <w:jc w:val="center"/>
        <w:rPr>
          <w:rFonts w:asciiTheme="majorBidi" w:hAnsiTheme="majorBidi" w:cstheme="majorBidi"/>
          <w:i/>
          <w:iCs/>
          <w:sz w:val="24"/>
          <w:szCs w:val="24"/>
        </w:rPr>
      </w:pPr>
      <w:r w:rsidRPr="00DF69F9">
        <w:rPr>
          <w:rFonts w:asciiTheme="majorBidi" w:hAnsiTheme="majorBidi" w:cstheme="majorBidi"/>
          <w:b/>
          <w:bCs/>
          <w:i/>
          <w:iCs/>
          <w:sz w:val="24"/>
          <w:szCs w:val="24"/>
        </w:rPr>
        <w:lastRenderedPageBreak/>
        <w:t>ABSTRACT</w:t>
      </w:r>
    </w:p>
    <w:p w:rsidR="0006069C" w:rsidRPr="00DF69F9" w:rsidRDefault="0006069C" w:rsidP="0006069C">
      <w:pPr>
        <w:jc w:val="both"/>
        <w:rPr>
          <w:rFonts w:asciiTheme="majorBidi" w:hAnsiTheme="majorBidi" w:cstheme="majorBidi"/>
          <w:i/>
          <w:iCs/>
          <w:sz w:val="24"/>
          <w:szCs w:val="24"/>
        </w:rPr>
      </w:pPr>
      <w:r w:rsidRPr="00DF69F9">
        <w:rPr>
          <w:rFonts w:asciiTheme="majorBidi" w:hAnsiTheme="majorBidi" w:cstheme="majorBidi"/>
          <w:i/>
          <w:iCs/>
          <w:sz w:val="24"/>
          <w:szCs w:val="24"/>
        </w:rPr>
        <w:t>The main aim of this research is to compare the investment analysis of sustainable energy technologies in modern construction methods. Data for the study were collected through the use of questionnaires administered to construction professionals within the Ilorin construction industry. A total of 120 questionnaires were distributed and successfully retrieved. The data collected were analyzed using the Mean Item Score (MIS) to rank various aspects of sustainable energy technologies in modern construction methods. The analysis revealed that the major identified and classified Sustainable Energy Technologies (SETs) include solar water heating systems, smart lighting systems (LED/automated), client awareness and preference, solar PV systems, and geothermal systems, with mean item scores of 4.36, 4.14, 4.06, 3.98, and 3.83 respectively. It is recommended that the government should provide financial incentives such as tax rebates and grants, and also promote awareness through training and educational campaigns. Strengthening local expertise and manufacturing capacity can reduce dependence on imported materials and lower overall costs. Incorporating sustainable energy education into tertiary curricula will prepare future professionals with the necessary skills. Early involvement of cost professionals in project planning will ensure better financial oversight. In conclusion, the effective adoption of sustainable energy technologies in modern construction methods requires clear government policies, public and professional education on the benefits of SETs, and strong collaboration between government, industry experts, and academic institutions. This joint effort is essential to provide financial support, training programs, and practical strategies for successful implementation.</w:t>
      </w:r>
    </w:p>
    <w:p w:rsidR="0006069C" w:rsidRPr="00DF69F9" w:rsidRDefault="0006069C" w:rsidP="0006069C">
      <w:pPr>
        <w:jc w:val="both"/>
        <w:rPr>
          <w:rFonts w:asciiTheme="majorBidi" w:hAnsiTheme="majorBidi" w:cstheme="majorBidi"/>
          <w:i/>
          <w:iCs/>
          <w:sz w:val="24"/>
          <w:szCs w:val="24"/>
        </w:rPr>
      </w:pPr>
    </w:p>
    <w:p w:rsidR="0006069C" w:rsidRPr="00DF69F9" w:rsidRDefault="0006069C" w:rsidP="0006069C">
      <w:pPr>
        <w:jc w:val="both"/>
        <w:rPr>
          <w:rFonts w:asciiTheme="majorBidi" w:hAnsiTheme="majorBidi" w:cstheme="majorBidi"/>
          <w:sz w:val="24"/>
          <w:szCs w:val="24"/>
        </w:rPr>
      </w:pPr>
    </w:p>
    <w:p w:rsidR="0006069C" w:rsidRPr="00DF69F9" w:rsidRDefault="0006069C" w:rsidP="0006069C">
      <w:pPr>
        <w:jc w:val="center"/>
        <w:rPr>
          <w:rFonts w:asciiTheme="majorBidi" w:hAnsiTheme="majorBidi" w:cstheme="majorBidi"/>
          <w:b/>
          <w:sz w:val="24"/>
          <w:szCs w:val="24"/>
        </w:rPr>
      </w:pPr>
    </w:p>
    <w:p w:rsidR="0006069C" w:rsidRPr="00DF69F9" w:rsidRDefault="0006069C" w:rsidP="0006069C">
      <w:pPr>
        <w:jc w:val="center"/>
        <w:rPr>
          <w:rFonts w:asciiTheme="majorBidi" w:hAnsiTheme="majorBidi" w:cstheme="majorBidi"/>
          <w:b/>
          <w:sz w:val="24"/>
          <w:szCs w:val="24"/>
        </w:rPr>
      </w:pPr>
    </w:p>
    <w:p w:rsidR="0006069C" w:rsidRPr="00DF69F9" w:rsidRDefault="0006069C" w:rsidP="0006069C">
      <w:pPr>
        <w:jc w:val="center"/>
        <w:rPr>
          <w:rFonts w:asciiTheme="majorBidi" w:hAnsiTheme="majorBidi" w:cstheme="majorBidi"/>
          <w:b/>
          <w:sz w:val="24"/>
          <w:szCs w:val="24"/>
        </w:rPr>
      </w:pPr>
    </w:p>
    <w:p w:rsidR="0006069C" w:rsidRPr="00DF69F9" w:rsidRDefault="0006069C" w:rsidP="0006069C">
      <w:pPr>
        <w:jc w:val="center"/>
        <w:rPr>
          <w:rFonts w:asciiTheme="majorBidi" w:hAnsiTheme="majorBidi" w:cstheme="majorBidi"/>
          <w:b/>
          <w:sz w:val="24"/>
          <w:szCs w:val="24"/>
        </w:rPr>
      </w:pPr>
    </w:p>
    <w:p w:rsidR="0006069C" w:rsidRPr="00DF69F9" w:rsidRDefault="0006069C" w:rsidP="0006069C">
      <w:pPr>
        <w:jc w:val="center"/>
        <w:rPr>
          <w:rFonts w:asciiTheme="majorBidi" w:hAnsiTheme="majorBidi" w:cstheme="majorBidi"/>
          <w:b/>
          <w:sz w:val="24"/>
          <w:szCs w:val="24"/>
        </w:rPr>
      </w:pPr>
    </w:p>
    <w:p w:rsidR="0006069C" w:rsidRPr="00DF69F9" w:rsidRDefault="0006069C" w:rsidP="0006069C">
      <w:pPr>
        <w:rPr>
          <w:rFonts w:asciiTheme="majorBidi" w:hAnsiTheme="majorBidi" w:cstheme="majorBidi"/>
          <w:b/>
          <w:sz w:val="24"/>
          <w:szCs w:val="24"/>
        </w:rPr>
      </w:pPr>
    </w:p>
    <w:p w:rsidR="0006069C" w:rsidRPr="00DF69F9" w:rsidRDefault="0006069C" w:rsidP="0006069C">
      <w:pPr>
        <w:spacing w:line="360" w:lineRule="auto"/>
        <w:jc w:val="center"/>
        <w:rPr>
          <w:rFonts w:asciiTheme="majorBidi" w:hAnsiTheme="majorBidi" w:cstheme="majorBidi"/>
          <w:b/>
          <w:sz w:val="24"/>
          <w:szCs w:val="24"/>
        </w:rPr>
      </w:pPr>
      <w:r w:rsidRPr="00DF69F9">
        <w:rPr>
          <w:rFonts w:asciiTheme="majorBidi" w:hAnsiTheme="majorBidi" w:cstheme="majorBidi"/>
          <w:b/>
          <w:sz w:val="24"/>
          <w:szCs w:val="24"/>
        </w:rPr>
        <w:lastRenderedPageBreak/>
        <w:t>TABLE OF CONTENTS</w:t>
      </w:r>
    </w:p>
    <w:p w:rsidR="0006069C" w:rsidRPr="00DF69F9" w:rsidRDefault="0006069C" w:rsidP="0006069C">
      <w:pPr>
        <w:rPr>
          <w:rFonts w:asciiTheme="majorBidi" w:hAnsiTheme="majorBidi" w:cstheme="majorBidi"/>
          <w:bCs/>
          <w:i/>
          <w:iCs/>
          <w:sz w:val="24"/>
          <w:szCs w:val="24"/>
        </w:rPr>
      </w:pPr>
      <w:r w:rsidRPr="00DF69F9">
        <w:rPr>
          <w:rFonts w:asciiTheme="majorBidi" w:hAnsiTheme="majorBidi" w:cstheme="majorBidi"/>
          <w:bCs/>
          <w:i/>
          <w:iCs/>
          <w:sz w:val="24"/>
          <w:szCs w:val="24"/>
        </w:rPr>
        <w:t>Title page</w:t>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proofErr w:type="spellStart"/>
      <w:r w:rsidRPr="00DF69F9">
        <w:rPr>
          <w:rFonts w:asciiTheme="majorBidi" w:hAnsiTheme="majorBidi" w:cstheme="majorBidi"/>
          <w:bCs/>
          <w:i/>
          <w:iCs/>
          <w:sz w:val="24"/>
          <w:szCs w:val="24"/>
        </w:rPr>
        <w:t>i</w:t>
      </w:r>
      <w:proofErr w:type="spellEnd"/>
    </w:p>
    <w:p w:rsidR="0006069C" w:rsidRPr="00DF69F9" w:rsidRDefault="0006069C" w:rsidP="0006069C">
      <w:pPr>
        <w:rPr>
          <w:rFonts w:asciiTheme="majorBidi" w:hAnsiTheme="majorBidi" w:cstheme="majorBidi"/>
          <w:bCs/>
          <w:i/>
          <w:iCs/>
          <w:sz w:val="24"/>
          <w:szCs w:val="24"/>
        </w:rPr>
      </w:pPr>
      <w:r w:rsidRPr="00DF69F9">
        <w:rPr>
          <w:rFonts w:asciiTheme="majorBidi" w:hAnsiTheme="majorBidi" w:cstheme="majorBidi"/>
          <w:bCs/>
          <w:i/>
          <w:iCs/>
          <w:sz w:val="24"/>
          <w:szCs w:val="24"/>
        </w:rPr>
        <w:t>Certification</w:t>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t>ii</w:t>
      </w:r>
    </w:p>
    <w:p w:rsidR="0006069C" w:rsidRPr="00DF69F9" w:rsidRDefault="0006069C" w:rsidP="0006069C">
      <w:pPr>
        <w:rPr>
          <w:rFonts w:asciiTheme="majorBidi" w:hAnsiTheme="majorBidi" w:cstheme="majorBidi"/>
          <w:bCs/>
          <w:i/>
          <w:iCs/>
          <w:sz w:val="24"/>
          <w:szCs w:val="24"/>
        </w:rPr>
      </w:pPr>
      <w:r w:rsidRPr="00DF69F9">
        <w:rPr>
          <w:rFonts w:asciiTheme="majorBidi" w:hAnsiTheme="majorBidi" w:cstheme="majorBidi"/>
          <w:bCs/>
          <w:i/>
          <w:iCs/>
          <w:sz w:val="24"/>
          <w:szCs w:val="24"/>
        </w:rPr>
        <w:t>Acknowledgment</w:t>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t>iii</w:t>
      </w:r>
    </w:p>
    <w:p w:rsidR="0006069C" w:rsidRPr="00DF69F9" w:rsidRDefault="0006069C" w:rsidP="0006069C">
      <w:pPr>
        <w:rPr>
          <w:rFonts w:asciiTheme="majorBidi" w:hAnsiTheme="majorBidi" w:cstheme="majorBidi"/>
          <w:bCs/>
          <w:i/>
          <w:iCs/>
          <w:sz w:val="24"/>
          <w:szCs w:val="24"/>
        </w:rPr>
      </w:pPr>
      <w:r w:rsidRPr="00DF69F9">
        <w:rPr>
          <w:rFonts w:asciiTheme="majorBidi" w:hAnsiTheme="majorBidi" w:cstheme="majorBidi"/>
          <w:bCs/>
          <w:i/>
          <w:iCs/>
          <w:sz w:val="24"/>
          <w:szCs w:val="24"/>
        </w:rPr>
        <w:t xml:space="preserve">Dedicated </w:t>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t>iv</w:t>
      </w:r>
    </w:p>
    <w:p w:rsidR="0006069C" w:rsidRPr="00DF69F9" w:rsidRDefault="0006069C" w:rsidP="0006069C">
      <w:pPr>
        <w:rPr>
          <w:rFonts w:asciiTheme="majorBidi" w:hAnsiTheme="majorBidi" w:cstheme="majorBidi"/>
          <w:bCs/>
          <w:i/>
          <w:iCs/>
          <w:sz w:val="24"/>
          <w:szCs w:val="24"/>
        </w:rPr>
      </w:pPr>
      <w:r w:rsidRPr="00DF69F9">
        <w:rPr>
          <w:rFonts w:asciiTheme="majorBidi" w:hAnsiTheme="majorBidi" w:cstheme="majorBidi"/>
          <w:bCs/>
          <w:i/>
          <w:iCs/>
          <w:sz w:val="24"/>
          <w:szCs w:val="24"/>
        </w:rPr>
        <w:t>Abstract</w:t>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t>v</w:t>
      </w:r>
    </w:p>
    <w:p w:rsidR="0006069C" w:rsidRPr="00DF69F9" w:rsidRDefault="0006069C" w:rsidP="0006069C">
      <w:pPr>
        <w:rPr>
          <w:rFonts w:asciiTheme="majorBidi" w:hAnsiTheme="majorBidi" w:cstheme="majorBidi"/>
          <w:bCs/>
          <w:i/>
          <w:iCs/>
          <w:sz w:val="24"/>
          <w:szCs w:val="24"/>
        </w:rPr>
      </w:pPr>
      <w:r w:rsidRPr="00DF69F9">
        <w:rPr>
          <w:rFonts w:asciiTheme="majorBidi" w:hAnsiTheme="majorBidi" w:cstheme="majorBidi"/>
          <w:bCs/>
          <w:i/>
          <w:iCs/>
          <w:sz w:val="24"/>
          <w:szCs w:val="24"/>
        </w:rPr>
        <w:t>Table of Content</w:t>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r>
      <w:r w:rsidRPr="00DF69F9">
        <w:rPr>
          <w:rFonts w:asciiTheme="majorBidi" w:hAnsiTheme="majorBidi" w:cstheme="majorBidi"/>
          <w:bCs/>
          <w:i/>
          <w:iCs/>
          <w:sz w:val="24"/>
          <w:szCs w:val="24"/>
        </w:rPr>
        <w:tab/>
        <w:t>vi</w:t>
      </w:r>
    </w:p>
    <w:p w:rsidR="0006069C" w:rsidRPr="00DF69F9" w:rsidRDefault="0006069C" w:rsidP="0006069C">
      <w:pPr>
        <w:spacing w:line="360" w:lineRule="auto"/>
        <w:rPr>
          <w:rFonts w:asciiTheme="majorBidi" w:hAnsiTheme="majorBidi" w:cstheme="majorBidi"/>
          <w:b/>
          <w:sz w:val="24"/>
          <w:szCs w:val="24"/>
        </w:rPr>
      </w:pPr>
      <w:r w:rsidRPr="00DF69F9">
        <w:rPr>
          <w:rFonts w:asciiTheme="majorBidi" w:hAnsiTheme="majorBidi" w:cstheme="majorBidi"/>
          <w:b/>
          <w:sz w:val="24"/>
          <w:szCs w:val="24"/>
        </w:rPr>
        <w:t>CHAPTER ONE</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1.0</w:t>
      </w:r>
      <w:r w:rsidRPr="00DF69F9">
        <w:rPr>
          <w:rFonts w:asciiTheme="majorBidi" w:hAnsiTheme="majorBidi" w:cstheme="majorBidi"/>
          <w:bCs/>
          <w:sz w:val="24"/>
          <w:szCs w:val="24"/>
        </w:rPr>
        <w:tab/>
        <w:t>Introduction</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t>1</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1.1</w:t>
      </w:r>
      <w:r w:rsidRPr="00DF69F9">
        <w:rPr>
          <w:rFonts w:asciiTheme="majorBidi" w:hAnsiTheme="majorBidi" w:cstheme="majorBidi"/>
          <w:bCs/>
          <w:sz w:val="24"/>
          <w:szCs w:val="24"/>
        </w:rPr>
        <w:tab/>
        <w:t>Background of the Study</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t>1</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1.2</w:t>
      </w:r>
      <w:r w:rsidRPr="00DF69F9">
        <w:rPr>
          <w:rFonts w:asciiTheme="majorBidi" w:hAnsiTheme="majorBidi" w:cstheme="majorBidi"/>
          <w:bCs/>
          <w:sz w:val="24"/>
          <w:szCs w:val="24"/>
        </w:rPr>
        <w:tab/>
        <w:t xml:space="preserve">Statement of </w:t>
      </w:r>
      <w:r>
        <w:rPr>
          <w:rFonts w:asciiTheme="majorBidi" w:hAnsiTheme="majorBidi" w:cstheme="majorBidi"/>
          <w:bCs/>
          <w:sz w:val="24"/>
          <w:szCs w:val="24"/>
        </w:rPr>
        <w:t xml:space="preserve">Research </w:t>
      </w:r>
      <w:r w:rsidRPr="00DF69F9">
        <w:rPr>
          <w:rFonts w:asciiTheme="majorBidi" w:hAnsiTheme="majorBidi" w:cstheme="majorBidi"/>
          <w:bCs/>
          <w:sz w:val="24"/>
          <w:szCs w:val="24"/>
        </w:rPr>
        <w:t>Problem</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4</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1.3</w:t>
      </w:r>
      <w:r w:rsidRPr="00DF69F9">
        <w:rPr>
          <w:rFonts w:asciiTheme="majorBidi" w:hAnsiTheme="majorBidi" w:cstheme="majorBidi"/>
          <w:bCs/>
          <w:sz w:val="24"/>
          <w:szCs w:val="24"/>
        </w:rPr>
        <w:tab/>
      </w:r>
      <w:r>
        <w:rPr>
          <w:rFonts w:asciiTheme="majorBidi" w:hAnsiTheme="majorBidi" w:cstheme="majorBidi"/>
          <w:bCs/>
          <w:sz w:val="24"/>
          <w:szCs w:val="24"/>
        </w:rPr>
        <w:t>Aims and Objectives</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t>5</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1.4</w:t>
      </w:r>
      <w:r w:rsidRPr="00DF69F9">
        <w:rPr>
          <w:rFonts w:asciiTheme="majorBidi" w:hAnsiTheme="majorBidi" w:cstheme="majorBidi"/>
          <w:bCs/>
          <w:sz w:val="24"/>
          <w:szCs w:val="24"/>
        </w:rPr>
        <w:tab/>
        <w:t>Research Question</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ab/>
      </w:r>
      <w:r w:rsidRPr="00DF69F9">
        <w:rPr>
          <w:rFonts w:asciiTheme="majorBidi" w:hAnsiTheme="majorBidi" w:cstheme="majorBidi"/>
          <w:bCs/>
          <w:sz w:val="24"/>
          <w:szCs w:val="24"/>
        </w:rPr>
        <w:t>5</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1.5</w:t>
      </w:r>
      <w:r w:rsidRPr="00DF69F9">
        <w:rPr>
          <w:rFonts w:asciiTheme="majorBidi" w:hAnsiTheme="majorBidi" w:cstheme="majorBidi"/>
          <w:bCs/>
          <w:sz w:val="24"/>
          <w:szCs w:val="24"/>
        </w:rPr>
        <w:tab/>
        <w:t>Justification of the Study</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t>6</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1.6</w:t>
      </w:r>
      <w:r w:rsidRPr="00DF69F9">
        <w:rPr>
          <w:rFonts w:asciiTheme="majorBidi" w:hAnsiTheme="majorBidi" w:cstheme="majorBidi"/>
          <w:bCs/>
          <w:sz w:val="24"/>
          <w:szCs w:val="24"/>
        </w:rPr>
        <w:tab/>
        <w:t>Scope and Limitation of the Study</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7</w:t>
      </w:r>
    </w:p>
    <w:p w:rsidR="0006069C" w:rsidRPr="00DF69F9" w:rsidRDefault="0006069C" w:rsidP="0006069C">
      <w:pPr>
        <w:spacing w:line="360" w:lineRule="auto"/>
        <w:rPr>
          <w:rFonts w:asciiTheme="majorBidi" w:hAnsiTheme="majorBidi" w:cstheme="majorBidi"/>
          <w:b/>
          <w:sz w:val="24"/>
          <w:szCs w:val="24"/>
        </w:rPr>
      </w:pPr>
      <w:r w:rsidRPr="00DF69F9">
        <w:rPr>
          <w:rFonts w:asciiTheme="majorBidi" w:hAnsiTheme="majorBidi" w:cstheme="majorBidi"/>
          <w:b/>
          <w:sz w:val="24"/>
          <w:szCs w:val="24"/>
        </w:rPr>
        <w:t>CHAPTER TWO: Literature Review</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2.0</w:t>
      </w:r>
      <w:r w:rsidRPr="00DF69F9">
        <w:rPr>
          <w:rFonts w:asciiTheme="majorBidi" w:hAnsiTheme="majorBidi" w:cstheme="majorBidi"/>
          <w:bCs/>
          <w:sz w:val="24"/>
          <w:szCs w:val="24"/>
        </w:rPr>
        <w:tab/>
        <w:t>Introduction</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8</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2.1</w:t>
      </w:r>
      <w:r w:rsidRPr="00DF69F9">
        <w:rPr>
          <w:rFonts w:asciiTheme="majorBidi" w:hAnsiTheme="majorBidi" w:cstheme="majorBidi"/>
          <w:bCs/>
          <w:sz w:val="24"/>
          <w:szCs w:val="24"/>
        </w:rPr>
        <w:tab/>
      </w:r>
      <w:r>
        <w:rPr>
          <w:rFonts w:asciiTheme="majorBidi" w:hAnsiTheme="majorBidi" w:cstheme="majorBidi"/>
          <w:bCs/>
          <w:sz w:val="24"/>
          <w:szCs w:val="24"/>
        </w:rPr>
        <w:t>Sustainable Energy Technologies in Modern Construction</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9</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2.2</w:t>
      </w:r>
      <w:r w:rsidRPr="00DF69F9">
        <w:rPr>
          <w:rFonts w:asciiTheme="majorBidi" w:hAnsiTheme="majorBidi" w:cstheme="majorBidi"/>
          <w:bCs/>
          <w:sz w:val="24"/>
          <w:szCs w:val="24"/>
        </w:rPr>
        <w:tab/>
      </w:r>
      <w:r>
        <w:rPr>
          <w:rFonts w:asciiTheme="majorBidi" w:hAnsiTheme="majorBidi" w:cstheme="majorBidi"/>
          <w:bCs/>
          <w:sz w:val="24"/>
          <w:szCs w:val="24"/>
        </w:rPr>
        <w:t>Identification of Sustainable Energy Technologies in Nigeria Construction</w:t>
      </w:r>
      <w:r w:rsidRPr="00DF69F9">
        <w:rPr>
          <w:rFonts w:asciiTheme="majorBidi" w:hAnsiTheme="majorBidi" w:cstheme="majorBidi"/>
          <w:bCs/>
          <w:sz w:val="24"/>
          <w:szCs w:val="24"/>
        </w:rPr>
        <w:tab/>
        <w:t>12</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2.3</w:t>
      </w:r>
      <w:r w:rsidRPr="00DF69F9">
        <w:rPr>
          <w:rFonts w:asciiTheme="majorBidi" w:hAnsiTheme="majorBidi" w:cstheme="majorBidi"/>
          <w:bCs/>
          <w:sz w:val="24"/>
          <w:szCs w:val="24"/>
        </w:rPr>
        <w:tab/>
      </w:r>
      <w:r>
        <w:rPr>
          <w:rFonts w:asciiTheme="majorBidi" w:hAnsiTheme="majorBidi" w:cstheme="majorBidi"/>
          <w:bCs/>
          <w:sz w:val="24"/>
          <w:szCs w:val="24"/>
        </w:rPr>
        <w:t>Classification of Sustainable Energy Technologies</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sidRPr="00DF69F9">
        <w:rPr>
          <w:rFonts w:asciiTheme="majorBidi" w:hAnsiTheme="majorBidi" w:cstheme="majorBidi"/>
          <w:bCs/>
          <w:sz w:val="24"/>
          <w:szCs w:val="24"/>
        </w:rPr>
        <w:t>1</w:t>
      </w:r>
      <w:r>
        <w:rPr>
          <w:rFonts w:asciiTheme="majorBidi" w:hAnsiTheme="majorBidi" w:cstheme="majorBidi"/>
          <w:bCs/>
          <w:sz w:val="24"/>
          <w:szCs w:val="24"/>
        </w:rPr>
        <w:t>4</w:t>
      </w:r>
    </w:p>
    <w:p w:rsidR="0006069C"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lastRenderedPageBreak/>
        <w:t>2.4</w:t>
      </w:r>
      <w:r w:rsidRPr="00DF69F9">
        <w:rPr>
          <w:rFonts w:asciiTheme="majorBidi" w:hAnsiTheme="majorBidi" w:cstheme="majorBidi"/>
          <w:bCs/>
          <w:sz w:val="24"/>
          <w:szCs w:val="24"/>
        </w:rPr>
        <w:tab/>
      </w:r>
      <w:r>
        <w:rPr>
          <w:rFonts w:asciiTheme="majorBidi" w:hAnsiTheme="majorBidi" w:cstheme="majorBidi"/>
          <w:bCs/>
          <w:sz w:val="24"/>
          <w:szCs w:val="24"/>
        </w:rPr>
        <w:t xml:space="preserve">Initial Capital and Life Cycle Implications of Adopting Sustainable Energy </w:t>
      </w:r>
    </w:p>
    <w:p w:rsidR="0006069C" w:rsidRPr="00DF69F9" w:rsidRDefault="0006069C" w:rsidP="0006069C">
      <w:pPr>
        <w:spacing w:line="360" w:lineRule="auto"/>
        <w:ind w:firstLine="720"/>
        <w:rPr>
          <w:rFonts w:asciiTheme="majorBidi" w:hAnsiTheme="majorBidi" w:cstheme="majorBidi"/>
          <w:bCs/>
          <w:sz w:val="24"/>
          <w:szCs w:val="24"/>
        </w:rPr>
      </w:pPr>
      <w:r>
        <w:rPr>
          <w:rFonts w:asciiTheme="majorBidi" w:hAnsiTheme="majorBidi" w:cstheme="majorBidi"/>
          <w:bCs/>
          <w:sz w:val="24"/>
          <w:szCs w:val="24"/>
        </w:rPr>
        <w:t xml:space="preserve">Technologies in Nigeria Construction </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t>1</w:t>
      </w:r>
      <w:r>
        <w:rPr>
          <w:rFonts w:asciiTheme="majorBidi" w:hAnsiTheme="majorBidi" w:cstheme="majorBidi"/>
          <w:bCs/>
          <w:sz w:val="24"/>
          <w:szCs w:val="24"/>
        </w:rPr>
        <w:t>8</w:t>
      </w:r>
    </w:p>
    <w:p w:rsidR="0006069C"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2.5</w:t>
      </w:r>
      <w:r w:rsidRPr="00DF69F9">
        <w:rPr>
          <w:rFonts w:asciiTheme="majorBidi" w:hAnsiTheme="majorBidi" w:cstheme="majorBidi"/>
          <w:bCs/>
          <w:sz w:val="24"/>
          <w:szCs w:val="24"/>
        </w:rPr>
        <w:tab/>
      </w:r>
      <w:r>
        <w:rPr>
          <w:rFonts w:asciiTheme="majorBidi" w:hAnsiTheme="majorBidi" w:cstheme="majorBidi"/>
          <w:bCs/>
          <w:sz w:val="24"/>
          <w:szCs w:val="24"/>
        </w:rPr>
        <w:t xml:space="preserve">Return on Investment, Energy Savings and Economic Benefits of </w:t>
      </w:r>
    </w:p>
    <w:p w:rsidR="0006069C" w:rsidRPr="00DF69F9" w:rsidRDefault="0006069C" w:rsidP="0006069C">
      <w:pPr>
        <w:spacing w:line="360" w:lineRule="auto"/>
        <w:ind w:firstLine="720"/>
        <w:rPr>
          <w:rFonts w:asciiTheme="majorBidi" w:hAnsiTheme="majorBidi" w:cstheme="majorBidi"/>
          <w:bCs/>
          <w:sz w:val="24"/>
          <w:szCs w:val="24"/>
        </w:rPr>
      </w:pPr>
      <w:r>
        <w:rPr>
          <w:rFonts w:asciiTheme="majorBidi" w:hAnsiTheme="majorBidi" w:cstheme="majorBidi"/>
          <w:bCs/>
          <w:sz w:val="24"/>
          <w:szCs w:val="24"/>
        </w:rPr>
        <w:t>Sustainable Energy Technologies in Nigeria Construction</w:t>
      </w:r>
      <w:r w:rsidRPr="00DF69F9">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20</w:t>
      </w:r>
    </w:p>
    <w:p w:rsidR="0006069C"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2.6</w:t>
      </w:r>
      <w:r w:rsidRPr="00DF69F9">
        <w:rPr>
          <w:rFonts w:asciiTheme="majorBidi" w:hAnsiTheme="majorBidi" w:cstheme="majorBidi"/>
          <w:bCs/>
          <w:sz w:val="24"/>
          <w:szCs w:val="24"/>
        </w:rPr>
        <w:tab/>
      </w:r>
      <w:r>
        <w:rPr>
          <w:rFonts w:asciiTheme="majorBidi" w:hAnsiTheme="majorBidi" w:cstheme="majorBidi"/>
          <w:bCs/>
          <w:sz w:val="24"/>
          <w:szCs w:val="24"/>
        </w:rPr>
        <w:t xml:space="preserve">Strategic Measures to Enhance Investments in Sustainable Energy </w:t>
      </w:r>
    </w:p>
    <w:p w:rsidR="0006069C" w:rsidRPr="00DF69F9" w:rsidRDefault="0006069C" w:rsidP="0006069C">
      <w:pPr>
        <w:spacing w:line="360" w:lineRule="auto"/>
        <w:ind w:firstLine="720"/>
        <w:rPr>
          <w:rFonts w:asciiTheme="majorBidi" w:hAnsiTheme="majorBidi" w:cstheme="majorBidi"/>
          <w:bCs/>
          <w:sz w:val="24"/>
          <w:szCs w:val="24"/>
        </w:rPr>
      </w:pPr>
      <w:r>
        <w:rPr>
          <w:rFonts w:asciiTheme="majorBidi" w:hAnsiTheme="majorBidi" w:cstheme="majorBidi"/>
          <w:bCs/>
          <w:sz w:val="24"/>
          <w:szCs w:val="24"/>
        </w:rPr>
        <w:t>Technologies in the Nigeria Construction Sector</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t>2</w:t>
      </w:r>
      <w:r>
        <w:rPr>
          <w:rFonts w:asciiTheme="majorBidi" w:hAnsiTheme="majorBidi" w:cstheme="majorBidi"/>
          <w:bCs/>
          <w:sz w:val="24"/>
          <w:szCs w:val="24"/>
        </w:rPr>
        <w:t>2</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2.7</w:t>
      </w:r>
      <w:r w:rsidRPr="00DF69F9">
        <w:rPr>
          <w:rFonts w:asciiTheme="majorBidi" w:hAnsiTheme="majorBidi" w:cstheme="majorBidi"/>
          <w:bCs/>
          <w:sz w:val="24"/>
          <w:szCs w:val="24"/>
        </w:rPr>
        <w:tab/>
      </w:r>
      <w:r>
        <w:rPr>
          <w:rFonts w:asciiTheme="majorBidi" w:hAnsiTheme="majorBidi" w:cstheme="majorBidi"/>
          <w:bCs/>
          <w:sz w:val="24"/>
          <w:szCs w:val="24"/>
        </w:rPr>
        <w:t xml:space="preserve">Investment Analysis in Sustainable Energy Technologies </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t>2</w:t>
      </w:r>
      <w:r>
        <w:rPr>
          <w:rFonts w:asciiTheme="majorBidi" w:hAnsiTheme="majorBidi" w:cstheme="majorBidi"/>
          <w:bCs/>
          <w:sz w:val="24"/>
          <w:szCs w:val="24"/>
        </w:rPr>
        <w:t>5</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2.8</w:t>
      </w:r>
      <w:r w:rsidRPr="00DF69F9">
        <w:rPr>
          <w:rFonts w:asciiTheme="majorBidi" w:hAnsiTheme="majorBidi" w:cstheme="majorBidi"/>
          <w:bCs/>
          <w:sz w:val="24"/>
          <w:szCs w:val="24"/>
        </w:rPr>
        <w:tab/>
      </w:r>
      <w:r>
        <w:rPr>
          <w:rFonts w:asciiTheme="majorBidi" w:hAnsiTheme="majorBidi" w:cstheme="majorBidi"/>
          <w:bCs/>
          <w:sz w:val="24"/>
          <w:szCs w:val="24"/>
        </w:rPr>
        <w:t>Barriers to Adoption of Sustainable Energy Technologies</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t>2</w:t>
      </w:r>
      <w:r>
        <w:rPr>
          <w:rFonts w:asciiTheme="majorBidi" w:hAnsiTheme="majorBidi" w:cstheme="majorBidi"/>
          <w:bCs/>
          <w:sz w:val="24"/>
          <w:szCs w:val="24"/>
        </w:rPr>
        <w:t>7</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2.9</w:t>
      </w:r>
      <w:r w:rsidRPr="00DF69F9">
        <w:rPr>
          <w:rFonts w:asciiTheme="majorBidi" w:hAnsiTheme="majorBidi" w:cstheme="majorBidi"/>
          <w:bCs/>
          <w:sz w:val="24"/>
          <w:szCs w:val="24"/>
        </w:rPr>
        <w:tab/>
      </w:r>
      <w:r>
        <w:rPr>
          <w:rFonts w:asciiTheme="majorBidi" w:hAnsiTheme="majorBidi" w:cstheme="majorBidi"/>
          <w:bCs/>
          <w:sz w:val="24"/>
          <w:szCs w:val="24"/>
        </w:rPr>
        <w:t xml:space="preserve">Benefits of Sustainable Energy Technologies in Construction </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31</w:t>
      </w:r>
      <w:r w:rsidRPr="00DF69F9">
        <w:rPr>
          <w:rFonts w:asciiTheme="majorBidi" w:hAnsiTheme="majorBidi" w:cstheme="majorBidi"/>
          <w:bCs/>
          <w:sz w:val="24"/>
          <w:szCs w:val="24"/>
        </w:rPr>
        <w:tab/>
      </w:r>
    </w:p>
    <w:p w:rsidR="0006069C" w:rsidRPr="00DF69F9" w:rsidRDefault="0006069C" w:rsidP="0006069C">
      <w:pPr>
        <w:spacing w:line="360" w:lineRule="auto"/>
        <w:rPr>
          <w:rFonts w:asciiTheme="majorBidi" w:hAnsiTheme="majorBidi" w:cstheme="majorBidi"/>
          <w:b/>
          <w:sz w:val="24"/>
          <w:szCs w:val="24"/>
        </w:rPr>
      </w:pPr>
      <w:r w:rsidRPr="00DF69F9">
        <w:rPr>
          <w:rFonts w:asciiTheme="majorBidi" w:hAnsiTheme="majorBidi" w:cstheme="majorBidi"/>
          <w:b/>
          <w:sz w:val="24"/>
          <w:szCs w:val="24"/>
        </w:rPr>
        <w:t>CHAPTER THREE: Research Methodology</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3.0</w:t>
      </w:r>
      <w:r w:rsidRPr="00DF69F9">
        <w:rPr>
          <w:rFonts w:asciiTheme="majorBidi" w:hAnsiTheme="majorBidi" w:cstheme="majorBidi"/>
          <w:bCs/>
          <w:sz w:val="24"/>
          <w:szCs w:val="24"/>
        </w:rPr>
        <w:tab/>
        <w:t xml:space="preserve">Introduction </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35</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3.1</w:t>
      </w:r>
      <w:r w:rsidRPr="00DF69F9">
        <w:rPr>
          <w:rFonts w:asciiTheme="majorBidi" w:hAnsiTheme="majorBidi" w:cstheme="majorBidi"/>
          <w:bCs/>
          <w:sz w:val="24"/>
          <w:szCs w:val="24"/>
        </w:rPr>
        <w:tab/>
        <w:t>Research Design</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35</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3.2</w:t>
      </w:r>
      <w:r w:rsidRPr="00DF69F9">
        <w:rPr>
          <w:rFonts w:asciiTheme="majorBidi" w:hAnsiTheme="majorBidi" w:cstheme="majorBidi"/>
          <w:bCs/>
          <w:sz w:val="24"/>
          <w:szCs w:val="24"/>
        </w:rPr>
        <w:tab/>
        <w:t>Research Population</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35</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3.3</w:t>
      </w:r>
      <w:r w:rsidRPr="00DF69F9">
        <w:rPr>
          <w:rFonts w:asciiTheme="majorBidi" w:hAnsiTheme="majorBidi" w:cstheme="majorBidi"/>
          <w:bCs/>
          <w:sz w:val="24"/>
          <w:szCs w:val="24"/>
        </w:rPr>
        <w:tab/>
        <w:t>Sample Frame</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36</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3.4</w:t>
      </w:r>
      <w:r w:rsidRPr="00DF69F9">
        <w:rPr>
          <w:rFonts w:asciiTheme="majorBidi" w:hAnsiTheme="majorBidi" w:cstheme="majorBidi"/>
          <w:bCs/>
          <w:sz w:val="24"/>
          <w:szCs w:val="24"/>
        </w:rPr>
        <w:tab/>
        <w:t>Sample Size</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36</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3.5</w:t>
      </w:r>
      <w:r w:rsidRPr="00DF69F9">
        <w:rPr>
          <w:rFonts w:asciiTheme="majorBidi" w:hAnsiTheme="majorBidi" w:cstheme="majorBidi"/>
          <w:bCs/>
          <w:sz w:val="24"/>
          <w:szCs w:val="24"/>
        </w:rPr>
        <w:tab/>
        <w:t>Sampling Techniques</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36</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3.6</w:t>
      </w:r>
      <w:r w:rsidRPr="00DF69F9">
        <w:rPr>
          <w:rFonts w:asciiTheme="majorBidi" w:hAnsiTheme="majorBidi" w:cstheme="majorBidi"/>
          <w:bCs/>
          <w:sz w:val="24"/>
          <w:szCs w:val="24"/>
        </w:rPr>
        <w:tab/>
        <w:t>Method of Data Collection</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37</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3.7</w:t>
      </w:r>
      <w:r w:rsidRPr="00DF69F9">
        <w:rPr>
          <w:rFonts w:asciiTheme="majorBidi" w:hAnsiTheme="majorBidi" w:cstheme="majorBidi"/>
          <w:bCs/>
          <w:sz w:val="24"/>
          <w:szCs w:val="24"/>
        </w:rPr>
        <w:tab/>
        <w:t>Method of Data Analysis</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37</w:t>
      </w:r>
      <w:r w:rsidRPr="00DF69F9">
        <w:rPr>
          <w:rFonts w:asciiTheme="majorBidi" w:hAnsiTheme="majorBidi" w:cstheme="majorBidi"/>
          <w:bCs/>
          <w:sz w:val="24"/>
          <w:szCs w:val="24"/>
        </w:rPr>
        <w:t xml:space="preserve"> </w:t>
      </w:r>
      <w:r w:rsidRPr="00DF69F9">
        <w:rPr>
          <w:rFonts w:asciiTheme="majorBidi" w:hAnsiTheme="majorBidi" w:cstheme="majorBidi"/>
          <w:bCs/>
          <w:sz w:val="24"/>
          <w:szCs w:val="24"/>
        </w:rPr>
        <w:tab/>
      </w:r>
    </w:p>
    <w:p w:rsidR="0006069C" w:rsidRDefault="0006069C" w:rsidP="0006069C">
      <w:pPr>
        <w:spacing w:line="360" w:lineRule="auto"/>
        <w:rPr>
          <w:rFonts w:asciiTheme="majorBidi" w:hAnsiTheme="majorBidi" w:cstheme="majorBidi"/>
          <w:b/>
          <w:sz w:val="24"/>
          <w:szCs w:val="24"/>
        </w:rPr>
      </w:pPr>
    </w:p>
    <w:p w:rsidR="0006069C" w:rsidRPr="00DF69F9" w:rsidRDefault="0006069C" w:rsidP="0006069C">
      <w:pPr>
        <w:spacing w:line="360" w:lineRule="auto"/>
        <w:rPr>
          <w:rFonts w:asciiTheme="majorBidi" w:hAnsiTheme="majorBidi" w:cstheme="majorBidi"/>
          <w:b/>
          <w:sz w:val="24"/>
          <w:szCs w:val="24"/>
        </w:rPr>
      </w:pPr>
      <w:r w:rsidRPr="00DF69F9">
        <w:rPr>
          <w:rFonts w:asciiTheme="majorBidi" w:hAnsiTheme="majorBidi" w:cstheme="majorBidi"/>
          <w:b/>
          <w:sz w:val="24"/>
          <w:szCs w:val="24"/>
        </w:rPr>
        <w:lastRenderedPageBreak/>
        <w:t>CHAPTER FOUR: Data Presentation and Analysis</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4.0</w:t>
      </w:r>
      <w:r w:rsidRPr="00DF69F9">
        <w:rPr>
          <w:rFonts w:asciiTheme="majorBidi" w:hAnsiTheme="majorBidi" w:cstheme="majorBidi"/>
          <w:bCs/>
          <w:sz w:val="24"/>
          <w:szCs w:val="24"/>
        </w:rPr>
        <w:tab/>
        <w:t>Introduction</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38</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4.1</w:t>
      </w:r>
      <w:r w:rsidRPr="00DF69F9">
        <w:rPr>
          <w:rFonts w:asciiTheme="majorBidi" w:hAnsiTheme="majorBidi" w:cstheme="majorBidi"/>
          <w:bCs/>
          <w:sz w:val="24"/>
          <w:szCs w:val="24"/>
        </w:rPr>
        <w:tab/>
        <w:t>Presentation of Data</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38</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4.2</w:t>
      </w:r>
      <w:r w:rsidRPr="00DF69F9">
        <w:rPr>
          <w:rFonts w:asciiTheme="majorBidi" w:hAnsiTheme="majorBidi" w:cstheme="majorBidi"/>
          <w:bCs/>
          <w:sz w:val="24"/>
          <w:szCs w:val="24"/>
        </w:rPr>
        <w:tab/>
      </w:r>
      <w:r>
        <w:rPr>
          <w:rFonts w:asciiTheme="majorBidi" w:hAnsiTheme="majorBidi" w:cstheme="majorBidi"/>
          <w:bCs/>
          <w:sz w:val="24"/>
          <w:szCs w:val="24"/>
        </w:rPr>
        <w:t>Identifications and Classification Sustainable Energy Technologies</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47</w:t>
      </w:r>
    </w:p>
    <w:p w:rsidR="0006069C"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4.3</w:t>
      </w:r>
      <w:r w:rsidRPr="00DF69F9">
        <w:rPr>
          <w:rFonts w:asciiTheme="majorBidi" w:hAnsiTheme="majorBidi" w:cstheme="majorBidi"/>
          <w:bCs/>
          <w:sz w:val="24"/>
          <w:szCs w:val="24"/>
        </w:rPr>
        <w:tab/>
      </w:r>
      <w:r>
        <w:rPr>
          <w:rFonts w:asciiTheme="majorBidi" w:hAnsiTheme="majorBidi" w:cstheme="majorBidi"/>
          <w:bCs/>
          <w:sz w:val="24"/>
          <w:szCs w:val="24"/>
        </w:rPr>
        <w:t xml:space="preserve">Initial Capital and Life Cycle Implications of Adopting Sustainable Energy </w:t>
      </w:r>
    </w:p>
    <w:p w:rsidR="0006069C" w:rsidRDefault="0006069C" w:rsidP="0006069C">
      <w:pPr>
        <w:spacing w:line="360" w:lineRule="auto"/>
        <w:ind w:firstLine="720"/>
        <w:rPr>
          <w:rFonts w:asciiTheme="majorBidi" w:hAnsiTheme="majorBidi" w:cstheme="majorBidi"/>
          <w:bCs/>
          <w:sz w:val="24"/>
          <w:szCs w:val="24"/>
        </w:rPr>
      </w:pPr>
      <w:r>
        <w:rPr>
          <w:rFonts w:asciiTheme="majorBidi" w:hAnsiTheme="majorBidi" w:cstheme="majorBidi"/>
          <w:bCs/>
          <w:sz w:val="24"/>
          <w:szCs w:val="24"/>
        </w:rPr>
        <w:t>Technologies</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t>49</w:t>
      </w:r>
    </w:p>
    <w:p w:rsidR="0006069C"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4.4</w:t>
      </w:r>
      <w:r w:rsidRPr="00DF69F9">
        <w:rPr>
          <w:rFonts w:asciiTheme="majorBidi" w:hAnsiTheme="majorBidi" w:cstheme="majorBidi"/>
          <w:bCs/>
          <w:sz w:val="24"/>
          <w:szCs w:val="24"/>
        </w:rPr>
        <w:tab/>
      </w:r>
      <w:r>
        <w:rPr>
          <w:rFonts w:asciiTheme="majorBidi" w:hAnsiTheme="majorBidi" w:cstheme="majorBidi"/>
          <w:bCs/>
          <w:sz w:val="24"/>
          <w:szCs w:val="24"/>
        </w:rPr>
        <w:t xml:space="preserve">Evaluation on </w:t>
      </w:r>
      <w:r w:rsidRPr="00DF69F9">
        <w:rPr>
          <w:rFonts w:asciiTheme="majorBidi" w:hAnsiTheme="majorBidi" w:cstheme="majorBidi"/>
          <w:bCs/>
          <w:sz w:val="24"/>
          <w:szCs w:val="24"/>
        </w:rPr>
        <w:tab/>
      </w:r>
      <w:r>
        <w:rPr>
          <w:rFonts w:asciiTheme="majorBidi" w:hAnsiTheme="majorBidi" w:cstheme="majorBidi"/>
          <w:bCs/>
          <w:sz w:val="24"/>
          <w:szCs w:val="24"/>
        </w:rPr>
        <w:t xml:space="preserve">Return on Investment, Energy Savings and Economic </w:t>
      </w:r>
    </w:p>
    <w:p w:rsidR="0006069C" w:rsidRPr="00DF69F9" w:rsidRDefault="0006069C" w:rsidP="0006069C">
      <w:pPr>
        <w:spacing w:line="360" w:lineRule="auto"/>
        <w:ind w:firstLine="720"/>
        <w:rPr>
          <w:rFonts w:asciiTheme="majorBidi" w:hAnsiTheme="majorBidi" w:cstheme="majorBidi"/>
          <w:bCs/>
          <w:sz w:val="24"/>
          <w:szCs w:val="24"/>
        </w:rPr>
      </w:pPr>
      <w:r>
        <w:rPr>
          <w:rFonts w:asciiTheme="majorBidi" w:hAnsiTheme="majorBidi" w:cstheme="majorBidi"/>
          <w:bCs/>
          <w:sz w:val="24"/>
          <w:szCs w:val="24"/>
        </w:rPr>
        <w:t>Benefits Associated with Their use</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sidRPr="00DF69F9">
        <w:rPr>
          <w:rFonts w:asciiTheme="majorBidi" w:hAnsiTheme="majorBidi" w:cstheme="majorBidi"/>
          <w:bCs/>
          <w:sz w:val="24"/>
          <w:szCs w:val="24"/>
        </w:rPr>
        <w:tab/>
        <w:t>5</w:t>
      </w:r>
      <w:r>
        <w:rPr>
          <w:rFonts w:asciiTheme="majorBidi" w:hAnsiTheme="majorBidi" w:cstheme="majorBidi"/>
          <w:bCs/>
          <w:sz w:val="24"/>
          <w:szCs w:val="24"/>
        </w:rPr>
        <w:t>1</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4.5</w:t>
      </w:r>
      <w:r w:rsidRPr="00DF69F9">
        <w:rPr>
          <w:rFonts w:asciiTheme="majorBidi" w:hAnsiTheme="majorBidi" w:cstheme="majorBidi"/>
          <w:bCs/>
          <w:sz w:val="24"/>
          <w:szCs w:val="24"/>
        </w:rPr>
        <w:tab/>
      </w:r>
      <w:r>
        <w:rPr>
          <w:rFonts w:asciiTheme="majorBidi" w:hAnsiTheme="majorBidi" w:cstheme="majorBidi"/>
          <w:bCs/>
          <w:sz w:val="24"/>
          <w:szCs w:val="24"/>
        </w:rPr>
        <w:t>Strategic Measures for Enhancing Investment in Sustainable Energy</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 xml:space="preserve">Technologies </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sidRPr="00DF69F9">
        <w:rPr>
          <w:rFonts w:asciiTheme="majorBidi" w:hAnsiTheme="majorBidi" w:cstheme="majorBidi"/>
          <w:bCs/>
          <w:sz w:val="24"/>
          <w:szCs w:val="24"/>
        </w:rPr>
        <w:t>5</w:t>
      </w:r>
      <w:r>
        <w:rPr>
          <w:rFonts w:asciiTheme="majorBidi" w:hAnsiTheme="majorBidi" w:cstheme="majorBidi"/>
          <w:bCs/>
          <w:sz w:val="24"/>
          <w:szCs w:val="24"/>
        </w:rPr>
        <w:t>3</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4.6</w:t>
      </w:r>
      <w:r w:rsidRPr="00DF69F9">
        <w:rPr>
          <w:rFonts w:asciiTheme="majorBidi" w:hAnsiTheme="majorBidi" w:cstheme="majorBidi"/>
          <w:bCs/>
          <w:sz w:val="24"/>
          <w:szCs w:val="24"/>
        </w:rPr>
        <w:tab/>
        <w:t xml:space="preserve">Discussion of Findings </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54</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4.7</w:t>
      </w:r>
      <w:r w:rsidRPr="00DF69F9">
        <w:rPr>
          <w:rFonts w:asciiTheme="majorBidi" w:hAnsiTheme="majorBidi" w:cstheme="majorBidi"/>
          <w:bCs/>
          <w:sz w:val="24"/>
          <w:szCs w:val="24"/>
        </w:rPr>
        <w:tab/>
        <w:t>Summary of Findings</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57</w:t>
      </w:r>
      <w:r w:rsidRPr="00DF69F9">
        <w:rPr>
          <w:rFonts w:asciiTheme="majorBidi" w:hAnsiTheme="majorBidi" w:cstheme="majorBidi"/>
          <w:bCs/>
          <w:sz w:val="24"/>
          <w:szCs w:val="24"/>
        </w:rPr>
        <w:t xml:space="preserve"> </w:t>
      </w:r>
    </w:p>
    <w:p w:rsidR="0006069C" w:rsidRPr="00DF69F9" w:rsidRDefault="0006069C" w:rsidP="0006069C">
      <w:pPr>
        <w:spacing w:line="360" w:lineRule="auto"/>
        <w:rPr>
          <w:rFonts w:asciiTheme="majorBidi" w:hAnsiTheme="majorBidi" w:cstheme="majorBidi"/>
          <w:b/>
          <w:sz w:val="24"/>
          <w:szCs w:val="24"/>
        </w:rPr>
      </w:pPr>
      <w:r w:rsidRPr="00DF69F9">
        <w:rPr>
          <w:rFonts w:asciiTheme="majorBidi" w:hAnsiTheme="majorBidi" w:cstheme="majorBidi"/>
          <w:b/>
          <w:sz w:val="24"/>
          <w:szCs w:val="24"/>
        </w:rPr>
        <w:t>CHAPTER FIVE: Conclusions and Recommendation</w:t>
      </w:r>
      <w:r w:rsidRPr="00DF69F9">
        <w:rPr>
          <w:rFonts w:asciiTheme="majorBidi" w:hAnsiTheme="majorBidi" w:cstheme="majorBidi"/>
          <w:b/>
          <w:sz w:val="24"/>
          <w:szCs w:val="24"/>
        </w:rPr>
        <w:tab/>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5.1</w:t>
      </w:r>
      <w:r w:rsidRPr="00DF69F9">
        <w:rPr>
          <w:rFonts w:asciiTheme="majorBidi" w:hAnsiTheme="majorBidi" w:cstheme="majorBidi"/>
          <w:bCs/>
          <w:sz w:val="24"/>
          <w:szCs w:val="24"/>
        </w:rPr>
        <w:tab/>
        <w:t>Conclusion</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59</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5.2</w:t>
      </w:r>
      <w:r w:rsidRPr="00DF69F9">
        <w:rPr>
          <w:rFonts w:asciiTheme="majorBidi" w:hAnsiTheme="majorBidi" w:cstheme="majorBidi"/>
          <w:bCs/>
          <w:sz w:val="24"/>
          <w:szCs w:val="24"/>
        </w:rPr>
        <w:tab/>
        <w:t>Recommendation</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59</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5.3</w:t>
      </w:r>
      <w:r w:rsidRPr="00DF69F9">
        <w:rPr>
          <w:rFonts w:asciiTheme="majorBidi" w:hAnsiTheme="majorBidi" w:cstheme="majorBidi"/>
          <w:bCs/>
          <w:sz w:val="24"/>
          <w:szCs w:val="24"/>
        </w:rPr>
        <w:tab/>
        <w:t xml:space="preserve">Contribution to Knowledge </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61</w:t>
      </w:r>
    </w:p>
    <w:p w:rsidR="0006069C" w:rsidRPr="00DF69F9" w:rsidRDefault="0006069C" w:rsidP="0006069C">
      <w:pPr>
        <w:spacing w:line="360" w:lineRule="auto"/>
        <w:rPr>
          <w:rFonts w:asciiTheme="majorBidi" w:hAnsiTheme="majorBidi" w:cstheme="majorBidi"/>
          <w:bCs/>
          <w:sz w:val="24"/>
          <w:szCs w:val="24"/>
        </w:rPr>
      </w:pPr>
      <w:r w:rsidRPr="00DF69F9">
        <w:rPr>
          <w:rFonts w:asciiTheme="majorBidi" w:hAnsiTheme="majorBidi" w:cstheme="majorBidi"/>
          <w:bCs/>
          <w:sz w:val="24"/>
          <w:szCs w:val="24"/>
        </w:rPr>
        <w:t>5.4</w:t>
      </w:r>
      <w:r w:rsidRPr="00DF69F9">
        <w:rPr>
          <w:rFonts w:asciiTheme="majorBidi" w:hAnsiTheme="majorBidi" w:cstheme="majorBidi"/>
          <w:bCs/>
          <w:sz w:val="24"/>
          <w:szCs w:val="24"/>
        </w:rPr>
        <w:tab/>
        <w:t>Area of further Study</w:t>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sidRPr="00DF69F9">
        <w:rPr>
          <w:rFonts w:asciiTheme="majorBidi" w:hAnsiTheme="majorBidi" w:cstheme="majorBidi"/>
          <w:bCs/>
          <w:sz w:val="24"/>
          <w:szCs w:val="24"/>
        </w:rPr>
        <w:tab/>
      </w:r>
      <w:r>
        <w:rPr>
          <w:rFonts w:asciiTheme="majorBidi" w:hAnsiTheme="majorBidi" w:cstheme="majorBidi"/>
          <w:bCs/>
          <w:sz w:val="24"/>
          <w:szCs w:val="24"/>
        </w:rPr>
        <w:t>61</w:t>
      </w:r>
    </w:p>
    <w:p w:rsidR="0006069C" w:rsidRPr="00DF69F9" w:rsidRDefault="0006069C" w:rsidP="0006069C">
      <w:pPr>
        <w:spacing w:line="360" w:lineRule="auto"/>
        <w:ind w:firstLine="720"/>
        <w:rPr>
          <w:rFonts w:asciiTheme="majorBidi" w:hAnsiTheme="majorBidi" w:cstheme="majorBidi"/>
        </w:rPr>
      </w:pPr>
      <w:r w:rsidRPr="00DF69F9">
        <w:rPr>
          <w:rFonts w:asciiTheme="majorBidi" w:hAnsiTheme="majorBidi" w:cstheme="majorBidi"/>
          <w:bCs/>
          <w:sz w:val="24"/>
          <w:szCs w:val="24"/>
        </w:rPr>
        <w:t>References</w:t>
      </w:r>
      <w:r w:rsidRPr="00DF69F9">
        <w:rPr>
          <w:rFonts w:asciiTheme="majorBidi" w:hAnsiTheme="majorBidi" w:cstheme="majorBidi"/>
          <w:b/>
          <w:sz w:val="24"/>
          <w:szCs w:val="24"/>
        </w:rPr>
        <w:t xml:space="preserve"> </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sidRPr="00E100E2">
        <w:rPr>
          <w:rFonts w:asciiTheme="majorBidi" w:hAnsiTheme="majorBidi" w:cstheme="majorBidi"/>
          <w:bCs/>
          <w:sz w:val="24"/>
          <w:szCs w:val="24"/>
        </w:rPr>
        <w:t>62</w:t>
      </w:r>
    </w:p>
    <w:p w:rsidR="0006069C" w:rsidRDefault="0006069C" w:rsidP="002A65DC">
      <w:pPr>
        <w:spacing w:after="0" w:line="480" w:lineRule="auto"/>
        <w:jc w:val="center"/>
        <w:rPr>
          <w:rFonts w:ascii="Times New Roman" w:hAnsi="Times New Roman"/>
          <w:b/>
          <w:bCs/>
          <w:caps/>
          <w:sz w:val="24"/>
          <w:szCs w:val="24"/>
        </w:rPr>
      </w:pPr>
    </w:p>
    <w:p w:rsidR="0006069C" w:rsidRDefault="0006069C" w:rsidP="002A65DC">
      <w:pPr>
        <w:spacing w:after="0" w:line="480" w:lineRule="auto"/>
        <w:jc w:val="center"/>
        <w:rPr>
          <w:rFonts w:ascii="Times New Roman" w:hAnsi="Times New Roman"/>
          <w:b/>
          <w:bCs/>
          <w:caps/>
          <w:sz w:val="24"/>
          <w:szCs w:val="24"/>
        </w:rPr>
        <w:sectPr w:rsidR="0006069C" w:rsidSect="0006069C">
          <w:footerReference w:type="default" r:id="rId12"/>
          <w:pgSz w:w="11520" w:h="14400"/>
          <w:pgMar w:top="1440" w:right="1440" w:bottom="1440" w:left="1440" w:header="720" w:footer="720" w:gutter="0"/>
          <w:pgNumType w:fmt="lowerRoman"/>
          <w:cols w:space="720"/>
          <w:titlePg/>
          <w:docGrid w:linePitch="360"/>
        </w:sectPr>
      </w:pPr>
    </w:p>
    <w:p w:rsidR="002A65DC" w:rsidRPr="00267BE4" w:rsidRDefault="002A65DC" w:rsidP="002A65DC">
      <w:pPr>
        <w:spacing w:after="0" w:line="480" w:lineRule="auto"/>
        <w:jc w:val="center"/>
        <w:rPr>
          <w:rFonts w:ascii="Times New Roman" w:hAnsi="Times New Roman"/>
          <w:b/>
          <w:bCs/>
          <w:caps/>
          <w:sz w:val="24"/>
          <w:szCs w:val="24"/>
        </w:rPr>
      </w:pPr>
      <w:r w:rsidRPr="00267BE4">
        <w:rPr>
          <w:rFonts w:ascii="Times New Roman" w:hAnsi="Times New Roman"/>
          <w:b/>
          <w:bCs/>
          <w:caps/>
          <w:sz w:val="24"/>
          <w:szCs w:val="24"/>
        </w:rPr>
        <w:lastRenderedPageBreak/>
        <w:t>CHAPTER ONE</w:t>
      </w:r>
    </w:p>
    <w:p w:rsidR="002A65DC" w:rsidRPr="00267BE4" w:rsidRDefault="002A65DC" w:rsidP="002A65DC">
      <w:pPr>
        <w:spacing w:after="0" w:line="480" w:lineRule="auto"/>
        <w:rPr>
          <w:rFonts w:ascii="Times New Roman" w:hAnsi="Times New Roman"/>
          <w:b/>
          <w:bCs/>
          <w:caps/>
          <w:sz w:val="24"/>
          <w:szCs w:val="24"/>
        </w:rPr>
      </w:pPr>
      <w:r w:rsidRPr="00267BE4">
        <w:rPr>
          <w:rFonts w:ascii="Times New Roman" w:hAnsi="Times New Roman"/>
          <w:b/>
          <w:bCs/>
          <w:caps/>
          <w:sz w:val="24"/>
          <w:szCs w:val="24"/>
        </w:rPr>
        <w:t xml:space="preserve">1.0 </w:t>
      </w:r>
      <w:r w:rsidRPr="00267BE4">
        <w:rPr>
          <w:rFonts w:ascii="Times New Roman" w:hAnsi="Times New Roman"/>
          <w:b/>
          <w:bCs/>
          <w:caps/>
          <w:sz w:val="24"/>
          <w:szCs w:val="24"/>
        </w:rPr>
        <w:tab/>
        <w:t>INTRODUCTION</w:t>
      </w:r>
    </w:p>
    <w:p w:rsidR="002A65DC" w:rsidRPr="00267BE4" w:rsidRDefault="002A65DC" w:rsidP="002A65DC">
      <w:pPr>
        <w:spacing w:after="0" w:line="480" w:lineRule="auto"/>
        <w:jc w:val="both"/>
        <w:rPr>
          <w:rFonts w:ascii="Times New Roman" w:hAnsi="Times New Roman"/>
          <w:b/>
          <w:bCs/>
          <w:caps/>
          <w:sz w:val="24"/>
          <w:szCs w:val="24"/>
        </w:rPr>
      </w:pPr>
      <w:r w:rsidRPr="00267BE4">
        <w:rPr>
          <w:rFonts w:ascii="Times New Roman" w:hAnsi="Times New Roman"/>
          <w:b/>
          <w:bCs/>
          <w:caps/>
          <w:sz w:val="24"/>
          <w:szCs w:val="24"/>
        </w:rPr>
        <w:t>1.1</w:t>
      </w:r>
      <w:r w:rsidRPr="00267BE4">
        <w:rPr>
          <w:rFonts w:ascii="Times New Roman" w:hAnsi="Times New Roman"/>
          <w:b/>
          <w:bCs/>
          <w:caps/>
          <w:sz w:val="24"/>
          <w:szCs w:val="24"/>
        </w:rPr>
        <w:tab/>
      </w:r>
      <w:r w:rsidRPr="00267BE4">
        <w:rPr>
          <w:rFonts w:ascii="Times New Roman" w:hAnsi="Times New Roman"/>
          <w:b/>
          <w:bCs/>
          <w:sz w:val="24"/>
          <w:szCs w:val="24"/>
        </w:rPr>
        <w:t>Background of the Study</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 construction industry, a vital contributor to global economic development, has historically been associated with high energy consumption and environmental degradation. According to the International Energy Agency (IEA, 2022), the buildings and construction sector is responsible for approximately 37% of global energy and process-related CO₂ emissions, making it a major contributor to climate change. This stark reality has catalyzed a global shift towards more sustainable construction practices, centered around reducing the environmental footprint of buildings throughout their lifecycle.</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Modern construction methods, such as prefabricated systems, modular buildings, and integrated design approaches, are increasingly being combined with Sustainable Energy Technologies (SETs) to create energy-efficient, eco-friendly, and cost-effective buildings. Sustainable energy technologies refer to a wide range of renewable energy systems and energy-saving innovations, including solar Photovoltaic (PV) panels, geothermal heat pumps, wind turbines, energy-efficient lighting, Building-Integrated Photovoltaics (BIPV), smart metering systems, and high-performance building envelopes. These technologies are designed to reduce dependence on fossil fuels, minimize operational energy use, and optimize building performance (Zhou et al., 2019).</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The adoption of Sustainable Energy Technologies (SETs) in modern construction is not solely driven by environmental ideals; it is also rooted in sound economic reasoning. As </w:t>
      </w:r>
      <w:r w:rsidRPr="00267BE4">
        <w:rPr>
          <w:rFonts w:ascii="Times New Roman" w:hAnsi="Times New Roman"/>
          <w:sz w:val="24"/>
          <w:szCs w:val="24"/>
        </w:rPr>
        <w:lastRenderedPageBreak/>
        <w:t xml:space="preserve">energy prices fluctuate and concerns about energy security increase, building owners and developers are realizing the long-term financial benefits of sustainable energy systems. These include reduced utility costs, increased property value, enhanced occupant comfort, and, in many jurisdictions, access to financial incentives such as tax credits or feed-in tariffs. Studies by Umar et al. (2020) and </w:t>
      </w:r>
      <w:proofErr w:type="spellStart"/>
      <w:r w:rsidRPr="00267BE4">
        <w:rPr>
          <w:rFonts w:ascii="Times New Roman" w:hAnsi="Times New Roman"/>
          <w:sz w:val="24"/>
          <w:szCs w:val="24"/>
        </w:rPr>
        <w:t>Ametepey</w:t>
      </w:r>
      <w:proofErr w:type="spellEnd"/>
      <w:r w:rsidRPr="00267BE4">
        <w:rPr>
          <w:rFonts w:ascii="Times New Roman" w:hAnsi="Times New Roman"/>
          <w:sz w:val="24"/>
          <w:szCs w:val="24"/>
        </w:rPr>
        <w:t xml:space="preserve"> &amp; Ansah (2021) highlight that while the upfront cost of sustainable energy technologies may be significant, their lifecycle benefits often outweigh these initial investments, especially when viewed through the lens of long-term energy savings and Return On Investment (ROI).</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In developed countries, investment in sustainable construction technologies has become standard practice, supported by strong regulatory frameworks, public awareness, and mature financing models. However, the scenario is different in many developing nations, including Nigeria. Despite having abundant renewable energy potential especially solar energy Nigeria continues to experience erratic electricity supply, high costs of diesel-powered generators, and a growing energy demand due to rapid urbanization and population growth. According to Akinyele and Rayudu (2016), Nigeria's energy infrastructure is unable to meet the current demand, and this deficiency affects the productivity and livability of built environments across the country.</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In response to these challenges, there has been increasing discourse around integrating Sustainable Energy Technologies (SETs) into Nigeria's construction sector, particularly within the context of modern construction methods that prioritize efficiency, speed, and sustainability. Yet, adoption remains limited due to a combination of factors including high </w:t>
      </w:r>
      <w:r w:rsidRPr="00267BE4">
        <w:rPr>
          <w:rFonts w:ascii="Times New Roman" w:hAnsi="Times New Roman"/>
          <w:sz w:val="24"/>
          <w:szCs w:val="24"/>
        </w:rPr>
        <w:lastRenderedPageBreak/>
        <w:t>initial capital requirements, lack of awareness, inadequate policy enforcement, and limited access to green financing (Okonkwo et al., 2021). The reluctance to invest in these technologies is often linked to insufficient empirical data on their financial viability, particularly in the context of local construction practices.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Moreover, the construction industry in Nigeria remains heavily dominated by traditional building methods, which tend to prioritize short-term cost savings over long-term performance and sustainability. Without clear investment analysis and demonstrable case studies on the benefits of SETs, developers and clients continue to choose conventional options. This results in buildings that are not only energy-inefficient but also increasingly expensive to operate and maintain in the long run. This research emerges from the need to critically examine the economic logic and investment potential of sustainable energy technologies in modern construction. It aims to explore not only the types of SETs currently in use but also the financial dimensions of their adoption looking at capital costs, payback periods, operational savings, and overall economic performance. By doing so, it will provide data-driven insights to support informed decision-making among construction stakeholders in Nigeria, and possibly inspire a broader shift toward green building investment strategies.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As the global push for sustainability continues to gain momentum, Nigeria cannot afford to remain on the sidelines. Sustainable energy in construction is no longer just a trend it is a necessity for economic competitiveness, environmental stewardship, and energy resilience. This study is therefore timely in aligning with both international sustainability </w:t>
      </w:r>
      <w:r w:rsidRPr="00267BE4">
        <w:rPr>
          <w:rFonts w:ascii="Times New Roman" w:hAnsi="Times New Roman"/>
          <w:sz w:val="24"/>
          <w:szCs w:val="24"/>
        </w:rPr>
        <w:lastRenderedPageBreak/>
        <w:t>goals and national development aspirations, particularly the Sustainable Development Goal 7 (Affordable and Clean Energy) and Nigeria’s National Renewable Energy and Energy Efficiency Policy (NREEEP).</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 xml:space="preserve">1.2 </w:t>
      </w:r>
      <w:r w:rsidRPr="00267BE4">
        <w:rPr>
          <w:rFonts w:ascii="Times New Roman" w:hAnsi="Times New Roman"/>
          <w:b/>
          <w:bCs/>
          <w:sz w:val="24"/>
          <w:szCs w:val="24"/>
        </w:rPr>
        <w:tab/>
        <w:t>Statement of the Research Problem</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Despite global and national initiatives to promote clean energy, many stakeholders in Nigeria’s construction industry are reluctant to invest in sustainable energy technologies. The major concern stems from the perceived high initial cost of procurement, installation, and maintenance of such technologies, compared to conventional systems (</w:t>
      </w:r>
      <w:proofErr w:type="spellStart"/>
      <w:r w:rsidRPr="00267BE4">
        <w:rPr>
          <w:rFonts w:ascii="Times New Roman" w:hAnsi="Times New Roman"/>
          <w:sz w:val="24"/>
          <w:szCs w:val="24"/>
        </w:rPr>
        <w:t>Ametepey</w:t>
      </w:r>
      <w:proofErr w:type="spellEnd"/>
      <w:r w:rsidRPr="00267BE4">
        <w:rPr>
          <w:rFonts w:ascii="Times New Roman" w:hAnsi="Times New Roman"/>
          <w:sz w:val="24"/>
          <w:szCs w:val="24"/>
        </w:rPr>
        <w:t xml:space="preserve"> &amp; Ansah, 2021).</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There exists a significant information gap regarding the cost-benefit dynamics of sustainable energy in construction projects. While environmental benefits are often discussed, economic analyses particularly investment appraisals and ROI metrics are rarely explored in the Nigerian context. This lack of localized investment data and empirical case studies prevents stakeholders from making informed decisions and slows down the diffusion of sustainable practices.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Moreover, fluctuating market prices of technology components, inconsistent government incentives, and limited access to financing further discourage developers and contractors. This has led to continued reliance on conventional construction approaches that are cheaper upfront but unsustainable in the long term (Akinyele &amp; Rayudu, 2016). Therefore, the core problem this study addresses is the lack of investment-oriented analysis of sustainable energy technologies within modern construction practices in Nigeria. It is critical to </w:t>
      </w:r>
      <w:r w:rsidRPr="00267BE4">
        <w:rPr>
          <w:rFonts w:ascii="Times New Roman" w:hAnsi="Times New Roman"/>
          <w:sz w:val="24"/>
          <w:szCs w:val="24"/>
        </w:rPr>
        <w:lastRenderedPageBreak/>
        <w:t>determine whether these technologies are economically feasible and how stakeholders can overcome the barriers to their adoption.</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b/>
          <w:bCs/>
          <w:sz w:val="24"/>
          <w:szCs w:val="24"/>
        </w:rPr>
        <w:t xml:space="preserve">1.3 </w:t>
      </w:r>
      <w:r w:rsidRPr="00267BE4">
        <w:rPr>
          <w:rFonts w:ascii="Times New Roman" w:hAnsi="Times New Roman"/>
          <w:b/>
          <w:bCs/>
          <w:sz w:val="24"/>
          <w:szCs w:val="24"/>
        </w:rPr>
        <w:tab/>
        <w:t>Aim and Objectives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b/>
          <w:bCs/>
          <w:sz w:val="24"/>
          <w:szCs w:val="24"/>
        </w:rPr>
        <w:t>1.3.1</w:t>
      </w:r>
      <w:r w:rsidRPr="00267BE4">
        <w:rPr>
          <w:rFonts w:ascii="Times New Roman" w:hAnsi="Times New Roman"/>
          <w:b/>
          <w:bCs/>
          <w:sz w:val="24"/>
          <w:szCs w:val="24"/>
        </w:rPr>
        <w:tab/>
        <w:t>Aim</w:t>
      </w:r>
    </w:p>
    <w:p w:rsidR="002A65DC" w:rsidRPr="00172B60"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 aim of this research is to evaluate the Investment Analysis of sustainable Energy Technologies in modern construction method.</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1.3.2</w:t>
      </w:r>
      <w:r w:rsidRPr="00267BE4">
        <w:rPr>
          <w:rFonts w:ascii="Times New Roman" w:hAnsi="Times New Roman"/>
          <w:b/>
          <w:bCs/>
          <w:sz w:val="24"/>
          <w:szCs w:val="24"/>
        </w:rPr>
        <w:tab/>
        <w:t xml:space="preserve">Objectives </w:t>
      </w:r>
    </w:p>
    <w:p w:rsidR="002A65DC" w:rsidRPr="00267BE4" w:rsidRDefault="002A65DC" w:rsidP="002A65DC">
      <w:pPr>
        <w:spacing w:after="0" w:line="480" w:lineRule="auto"/>
        <w:ind w:left="810" w:hanging="360"/>
        <w:jc w:val="both"/>
        <w:rPr>
          <w:rFonts w:ascii="Times New Roman" w:hAnsi="Times New Roman"/>
          <w:sz w:val="24"/>
          <w:szCs w:val="24"/>
        </w:rPr>
      </w:pPr>
      <w:r w:rsidRPr="00267BE4">
        <w:rPr>
          <w:rFonts w:ascii="Times New Roman" w:hAnsi="Times New Roman"/>
          <w:sz w:val="24"/>
          <w:szCs w:val="24"/>
        </w:rPr>
        <w:t>1.</w:t>
      </w:r>
      <w:r w:rsidRPr="00267BE4">
        <w:rPr>
          <w:rFonts w:ascii="Times New Roman" w:hAnsi="Times New Roman"/>
          <w:sz w:val="24"/>
          <w:szCs w:val="24"/>
        </w:rPr>
        <w:tab/>
        <w:t>To identify and classify sustainable energy technologies currently integrated into modern construction projects in Nigeria.</w:t>
      </w:r>
    </w:p>
    <w:p w:rsidR="002A65DC" w:rsidRPr="00267BE4" w:rsidRDefault="002A65DC" w:rsidP="002A65DC">
      <w:pPr>
        <w:spacing w:after="0" w:line="480" w:lineRule="auto"/>
        <w:ind w:left="810" w:hanging="360"/>
        <w:jc w:val="both"/>
        <w:rPr>
          <w:rFonts w:ascii="Times New Roman" w:hAnsi="Times New Roman"/>
          <w:sz w:val="24"/>
          <w:szCs w:val="24"/>
        </w:rPr>
      </w:pPr>
      <w:r w:rsidRPr="00267BE4">
        <w:rPr>
          <w:rFonts w:ascii="Times New Roman" w:hAnsi="Times New Roman"/>
          <w:sz w:val="24"/>
          <w:szCs w:val="24"/>
        </w:rPr>
        <w:t>2.</w:t>
      </w:r>
      <w:r w:rsidRPr="00267BE4">
        <w:rPr>
          <w:rFonts w:ascii="Times New Roman" w:hAnsi="Times New Roman"/>
          <w:sz w:val="24"/>
          <w:szCs w:val="24"/>
        </w:rPr>
        <w:tab/>
        <w:t>To assess the initial capital and lifecycle cost implications of adopting these technologies.</w:t>
      </w:r>
    </w:p>
    <w:p w:rsidR="002A65DC" w:rsidRPr="00267BE4" w:rsidRDefault="002A65DC" w:rsidP="002A65DC">
      <w:pPr>
        <w:spacing w:after="0" w:line="480" w:lineRule="auto"/>
        <w:ind w:left="810" w:hanging="360"/>
        <w:jc w:val="both"/>
        <w:rPr>
          <w:rFonts w:ascii="Times New Roman" w:hAnsi="Times New Roman"/>
          <w:sz w:val="24"/>
          <w:szCs w:val="24"/>
        </w:rPr>
      </w:pPr>
      <w:r w:rsidRPr="00267BE4">
        <w:rPr>
          <w:rFonts w:ascii="Times New Roman" w:hAnsi="Times New Roman"/>
          <w:sz w:val="24"/>
          <w:szCs w:val="24"/>
        </w:rPr>
        <w:t>3.</w:t>
      </w:r>
      <w:r w:rsidRPr="00267BE4">
        <w:rPr>
          <w:rFonts w:ascii="Times New Roman" w:hAnsi="Times New Roman"/>
          <w:sz w:val="24"/>
          <w:szCs w:val="24"/>
        </w:rPr>
        <w:tab/>
        <w:t>To evaluate the Return On Investment (ROI), energy savings, and economic benefits associated with their use.</w:t>
      </w:r>
    </w:p>
    <w:p w:rsidR="002A65DC" w:rsidRDefault="002A65DC" w:rsidP="003C3685">
      <w:pPr>
        <w:spacing w:after="0" w:line="480" w:lineRule="auto"/>
        <w:ind w:left="810" w:hanging="360"/>
        <w:jc w:val="both"/>
        <w:rPr>
          <w:rFonts w:ascii="Times New Roman" w:hAnsi="Times New Roman"/>
          <w:sz w:val="24"/>
          <w:szCs w:val="24"/>
        </w:rPr>
      </w:pPr>
      <w:r w:rsidRPr="00267BE4">
        <w:rPr>
          <w:rFonts w:ascii="Times New Roman" w:hAnsi="Times New Roman"/>
          <w:sz w:val="24"/>
          <w:szCs w:val="24"/>
        </w:rPr>
        <w:t>4.</w:t>
      </w:r>
      <w:r w:rsidRPr="00267BE4">
        <w:rPr>
          <w:rFonts w:ascii="Times New Roman" w:hAnsi="Times New Roman"/>
          <w:sz w:val="24"/>
          <w:szCs w:val="24"/>
        </w:rPr>
        <w:tab/>
        <w:t>To propose strategic measures for enhancing investment in sustainable energy technologies within the Nigerian construction sector.</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1.4</w:t>
      </w:r>
      <w:r w:rsidRPr="00267BE4">
        <w:rPr>
          <w:rFonts w:ascii="Times New Roman" w:hAnsi="Times New Roman"/>
          <w:b/>
          <w:bCs/>
          <w:sz w:val="24"/>
          <w:szCs w:val="24"/>
        </w:rPr>
        <w:tab/>
        <w:t xml:space="preserve">Research questions </w:t>
      </w:r>
    </w:p>
    <w:p w:rsidR="002A65DC" w:rsidRPr="00267BE4" w:rsidRDefault="002A65DC" w:rsidP="002A65DC">
      <w:pPr>
        <w:spacing w:after="0" w:line="480" w:lineRule="auto"/>
        <w:ind w:left="720" w:hanging="360"/>
        <w:jc w:val="both"/>
        <w:rPr>
          <w:rFonts w:ascii="Times New Roman" w:hAnsi="Times New Roman"/>
          <w:sz w:val="24"/>
          <w:szCs w:val="24"/>
        </w:rPr>
      </w:pPr>
      <w:r w:rsidRPr="00267BE4">
        <w:rPr>
          <w:rFonts w:ascii="Times New Roman" w:hAnsi="Times New Roman"/>
          <w:sz w:val="24"/>
          <w:szCs w:val="24"/>
        </w:rPr>
        <w:t>1.</w:t>
      </w:r>
      <w:r w:rsidRPr="00267BE4">
        <w:rPr>
          <w:rFonts w:ascii="Times New Roman" w:hAnsi="Times New Roman"/>
          <w:sz w:val="24"/>
          <w:szCs w:val="24"/>
        </w:rPr>
        <w:tab/>
        <w:t>What su</w:t>
      </w:r>
      <w:r>
        <w:rPr>
          <w:rFonts w:ascii="Times New Roman" w:hAnsi="Times New Roman"/>
          <w:sz w:val="24"/>
          <w:szCs w:val="24"/>
        </w:rPr>
        <w:t>s</w:t>
      </w:r>
      <w:r w:rsidRPr="00267BE4">
        <w:rPr>
          <w:rFonts w:ascii="Times New Roman" w:hAnsi="Times New Roman"/>
          <w:sz w:val="24"/>
          <w:szCs w:val="24"/>
        </w:rPr>
        <w:t>tainable energy technologies are currently integrated into modern construction projects in, and how can they be classified?</w:t>
      </w:r>
    </w:p>
    <w:p w:rsidR="002A65DC" w:rsidRPr="00267BE4" w:rsidRDefault="002A65DC" w:rsidP="002A65DC">
      <w:pPr>
        <w:spacing w:after="0" w:line="480" w:lineRule="auto"/>
        <w:ind w:left="720" w:hanging="360"/>
        <w:jc w:val="both"/>
        <w:rPr>
          <w:rFonts w:ascii="Times New Roman" w:hAnsi="Times New Roman"/>
          <w:sz w:val="24"/>
          <w:szCs w:val="24"/>
        </w:rPr>
      </w:pPr>
      <w:r w:rsidRPr="00267BE4">
        <w:rPr>
          <w:rFonts w:ascii="Times New Roman" w:hAnsi="Times New Roman"/>
          <w:sz w:val="24"/>
          <w:szCs w:val="24"/>
        </w:rPr>
        <w:t>2.</w:t>
      </w:r>
      <w:r w:rsidRPr="00267BE4">
        <w:rPr>
          <w:rFonts w:ascii="Times New Roman" w:hAnsi="Times New Roman"/>
          <w:sz w:val="24"/>
          <w:szCs w:val="24"/>
        </w:rPr>
        <w:tab/>
        <w:t>What are the initial capital and lifecycle cost implications of adopting these sustainable energy technologies?</w:t>
      </w:r>
    </w:p>
    <w:p w:rsidR="002A65DC" w:rsidRPr="00267BE4" w:rsidRDefault="002A65DC" w:rsidP="002A65DC">
      <w:pPr>
        <w:spacing w:after="0" w:line="480" w:lineRule="auto"/>
        <w:ind w:left="720" w:hanging="360"/>
        <w:jc w:val="both"/>
        <w:rPr>
          <w:rFonts w:ascii="Times New Roman" w:hAnsi="Times New Roman"/>
          <w:sz w:val="24"/>
          <w:szCs w:val="24"/>
        </w:rPr>
      </w:pPr>
      <w:r w:rsidRPr="00267BE4">
        <w:rPr>
          <w:rFonts w:ascii="Times New Roman" w:hAnsi="Times New Roman"/>
          <w:sz w:val="24"/>
          <w:szCs w:val="24"/>
        </w:rPr>
        <w:lastRenderedPageBreak/>
        <w:t>3.</w:t>
      </w:r>
      <w:r w:rsidRPr="00267BE4">
        <w:rPr>
          <w:rFonts w:ascii="Times New Roman" w:hAnsi="Times New Roman"/>
          <w:sz w:val="24"/>
          <w:szCs w:val="24"/>
        </w:rPr>
        <w:tab/>
        <w:t>What is the Return On Investment (ROI), energy savings, and economic benefits associated with the use of these technologies?</w:t>
      </w:r>
    </w:p>
    <w:p w:rsidR="002A65DC" w:rsidRPr="00267BE4" w:rsidRDefault="002A65DC" w:rsidP="002A65DC">
      <w:pPr>
        <w:spacing w:after="0" w:line="480" w:lineRule="auto"/>
        <w:ind w:left="720" w:hanging="360"/>
        <w:jc w:val="both"/>
        <w:rPr>
          <w:rFonts w:ascii="Times New Roman" w:hAnsi="Times New Roman"/>
          <w:sz w:val="24"/>
          <w:szCs w:val="24"/>
        </w:rPr>
      </w:pPr>
      <w:r w:rsidRPr="00267BE4">
        <w:rPr>
          <w:rFonts w:ascii="Times New Roman" w:hAnsi="Times New Roman"/>
          <w:sz w:val="24"/>
          <w:szCs w:val="24"/>
        </w:rPr>
        <w:t>4.</w:t>
      </w:r>
      <w:r w:rsidRPr="00267BE4">
        <w:rPr>
          <w:rFonts w:ascii="Times New Roman" w:hAnsi="Times New Roman"/>
          <w:sz w:val="24"/>
          <w:szCs w:val="24"/>
        </w:rPr>
        <w:tab/>
        <w:t>What strategic measures can be proposed to enhance investment in sustainable energy technologies within the construction sector?</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 xml:space="preserve">1.5 </w:t>
      </w:r>
      <w:r w:rsidRPr="00267BE4">
        <w:rPr>
          <w:rFonts w:ascii="Times New Roman" w:hAnsi="Times New Roman"/>
          <w:b/>
          <w:bCs/>
          <w:sz w:val="24"/>
          <w:szCs w:val="24"/>
        </w:rPr>
        <w:tab/>
        <w:t>Justification of the Study</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This research is timely and significant in view of the pressing need to address both environmental and economic challenges in Nigeria's construction sector. The study goes beyond the traditional environmental lens of sustainability by focusing on investment feasibility and cost-efficiency two critical factors that influence decision-making among developers and financiers.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Sustainable energy technologies have proven effective in reducing operational costs and enhancing building performance across various regions (Umar et al., 2020). Yet, in Nigeria, the lack of clear investment data continues to discourage uptake. By quantifying the financial outcomes and identifying the key cost components of Sustainable Energy Technologies (SETs), this research offers a practical reference for construction professionals, policymakers, and investors.</w:t>
      </w:r>
    </w:p>
    <w:p w:rsidR="002A65DC"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Furthermore, as Nigeria aligns itself with global sustainability goals such as the SDG 7 (Affordable and Clean Energy), this study serves as a valuable tool to inform government interventions, financial incentives, and industry-wide reforms that promote clean energy in construction.</w:t>
      </w:r>
    </w:p>
    <w:p w:rsidR="002A65DC" w:rsidRPr="00267BE4" w:rsidRDefault="002A65DC" w:rsidP="002A65DC">
      <w:pPr>
        <w:spacing w:after="0" w:line="480" w:lineRule="auto"/>
        <w:jc w:val="both"/>
        <w:rPr>
          <w:rFonts w:ascii="Times New Roman" w:hAnsi="Times New Roman"/>
          <w:sz w:val="24"/>
          <w:szCs w:val="24"/>
        </w:rPr>
      </w:pP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lastRenderedPageBreak/>
        <w:t>1.6</w:t>
      </w:r>
      <w:r w:rsidRPr="00267BE4">
        <w:rPr>
          <w:rFonts w:ascii="Times New Roman" w:hAnsi="Times New Roman"/>
          <w:b/>
          <w:bCs/>
          <w:sz w:val="24"/>
          <w:szCs w:val="24"/>
        </w:rPr>
        <w:tab/>
        <w:t>Scope and Limitation of the Study</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This study focuses on the Investment analysis of selected sustainable energy technologies used in modern construction methods within urban regions in Ilorin Kwara state. It limits its analysis to residential building projects that incorporate energy technologies such as solar PV, energy-efficient lighting, smart HVAC systems, and building energy management systems.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While efforts will be made to obtain accurate financial data, some limitations may arise due to restricted access to cost breakdowns, varying technology standards, and inconsistencies in local pricing. The study also recognizes the evolving nature of sustainable technologies and the dynamic policy environment, which may affect the generalizability of findings across regions and timeframes.</w:t>
      </w:r>
    </w:p>
    <w:p w:rsidR="002A65DC" w:rsidRPr="00267BE4" w:rsidRDefault="002A65DC" w:rsidP="002A65DC">
      <w:pPr>
        <w:spacing w:after="0" w:line="480" w:lineRule="auto"/>
        <w:jc w:val="both"/>
        <w:rPr>
          <w:rFonts w:ascii="Times New Roman" w:hAnsi="Times New Roman"/>
          <w:sz w:val="24"/>
          <w:szCs w:val="24"/>
        </w:rPr>
      </w:pPr>
    </w:p>
    <w:p w:rsidR="002A65DC" w:rsidRPr="00267BE4" w:rsidRDefault="002A65DC" w:rsidP="002A65DC">
      <w:pPr>
        <w:spacing w:after="0" w:line="480" w:lineRule="auto"/>
        <w:rPr>
          <w:rFonts w:ascii="Times New Roman" w:hAnsi="Times New Roman"/>
          <w:sz w:val="24"/>
          <w:szCs w:val="24"/>
        </w:rPr>
      </w:pPr>
    </w:p>
    <w:p w:rsidR="002A65DC" w:rsidRPr="00267BE4" w:rsidRDefault="002A65DC" w:rsidP="002A65DC">
      <w:pPr>
        <w:spacing w:after="0" w:line="480" w:lineRule="auto"/>
        <w:rPr>
          <w:rFonts w:ascii="Times New Roman" w:hAnsi="Times New Roman"/>
          <w:sz w:val="24"/>
          <w:szCs w:val="24"/>
        </w:rPr>
      </w:pPr>
    </w:p>
    <w:p w:rsidR="002A65DC" w:rsidRPr="00267BE4" w:rsidRDefault="002A65DC" w:rsidP="002A65DC">
      <w:pPr>
        <w:spacing w:after="0" w:line="480" w:lineRule="auto"/>
        <w:rPr>
          <w:rFonts w:ascii="Times New Roman" w:hAnsi="Times New Roman"/>
          <w:sz w:val="24"/>
          <w:szCs w:val="24"/>
        </w:rPr>
      </w:pPr>
    </w:p>
    <w:p w:rsidR="002A65DC" w:rsidRPr="00267BE4" w:rsidRDefault="002A65DC" w:rsidP="002A65DC">
      <w:pPr>
        <w:spacing w:after="0" w:line="480" w:lineRule="auto"/>
        <w:rPr>
          <w:rFonts w:ascii="Times New Roman" w:hAnsi="Times New Roman"/>
          <w:sz w:val="24"/>
          <w:szCs w:val="24"/>
        </w:rPr>
      </w:pPr>
    </w:p>
    <w:p w:rsidR="002A65DC" w:rsidRPr="00267BE4" w:rsidRDefault="002A65DC" w:rsidP="002A65DC">
      <w:pPr>
        <w:spacing w:after="0" w:line="480" w:lineRule="auto"/>
        <w:rPr>
          <w:rFonts w:ascii="Times New Roman" w:hAnsi="Times New Roman"/>
          <w:sz w:val="24"/>
          <w:szCs w:val="24"/>
        </w:rPr>
      </w:pPr>
    </w:p>
    <w:p w:rsidR="002A65DC" w:rsidRPr="00267BE4" w:rsidRDefault="002A65DC" w:rsidP="002A65DC">
      <w:pPr>
        <w:spacing w:after="0" w:line="480" w:lineRule="auto"/>
        <w:rPr>
          <w:rFonts w:ascii="Times New Roman" w:hAnsi="Times New Roman"/>
          <w:sz w:val="24"/>
          <w:szCs w:val="24"/>
        </w:rPr>
      </w:pPr>
    </w:p>
    <w:p w:rsidR="002A65DC" w:rsidRPr="00267BE4" w:rsidRDefault="002A65DC" w:rsidP="002A65DC">
      <w:pPr>
        <w:spacing w:after="0" w:line="480" w:lineRule="auto"/>
        <w:rPr>
          <w:rFonts w:ascii="Times New Roman" w:hAnsi="Times New Roman"/>
          <w:sz w:val="24"/>
          <w:szCs w:val="24"/>
        </w:rPr>
      </w:pPr>
    </w:p>
    <w:p w:rsidR="002A65DC" w:rsidRDefault="002A65DC" w:rsidP="002A65DC">
      <w:pPr>
        <w:spacing w:after="0" w:line="480" w:lineRule="auto"/>
        <w:rPr>
          <w:rFonts w:ascii="Times New Roman" w:hAnsi="Times New Roman"/>
          <w:sz w:val="24"/>
          <w:szCs w:val="24"/>
        </w:rPr>
      </w:pPr>
    </w:p>
    <w:p w:rsidR="002A65DC" w:rsidRDefault="002A65DC" w:rsidP="003C3685">
      <w:pPr>
        <w:spacing w:after="0" w:line="480" w:lineRule="auto"/>
        <w:rPr>
          <w:rFonts w:ascii="Times New Roman" w:hAnsi="Times New Roman"/>
          <w:b/>
          <w:bCs/>
          <w:sz w:val="24"/>
          <w:szCs w:val="24"/>
        </w:rPr>
      </w:pPr>
    </w:p>
    <w:p w:rsidR="002A65DC" w:rsidRPr="00267BE4" w:rsidRDefault="002A65DC" w:rsidP="002A65DC">
      <w:pPr>
        <w:spacing w:after="0" w:line="480" w:lineRule="auto"/>
        <w:jc w:val="center"/>
        <w:rPr>
          <w:rFonts w:ascii="Times New Roman" w:hAnsi="Times New Roman"/>
          <w:b/>
          <w:bCs/>
          <w:sz w:val="24"/>
          <w:szCs w:val="24"/>
        </w:rPr>
      </w:pPr>
      <w:r w:rsidRPr="00267BE4">
        <w:rPr>
          <w:rFonts w:ascii="Times New Roman" w:hAnsi="Times New Roman"/>
          <w:b/>
          <w:bCs/>
          <w:sz w:val="24"/>
          <w:szCs w:val="24"/>
        </w:rPr>
        <w:lastRenderedPageBreak/>
        <w:t>CHAPTER TWO</w:t>
      </w:r>
    </w:p>
    <w:p w:rsidR="002A65DC" w:rsidRPr="00267BE4" w:rsidRDefault="002A65DC" w:rsidP="002A65DC">
      <w:pPr>
        <w:spacing w:after="0" w:line="480" w:lineRule="auto"/>
        <w:jc w:val="center"/>
        <w:rPr>
          <w:rFonts w:ascii="Times New Roman" w:hAnsi="Times New Roman"/>
          <w:b/>
          <w:bCs/>
          <w:sz w:val="24"/>
          <w:szCs w:val="24"/>
        </w:rPr>
      </w:pPr>
      <w:r w:rsidRPr="00267BE4">
        <w:rPr>
          <w:rFonts w:ascii="Times New Roman" w:hAnsi="Times New Roman"/>
          <w:b/>
          <w:bCs/>
          <w:sz w:val="24"/>
          <w:szCs w:val="24"/>
        </w:rPr>
        <w:t>LITERATURE REVIEW</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2.0</w:t>
      </w:r>
      <w:r w:rsidRPr="00267BE4">
        <w:rPr>
          <w:rFonts w:ascii="Times New Roman" w:hAnsi="Times New Roman"/>
          <w:b/>
          <w:bCs/>
          <w:sz w:val="24"/>
          <w:szCs w:val="24"/>
        </w:rPr>
        <w:tab/>
        <w:t>Introduction</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 construction industry is a major consumer of energy worldwide and a significant contributor to environmental degradation through greenhouse gas emissions. As global efforts to combat climate change intensify, the adoption of Sustainable Energy Technologies (SETs) in construction has gained considerable attention. SETs encompass a range of renewable energy solutions and energy-efficient systems designed to reduce the environmental impact of buildings while improving their energy performance (IEA, 2021). Integrating these technologies into modern construction practices is increasingly viewed as essential for achieving sustainability goals and meeting regulatory requirements.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Investment decisions regarding SETs, however, are complex due to the high initial costs and uncertainties about long-term benefits. Economic evaluation methods such as lifecycle costing, Net Present Value (NPV), and payback period analysis are critical tools used to assess the financial viability of these technologies (Kumar &amp; Kumar, 2019). Despite the potential for cost savings and environmental benefits, several barriers limit the widespread adoption of SETs, especially in developing countries. These include financial constraints, lack of technical expertise, policy limitations, and institutional challenges (</w:t>
      </w:r>
      <w:proofErr w:type="spellStart"/>
      <w:r w:rsidRPr="00267BE4">
        <w:rPr>
          <w:rFonts w:ascii="Times New Roman" w:hAnsi="Times New Roman"/>
          <w:sz w:val="24"/>
          <w:szCs w:val="24"/>
        </w:rPr>
        <w:t>Ogunjuyigbe</w:t>
      </w:r>
      <w:proofErr w:type="spellEnd"/>
      <w:r w:rsidRPr="00267BE4">
        <w:rPr>
          <w:rFonts w:ascii="Times New Roman" w:hAnsi="Times New Roman"/>
          <w:sz w:val="24"/>
          <w:szCs w:val="24"/>
        </w:rPr>
        <w:t xml:space="preserve"> et al., 2018). This reviews the existing literature on sustainable energy technologies in modern construction, focusing on their types, integration methods, and performance outcomes. It further examines the frameworks used for investment analysis, highlighting empirical </w:t>
      </w:r>
      <w:r w:rsidRPr="00267BE4">
        <w:rPr>
          <w:rFonts w:ascii="Times New Roman" w:hAnsi="Times New Roman"/>
          <w:sz w:val="24"/>
          <w:szCs w:val="24"/>
        </w:rPr>
        <w:lastRenderedPageBreak/>
        <w:t>studies that evaluate economic feasibility. The discussion extends to the barriers faced in adopting these technologies and the broad benefits they offer. Particular emphasis is placed on the Nigerian context, considering the country’s policy environment, renewable energy programs, and construction industry characteristics (Eze et al., 2020). This comprehensive review provides the foundation for the present study’s analysis of investment in sustainable energy technologies within modern construction methods.</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2.1</w:t>
      </w:r>
      <w:r w:rsidRPr="00267BE4">
        <w:rPr>
          <w:rFonts w:ascii="Times New Roman" w:hAnsi="Times New Roman"/>
          <w:b/>
          <w:bCs/>
          <w:sz w:val="24"/>
          <w:szCs w:val="24"/>
        </w:rPr>
        <w:tab/>
        <w:t>Sustainable Energy Technologies in Modern Construction</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Sustainable Energy Technologies (SETs) play a transformative role in reshaping the construction industry, aiming to reduce energy consumption, lower greenhouse gas emissions, and enhance the long-term performance of buildings. These technologies are designed to utilize renewable energy sources and improve energy efficiency through innovative design and materials. In modern construction, their integration goes beyond environmental responsibility; it is increasingly becoming a strategic economic and operational necessity.</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Sustainable Energy Technologies refer to energy systems and solutions that utilize renewable, clean, and efficient energy sources to reduce environmental impact, minimize carbon emissions, and promote long-term energy security. These technologies are designed to meet present energy needs without compromising the ability of future generations to meet theirs. They include solar power systems, wind turbines, geothermal energy, biomass energy, and energy-efficient building systems such as LED lighting, advanced insulation, and smart energy management systems.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lastRenderedPageBreak/>
        <w:t xml:space="preserve">According to </w:t>
      </w:r>
      <w:proofErr w:type="spellStart"/>
      <w:r w:rsidRPr="00267BE4">
        <w:rPr>
          <w:rFonts w:ascii="Times New Roman" w:hAnsi="Times New Roman"/>
          <w:sz w:val="24"/>
          <w:szCs w:val="24"/>
        </w:rPr>
        <w:t>Luthander</w:t>
      </w:r>
      <w:proofErr w:type="spellEnd"/>
      <w:r w:rsidRPr="00267BE4">
        <w:rPr>
          <w:rFonts w:ascii="Times New Roman" w:hAnsi="Times New Roman"/>
          <w:sz w:val="24"/>
          <w:szCs w:val="24"/>
        </w:rPr>
        <w:t xml:space="preserve"> et al. (2015), sustainable energy technologies in buildings not only help reduce greenhouse gas emissions but also contribute to long-term operational cost savings and improved indoor environmental quality. Similarly, Oyedepo (2014) emphasized the importance of renewable energy integration in developing countries like Nigeria, noting that it is essential for addressing energy poverty and achieving sustainable development goals.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Among the most commonly adopted sustainable energy technologies is solar energy, particularly photovoltaic (PV) systems, which convert sunlight directly into electricity. In both residential and commercial buildings, PV panels are often installed on rooftops or facades, contributing significantly to meeting energy demands. Studies have shown that buildings with integrated solar systems can achieve energy cost savings of up to 30–50% over their lifecycle (Azizi et al., 2020). Solar thermal systems, which use sunlight to heat water, are also gaining popularity in housing and hospitality developments. Geothermal energy systems are another growing area of application, especially in larger or institutional buildings. These systems harness stable underground temperatures to provide heating and cooling through ground-source heat pumps. While the initial installation cost is higher compared to conventional systems, the long-term savings and environmental benefits are considerable. Research by Kim et al. (2019) found that geothermal systems could reduce energy consumption by up to 40% in certain building types.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Wind energy technologies, though more suited to large-scale or off-grid projects, have also found niche applications in buildings through small wind turbines. In areas with favorable </w:t>
      </w:r>
      <w:r w:rsidRPr="00267BE4">
        <w:rPr>
          <w:rFonts w:ascii="Times New Roman" w:hAnsi="Times New Roman"/>
          <w:sz w:val="24"/>
          <w:szCs w:val="24"/>
        </w:rPr>
        <w:lastRenderedPageBreak/>
        <w:t>wind conditions, they offer a supplementary source of clean energy. Biomass systems and Combined Heat and Power (CHP) units are likewise contributing to the energy mix in sustainable construction, especially in regions where agricultural or organic waste is abundant and can be used as fuel. Beyond energy generation, energy-efficient technologies and smart building systems are critical components of modern sustainable construction. These include high-performance glazing, LED lighting, passive solar design, smart thermostats, and building automation systems. Such technologies not only reduce energy demand but also enhance occupant comfort and reduce operational costs.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Globally, the trend towards Net-Zero Energy Buildings (NZEBs) is further pushing the boundaries of sustainable energy technology integration. These buildings are designed to produce as much energy as they consume, typically through a combination of renewable energy generation and advanced energy-saving features (Attia et al., 2019).</w:t>
      </w:r>
    </w:p>
    <w:p w:rsidR="002A65DC"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In Nigeria and many developing countries, the adoption of SETs in construction is still emerging but gaining momentum. Developers and policymakers are beginning to recognize the long-term economic and environmental benefits, especially as energy costs rise and grid reliability remains inconsistent. Initiatives such as the Nigerian Renewable Energy and Energy Efficiency Policy (NREEEP) and partnerships with private sector investors are helping to promote the use of SETs in new construction projects (Okonkwo et al., 2021).</w:t>
      </w:r>
    </w:p>
    <w:p w:rsidR="003C3685" w:rsidRDefault="003C3685" w:rsidP="002A65DC">
      <w:pPr>
        <w:spacing w:after="0" w:line="480" w:lineRule="auto"/>
        <w:jc w:val="both"/>
        <w:rPr>
          <w:rFonts w:ascii="Times New Roman" w:hAnsi="Times New Roman"/>
          <w:sz w:val="24"/>
          <w:szCs w:val="24"/>
        </w:rPr>
      </w:pPr>
    </w:p>
    <w:p w:rsidR="003C3685" w:rsidRPr="00267BE4" w:rsidRDefault="003C3685" w:rsidP="002A65DC">
      <w:pPr>
        <w:spacing w:after="0" w:line="480" w:lineRule="auto"/>
        <w:jc w:val="both"/>
        <w:rPr>
          <w:rFonts w:ascii="Times New Roman" w:hAnsi="Times New Roman"/>
          <w:sz w:val="24"/>
          <w:szCs w:val="24"/>
        </w:rPr>
      </w:pP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lastRenderedPageBreak/>
        <w:t>2.2</w:t>
      </w:r>
      <w:r>
        <w:rPr>
          <w:rFonts w:ascii="Times New Roman" w:hAnsi="Times New Roman"/>
          <w:b/>
          <w:bCs/>
          <w:sz w:val="24"/>
          <w:szCs w:val="24"/>
        </w:rPr>
        <w:tab/>
      </w:r>
      <w:r w:rsidRPr="00267BE4">
        <w:rPr>
          <w:rFonts w:ascii="Times New Roman" w:hAnsi="Times New Roman"/>
          <w:b/>
          <w:bCs/>
          <w:sz w:val="24"/>
          <w:szCs w:val="24"/>
        </w:rPr>
        <w:t>Identification of Sustainable Energy Technologies in Nigerian Construction</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 Nigerian construction sector has seen a gradual but noticeable shift toward sustainable energy technologies in response to energy shortages, rising fuel costs, and global climate goals. The following technologies are currently being integrated into various building types across the country.</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2.2.1 Solar Photovoltaic (PV) Systems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Solar PV systems are among the most prevalent renewable energy technologies in Nigeria. They convert sunlight directly into electricity and are widely installed in both urban and rural buildings. In cities like Abuja and Lagos, they are commonly mounted on residential rooftops and commercial complexes to supplement unreliable grid power. In rural areas, especially in electrification programs, PV systems serve as the primary power source for clinics, schools, and public buildings. </w:t>
      </w:r>
      <w:proofErr w:type="spellStart"/>
      <w:r w:rsidRPr="00267BE4">
        <w:rPr>
          <w:rFonts w:ascii="Times New Roman" w:hAnsi="Times New Roman"/>
          <w:sz w:val="24"/>
          <w:szCs w:val="24"/>
        </w:rPr>
        <w:t>Onohaebi</w:t>
      </w:r>
      <w:proofErr w:type="spellEnd"/>
      <w:r w:rsidRPr="00267BE4">
        <w:rPr>
          <w:rFonts w:ascii="Times New Roman" w:hAnsi="Times New Roman"/>
          <w:sz w:val="24"/>
          <w:szCs w:val="24"/>
        </w:rPr>
        <w:t xml:space="preserve"> and </w:t>
      </w:r>
      <w:proofErr w:type="spellStart"/>
      <w:r w:rsidRPr="00267BE4">
        <w:rPr>
          <w:rFonts w:ascii="Times New Roman" w:hAnsi="Times New Roman"/>
          <w:sz w:val="24"/>
          <w:szCs w:val="24"/>
        </w:rPr>
        <w:t>Ogujor</w:t>
      </w:r>
      <w:proofErr w:type="spellEnd"/>
      <w:r w:rsidRPr="00267BE4">
        <w:rPr>
          <w:rFonts w:ascii="Times New Roman" w:hAnsi="Times New Roman"/>
          <w:sz w:val="24"/>
          <w:szCs w:val="24"/>
        </w:rPr>
        <w:t xml:space="preserve"> (2015) identified solar PV as the most accessible and scalable renewable energy solution in Nigeria due to its adaptability to various building types and climatic conditions.</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2.2.2 Energy-Efficient HVAC Systems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These systems, which include inverter-based air conditioners and energy-saving chillers, are increasingly adopted in commercial buildings, hotels, and high-rise apartments. Unlike traditional units, inverter ACs adjust their cooling intensity based on indoor temperature, significantly reducing energy usage. Many Nigerian buildings, particularly in urban centers, now rely on these systems to maintain comfort while cutting operational costs. Akinola </w:t>
      </w:r>
      <w:r w:rsidRPr="00267BE4">
        <w:rPr>
          <w:rFonts w:ascii="Times New Roman" w:hAnsi="Times New Roman"/>
          <w:sz w:val="24"/>
          <w:szCs w:val="24"/>
        </w:rPr>
        <w:lastRenderedPageBreak/>
        <w:t>and Akintoye (2019) emphasized that the adoption of energy-efficient HVAC systems has led to measurable energy savings, especially in facilities with high cooling demands.</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2.2.3 Smart Lighting Systems (LED and Sensors)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Lighting systems using LED technology, combined with smart sensors, are becoming standard in modern buildings. These systems automatically adjust lighting based on occupancy and natural light availability. Office buildings, shopping malls, and academic institutions are integrating motion sensors and daylight-responsive controls to optimize energy usage. </w:t>
      </w:r>
      <w:proofErr w:type="spellStart"/>
      <w:r w:rsidRPr="00267BE4">
        <w:rPr>
          <w:rFonts w:ascii="Times New Roman" w:hAnsi="Times New Roman"/>
          <w:sz w:val="24"/>
          <w:szCs w:val="24"/>
        </w:rPr>
        <w:t>Oloke</w:t>
      </w:r>
      <w:proofErr w:type="spellEnd"/>
      <w:r w:rsidRPr="00267BE4">
        <w:rPr>
          <w:rFonts w:ascii="Times New Roman" w:hAnsi="Times New Roman"/>
          <w:sz w:val="24"/>
          <w:szCs w:val="24"/>
        </w:rPr>
        <w:t xml:space="preserve"> and Okonkwo (2020) reported that smart lighting has significantly lowered electricity bills and maintenance costs in Nigerian institutional buildings, making it a cost-effective and sustainable solution.</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2.2.4 Solar Water Heating Systems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Solar thermal collectors are used to heat water using sunlight, especially in hotels, hospitals, and residential buildings. These systems reduce the need for electric or gas water heaters, lowering both energy costs and environmental impact. In Nigeria, they are often installed on building rooftops to take advantage of abundant solar radiation. Ezugwu et al. (2017) noted that solar water heating is particularly effective in buildings with high hot water demand, where energy savings can be substantial over time.</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2.2.5 Passive Cooling and Natural Ventilation</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Passive strategies are built into the architectural design of buildings and include techniques like cross-ventilation, building orientation, green roofs, and shading devices. In Nigeria’s hot climate zones, especially in the north and southwest, these methods help maintain </w:t>
      </w:r>
      <w:r w:rsidRPr="00267BE4">
        <w:rPr>
          <w:rFonts w:ascii="Times New Roman" w:hAnsi="Times New Roman"/>
          <w:sz w:val="24"/>
          <w:szCs w:val="24"/>
        </w:rPr>
        <w:lastRenderedPageBreak/>
        <w:t>indoor comfort without the use of air conditioning. Residential homes, schools, and healthcare centers often adopt natural ventilation to reduce dependence on electricity. Adebayo and Omole (2021) affirmed that passive cooling is both cost-effective and environmentally friendly, particularly for low-income and rural housing schemes.</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2.2.6 Wind and Biomass Energy Systems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Although less widespread than solar technologies, small-scale wind turbines and biomass digesters are used in select rural and agricultural projects. Wind energy has been applied in coastal or elevated regions with suitable wind patterns, while biomass systems utilize agricultural and animal waste to produce biogas for cooking, lighting, or heating. Sambo et al. (2018) identified these systems as viable for decentralized energy supply in remote communities where conventional energy infrastructure is absent or unreliable.</w:t>
      </w:r>
    </w:p>
    <w:p w:rsidR="002A65DC" w:rsidRPr="00267BE4" w:rsidRDefault="002A65DC" w:rsidP="002A65DC">
      <w:pPr>
        <w:spacing w:after="0" w:line="480" w:lineRule="auto"/>
        <w:rPr>
          <w:rFonts w:ascii="Times New Roman" w:hAnsi="Times New Roman"/>
          <w:b/>
          <w:bCs/>
          <w:sz w:val="24"/>
          <w:szCs w:val="24"/>
        </w:rPr>
      </w:pPr>
      <w:r w:rsidRPr="00267BE4">
        <w:rPr>
          <w:rFonts w:ascii="Times New Roman" w:hAnsi="Times New Roman"/>
          <w:b/>
          <w:bCs/>
          <w:sz w:val="24"/>
          <w:szCs w:val="24"/>
        </w:rPr>
        <w:t>2.3</w:t>
      </w:r>
      <w:r>
        <w:rPr>
          <w:rFonts w:ascii="Times New Roman" w:hAnsi="Times New Roman"/>
          <w:b/>
          <w:bCs/>
          <w:sz w:val="24"/>
          <w:szCs w:val="24"/>
        </w:rPr>
        <w:tab/>
      </w:r>
      <w:r w:rsidRPr="00267BE4">
        <w:rPr>
          <w:rFonts w:ascii="Times New Roman" w:hAnsi="Times New Roman"/>
          <w:b/>
          <w:bCs/>
          <w:sz w:val="24"/>
          <w:szCs w:val="24"/>
        </w:rPr>
        <w:t>Classification of Sustainable Energy Technologies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The sustainable energy technologies integrated into construction projects can be classified using various criteria that reflect their function, energy source, operational principle, and degree of integration within the building. According to Sambo et al. (2018), the categorization of energy technologies plays a key role in advancing sustainable practices, particularly in regions like Nigeria where energy infrastructure and climatic variability present unique challenges. </w:t>
      </w:r>
      <w:proofErr w:type="spellStart"/>
      <w:r w:rsidRPr="00267BE4">
        <w:rPr>
          <w:rFonts w:ascii="Times New Roman" w:hAnsi="Times New Roman"/>
          <w:sz w:val="24"/>
          <w:szCs w:val="24"/>
        </w:rPr>
        <w:t>Nwofe</w:t>
      </w:r>
      <w:proofErr w:type="spellEnd"/>
      <w:r w:rsidRPr="00267BE4">
        <w:rPr>
          <w:rFonts w:ascii="Times New Roman" w:hAnsi="Times New Roman"/>
          <w:sz w:val="24"/>
          <w:szCs w:val="24"/>
        </w:rPr>
        <w:t xml:space="preserve"> (2016) further added that understanding the integration level of energy systems into building design is essential for maximizing both environmental and economic benefits in sustainable development.</w:t>
      </w:r>
    </w:p>
    <w:p w:rsidR="002A65DC" w:rsidRPr="00267BE4" w:rsidRDefault="002A65DC" w:rsidP="002A65DC">
      <w:pPr>
        <w:spacing w:after="0" w:line="480" w:lineRule="auto"/>
        <w:rPr>
          <w:rFonts w:ascii="Times New Roman" w:hAnsi="Times New Roman"/>
          <w:sz w:val="24"/>
          <w:szCs w:val="24"/>
        </w:rPr>
      </w:pPr>
      <w:r w:rsidRPr="00267BE4">
        <w:rPr>
          <w:rFonts w:ascii="Times New Roman" w:hAnsi="Times New Roman"/>
          <w:sz w:val="24"/>
          <w:szCs w:val="24"/>
        </w:rPr>
        <w:t>The classification presented in this section is based on three major criteria:</w:t>
      </w:r>
    </w:p>
    <w:p w:rsidR="002A65DC" w:rsidRPr="00267BE4" w:rsidRDefault="002A65DC" w:rsidP="002A65DC">
      <w:pPr>
        <w:pStyle w:val="ListParagraph"/>
        <w:numPr>
          <w:ilvl w:val="0"/>
          <w:numId w:val="1"/>
        </w:numPr>
        <w:spacing w:after="0" w:line="480" w:lineRule="auto"/>
        <w:contextualSpacing/>
        <w:rPr>
          <w:rFonts w:ascii="Times New Roman" w:hAnsi="Times New Roman"/>
          <w:sz w:val="24"/>
          <w:szCs w:val="24"/>
        </w:rPr>
      </w:pPr>
      <w:r w:rsidRPr="00267BE4">
        <w:rPr>
          <w:rFonts w:ascii="Times New Roman" w:hAnsi="Times New Roman"/>
          <w:sz w:val="24"/>
          <w:szCs w:val="24"/>
        </w:rPr>
        <w:lastRenderedPageBreak/>
        <w:t>Source and Type of Energy Used</w:t>
      </w:r>
    </w:p>
    <w:p w:rsidR="002A65DC" w:rsidRPr="00267BE4" w:rsidRDefault="002A65DC" w:rsidP="002A65DC">
      <w:pPr>
        <w:pStyle w:val="ListParagraph"/>
        <w:numPr>
          <w:ilvl w:val="0"/>
          <w:numId w:val="1"/>
        </w:numPr>
        <w:spacing w:after="0" w:line="480" w:lineRule="auto"/>
        <w:contextualSpacing/>
        <w:jc w:val="both"/>
        <w:rPr>
          <w:rFonts w:ascii="Times New Roman" w:hAnsi="Times New Roman"/>
          <w:sz w:val="24"/>
          <w:szCs w:val="24"/>
        </w:rPr>
      </w:pPr>
      <w:r w:rsidRPr="00267BE4">
        <w:rPr>
          <w:rFonts w:ascii="Times New Roman" w:hAnsi="Times New Roman"/>
          <w:sz w:val="24"/>
          <w:szCs w:val="24"/>
        </w:rPr>
        <w:t>Functional Role in the Building</w:t>
      </w:r>
    </w:p>
    <w:p w:rsidR="002A65DC" w:rsidRPr="00172B60" w:rsidRDefault="002A65DC" w:rsidP="002A65DC">
      <w:pPr>
        <w:pStyle w:val="ListParagraph"/>
        <w:numPr>
          <w:ilvl w:val="0"/>
          <w:numId w:val="1"/>
        </w:numPr>
        <w:spacing w:after="0" w:line="480" w:lineRule="auto"/>
        <w:contextualSpacing/>
        <w:jc w:val="both"/>
        <w:rPr>
          <w:rFonts w:ascii="Times New Roman" w:hAnsi="Times New Roman"/>
          <w:sz w:val="24"/>
          <w:szCs w:val="24"/>
        </w:rPr>
      </w:pPr>
      <w:r w:rsidRPr="00267BE4">
        <w:rPr>
          <w:rFonts w:ascii="Times New Roman" w:hAnsi="Times New Roman"/>
          <w:sz w:val="24"/>
          <w:szCs w:val="24"/>
        </w:rPr>
        <w:t>Mode of Integration in the Building System</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2.3.1 Classification by Source and Type of Energy Used</w:t>
      </w:r>
    </w:p>
    <w:p w:rsidR="002A65DC" w:rsidRPr="00E263E5"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This form of classification identifies technologies based on where their energy is derived from or how they manage energy usage within the building.</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1. Renewable Energy Technologies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These technologies generate power from natural sources such as solar, wind, and biomass. Rooftop solar photovoltaic systems are commonly installed to supply electricity in areas with unreliable grid power. Sambo et al. (2018) highlighted that adopting renewable technologies promotes energy independence and supports cleaner construction practices.</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 Energy Efficiency Technologies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These are systems that minimize energy consumption while maintaining building performance. Many commercial buildings now use LED lighting and inverter air conditioning systems to reduce electricity usage. According to Akinola and Akintoye (2019), such technologies contribute significantly to operational cost savings and environmental sustainability.</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3. Passive Energy Systems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These systems operate through architectural design without relying on mechanical input. In the northern region, buildings often incorporate cross-ventilation and shading devices to enhance indoor comfort and reduce cooling loads. </w:t>
      </w:r>
      <w:proofErr w:type="spellStart"/>
      <w:r w:rsidRPr="00267BE4">
        <w:rPr>
          <w:rFonts w:ascii="Times New Roman" w:hAnsi="Times New Roman"/>
          <w:sz w:val="24"/>
          <w:szCs w:val="24"/>
        </w:rPr>
        <w:t>Nwofe</w:t>
      </w:r>
      <w:proofErr w:type="spellEnd"/>
      <w:r w:rsidRPr="00267BE4">
        <w:rPr>
          <w:rFonts w:ascii="Times New Roman" w:hAnsi="Times New Roman"/>
          <w:sz w:val="24"/>
          <w:szCs w:val="24"/>
        </w:rPr>
        <w:t xml:space="preserve"> (2016) observed that passive </w:t>
      </w:r>
      <w:r w:rsidRPr="00267BE4">
        <w:rPr>
          <w:rFonts w:ascii="Times New Roman" w:hAnsi="Times New Roman"/>
          <w:sz w:val="24"/>
          <w:szCs w:val="24"/>
        </w:rPr>
        <w:lastRenderedPageBreak/>
        <w:t>strategies are highly effective in tropical climates and can significantly lower energy demand.</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2.3.2 Classification by Functional Role in the Building</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This classification groups sustainable energy technologies based on the specific role they play in improving a building’s energy performance.</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1. Energy Generation Technologies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These systems produce electricity or thermal energy directly within the building. Solar photovoltaic systems mounted on rooftops are widely used in residential and institutional buildings to supply electricity for basic services. In rural agricultural zones, wind turbines and biomass digesters are applied to support decentralized power needs. As noted by Ezugwu et al. (2017), energy generation technologies contribute to increased energy reliability and independence in both urban and remote construction settings.</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 Energy Conservation Technologies</w:t>
      </w:r>
    </w:p>
    <w:p w:rsidR="002A65DC"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These technologies are designed to reduce energy consumption by enhancing the efficiency of energy use. Inverter air conditioners, smart lighting systems with motion sensors, and thermal insulation in walls and roofs are frequently adopted in residential estates and commercial buildings. According to </w:t>
      </w:r>
      <w:proofErr w:type="spellStart"/>
      <w:r w:rsidRPr="00267BE4">
        <w:rPr>
          <w:rFonts w:ascii="Times New Roman" w:hAnsi="Times New Roman"/>
          <w:sz w:val="24"/>
          <w:szCs w:val="24"/>
        </w:rPr>
        <w:t>Oloke</w:t>
      </w:r>
      <w:proofErr w:type="spellEnd"/>
      <w:r w:rsidRPr="00267BE4">
        <w:rPr>
          <w:rFonts w:ascii="Times New Roman" w:hAnsi="Times New Roman"/>
          <w:sz w:val="24"/>
          <w:szCs w:val="24"/>
        </w:rPr>
        <w:t xml:space="preserve"> and Okonkwo (2020), incorporating such technologies into building design in Nigeria has led to significant reductions in energy costs, particularly in high-occupancy structures.</w:t>
      </w:r>
    </w:p>
    <w:p w:rsidR="003C3685" w:rsidRDefault="003C3685" w:rsidP="002A65DC">
      <w:pPr>
        <w:spacing w:after="0" w:line="480" w:lineRule="auto"/>
        <w:jc w:val="both"/>
        <w:rPr>
          <w:rFonts w:ascii="Times New Roman" w:hAnsi="Times New Roman"/>
          <w:sz w:val="24"/>
          <w:szCs w:val="24"/>
        </w:rPr>
      </w:pPr>
    </w:p>
    <w:p w:rsidR="003C3685" w:rsidRPr="00267BE4" w:rsidRDefault="003C3685" w:rsidP="002A65DC">
      <w:pPr>
        <w:spacing w:after="0" w:line="480" w:lineRule="auto"/>
        <w:jc w:val="both"/>
        <w:rPr>
          <w:rFonts w:ascii="Times New Roman" w:hAnsi="Times New Roman"/>
          <w:sz w:val="24"/>
          <w:szCs w:val="24"/>
        </w:rPr>
      </w:pP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lastRenderedPageBreak/>
        <w:t>3. Environmental Conditioning Technologies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This category includes systems that maintain indoor comfort through sustainable, often passive, design strategies. Green roofs are used in some urban developments to regulate temperature and improve insulation. Buildings across southern commonly apply cross ventilation and use high thermal mass materials like stone or concrete to balance internal temperatures. Adebayo and Omole (2021) emphasized that environmental conditioning technologies enhance indoor livability while reducing reliance on energy-intensive mechanical systems.</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2.3.4 Classification by Mode of Integration in Building Systems</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1. On-Site Active Systems</w:t>
      </w:r>
    </w:p>
    <w:p w:rsidR="002A65DC" w:rsidRPr="00172B60"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These systems operate mechanically at the building site to generate or regulate energy. Rooftop solar panels, inverter-based HVAC systems, and motion sensors are common in urban buildings. </w:t>
      </w:r>
      <w:proofErr w:type="spellStart"/>
      <w:r w:rsidRPr="00267BE4">
        <w:rPr>
          <w:rFonts w:ascii="Times New Roman" w:hAnsi="Times New Roman"/>
          <w:sz w:val="24"/>
          <w:szCs w:val="24"/>
        </w:rPr>
        <w:t>Onohaebi</w:t>
      </w:r>
      <w:proofErr w:type="spellEnd"/>
      <w:r w:rsidRPr="00267BE4">
        <w:rPr>
          <w:rFonts w:ascii="Times New Roman" w:hAnsi="Times New Roman"/>
          <w:sz w:val="24"/>
          <w:szCs w:val="24"/>
        </w:rPr>
        <w:t xml:space="preserve"> and </w:t>
      </w:r>
      <w:proofErr w:type="spellStart"/>
      <w:r w:rsidRPr="00267BE4">
        <w:rPr>
          <w:rFonts w:ascii="Times New Roman" w:hAnsi="Times New Roman"/>
          <w:sz w:val="24"/>
          <w:szCs w:val="24"/>
        </w:rPr>
        <w:t>Ogujor</w:t>
      </w:r>
      <w:proofErr w:type="spellEnd"/>
      <w:r w:rsidRPr="00267BE4">
        <w:rPr>
          <w:rFonts w:ascii="Times New Roman" w:hAnsi="Times New Roman"/>
          <w:sz w:val="24"/>
          <w:szCs w:val="24"/>
        </w:rPr>
        <w:t xml:space="preserve"> (2015) noted that such systems improve reliability and reduce grid dependency.</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 Passive Architectural Systems</w:t>
      </w:r>
    </w:p>
    <w:p w:rsidR="002A65DC"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These are design-based systems that work without mechanical input. Features like building orientation, shading devices, and ventilated façades help manage heat and airflow. </w:t>
      </w:r>
      <w:proofErr w:type="spellStart"/>
      <w:r w:rsidRPr="00267BE4">
        <w:rPr>
          <w:rFonts w:ascii="Times New Roman" w:hAnsi="Times New Roman"/>
          <w:sz w:val="24"/>
          <w:szCs w:val="24"/>
        </w:rPr>
        <w:t>Nwofe</w:t>
      </w:r>
      <w:proofErr w:type="spellEnd"/>
      <w:r w:rsidRPr="00267BE4">
        <w:rPr>
          <w:rFonts w:ascii="Times New Roman" w:hAnsi="Times New Roman"/>
          <w:sz w:val="24"/>
          <w:szCs w:val="24"/>
        </w:rPr>
        <w:t xml:space="preserve"> (2016) emphasized their effectiveness in reducing energy use in Nigeria’s hot climate.</w:t>
      </w:r>
    </w:p>
    <w:p w:rsidR="003C3685" w:rsidRDefault="003C3685" w:rsidP="002A65DC">
      <w:pPr>
        <w:spacing w:after="0" w:line="480" w:lineRule="auto"/>
        <w:jc w:val="both"/>
        <w:rPr>
          <w:rFonts w:ascii="Times New Roman" w:hAnsi="Times New Roman"/>
          <w:sz w:val="24"/>
          <w:szCs w:val="24"/>
        </w:rPr>
      </w:pPr>
    </w:p>
    <w:p w:rsidR="003C3685" w:rsidRDefault="003C3685" w:rsidP="002A65DC">
      <w:pPr>
        <w:spacing w:after="0" w:line="480" w:lineRule="auto"/>
        <w:jc w:val="both"/>
        <w:rPr>
          <w:rFonts w:ascii="Times New Roman" w:hAnsi="Times New Roman"/>
          <w:sz w:val="24"/>
          <w:szCs w:val="24"/>
        </w:rPr>
      </w:pPr>
    </w:p>
    <w:p w:rsidR="003C3685" w:rsidRPr="00267BE4" w:rsidRDefault="003C3685" w:rsidP="002A65DC">
      <w:pPr>
        <w:spacing w:after="0" w:line="480" w:lineRule="auto"/>
        <w:jc w:val="both"/>
        <w:rPr>
          <w:rFonts w:ascii="Times New Roman" w:hAnsi="Times New Roman"/>
          <w:sz w:val="24"/>
          <w:szCs w:val="24"/>
        </w:rPr>
      </w:pP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lastRenderedPageBreak/>
        <w:t>3. Building-Integrated Systems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Technologies in this group are built into the structure, such as solar roof tiles and power-generating glass windows. According to </w:t>
      </w:r>
      <w:proofErr w:type="spellStart"/>
      <w:r w:rsidRPr="00267BE4">
        <w:rPr>
          <w:rFonts w:ascii="Times New Roman" w:hAnsi="Times New Roman"/>
          <w:sz w:val="24"/>
          <w:szCs w:val="24"/>
        </w:rPr>
        <w:t>Nwuba</w:t>
      </w:r>
      <w:proofErr w:type="spellEnd"/>
      <w:r w:rsidRPr="00267BE4">
        <w:rPr>
          <w:rFonts w:ascii="Times New Roman" w:hAnsi="Times New Roman"/>
          <w:sz w:val="24"/>
          <w:szCs w:val="24"/>
        </w:rPr>
        <w:t xml:space="preserve"> and </w:t>
      </w:r>
      <w:proofErr w:type="spellStart"/>
      <w:r w:rsidRPr="00267BE4">
        <w:rPr>
          <w:rFonts w:ascii="Times New Roman" w:hAnsi="Times New Roman"/>
          <w:sz w:val="24"/>
          <w:szCs w:val="24"/>
        </w:rPr>
        <w:t>Olayanju</w:t>
      </w:r>
      <w:proofErr w:type="spellEnd"/>
      <w:r w:rsidRPr="00267BE4">
        <w:rPr>
          <w:rFonts w:ascii="Times New Roman" w:hAnsi="Times New Roman"/>
          <w:sz w:val="24"/>
          <w:szCs w:val="24"/>
        </w:rPr>
        <w:t xml:space="preserve"> (2021), BIPV systems are space-saving and ideal for urban developments.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b/>
          <w:bCs/>
          <w:sz w:val="24"/>
          <w:szCs w:val="24"/>
        </w:rPr>
        <w:t>4. Smart Control Systems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These use automation to manage building performance. Building Management Systems and IoT lighting adjust energy use based on occupancy. Akinola and Akintoye (2019) reported their growing use in hotels and institutional buildings for better energy efficiency.</w:t>
      </w:r>
    </w:p>
    <w:p w:rsidR="002A65DC" w:rsidRPr="00267BE4" w:rsidRDefault="002A65DC" w:rsidP="002A65DC">
      <w:pPr>
        <w:spacing w:after="0" w:line="480" w:lineRule="auto"/>
        <w:ind w:left="720" w:hanging="720"/>
        <w:jc w:val="both"/>
        <w:rPr>
          <w:rFonts w:ascii="Times New Roman" w:hAnsi="Times New Roman"/>
          <w:sz w:val="24"/>
          <w:szCs w:val="24"/>
        </w:rPr>
      </w:pPr>
      <w:r w:rsidRPr="00267BE4">
        <w:rPr>
          <w:rFonts w:ascii="Times New Roman" w:hAnsi="Times New Roman"/>
          <w:b/>
          <w:bCs/>
          <w:sz w:val="24"/>
          <w:szCs w:val="24"/>
        </w:rPr>
        <w:t>2.4</w:t>
      </w:r>
      <w:r>
        <w:rPr>
          <w:rFonts w:ascii="Times New Roman" w:hAnsi="Times New Roman"/>
          <w:b/>
          <w:bCs/>
          <w:sz w:val="24"/>
          <w:szCs w:val="24"/>
        </w:rPr>
        <w:tab/>
      </w:r>
      <w:r w:rsidRPr="00267BE4">
        <w:rPr>
          <w:rFonts w:ascii="Times New Roman" w:hAnsi="Times New Roman"/>
          <w:b/>
          <w:bCs/>
          <w:sz w:val="24"/>
          <w:szCs w:val="24"/>
        </w:rPr>
        <w:t>Initial Capital and Lifecycle Cost Implications of Adopting Sustainable Energy Technologies in Nigerian Construction</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 financial considerations associated with the adoption of sustainable energy technologies in construction projects can be broadly understood through two key cost metrics: initial capital cost and lifecycle cost. While many of these technologies present a relatively high upfront cost, their long-term operational and maintenance savings often make them more economical over the lifespan of a building.</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Solar photovoltaic (PV) systems, are among the most commonly adopted renewable technologies. Although the initial capital cost of installing solar panels, inverters, and storage batteries remains high due to import dependence and limited local manufacturing, the systems offer substantial savings on electricity bills over time. Photovoltaic </w:t>
      </w:r>
      <w:proofErr w:type="gramStart"/>
      <w:r w:rsidRPr="00267BE4">
        <w:rPr>
          <w:rFonts w:ascii="Times New Roman" w:hAnsi="Times New Roman"/>
          <w:sz w:val="24"/>
          <w:szCs w:val="24"/>
        </w:rPr>
        <w:t>( PV</w:t>
      </w:r>
      <w:proofErr w:type="gramEnd"/>
      <w:r w:rsidRPr="00267BE4">
        <w:rPr>
          <w:rFonts w:ascii="Times New Roman" w:hAnsi="Times New Roman"/>
          <w:sz w:val="24"/>
          <w:szCs w:val="24"/>
        </w:rPr>
        <w:t xml:space="preserve">) systems are increasingly being integrated into residential estates and institutional buildings. </w:t>
      </w:r>
      <w:proofErr w:type="spellStart"/>
      <w:r w:rsidRPr="00267BE4">
        <w:rPr>
          <w:rFonts w:ascii="Times New Roman" w:hAnsi="Times New Roman"/>
          <w:sz w:val="24"/>
          <w:szCs w:val="24"/>
        </w:rPr>
        <w:t>Onohaebi</w:t>
      </w:r>
      <w:proofErr w:type="spellEnd"/>
      <w:r w:rsidRPr="00267BE4">
        <w:rPr>
          <w:rFonts w:ascii="Times New Roman" w:hAnsi="Times New Roman"/>
          <w:sz w:val="24"/>
          <w:szCs w:val="24"/>
        </w:rPr>
        <w:t xml:space="preserve"> and </w:t>
      </w:r>
      <w:proofErr w:type="spellStart"/>
      <w:r w:rsidRPr="00267BE4">
        <w:rPr>
          <w:rFonts w:ascii="Times New Roman" w:hAnsi="Times New Roman"/>
          <w:sz w:val="24"/>
          <w:szCs w:val="24"/>
        </w:rPr>
        <w:t>Ogujor</w:t>
      </w:r>
      <w:proofErr w:type="spellEnd"/>
      <w:r w:rsidRPr="00267BE4">
        <w:rPr>
          <w:rFonts w:ascii="Times New Roman" w:hAnsi="Times New Roman"/>
          <w:sz w:val="24"/>
          <w:szCs w:val="24"/>
        </w:rPr>
        <w:t xml:space="preserve"> (2015) reported that, despite the upfront financial burden, these </w:t>
      </w:r>
      <w:r w:rsidRPr="00267BE4">
        <w:rPr>
          <w:rFonts w:ascii="Times New Roman" w:hAnsi="Times New Roman"/>
          <w:sz w:val="24"/>
          <w:szCs w:val="24"/>
        </w:rPr>
        <w:lastRenderedPageBreak/>
        <w:t xml:space="preserve">systems become cost-effective within 5 to 7 years, largely due to low maintenance needs and the free </w:t>
      </w:r>
      <w:proofErr w:type="spellStart"/>
      <w:r w:rsidRPr="00267BE4">
        <w:rPr>
          <w:rFonts w:ascii="Times New Roman" w:hAnsi="Times New Roman"/>
          <w:sz w:val="24"/>
          <w:szCs w:val="24"/>
        </w:rPr>
        <w:t>avaiability</w:t>
      </w:r>
      <w:proofErr w:type="spellEnd"/>
      <w:r w:rsidRPr="00267BE4">
        <w:rPr>
          <w:rFonts w:ascii="Times New Roman" w:hAnsi="Times New Roman"/>
          <w:sz w:val="24"/>
          <w:szCs w:val="24"/>
        </w:rPr>
        <w:t xml:space="preserve"> of solar energy.</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Similarly, energy-efficient HVAC systems, particularly inverter-based air conditioners and low-energy chillers, demand more initial investment compared to traditional cooling units. However, these systems are engineered to regulate power consumption by adjusting their output to suit temperature requirements, which results in significant reductions in electricity usage. Akinola and Akintoye (2019) noted that while initial </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costs may deter some developers, energy-efficient HVAC installations can reduce energy consumption by as much as 30–40%, allowing building owners to recover their investment within a few years of operation.</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In terms of lighting, smart energy solutions such as LED systems and occupancy sensors are gradually replacing traditional bulbs in commercial and institutional buildings. Although LED lighting and sensor technologies cost more initially, their long lifespan and reduced energy use result in considerably lower lifecycle costs. As observed by </w:t>
      </w:r>
      <w:proofErr w:type="spellStart"/>
      <w:r w:rsidRPr="00267BE4">
        <w:rPr>
          <w:rFonts w:ascii="Times New Roman" w:hAnsi="Times New Roman"/>
          <w:sz w:val="24"/>
          <w:szCs w:val="24"/>
        </w:rPr>
        <w:t>Oloke</w:t>
      </w:r>
      <w:proofErr w:type="spellEnd"/>
      <w:r w:rsidRPr="00267BE4">
        <w:rPr>
          <w:rFonts w:ascii="Times New Roman" w:hAnsi="Times New Roman"/>
          <w:sz w:val="24"/>
          <w:szCs w:val="24"/>
        </w:rPr>
        <w:t xml:space="preserve"> and Okonkwo (2020), many educational and office buildings have achieved up to 50% reductions in lighting-related energy consumption after switching to LED-based smart lighting.</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Solar water heating systems also demonstrate similar economic behavior. While their installation involves moderate capital expenses due to the cost of solar collectors and insulated storage tanks, they offer long-term savings by eliminating the need for electrical or gas-powered water heating. Ezugwu et al. (2017) showed that in buildings such as hotels </w:t>
      </w:r>
      <w:r w:rsidRPr="00267BE4">
        <w:rPr>
          <w:rFonts w:ascii="Times New Roman" w:hAnsi="Times New Roman"/>
          <w:sz w:val="24"/>
          <w:szCs w:val="24"/>
        </w:rPr>
        <w:lastRenderedPageBreak/>
        <w:t>and hospitals, where hot water usage is high, the payback period for solar water heating systems can range between three to six years, depending on usage patterns.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Passive cooling and natural ventilation features—such as proper building orientation, cross-ventilation design, and the use of green roofs—usually require slight increases in design and construction costs. However, since they do not rely on mechanical systems or consume energy, their long-term operation incurs virtually no cost. Adebayo and Omole (2021) emphasized that, especially in hot regions of Nigeria, the inclusion of passive systems significantly reduces the need for air conditioning, offering both energy and financial savings throughout the building's lifecycle.</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Technologies like wind turbines and biomass digesters, though not widely used, are typically expensive to install and require technical expertise. Nevertheless, in remote or off-grid rural areas where access to conventional energy sources is limited, these systems can serve as cost-effective alternatives in the long run. Sambo et al. (2018) noted that despite the capital intensity, wind and biomass systems can offer stable, low-maintenance energy solutions for agricultural settlements and isolated communities.</w:t>
      </w:r>
    </w:p>
    <w:p w:rsidR="002A65DC" w:rsidRPr="00267BE4" w:rsidRDefault="002A65DC" w:rsidP="002A65DC">
      <w:pPr>
        <w:spacing w:after="0" w:line="480" w:lineRule="auto"/>
        <w:ind w:left="720" w:hanging="720"/>
        <w:jc w:val="both"/>
        <w:rPr>
          <w:rFonts w:ascii="Times New Roman" w:hAnsi="Times New Roman"/>
          <w:b/>
          <w:bCs/>
          <w:sz w:val="24"/>
          <w:szCs w:val="24"/>
        </w:rPr>
      </w:pPr>
      <w:r w:rsidRPr="00267BE4">
        <w:rPr>
          <w:rFonts w:ascii="Times New Roman" w:hAnsi="Times New Roman"/>
          <w:b/>
          <w:bCs/>
          <w:sz w:val="24"/>
          <w:szCs w:val="24"/>
        </w:rPr>
        <w:t xml:space="preserve">2.5 </w:t>
      </w:r>
      <w:r w:rsidRPr="00267BE4">
        <w:rPr>
          <w:rFonts w:ascii="Times New Roman" w:hAnsi="Times New Roman"/>
          <w:b/>
          <w:bCs/>
          <w:sz w:val="24"/>
          <w:szCs w:val="24"/>
        </w:rPr>
        <w:tab/>
        <w:t>Return on Investment, Energy Savings, and Economic Benefits of Sustainable Energy Technologies in Nigerian Construction</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The adoption of sustainable energy technologies in the Nigerian construction industry yields considerable economic and operational advantages. These benefits are most visible in terms of return on investment (ROI), energy savings, and broader economic value </w:t>
      </w:r>
      <w:r w:rsidRPr="00267BE4">
        <w:rPr>
          <w:rFonts w:ascii="Times New Roman" w:hAnsi="Times New Roman"/>
          <w:sz w:val="24"/>
          <w:szCs w:val="24"/>
        </w:rPr>
        <w:lastRenderedPageBreak/>
        <w:t>creation, which make such technologies increasingly attractive despite their relatively high initial costs.</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2.5.1 Return on Investment (ROI)</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Sustainable energy technologies, particularly solar photovoltaic (PV) systems, energy-efficient HVAC, and LED lighting systems, demonstrate strong ROI over time. Solar PV installations in residential and institutional buildings typically recoup their initial investment within 5 to 7 years, depending on system size and energy demand. According to </w:t>
      </w:r>
      <w:proofErr w:type="spellStart"/>
      <w:r w:rsidRPr="00267BE4">
        <w:rPr>
          <w:rFonts w:ascii="Times New Roman" w:hAnsi="Times New Roman"/>
          <w:sz w:val="24"/>
          <w:szCs w:val="24"/>
        </w:rPr>
        <w:t>Onohaebi</w:t>
      </w:r>
      <w:proofErr w:type="spellEnd"/>
      <w:r w:rsidRPr="00267BE4">
        <w:rPr>
          <w:rFonts w:ascii="Times New Roman" w:hAnsi="Times New Roman"/>
          <w:sz w:val="24"/>
          <w:szCs w:val="24"/>
        </w:rPr>
        <w:t xml:space="preserve"> and </w:t>
      </w:r>
      <w:proofErr w:type="spellStart"/>
      <w:r w:rsidRPr="00267BE4">
        <w:rPr>
          <w:rFonts w:ascii="Times New Roman" w:hAnsi="Times New Roman"/>
          <w:sz w:val="24"/>
          <w:szCs w:val="24"/>
        </w:rPr>
        <w:t>Ogujor</w:t>
      </w:r>
      <w:proofErr w:type="spellEnd"/>
      <w:r w:rsidRPr="00267BE4">
        <w:rPr>
          <w:rFonts w:ascii="Times New Roman" w:hAnsi="Times New Roman"/>
          <w:sz w:val="24"/>
          <w:szCs w:val="24"/>
        </w:rPr>
        <w:t xml:space="preserve"> (2015), users of PV systems in Abuja and Lagos reported a gradual payback through monthly electricity savings, especially where public power supply is unreliable and expensive alternatives like diesel generators are used.</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Similarly, energy-efficient air conditioning systems, such as inverter-based HVAC units, offer a return on investment within 3 to 5 years by reducing energy consumption significantly—up to 40% compared to conventional systems (Akinola &amp; Akintoye, 2019). LED lighting technologies, particularly when coupled with daylight or occupancy sensors, also yield rapid returns, often within 2 to 4 years, due to reduced power usage and longer replacement cycles (</w:t>
      </w:r>
      <w:proofErr w:type="spellStart"/>
      <w:r w:rsidRPr="00267BE4">
        <w:rPr>
          <w:rFonts w:ascii="Times New Roman" w:hAnsi="Times New Roman"/>
          <w:sz w:val="24"/>
          <w:szCs w:val="24"/>
        </w:rPr>
        <w:t>Oloke</w:t>
      </w:r>
      <w:proofErr w:type="spellEnd"/>
      <w:r w:rsidRPr="00267BE4">
        <w:rPr>
          <w:rFonts w:ascii="Times New Roman" w:hAnsi="Times New Roman"/>
          <w:sz w:val="24"/>
          <w:szCs w:val="24"/>
        </w:rPr>
        <w:t xml:space="preserve"> &amp; Okonkwo, 2020).</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b/>
          <w:bCs/>
          <w:sz w:val="24"/>
          <w:szCs w:val="24"/>
        </w:rPr>
        <w:t>2.5.2</w:t>
      </w:r>
      <w:r>
        <w:rPr>
          <w:rFonts w:ascii="Times New Roman" w:hAnsi="Times New Roman"/>
          <w:b/>
          <w:bCs/>
          <w:sz w:val="24"/>
          <w:szCs w:val="24"/>
        </w:rPr>
        <w:t xml:space="preserve"> </w:t>
      </w:r>
      <w:r w:rsidRPr="00267BE4">
        <w:rPr>
          <w:rFonts w:ascii="Times New Roman" w:hAnsi="Times New Roman"/>
          <w:b/>
          <w:bCs/>
          <w:sz w:val="24"/>
          <w:szCs w:val="24"/>
        </w:rPr>
        <w:t>Energy Saving</w:t>
      </w:r>
      <w:r w:rsidRPr="00267BE4">
        <w:rPr>
          <w:rFonts w:ascii="Times New Roman" w:hAnsi="Times New Roman"/>
          <w:sz w:val="24"/>
          <w:szCs w:val="24"/>
        </w:rPr>
        <w:t>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The most immediate benefit of these technologies is the substantial reduction in electricity demand. Solar PV systems generate power independent of the national grid, significantly lowering utility bills and eliminating the cost of backup generators. Energy-efficient HVAC systems adjust their output based on demand, thereby avoiding wasteful power </w:t>
      </w:r>
      <w:r w:rsidRPr="00267BE4">
        <w:rPr>
          <w:rFonts w:ascii="Times New Roman" w:hAnsi="Times New Roman"/>
          <w:sz w:val="24"/>
          <w:szCs w:val="24"/>
        </w:rPr>
        <w:lastRenderedPageBreak/>
        <w:t>consumption. Smart lighting systems, which include LED lamps and automated sensors, reduce lighting energy usage by up to 50% in commercial buildings (</w:t>
      </w:r>
      <w:proofErr w:type="spellStart"/>
      <w:r w:rsidRPr="00267BE4">
        <w:rPr>
          <w:rFonts w:ascii="Times New Roman" w:hAnsi="Times New Roman"/>
          <w:sz w:val="24"/>
          <w:szCs w:val="24"/>
        </w:rPr>
        <w:t>Oloke</w:t>
      </w:r>
      <w:proofErr w:type="spellEnd"/>
      <w:r w:rsidRPr="00267BE4">
        <w:rPr>
          <w:rFonts w:ascii="Times New Roman" w:hAnsi="Times New Roman"/>
          <w:sz w:val="24"/>
          <w:szCs w:val="24"/>
        </w:rPr>
        <w:t xml:space="preserve"> &amp; Okonkwo, 2020). In hot climates, passive cooling techniques—such as building orientation, shading, and natural ventilation—reduce the need for mechanical cooling, offering free and permanent energy savings (Adebayo &amp; Omole, 2021).</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2.5.3 Economic Benefits</w:t>
      </w:r>
    </w:p>
    <w:p w:rsidR="002A65DC" w:rsidRPr="00E263E5"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Beyond direct savings, the adoption of sustainable technologies contributes to broader economic development. These technologies lower operational costs, increase building value, and enhance indoor comfort, which can improve productivity in office settings and reduce turnover in commercial spaces. Ezugwu et al. (2017) emphasized that hospitals and hotels using solar water heaters reported reductions in energy bills and improved service reliability.</w:t>
      </w:r>
    </w:p>
    <w:p w:rsidR="002A65DC" w:rsidRPr="00267BE4" w:rsidRDefault="002A65DC" w:rsidP="002A65DC">
      <w:pPr>
        <w:spacing w:after="0" w:line="480" w:lineRule="auto"/>
        <w:ind w:left="720" w:hanging="720"/>
        <w:jc w:val="both"/>
        <w:rPr>
          <w:rFonts w:ascii="Times New Roman" w:hAnsi="Times New Roman"/>
          <w:b/>
          <w:bCs/>
          <w:sz w:val="24"/>
          <w:szCs w:val="24"/>
        </w:rPr>
      </w:pPr>
      <w:r w:rsidRPr="00267BE4">
        <w:rPr>
          <w:rFonts w:ascii="Times New Roman" w:hAnsi="Times New Roman"/>
          <w:b/>
          <w:bCs/>
          <w:sz w:val="24"/>
          <w:szCs w:val="24"/>
        </w:rPr>
        <w:t xml:space="preserve">2.6 </w:t>
      </w:r>
      <w:r w:rsidRPr="00267BE4">
        <w:rPr>
          <w:rFonts w:ascii="Times New Roman" w:hAnsi="Times New Roman"/>
          <w:b/>
          <w:bCs/>
          <w:sz w:val="24"/>
          <w:szCs w:val="24"/>
        </w:rPr>
        <w:tab/>
        <w:t>Strategic Measures to Enhance Investment in Sustainable Energy Technologies in the Nigerian Construction Sector</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Promoting investment in sustainable energy technologies within Nigeria's construction sector requires a coordinated blend of policy reform, financial support mechanisms, public awareness, and capacity development. These measures are crucial in overcoming the high initial capital barriers and encouraging widespread adoption of renewable and energy-efficient solutions.</w:t>
      </w:r>
    </w:p>
    <w:p w:rsidR="002A65DC" w:rsidRDefault="002A65DC" w:rsidP="002A65DC">
      <w:pPr>
        <w:spacing w:after="0" w:line="480" w:lineRule="auto"/>
        <w:jc w:val="both"/>
        <w:rPr>
          <w:rFonts w:ascii="Times New Roman" w:hAnsi="Times New Roman"/>
          <w:b/>
          <w:bCs/>
          <w:sz w:val="24"/>
          <w:szCs w:val="24"/>
        </w:rPr>
      </w:pPr>
    </w:p>
    <w:p w:rsidR="002A65DC" w:rsidRDefault="002A65DC" w:rsidP="002A65DC">
      <w:pPr>
        <w:spacing w:after="0" w:line="480" w:lineRule="auto"/>
        <w:jc w:val="both"/>
        <w:rPr>
          <w:rFonts w:ascii="Times New Roman" w:hAnsi="Times New Roman"/>
          <w:b/>
          <w:bCs/>
          <w:sz w:val="24"/>
          <w:szCs w:val="24"/>
        </w:rPr>
      </w:pP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lastRenderedPageBreak/>
        <w:t>2.6.1</w:t>
      </w:r>
      <w:r>
        <w:rPr>
          <w:rFonts w:ascii="Times New Roman" w:hAnsi="Times New Roman"/>
          <w:b/>
          <w:bCs/>
          <w:sz w:val="24"/>
          <w:szCs w:val="24"/>
        </w:rPr>
        <w:t xml:space="preserve"> </w:t>
      </w:r>
      <w:r w:rsidRPr="00267BE4">
        <w:rPr>
          <w:rFonts w:ascii="Times New Roman" w:hAnsi="Times New Roman"/>
          <w:b/>
          <w:bCs/>
          <w:sz w:val="24"/>
          <w:szCs w:val="24"/>
        </w:rPr>
        <w:t>Development of Policy Incentives and Regulatory Frameworks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 government must establish clear, enforceable policies that support sustainable energy integration in building design and construction. This includes adopting green building codes, mandatory energy efficiency standards, and fast-tracking permits for buildings using renewable systems. Regulatory incentives such as feed-in tariffs, tax rebates, and import duty waivers on sustainable energy equipment can make such technologies more financially accessible. As Sambo et al. (2018) pointed out, the absence of strong institutional support has hindered widespread adoption in Nigeria, particularly in the private housing sector.</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2.6.2</w:t>
      </w:r>
      <w:r>
        <w:rPr>
          <w:rFonts w:ascii="Times New Roman" w:hAnsi="Times New Roman"/>
          <w:b/>
          <w:bCs/>
          <w:sz w:val="24"/>
          <w:szCs w:val="24"/>
        </w:rPr>
        <w:t xml:space="preserve"> </w:t>
      </w:r>
      <w:r w:rsidRPr="00267BE4">
        <w:rPr>
          <w:rFonts w:ascii="Times New Roman" w:hAnsi="Times New Roman"/>
          <w:b/>
          <w:bCs/>
          <w:sz w:val="24"/>
          <w:szCs w:val="24"/>
        </w:rPr>
        <w:t>Access to Green Financing and Investment Capital</w:t>
      </w:r>
    </w:p>
    <w:p w:rsidR="002A65DC" w:rsidRPr="00E263E5"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Financial institutions should offer soft loans, green bonds, and low-interest financing tailored for developers, contractors, and homeowners investing in sustainable energy solutions. Public-private partnerships (PPP) and donor-funded energy investment schemes can also bridge financing gaps, especially for large-scale or public infrastructure projects. Akinola and Akintoye (2019) noted that without supportive financing instruments, most developers opt for cheaper, conventional technologies despite their long-term inefficiencies.</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2.6.3</w:t>
      </w:r>
      <w:r>
        <w:rPr>
          <w:rFonts w:ascii="Times New Roman" w:hAnsi="Times New Roman"/>
          <w:b/>
          <w:bCs/>
          <w:sz w:val="24"/>
          <w:szCs w:val="24"/>
        </w:rPr>
        <w:t xml:space="preserve"> </w:t>
      </w:r>
      <w:r w:rsidRPr="00267BE4">
        <w:rPr>
          <w:rFonts w:ascii="Times New Roman" w:hAnsi="Times New Roman"/>
          <w:b/>
          <w:bCs/>
          <w:sz w:val="24"/>
          <w:szCs w:val="24"/>
        </w:rPr>
        <w:t>Local Production and Technology Transfer</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To reduce the cost of sustainable energy technologies, strategic investments in local manufacturing of solar panels, inverters, LED components, and other renewable energy hardware are necessary. Encouraging partnerships between foreign technology providers </w:t>
      </w:r>
      <w:r w:rsidRPr="00267BE4">
        <w:rPr>
          <w:rFonts w:ascii="Times New Roman" w:hAnsi="Times New Roman"/>
          <w:sz w:val="24"/>
          <w:szCs w:val="24"/>
        </w:rPr>
        <w:lastRenderedPageBreak/>
        <w:t xml:space="preserve">and local industries can facilitate knowledge transfer, enhance technical capacity, and create jobs. </w:t>
      </w:r>
      <w:proofErr w:type="spellStart"/>
      <w:r w:rsidRPr="00267BE4">
        <w:rPr>
          <w:rFonts w:ascii="Times New Roman" w:hAnsi="Times New Roman"/>
          <w:sz w:val="24"/>
          <w:szCs w:val="24"/>
        </w:rPr>
        <w:t>Onohaebi</w:t>
      </w:r>
      <w:proofErr w:type="spellEnd"/>
      <w:r w:rsidRPr="00267BE4">
        <w:rPr>
          <w:rFonts w:ascii="Times New Roman" w:hAnsi="Times New Roman"/>
          <w:sz w:val="24"/>
          <w:szCs w:val="24"/>
        </w:rPr>
        <w:t xml:space="preserve"> and </w:t>
      </w:r>
      <w:proofErr w:type="spellStart"/>
      <w:r w:rsidRPr="00267BE4">
        <w:rPr>
          <w:rFonts w:ascii="Times New Roman" w:hAnsi="Times New Roman"/>
          <w:sz w:val="24"/>
          <w:szCs w:val="24"/>
        </w:rPr>
        <w:t>Ogujor</w:t>
      </w:r>
      <w:proofErr w:type="spellEnd"/>
      <w:r w:rsidRPr="00267BE4">
        <w:rPr>
          <w:rFonts w:ascii="Times New Roman" w:hAnsi="Times New Roman"/>
          <w:sz w:val="24"/>
          <w:szCs w:val="24"/>
        </w:rPr>
        <w:t xml:space="preserve"> (2015) argued that dependence on imported systems has contributed to high costs and slow adoption in Nigeria.</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2.6.4</w:t>
      </w:r>
      <w:r>
        <w:rPr>
          <w:rFonts w:ascii="Times New Roman" w:hAnsi="Times New Roman"/>
          <w:b/>
          <w:bCs/>
          <w:sz w:val="24"/>
          <w:szCs w:val="24"/>
        </w:rPr>
        <w:t xml:space="preserve"> </w:t>
      </w:r>
      <w:r w:rsidRPr="00267BE4">
        <w:rPr>
          <w:rFonts w:ascii="Times New Roman" w:hAnsi="Times New Roman"/>
          <w:b/>
          <w:bCs/>
          <w:sz w:val="24"/>
          <w:szCs w:val="24"/>
        </w:rPr>
        <w:t>Capacity Building and Technical Training</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 success of sustainable energy adoption depends heavily on the availability of skilled professionals in design, installation, and maintenance. Therefore, institutions and industry bodies should prioritize training programs for architects, engineers, quantity surveyors, and artisans in renewable energy systems and green building technologies. Adebayo and Omole (2021) emphasized that the knowledge gap among construction professionals’ limits implementation, particularly in rural and semi-urban projects.</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2.6.5</w:t>
      </w:r>
      <w:r>
        <w:rPr>
          <w:rFonts w:ascii="Times New Roman" w:hAnsi="Times New Roman"/>
          <w:b/>
          <w:bCs/>
          <w:sz w:val="24"/>
          <w:szCs w:val="24"/>
        </w:rPr>
        <w:t xml:space="preserve"> </w:t>
      </w:r>
      <w:r w:rsidRPr="00267BE4">
        <w:rPr>
          <w:rFonts w:ascii="Times New Roman" w:hAnsi="Times New Roman"/>
          <w:b/>
          <w:bCs/>
          <w:sz w:val="24"/>
          <w:szCs w:val="24"/>
        </w:rPr>
        <w:t>Public Awareness and Advocacy Campaigns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Public enlightenment campaigns showcasing the long-term benefits of sustainable energy—such as reduced utility costs, improved indoor comfort, and environmental protection—can stimulate demand among clients and developers. Demonstration projects, media outreach, and integration into school curricula can promote cultural and behavioral shifts toward energy-conscious construction.</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2.6.6</w:t>
      </w:r>
      <w:r>
        <w:rPr>
          <w:rFonts w:ascii="Times New Roman" w:hAnsi="Times New Roman"/>
          <w:b/>
          <w:bCs/>
          <w:sz w:val="24"/>
          <w:szCs w:val="24"/>
        </w:rPr>
        <w:t xml:space="preserve"> </w:t>
      </w:r>
      <w:r w:rsidRPr="00267BE4">
        <w:rPr>
          <w:rFonts w:ascii="Times New Roman" w:hAnsi="Times New Roman"/>
          <w:b/>
          <w:bCs/>
          <w:sz w:val="24"/>
          <w:szCs w:val="24"/>
        </w:rPr>
        <w:t>Integration into Urban and Rural Development Plans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National and state development frameworks should mainstream sustainable energy into housing schemes, smart city projects, and infrastructure expansion. This includes mandating energy audits and sustainability reports for new public buildings. Ezugwu et al. (2017) observed that most energy-efficient practices in Nigeria are donor-driven or </w:t>
      </w:r>
      <w:r w:rsidRPr="00267BE4">
        <w:rPr>
          <w:rFonts w:ascii="Times New Roman" w:hAnsi="Times New Roman"/>
          <w:sz w:val="24"/>
          <w:szCs w:val="24"/>
        </w:rPr>
        <w:lastRenderedPageBreak/>
        <w:t>confined to high-end markets; mainstreaming them into public projects would encourage broader uptake.</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2.7</w:t>
      </w:r>
      <w:r w:rsidRPr="00267BE4">
        <w:rPr>
          <w:rFonts w:ascii="Times New Roman" w:hAnsi="Times New Roman"/>
          <w:b/>
          <w:bCs/>
          <w:sz w:val="24"/>
          <w:szCs w:val="24"/>
        </w:rPr>
        <w:tab/>
        <w:t>Investment Analysis in Sustainable Energy Technologies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Investment analysis plays a crucial role in determining the economic viability of Sustainable Energy Technologies (SETs) in the construction industry. As the adoption of these technologies often involves significant upfront capital costs, stakeholders ranging from property developers and investors to public institutions—must rely on sound financial appraisal methods to justify their integration into building projects.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Key financial tools used in investment analysis include Net Present Value (NPV), Internal Rate of Return (IRR), Payback Period (PBP), and Lifecycle Cost Analysis (LCCA). These tools help compare the initial investment with future financial benefits, including savings on energy bills, maintenance reductions, and potential tax incentives.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b/>
          <w:bCs/>
          <w:sz w:val="24"/>
          <w:szCs w:val="24"/>
        </w:rPr>
        <w:t>2.7.1</w:t>
      </w:r>
      <w:r w:rsidRPr="00267BE4">
        <w:rPr>
          <w:rFonts w:ascii="Times New Roman" w:hAnsi="Times New Roman"/>
          <w:b/>
          <w:bCs/>
          <w:sz w:val="24"/>
          <w:szCs w:val="24"/>
        </w:rPr>
        <w:tab/>
        <w:t>Net Present Value (NPV):</w:t>
      </w:r>
      <w:r w:rsidRPr="00267BE4">
        <w:rPr>
          <w:rFonts w:ascii="Times New Roman" w:hAnsi="Times New Roman"/>
          <w:sz w:val="24"/>
          <w:szCs w:val="24"/>
        </w:rPr>
        <w:t xml:space="preserve"> is widely used to determine the current value of all future cash flows generated by a project, discounted back to the present. A positive NPV indicates a profitable investment. According to a study by Mahmoud and </w:t>
      </w:r>
      <w:proofErr w:type="spellStart"/>
      <w:r w:rsidRPr="00267BE4">
        <w:rPr>
          <w:rFonts w:ascii="Times New Roman" w:hAnsi="Times New Roman"/>
          <w:sz w:val="24"/>
          <w:szCs w:val="24"/>
        </w:rPr>
        <w:t>Zamel</w:t>
      </w:r>
      <w:proofErr w:type="spellEnd"/>
      <w:r w:rsidRPr="00267BE4">
        <w:rPr>
          <w:rFonts w:ascii="Times New Roman" w:hAnsi="Times New Roman"/>
          <w:sz w:val="24"/>
          <w:szCs w:val="24"/>
        </w:rPr>
        <w:t xml:space="preserve"> (2020), solar PV systems in residential buildings in sub-Saharan Africa often yield positive NPVs when long-term utility savings and government incentives are considered.</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b/>
          <w:bCs/>
          <w:sz w:val="24"/>
          <w:szCs w:val="24"/>
        </w:rPr>
        <w:t>2.7.2</w:t>
      </w:r>
      <w:r w:rsidRPr="00267BE4">
        <w:rPr>
          <w:rFonts w:ascii="Times New Roman" w:hAnsi="Times New Roman"/>
          <w:b/>
          <w:bCs/>
          <w:sz w:val="24"/>
          <w:szCs w:val="24"/>
        </w:rPr>
        <w:tab/>
        <w:t xml:space="preserve"> Internal Rate of Return (IRR):</w:t>
      </w:r>
      <w:r w:rsidRPr="00267BE4">
        <w:rPr>
          <w:rFonts w:ascii="Times New Roman" w:hAnsi="Times New Roman"/>
          <w:sz w:val="24"/>
          <w:szCs w:val="24"/>
        </w:rPr>
        <w:t xml:space="preserve"> serves as a profitability indicator, representing the discount rate at which the NPV of a project equals zero. A project is considered financially attractive when its IRR exceeds the prevailing interest or hurdle rate. Studies </w:t>
      </w:r>
      <w:r w:rsidRPr="00267BE4">
        <w:rPr>
          <w:rFonts w:ascii="Times New Roman" w:hAnsi="Times New Roman"/>
          <w:sz w:val="24"/>
          <w:szCs w:val="24"/>
        </w:rPr>
        <w:lastRenderedPageBreak/>
        <w:t>have shown that certain geothermal and solar systems in commercial buildings can yield IRRs of 8–15%, depending on location and energy pricing (Chung et al., 2018).</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b/>
          <w:bCs/>
          <w:sz w:val="24"/>
          <w:szCs w:val="24"/>
        </w:rPr>
        <w:t>2.7.3</w:t>
      </w:r>
      <w:r w:rsidRPr="00267BE4">
        <w:rPr>
          <w:rFonts w:ascii="Times New Roman" w:hAnsi="Times New Roman"/>
          <w:b/>
          <w:bCs/>
          <w:sz w:val="24"/>
          <w:szCs w:val="24"/>
        </w:rPr>
        <w:tab/>
        <w:t xml:space="preserve"> Payback Period (PBP):</w:t>
      </w:r>
      <w:r w:rsidRPr="00267BE4">
        <w:rPr>
          <w:rFonts w:ascii="Times New Roman" w:hAnsi="Times New Roman"/>
          <w:sz w:val="24"/>
          <w:szCs w:val="24"/>
        </w:rPr>
        <w:t xml:space="preserve"> although less sophisticated, is also a popular metric for decision-making. It calculates the time required for an investment to recoup its initial cost from net savings. Many investors and developers prefer technologies with shorter payback periods—typically under 10 years—to reduce financial risk. However, critics argue that PBP does not consider savings beyond the breakeven point and may undervalue long-term benefits.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b/>
          <w:bCs/>
          <w:sz w:val="24"/>
          <w:szCs w:val="24"/>
        </w:rPr>
        <w:t>2.7.4</w:t>
      </w:r>
      <w:r w:rsidRPr="00267BE4">
        <w:rPr>
          <w:rFonts w:ascii="Times New Roman" w:hAnsi="Times New Roman"/>
          <w:b/>
          <w:bCs/>
          <w:sz w:val="24"/>
          <w:szCs w:val="24"/>
        </w:rPr>
        <w:tab/>
        <w:t xml:space="preserve"> Lifecycle Cost Analysis (LCCA):</w:t>
      </w:r>
      <w:r w:rsidRPr="00267BE4">
        <w:rPr>
          <w:rFonts w:ascii="Times New Roman" w:hAnsi="Times New Roman"/>
          <w:sz w:val="24"/>
          <w:szCs w:val="24"/>
        </w:rPr>
        <w:t xml:space="preserve"> offers a comprehensive evaluation by incorporating all costs associated with a technology over its operational lifespan. This includes installation, operation, maintenance, and disposal. LCCA is especially relevant for public-sector projects where long-term cost efficiency and sustainability are prioritized over immediate returns (Fuller &amp; Petersen, 2021).</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Beyond traditional financial models, risk assessment and sensitivity analysis are increasingly used to evaluate uncertainties in energy prices, policy changes, and equipment performance. For instance, in Nigeria, currency volatility and fluctuating policy incentives pose significant risks that can alter investment outcomes. As noted by Okafor et al. (2020), incorporating sensitivity analysis into investment models can help stakeholders prepare for adverse scenarios and adjust their expectations accordingly. Furthermore, non-financial benefits such as enhanced building reputation, increased tenant demand, and alignment with sustainability standards—are increasingly factored into investment decisions. In many </w:t>
      </w:r>
      <w:r w:rsidRPr="00267BE4">
        <w:rPr>
          <w:rFonts w:ascii="Times New Roman" w:hAnsi="Times New Roman"/>
          <w:sz w:val="24"/>
          <w:szCs w:val="24"/>
        </w:rPr>
        <w:lastRenderedPageBreak/>
        <w:t>high-end commercial real estate projects, sustainable buildings command rental premiums and enjoy higher occupancy rates, which indirectly contribute to return on investment (Zhao et al., 2021).</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2.8</w:t>
      </w:r>
      <w:r w:rsidRPr="00267BE4">
        <w:rPr>
          <w:rFonts w:ascii="Times New Roman" w:hAnsi="Times New Roman"/>
          <w:b/>
          <w:bCs/>
          <w:sz w:val="24"/>
          <w:szCs w:val="24"/>
        </w:rPr>
        <w:tab/>
        <w:t>Barriers to Adoption of Sustainable Energy Technologies</w:t>
      </w:r>
    </w:p>
    <w:p w:rsidR="002A65DC" w:rsidRPr="00E263E5"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 adoption of Sustainable Energy Technologies (SETs) in the construction industry faces several significant barriers that hinder their widespread implementation. These challenges must be understood to develop effective strategies for overcoming them.</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2.8.1</w:t>
      </w:r>
      <w:r w:rsidRPr="00267BE4">
        <w:rPr>
          <w:rFonts w:ascii="Times New Roman" w:hAnsi="Times New Roman"/>
          <w:b/>
          <w:bCs/>
          <w:sz w:val="24"/>
          <w:szCs w:val="24"/>
        </w:rPr>
        <w:tab/>
        <w:t>High Initial Capital Costs</w:t>
      </w:r>
    </w:p>
    <w:p w:rsidR="002A65DC"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A predominant barrier to the adoption of SETs is the significant upfront investment required to procure and install these technologies. For instance, installing solar photovoltaic systems, geothermal heating and cooling solutions, or advanced energy-efficient materials involves capital expenditures that often exceed the budgets of typical construction projects, especially in emerging economies where financial resources are limited. Although these investments tend to yield cost savings over the building lifecycle, the initial financial burden remains a deterrent for many developers and property owners. Compounding this challenge is the scarcity of accessible, affordable financing options such as low-interest loans, grants, or subsidies tailored to renewable energy projects. Without such financial support mechanisms, the high capital costs discourage adoption and slow market growth (Oyedepo, 2018; </w:t>
      </w:r>
      <w:proofErr w:type="spellStart"/>
      <w:r w:rsidRPr="00267BE4">
        <w:rPr>
          <w:rFonts w:ascii="Times New Roman" w:hAnsi="Times New Roman"/>
          <w:sz w:val="24"/>
          <w:szCs w:val="24"/>
        </w:rPr>
        <w:t>Emodi</w:t>
      </w:r>
      <w:proofErr w:type="spellEnd"/>
      <w:r w:rsidRPr="00267BE4">
        <w:rPr>
          <w:rFonts w:ascii="Times New Roman" w:hAnsi="Times New Roman"/>
          <w:sz w:val="24"/>
          <w:szCs w:val="24"/>
        </w:rPr>
        <w:t xml:space="preserve"> et al., 2022)</w:t>
      </w:r>
      <w:r w:rsidR="003C3685">
        <w:rPr>
          <w:rFonts w:ascii="Times New Roman" w:hAnsi="Times New Roman"/>
          <w:sz w:val="24"/>
          <w:szCs w:val="24"/>
        </w:rPr>
        <w:t>.</w:t>
      </w:r>
    </w:p>
    <w:p w:rsidR="003C3685" w:rsidRDefault="003C3685" w:rsidP="002A65DC">
      <w:pPr>
        <w:spacing w:after="0" w:line="480" w:lineRule="auto"/>
        <w:jc w:val="both"/>
        <w:rPr>
          <w:rFonts w:ascii="Times New Roman" w:hAnsi="Times New Roman"/>
          <w:sz w:val="24"/>
          <w:szCs w:val="24"/>
        </w:rPr>
      </w:pPr>
    </w:p>
    <w:p w:rsidR="003C3685" w:rsidRPr="00267BE4" w:rsidRDefault="003C3685" w:rsidP="002A65DC">
      <w:pPr>
        <w:spacing w:after="0" w:line="480" w:lineRule="auto"/>
        <w:jc w:val="both"/>
        <w:rPr>
          <w:rFonts w:ascii="Times New Roman" w:hAnsi="Times New Roman"/>
          <w:sz w:val="24"/>
          <w:szCs w:val="24"/>
        </w:rPr>
      </w:pP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lastRenderedPageBreak/>
        <w:t>2.8.2</w:t>
      </w:r>
      <w:r w:rsidRPr="00267BE4">
        <w:rPr>
          <w:rFonts w:ascii="Times New Roman" w:hAnsi="Times New Roman"/>
          <w:b/>
          <w:bCs/>
          <w:sz w:val="24"/>
          <w:szCs w:val="24"/>
        </w:rPr>
        <w:tab/>
        <w:t>Technical Challenges and Limited Skilled Workforce</w:t>
      </w:r>
    </w:p>
    <w:p w:rsidR="002A65DC"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 adoption of SETs requires not only access to technology but also adequate technical expertise for their design, installation, and ongoing maintenance. In many developing countries, there is a shortage of engineers, technicians, and construction professionals trained in sustainable energy technologies. This skills gap leads to improperly designed systems, inefficient installations, or poor maintenance practices that compromise performance and lifespan. Consequently, building owners may experience suboptimal energy savings, system failures, or higher operating costs, eroding confidence in these technologies. Furthermore, inconsistent infrastructure, such as unreliable electricity grids and intermittent energy supply, exacerbates technical risks, making the deployment of SETs more complex and uncertain (Akinyele &amp; Rayudu, 2016; Adewuyi et al., 2017).</w:t>
      </w:r>
    </w:p>
    <w:p w:rsidR="002A65DC" w:rsidRPr="00172B60" w:rsidRDefault="002A65DC" w:rsidP="002A65DC">
      <w:pPr>
        <w:spacing w:after="0" w:line="480" w:lineRule="auto"/>
        <w:jc w:val="both"/>
        <w:rPr>
          <w:rFonts w:ascii="Times New Roman" w:hAnsi="Times New Roman"/>
          <w:sz w:val="24"/>
          <w:szCs w:val="24"/>
        </w:rPr>
      </w:pPr>
      <w:r w:rsidRPr="00267BE4">
        <w:rPr>
          <w:rFonts w:ascii="Times New Roman" w:hAnsi="Times New Roman"/>
          <w:b/>
          <w:bCs/>
          <w:sz w:val="24"/>
          <w:szCs w:val="24"/>
        </w:rPr>
        <w:t>2.8.3</w:t>
      </w:r>
      <w:r w:rsidRPr="00267BE4">
        <w:rPr>
          <w:rFonts w:ascii="Times New Roman" w:hAnsi="Times New Roman"/>
          <w:b/>
          <w:bCs/>
          <w:sz w:val="24"/>
          <w:szCs w:val="24"/>
        </w:rPr>
        <w:tab/>
        <w:t>Institutional and Regulatory Barriers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While many countries, including Nigeria, have formulated policies aimed at promoting renewable energy, the effectiveness of these policies is often undermined by weak institutional frameworks and inadequate regulatory enforcement. For example, renewable energy targets may be set at the national level, but insufficient coordination between government agencies, lack of transparency in policy implementation, and regulatory bottlenecks create uncertainty for investors and project developers. The absence of clear standards, lengthy approval processes, and inconsistent application of regulations increase the risks and costs associated with investing in SETs. This institutional fragility reduces </w:t>
      </w:r>
      <w:r w:rsidRPr="00267BE4">
        <w:rPr>
          <w:rFonts w:ascii="Times New Roman" w:hAnsi="Times New Roman"/>
          <w:sz w:val="24"/>
          <w:szCs w:val="24"/>
        </w:rPr>
        <w:lastRenderedPageBreak/>
        <w:t>market confidence and slows the pace of sustainable energy adoption in the construction sector (Akinola et al., 2020; Oyedepo, 2018).</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2.8.4</w:t>
      </w:r>
      <w:r w:rsidRPr="00267BE4">
        <w:rPr>
          <w:rFonts w:ascii="Times New Roman" w:hAnsi="Times New Roman"/>
          <w:b/>
          <w:bCs/>
          <w:sz w:val="24"/>
          <w:szCs w:val="24"/>
        </w:rPr>
        <w:tab/>
        <w:t>Lack of Awareness and Information Deficits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Many stakeholders within the construction industry including contractors, architects, developers, and end-users lack sufficient knowledge about the potential benefits, operational requirements, and long-term savings associated with sustainable energy technologies. This informational gap fuels misconceptions and skepticism regarding the reliability and cost-effectiveness of these technologies. Without targeted education, training programs, and awareness campaigns, resistance to change persists, and decision-makers remain inclined toward traditional, less sustainable building practices. This lack of awareness limits demand and inhibits the diffusion of SETs across the construction market (Iro et al., 2021; </w:t>
      </w:r>
      <w:proofErr w:type="spellStart"/>
      <w:r w:rsidRPr="00267BE4">
        <w:rPr>
          <w:rFonts w:ascii="Times New Roman" w:hAnsi="Times New Roman"/>
          <w:sz w:val="24"/>
          <w:szCs w:val="24"/>
        </w:rPr>
        <w:t>Olawumi</w:t>
      </w:r>
      <w:proofErr w:type="spellEnd"/>
      <w:r w:rsidRPr="00267BE4">
        <w:rPr>
          <w:rFonts w:ascii="Times New Roman" w:hAnsi="Times New Roman"/>
          <w:sz w:val="24"/>
          <w:szCs w:val="24"/>
        </w:rPr>
        <w:t xml:space="preserve"> et al., 2019).</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2.8.5</w:t>
      </w:r>
      <w:r w:rsidRPr="00267BE4">
        <w:rPr>
          <w:rFonts w:ascii="Times New Roman" w:hAnsi="Times New Roman"/>
          <w:b/>
          <w:bCs/>
          <w:sz w:val="24"/>
          <w:szCs w:val="24"/>
        </w:rPr>
        <w:tab/>
        <w:t>Economic Volatility and Market Instability</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The economic environment in many developing countries is characterized by instability, including currency fluctuations, inflationary pressures, and unpredictable energy tariffs. Such volatility complicates financial planning and undermines the ability to accurately forecast the returns on investment in SETs. For example, sudden depreciation of the local currency can significantly increase the cost of imported renewable energy equipment and components, while inconsistent electricity tariffs affect the expected cost savings from energy-efficient systems. This economic uncertainty discourages private sector </w:t>
      </w:r>
      <w:r w:rsidRPr="00267BE4">
        <w:rPr>
          <w:rFonts w:ascii="Times New Roman" w:hAnsi="Times New Roman"/>
          <w:sz w:val="24"/>
          <w:szCs w:val="24"/>
        </w:rPr>
        <w:lastRenderedPageBreak/>
        <w:t>participation and reduces investor confidence in long-term sustainable energy projects (</w:t>
      </w:r>
      <w:proofErr w:type="spellStart"/>
      <w:r w:rsidRPr="00267BE4">
        <w:rPr>
          <w:rFonts w:ascii="Times New Roman" w:hAnsi="Times New Roman"/>
          <w:sz w:val="24"/>
          <w:szCs w:val="24"/>
        </w:rPr>
        <w:t>Emodi</w:t>
      </w:r>
      <w:proofErr w:type="spellEnd"/>
      <w:r w:rsidRPr="00267BE4">
        <w:rPr>
          <w:rFonts w:ascii="Times New Roman" w:hAnsi="Times New Roman"/>
          <w:sz w:val="24"/>
          <w:szCs w:val="24"/>
        </w:rPr>
        <w:t xml:space="preserve"> et al., 2022; Oyedepo, 2018).</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2.8.6</w:t>
      </w:r>
      <w:r w:rsidRPr="00267BE4">
        <w:rPr>
          <w:rFonts w:ascii="Times New Roman" w:hAnsi="Times New Roman"/>
          <w:b/>
          <w:bCs/>
          <w:sz w:val="24"/>
          <w:szCs w:val="24"/>
        </w:rPr>
        <w:tab/>
        <w:t>Cultural Resistance and Entrenched Practices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Cultural factors also influence the adoption of new technologies. Traditional construction methods and materials are often deeply embedded in the practices of builders and developers. This cultural inertia manifests as resistance to adopting unfamiliar or innovative sustainable technologies. Concerns about perceived risks, unfamiliarity with new materials or systems, and fear of potential failures cause reluctance among stakeholders. Overcoming such resistance requires not only technical solutions but also efforts to change mindsets through education, demonstration projects, and successful case studies (</w:t>
      </w:r>
      <w:proofErr w:type="spellStart"/>
      <w:r w:rsidRPr="00267BE4">
        <w:rPr>
          <w:rFonts w:ascii="Times New Roman" w:hAnsi="Times New Roman"/>
          <w:sz w:val="24"/>
          <w:szCs w:val="24"/>
        </w:rPr>
        <w:t>Olawumi</w:t>
      </w:r>
      <w:proofErr w:type="spellEnd"/>
      <w:r w:rsidRPr="00267BE4">
        <w:rPr>
          <w:rFonts w:ascii="Times New Roman" w:hAnsi="Times New Roman"/>
          <w:sz w:val="24"/>
          <w:szCs w:val="24"/>
        </w:rPr>
        <w:t xml:space="preserve"> et al., 2019).</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2.8.7</w:t>
      </w:r>
      <w:r w:rsidRPr="00267BE4">
        <w:rPr>
          <w:rFonts w:ascii="Times New Roman" w:hAnsi="Times New Roman"/>
          <w:b/>
          <w:bCs/>
          <w:sz w:val="24"/>
          <w:szCs w:val="24"/>
        </w:rPr>
        <w:tab/>
        <w:t>Inadequate Infrastructure and Supply Chain Limitations</w:t>
      </w:r>
    </w:p>
    <w:p w:rsidR="002A65DC"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 effectiveness of sustainable energy technologies relies heavily on supporting infrastructure and supply chains. In many regions, particularly rural and peri-urban areas, inadequate electricity grids, poor transportation networks, and limited access to quality renewable energy components hinder the deployment of SETs. Without reliable infrastructure, installation and maintenance become challenging, increasing costs and risks. Moreover, the limited availability of certified products and service providers restricts options for developers and further deters investment (Adewuyi et al., 2017; Akinyele &amp; Rayudu, 2016).</w:t>
      </w:r>
    </w:p>
    <w:p w:rsidR="003C3685" w:rsidRPr="00172B60" w:rsidRDefault="003C3685" w:rsidP="002A65DC">
      <w:pPr>
        <w:spacing w:after="0" w:line="480" w:lineRule="auto"/>
        <w:jc w:val="both"/>
        <w:rPr>
          <w:rFonts w:ascii="Times New Roman" w:hAnsi="Times New Roman"/>
          <w:sz w:val="24"/>
          <w:szCs w:val="24"/>
        </w:rPr>
      </w:pP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lastRenderedPageBreak/>
        <w:t>2.9</w:t>
      </w:r>
      <w:r w:rsidRPr="00267BE4">
        <w:rPr>
          <w:rFonts w:ascii="Times New Roman" w:hAnsi="Times New Roman"/>
          <w:b/>
          <w:bCs/>
          <w:sz w:val="24"/>
          <w:szCs w:val="24"/>
        </w:rPr>
        <w:tab/>
        <w:t>Benefits of Sustainable Energy Technologies in Construction</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Despite the challenges associated with the adoption of sustainable energy technologies (SETs), the benefits they offer to the construction sector and the broader built environment are profound and multifaceted. These advantages span environmental, economic, and social dimensions and contribute significantly to the goals of sustainable development, energy security, and climate resilience. Understanding these benefits is vital in justifying the investment and in encouraging stakeholders to embrace more sustainable construction practices.</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2.9.1</w:t>
      </w:r>
      <w:r w:rsidRPr="00267BE4">
        <w:rPr>
          <w:rFonts w:ascii="Times New Roman" w:hAnsi="Times New Roman"/>
          <w:b/>
          <w:bCs/>
          <w:sz w:val="24"/>
          <w:szCs w:val="24"/>
        </w:rPr>
        <w:tab/>
        <w:t>Environmental Benefits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One of the most compelling advantages of integrating SETs in construction is the significant reduction in environmental impact. Technologies such as solar photovoltaic systems, wind turbines, geothermal heating and cooling, and energy-efficient materials drastically lower greenhouse gas emissions associated with building operations. According to Eberhard et al. (2019), buildings account for approximately 40% of global energy-related carbon emissions, but the adoption of renewable energy sources and efficient building designs can reduce this footprint by over 50%. By using SETs, buildings can minimize their reliance on fossil fuels and transition toward a low-carbon future, thereby contributing to global climate change mitigation goals and environmental conservation.</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2.9.2</w:t>
      </w:r>
      <w:r w:rsidRPr="00267BE4">
        <w:rPr>
          <w:rFonts w:ascii="Times New Roman" w:hAnsi="Times New Roman"/>
          <w:b/>
          <w:bCs/>
          <w:sz w:val="24"/>
          <w:szCs w:val="24"/>
        </w:rPr>
        <w:tab/>
        <w:t>Economic Benefits and Cost Savings</w:t>
      </w:r>
    </w:p>
    <w:p w:rsidR="002A65DC" w:rsidRPr="00E263E5"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Although the initial capital outlay for SETs can be high, the long-term economic benefits often outweigh the upfront costs. Sustainable energy solutions reduce operational costs by </w:t>
      </w:r>
      <w:r w:rsidRPr="00267BE4">
        <w:rPr>
          <w:rFonts w:ascii="Times New Roman" w:hAnsi="Times New Roman"/>
          <w:sz w:val="24"/>
          <w:szCs w:val="24"/>
        </w:rPr>
        <w:lastRenderedPageBreak/>
        <w:t>lowering utility bills through decreased electricity and heating demands. Life cycle cost analyses have shown that buildings equipped with solar energy systems or advanced insulation techniques often achieve payback within a few years and generate savings for decades (Oladokun &amp; Adebayo, 2019). In addition, SETs enhance the economic value of buildings by improving their energy performance ratings, making them more attractive in the real estate market. Green-certified buildings, for instance, often command higher rents and resale values, providing financial incentives for property owners (Olanrewaju et al., 2021).</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2.9.3</w:t>
      </w:r>
      <w:r w:rsidRPr="00267BE4">
        <w:rPr>
          <w:rFonts w:ascii="Times New Roman" w:hAnsi="Times New Roman"/>
          <w:b/>
          <w:bCs/>
          <w:sz w:val="24"/>
          <w:szCs w:val="24"/>
        </w:rPr>
        <w:tab/>
        <w:t>Enhanced Energy Efficiency and Performance</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Sustainable energy Technologies (SETs) contribute to superior energy efficiency in building systems. For example, technologies such as smart HVAC systems, LED lighting, automated energy management, and passive solar design reduce energy consumption while maintaining occupant comfort. These innovations help create high-performing buildings that adapt to changing climatic conditions and reduce peak energy loads. As noted by Agyekum et al. (2022), energy-efficient buildings equipped with renewable energy technologies can achieve energy savings of up to 60% compared to conventional structures. This efficiency translates not only into reduced energy costs but also into lower resource consumption and improved environmental sustainability.</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2.9.4</w:t>
      </w:r>
      <w:r w:rsidRPr="00267BE4">
        <w:rPr>
          <w:rFonts w:ascii="Times New Roman" w:hAnsi="Times New Roman"/>
          <w:b/>
          <w:bCs/>
          <w:sz w:val="24"/>
          <w:szCs w:val="24"/>
        </w:rPr>
        <w:tab/>
        <w:t>Increased Building Resilience and Reliability</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Sustainable energy technologies enhance the resilience of buildings, particularly in regions prone to power outages or extreme weather events. Solar panels combined with battery </w:t>
      </w:r>
      <w:r w:rsidRPr="00267BE4">
        <w:rPr>
          <w:rFonts w:ascii="Times New Roman" w:hAnsi="Times New Roman"/>
          <w:sz w:val="24"/>
          <w:szCs w:val="24"/>
        </w:rPr>
        <w:lastRenderedPageBreak/>
        <w:t>storage systems, for instance, provide buildings with a decentralized and reliable source of electricity even during grid failures. Geothermal and passive cooling technologies offer consistent thermal comfort regardless of external conditions. These features are particularly beneficial in developing countries like Nigeria, where grid reliability is a concern. Improved building resilience ensures continuity of operations, enhances occupant safety, and reduces dependence on unreliable energy infrastructure (Okonkwo et al., 2020).</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2.9.5</w:t>
      </w:r>
      <w:r w:rsidRPr="00267BE4">
        <w:rPr>
          <w:rFonts w:ascii="Times New Roman" w:hAnsi="Times New Roman"/>
          <w:b/>
          <w:bCs/>
          <w:sz w:val="24"/>
          <w:szCs w:val="24"/>
        </w:rPr>
        <w:tab/>
        <w:t>Social and Health Benefits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Buildings that utilize SETs often provide healthier indoor environments for occupants. For instance, natural lighting, improved air quality, and stable indoor temperatures contribute to enhanced well-being, productivity, and reduced health risks. Sustainable construction practices also reduce exposure to harmful emissions and toxic materials. In communities, the deployment of renewable energy solutions can improve access to electricity, enhance educational outcomes, and support local economic development. Furthermore, promoting green technologies creates employment opportunities in manufacturing, installation, maintenance, and consultancy services (Umar et al., 2021).</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2.9.6</w:t>
      </w:r>
      <w:r w:rsidRPr="00267BE4">
        <w:rPr>
          <w:rFonts w:ascii="Times New Roman" w:hAnsi="Times New Roman"/>
          <w:b/>
          <w:bCs/>
          <w:sz w:val="24"/>
          <w:szCs w:val="24"/>
        </w:rPr>
        <w:tab/>
        <w:t>Compliance with Regulations and International Standards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Governments and international organizations are increasingly enforcing regulations aimed at improving energy efficiency and reducing emissions in the building sector. Adoption of SETs enables compliance with these regulations and avoids penalties or additional retrofit costs in the future. In Nigeria, policies such as the National Renewable Energy and Energy Efficiency Policy (NREEEP) encourage developers to embrace sustainable construction </w:t>
      </w:r>
      <w:r w:rsidRPr="00267BE4">
        <w:rPr>
          <w:rFonts w:ascii="Times New Roman" w:hAnsi="Times New Roman"/>
          <w:sz w:val="24"/>
          <w:szCs w:val="24"/>
        </w:rPr>
        <w:lastRenderedPageBreak/>
        <w:t>methods. Projects that align with such standards are more likely to secure government support, incentives, or international funding (Akinola et al., 2020).</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2.9.7</w:t>
      </w:r>
      <w:r w:rsidRPr="00267BE4">
        <w:rPr>
          <w:rFonts w:ascii="Times New Roman" w:hAnsi="Times New Roman"/>
          <w:b/>
          <w:bCs/>
          <w:sz w:val="24"/>
          <w:szCs w:val="24"/>
        </w:rPr>
        <w:tab/>
        <w:t>Contribution to Sustainable Development Goals (SDGs)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Integrating SETs into construction aligns directly with several United Nations Sustainable Development Goals, including Goal 7 (Affordable and Clean Energy), Goal 9 (Industry, Innovation and Infrastructure), Goal 11 (Sustainable Cities and Communities), and Goal 13 (Climate Action). By reducing environmental impact, enhancing energy access, and promoting innovation, the construction industry becomes a key driver of national and global sustainability objectives. The adoption of SETs thus goes beyond financial and technical gains to contribute meaningfully to societal well-being and global development agendas (UN-Habitat, 2021).</w:t>
      </w:r>
    </w:p>
    <w:p w:rsidR="002A65DC" w:rsidRPr="00267BE4" w:rsidRDefault="002A65DC" w:rsidP="002A65DC">
      <w:pPr>
        <w:spacing w:after="0" w:line="480" w:lineRule="auto"/>
        <w:rPr>
          <w:rFonts w:ascii="Times New Roman" w:hAnsi="Times New Roman"/>
          <w:b/>
          <w:bCs/>
          <w:sz w:val="24"/>
          <w:szCs w:val="24"/>
        </w:rPr>
      </w:pPr>
    </w:p>
    <w:p w:rsidR="002A65DC" w:rsidRDefault="002A65DC" w:rsidP="002A65DC">
      <w:pPr>
        <w:spacing w:after="0" w:line="480" w:lineRule="auto"/>
        <w:jc w:val="center"/>
        <w:rPr>
          <w:rFonts w:ascii="Times New Roman" w:hAnsi="Times New Roman"/>
          <w:b/>
          <w:bCs/>
          <w:sz w:val="24"/>
          <w:szCs w:val="24"/>
        </w:rPr>
      </w:pPr>
    </w:p>
    <w:p w:rsidR="002A65DC" w:rsidRDefault="002A65DC" w:rsidP="002A65DC">
      <w:pPr>
        <w:spacing w:after="0" w:line="480" w:lineRule="auto"/>
        <w:jc w:val="center"/>
        <w:rPr>
          <w:rFonts w:ascii="Times New Roman" w:hAnsi="Times New Roman"/>
          <w:b/>
          <w:bCs/>
          <w:sz w:val="24"/>
          <w:szCs w:val="24"/>
        </w:rPr>
      </w:pPr>
    </w:p>
    <w:p w:rsidR="003C3685" w:rsidRDefault="003C3685" w:rsidP="002A65DC">
      <w:pPr>
        <w:spacing w:after="0" w:line="480" w:lineRule="auto"/>
        <w:jc w:val="center"/>
        <w:rPr>
          <w:rFonts w:ascii="Times New Roman" w:hAnsi="Times New Roman"/>
          <w:b/>
          <w:bCs/>
          <w:sz w:val="24"/>
          <w:szCs w:val="24"/>
        </w:rPr>
      </w:pPr>
    </w:p>
    <w:p w:rsidR="003C3685" w:rsidRDefault="003C3685" w:rsidP="002A65DC">
      <w:pPr>
        <w:spacing w:after="0" w:line="480" w:lineRule="auto"/>
        <w:jc w:val="center"/>
        <w:rPr>
          <w:rFonts w:ascii="Times New Roman" w:hAnsi="Times New Roman"/>
          <w:b/>
          <w:bCs/>
          <w:sz w:val="24"/>
          <w:szCs w:val="24"/>
        </w:rPr>
      </w:pPr>
    </w:p>
    <w:p w:rsidR="003C3685" w:rsidRDefault="003C3685" w:rsidP="002A65DC">
      <w:pPr>
        <w:spacing w:after="0" w:line="480" w:lineRule="auto"/>
        <w:jc w:val="center"/>
        <w:rPr>
          <w:rFonts w:ascii="Times New Roman" w:hAnsi="Times New Roman"/>
          <w:b/>
          <w:bCs/>
          <w:sz w:val="24"/>
          <w:szCs w:val="24"/>
        </w:rPr>
      </w:pPr>
    </w:p>
    <w:p w:rsidR="003C3685" w:rsidRDefault="003C3685" w:rsidP="002A65DC">
      <w:pPr>
        <w:spacing w:after="0" w:line="480" w:lineRule="auto"/>
        <w:jc w:val="center"/>
        <w:rPr>
          <w:rFonts w:ascii="Times New Roman" w:hAnsi="Times New Roman"/>
          <w:b/>
          <w:bCs/>
          <w:sz w:val="24"/>
          <w:szCs w:val="24"/>
        </w:rPr>
      </w:pPr>
    </w:p>
    <w:p w:rsidR="003C3685" w:rsidRDefault="003C3685" w:rsidP="002A65DC">
      <w:pPr>
        <w:spacing w:after="0" w:line="480" w:lineRule="auto"/>
        <w:jc w:val="center"/>
        <w:rPr>
          <w:rFonts w:ascii="Times New Roman" w:hAnsi="Times New Roman"/>
          <w:b/>
          <w:bCs/>
          <w:sz w:val="24"/>
          <w:szCs w:val="24"/>
        </w:rPr>
      </w:pPr>
    </w:p>
    <w:p w:rsidR="002A65DC" w:rsidRDefault="002A65DC" w:rsidP="002A65DC">
      <w:pPr>
        <w:spacing w:after="0" w:line="480" w:lineRule="auto"/>
        <w:jc w:val="center"/>
        <w:rPr>
          <w:rFonts w:ascii="Times New Roman" w:hAnsi="Times New Roman"/>
          <w:b/>
          <w:bCs/>
          <w:sz w:val="24"/>
          <w:szCs w:val="24"/>
        </w:rPr>
      </w:pPr>
    </w:p>
    <w:p w:rsidR="002A65DC" w:rsidRDefault="002A65DC" w:rsidP="002A65DC">
      <w:pPr>
        <w:spacing w:after="0" w:line="480" w:lineRule="auto"/>
        <w:rPr>
          <w:rFonts w:ascii="Times New Roman" w:hAnsi="Times New Roman"/>
          <w:b/>
          <w:bCs/>
          <w:sz w:val="24"/>
          <w:szCs w:val="24"/>
        </w:rPr>
      </w:pPr>
    </w:p>
    <w:p w:rsidR="002A65DC" w:rsidRPr="00267BE4" w:rsidRDefault="002A65DC" w:rsidP="002A65DC">
      <w:pPr>
        <w:spacing w:after="0" w:line="480" w:lineRule="auto"/>
        <w:jc w:val="center"/>
        <w:rPr>
          <w:rFonts w:ascii="Times New Roman" w:hAnsi="Times New Roman"/>
          <w:b/>
          <w:bCs/>
          <w:sz w:val="24"/>
          <w:szCs w:val="24"/>
        </w:rPr>
      </w:pPr>
      <w:r w:rsidRPr="00267BE4">
        <w:rPr>
          <w:rFonts w:ascii="Times New Roman" w:hAnsi="Times New Roman"/>
          <w:b/>
          <w:bCs/>
          <w:sz w:val="24"/>
          <w:szCs w:val="24"/>
        </w:rPr>
        <w:lastRenderedPageBreak/>
        <w:t>CHAPTER THREE</w:t>
      </w:r>
    </w:p>
    <w:p w:rsidR="002A65DC" w:rsidRPr="00267BE4" w:rsidRDefault="002A65DC" w:rsidP="002A65DC">
      <w:pPr>
        <w:spacing w:after="0" w:line="480" w:lineRule="auto"/>
        <w:jc w:val="center"/>
        <w:rPr>
          <w:rFonts w:ascii="Times New Roman" w:hAnsi="Times New Roman"/>
          <w:b/>
          <w:bCs/>
          <w:sz w:val="24"/>
          <w:szCs w:val="24"/>
        </w:rPr>
      </w:pPr>
      <w:r w:rsidRPr="00267BE4">
        <w:rPr>
          <w:rFonts w:ascii="Times New Roman" w:hAnsi="Times New Roman"/>
          <w:b/>
          <w:bCs/>
          <w:sz w:val="24"/>
          <w:szCs w:val="24"/>
        </w:rPr>
        <w:t>RESEARCH METHODOLOGY</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3.1</w:t>
      </w:r>
      <w:r w:rsidRPr="00267BE4">
        <w:rPr>
          <w:rFonts w:ascii="Times New Roman" w:hAnsi="Times New Roman"/>
          <w:b/>
          <w:bCs/>
          <w:sz w:val="24"/>
          <w:szCs w:val="24"/>
        </w:rPr>
        <w:tab/>
        <w:t>Introduction</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This chapter explains how the research will be carried out to explore the Investment Analysis of Sustainable energy Technologies in Morden construction method. It details the approach used for the study, including the design, population, sample size, data collection methods, and data analysis. The goal is to outline the steps that will be taken to gather and analyze information, ensuring the findings are reliable and valid.</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3.2</w:t>
      </w:r>
      <w:r w:rsidRPr="00267BE4">
        <w:rPr>
          <w:rFonts w:ascii="Times New Roman" w:hAnsi="Times New Roman"/>
          <w:b/>
          <w:bCs/>
          <w:sz w:val="24"/>
          <w:szCs w:val="24"/>
        </w:rPr>
        <w:tab/>
        <w:t>Research Design</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 study employs a quantitative research design supported by survey methodology. This design allows for the collection of numerical data that can be statistically analyzed to identify trends, relationships, and patterns concerning the investment viability and adoption of sustainable energy technologies in construction projects. A structured questionnaire is the primary instrument for data collection, focusing on cost analysis, perceived benefits, and challenges of integrating Sustainable Energy Technologies (SETs) in construction.</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3.3</w:t>
      </w:r>
      <w:r w:rsidRPr="00267BE4">
        <w:rPr>
          <w:rFonts w:ascii="Times New Roman" w:hAnsi="Times New Roman"/>
          <w:b/>
          <w:bCs/>
          <w:sz w:val="24"/>
          <w:szCs w:val="24"/>
        </w:rPr>
        <w:tab/>
        <w:t>Research Population</w:t>
      </w:r>
    </w:p>
    <w:p w:rsidR="002A65DC"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 study will focus on professionals involved in the construction industry in Kwara state including: Quantity Surveyors, Architects, Civil and Electrical Engineers, Contractors, Project Developers and Facility Managers These professionals are chosen due to their direct involvement in planning, designing, implementing, and managing energy technologies in building projects.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b/>
          <w:bCs/>
          <w:sz w:val="24"/>
          <w:szCs w:val="24"/>
        </w:rPr>
        <w:lastRenderedPageBreak/>
        <w:t>3.4</w:t>
      </w:r>
      <w:r w:rsidRPr="00267BE4">
        <w:rPr>
          <w:rFonts w:ascii="Times New Roman" w:hAnsi="Times New Roman"/>
          <w:b/>
          <w:bCs/>
          <w:sz w:val="24"/>
          <w:szCs w:val="24"/>
        </w:rPr>
        <w:tab/>
        <w:t>Sampling Frame</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 sampling frame consists of registered professionals drawn from professional bodies such as:</w:t>
      </w:r>
    </w:p>
    <w:p w:rsidR="002A65DC" w:rsidRPr="00267BE4" w:rsidRDefault="002A65DC" w:rsidP="002A65DC">
      <w:pPr>
        <w:numPr>
          <w:ilvl w:val="0"/>
          <w:numId w:val="2"/>
        </w:numPr>
        <w:spacing w:after="0" w:line="480" w:lineRule="auto"/>
        <w:ind w:left="540" w:hanging="180"/>
        <w:jc w:val="both"/>
        <w:rPr>
          <w:rFonts w:ascii="Times New Roman" w:hAnsi="Times New Roman"/>
          <w:sz w:val="24"/>
          <w:szCs w:val="24"/>
        </w:rPr>
      </w:pPr>
      <w:r w:rsidRPr="00267BE4">
        <w:rPr>
          <w:rFonts w:ascii="Times New Roman" w:hAnsi="Times New Roman"/>
          <w:sz w:val="24"/>
          <w:szCs w:val="24"/>
        </w:rPr>
        <w:t>Nigerian Institute of Quantity Surveyors (NIQS)</w:t>
      </w:r>
    </w:p>
    <w:p w:rsidR="002A65DC" w:rsidRPr="00267BE4" w:rsidRDefault="002A65DC" w:rsidP="002A65DC">
      <w:pPr>
        <w:numPr>
          <w:ilvl w:val="0"/>
          <w:numId w:val="2"/>
        </w:numPr>
        <w:spacing w:after="0" w:line="480" w:lineRule="auto"/>
        <w:ind w:left="540" w:hanging="180"/>
        <w:jc w:val="both"/>
        <w:rPr>
          <w:rFonts w:ascii="Times New Roman" w:hAnsi="Times New Roman"/>
          <w:sz w:val="24"/>
          <w:szCs w:val="24"/>
        </w:rPr>
      </w:pPr>
      <w:r w:rsidRPr="00267BE4">
        <w:rPr>
          <w:rFonts w:ascii="Times New Roman" w:hAnsi="Times New Roman"/>
          <w:sz w:val="24"/>
          <w:szCs w:val="24"/>
        </w:rPr>
        <w:t>Nigerian Institute of Architects (NIA)</w:t>
      </w:r>
    </w:p>
    <w:p w:rsidR="002A65DC" w:rsidRPr="00267BE4" w:rsidRDefault="002A65DC" w:rsidP="002A65DC">
      <w:pPr>
        <w:numPr>
          <w:ilvl w:val="0"/>
          <w:numId w:val="2"/>
        </w:numPr>
        <w:spacing w:after="0" w:line="480" w:lineRule="auto"/>
        <w:ind w:left="540" w:hanging="180"/>
        <w:jc w:val="both"/>
        <w:rPr>
          <w:rFonts w:ascii="Times New Roman" w:hAnsi="Times New Roman"/>
          <w:sz w:val="24"/>
          <w:szCs w:val="24"/>
        </w:rPr>
      </w:pPr>
      <w:r w:rsidRPr="00267BE4">
        <w:rPr>
          <w:rFonts w:ascii="Times New Roman" w:hAnsi="Times New Roman"/>
          <w:sz w:val="24"/>
          <w:szCs w:val="24"/>
        </w:rPr>
        <w:t>Council for the Regulation of Engineering in Nigeria (COREN)</w:t>
      </w:r>
    </w:p>
    <w:p w:rsidR="002A65DC" w:rsidRPr="00267BE4" w:rsidRDefault="002A65DC" w:rsidP="002A65DC">
      <w:pPr>
        <w:numPr>
          <w:ilvl w:val="0"/>
          <w:numId w:val="2"/>
        </w:numPr>
        <w:spacing w:after="0" w:line="480" w:lineRule="auto"/>
        <w:ind w:left="540" w:hanging="180"/>
        <w:jc w:val="both"/>
        <w:rPr>
          <w:rFonts w:ascii="Times New Roman" w:hAnsi="Times New Roman"/>
          <w:sz w:val="24"/>
          <w:szCs w:val="24"/>
        </w:rPr>
      </w:pPr>
      <w:r w:rsidRPr="00267BE4">
        <w:rPr>
          <w:rFonts w:ascii="Times New Roman" w:hAnsi="Times New Roman"/>
          <w:sz w:val="24"/>
          <w:szCs w:val="24"/>
        </w:rPr>
        <w:t>Renewable Energy Associations in Nigeria</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Selected construction firms with experience in sustainable projects</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3.5</w:t>
      </w:r>
      <w:r w:rsidRPr="00267BE4">
        <w:rPr>
          <w:rFonts w:ascii="Times New Roman" w:hAnsi="Times New Roman"/>
          <w:b/>
          <w:bCs/>
          <w:sz w:val="24"/>
          <w:szCs w:val="24"/>
        </w:rPr>
        <w:tab/>
        <w:t>Sample Size</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The sample size refers to the number of respondents who will be included in the study the total population of professionals was estimated, and a representative sample was derived with a 95% confidence level and 5% margin of error. The study targeted a sample size of 120 respondents, ensuring statistical relevance while considering the time and resource limitations.</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3.6</w:t>
      </w:r>
      <w:r w:rsidRPr="00267BE4">
        <w:rPr>
          <w:rFonts w:ascii="Times New Roman" w:hAnsi="Times New Roman"/>
          <w:b/>
          <w:bCs/>
          <w:sz w:val="24"/>
          <w:szCs w:val="24"/>
        </w:rPr>
        <w:tab/>
        <w:t>Sampling Techniques</w:t>
      </w:r>
    </w:p>
    <w:p w:rsidR="002A65DC"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 xml:space="preserve">A purposive sampling technique was adopted to identify participants who have experience or knowledge of sustainable energy technologies and then randomly selecting people from each group. The groups will be based on professional categories, such as contractors, architects, quantity surveyor and engineers. </w:t>
      </w:r>
    </w:p>
    <w:p w:rsidR="003C3685" w:rsidRDefault="003C3685" w:rsidP="002A65DC">
      <w:pPr>
        <w:spacing w:after="0" w:line="480" w:lineRule="auto"/>
        <w:jc w:val="both"/>
        <w:rPr>
          <w:rFonts w:ascii="Times New Roman" w:hAnsi="Times New Roman"/>
          <w:sz w:val="24"/>
          <w:szCs w:val="24"/>
        </w:rPr>
      </w:pPr>
    </w:p>
    <w:p w:rsidR="003C3685" w:rsidRPr="00267BE4" w:rsidRDefault="003C3685" w:rsidP="002A65DC">
      <w:pPr>
        <w:spacing w:after="0" w:line="480" w:lineRule="auto"/>
        <w:jc w:val="both"/>
        <w:rPr>
          <w:rFonts w:ascii="Times New Roman" w:hAnsi="Times New Roman"/>
          <w:sz w:val="24"/>
          <w:szCs w:val="24"/>
        </w:rPr>
      </w:pP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lastRenderedPageBreak/>
        <w:t>3.7</w:t>
      </w:r>
      <w:r w:rsidRPr="00267BE4">
        <w:rPr>
          <w:rFonts w:ascii="Times New Roman" w:hAnsi="Times New Roman"/>
          <w:b/>
          <w:bCs/>
          <w:sz w:val="24"/>
          <w:szCs w:val="24"/>
        </w:rPr>
        <w:tab/>
        <w:t>Method of Data Collection</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Based on the objectives of this research, data was collected through a structured questionnaire designed to obtain relevant information from respondents. The questionnaire was carefully developed to cover key aspects of the study, ensuring that the data gathered was comprehensive and aligned with the research goals. This method was chosen because it allows for the collection of standardized responses, facilitating easier analysis and comparison of findings.</w:t>
      </w:r>
    </w:p>
    <w:p w:rsidR="002A65DC" w:rsidRPr="00267BE4" w:rsidRDefault="002A65DC" w:rsidP="002A65DC">
      <w:pPr>
        <w:spacing w:after="0" w:line="480" w:lineRule="auto"/>
        <w:jc w:val="both"/>
        <w:rPr>
          <w:rFonts w:ascii="Times New Roman" w:hAnsi="Times New Roman"/>
          <w:b/>
          <w:bCs/>
          <w:sz w:val="24"/>
          <w:szCs w:val="24"/>
        </w:rPr>
      </w:pPr>
      <w:r w:rsidRPr="00267BE4">
        <w:rPr>
          <w:rFonts w:ascii="Times New Roman" w:hAnsi="Times New Roman"/>
          <w:b/>
          <w:bCs/>
          <w:sz w:val="24"/>
          <w:szCs w:val="24"/>
        </w:rPr>
        <w:t>3.8</w:t>
      </w:r>
      <w:r w:rsidRPr="00267BE4">
        <w:rPr>
          <w:rFonts w:ascii="Times New Roman" w:hAnsi="Times New Roman"/>
          <w:b/>
          <w:bCs/>
          <w:sz w:val="24"/>
          <w:szCs w:val="24"/>
        </w:rPr>
        <w:tab/>
        <w:t>Method of Data Analysis</w:t>
      </w:r>
    </w:p>
    <w:p w:rsidR="002A65DC" w:rsidRPr="00267BE4" w:rsidRDefault="002A65DC" w:rsidP="002A65DC">
      <w:pPr>
        <w:spacing w:after="0" w:line="480" w:lineRule="auto"/>
        <w:jc w:val="both"/>
        <w:rPr>
          <w:rFonts w:ascii="Times New Roman" w:hAnsi="Times New Roman"/>
          <w:sz w:val="24"/>
          <w:szCs w:val="24"/>
        </w:rPr>
      </w:pPr>
      <w:r w:rsidRPr="00267BE4">
        <w:rPr>
          <w:rFonts w:ascii="Times New Roman" w:hAnsi="Times New Roman"/>
          <w:sz w:val="24"/>
          <w:szCs w:val="24"/>
        </w:rPr>
        <w:t>Descriptive analysis was employed to analyze the data using statistical tools such as the Mean Item Score (MIS) and ranking methods. The results were presented in tables and charts for better interpretation and comparison.</w:t>
      </w:r>
    </w:p>
    <w:p w:rsidR="002A65DC" w:rsidRDefault="002A65DC">
      <w:pPr>
        <w:spacing w:after="0" w:line="480" w:lineRule="auto"/>
        <w:jc w:val="center"/>
        <w:rPr>
          <w:rFonts w:ascii="Times New Roman" w:hAnsi="Times New Roman"/>
          <w:b/>
          <w:bCs/>
          <w:caps/>
          <w:sz w:val="26"/>
          <w:szCs w:val="26"/>
        </w:rPr>
      </w:pPr>
    </w:p>
    <w:p w:rsidR="002A65DC" w:rsidRDefault="002A65DC">
      <w:pPr>
        <w:spacing w:after="0" w:line="480" w:lineRule="auto"/>
        <w:jc w:val="center"/>
        <w:rPr>
          <w:rFonts w:ascii="Times New Roman" w:hAnsi="Times New Roman"/>
          <w:b/>
          <w:bCs/>
          <w:caps/>
          <w:sz w:val="26"/>
          <w:szCs w:val="26"/>
        </w:rPr>
      </w:pPr>
    </w:p>
    <w:p w:rsidR="002A65DC" w:rsidRDefault="002A65DC">
      <w:pPr>
        <w:spacing w:after="0" w:line="480" w:lineRule="auto"/>
        <w:jc w:val="center"/>
        <w:rPr>
          <w:rFonts w:ascii="Times New Roman" w:hAnsi="Times New Roman"/>
          <w:b/>
          <w:bCs/>
          <w:caps/>
          <w:sz w:val="26"/>
          <w:szCs w:val="26"/>
        </w:rPr>
      </w:pPr>
    </w:p>
    <w:p w:rsidR="002A65DC" w:rsidRDefault="002A65DC">
      <w:pPr>
        <w:spacing w:after="0" w:line="480" w:lineRule="auto"/>
        <w:jc w:val="center"/>
        <w:rPr>
          <w:rFonts w:ascii="Times New Roman" w:hAnsi="Times New Roman"/>
          <w:b/>
          <w:bCs/>
          <w:caps/>
          <w:sz w:val="26"/>
          <w:szCs w:val="26"/>
        </w:rPr>
      </w:pPr>
    </w:p>
    <w:p w:rsidR="002A65DC" w:rsidRDefault="002A65DC">
      <w:pPr>
        <w:spacing w:after="0" w:line="480" w:lineRule="auto"/>
        <w:jc w:val="center"/>
        <w:rPr>
          <w:rFonts w:ascii="Times New Roman" w:hAnsi="Times New Roman"/>
          <w:b/>
          <w:bCs/>
          <w:caps/>
          <w:sz w:val="26"/>
          <w:szCs w:val="26"/>
        </w:rPr>
      </w:pPr>
    </w:p>
    <w:p w:rsidR="002A65DC" w:rsidRDefault="002A65DC">
      <w:pPr>
        <w:spacing w:after="0" w:line="480" w:lineRule="auto"/>
        <w:jc w:val="center"/>
        <w:rPr>
          <w:rFonts w:ascii="Times New Roman" w:hAnsi="Times New Roman"/>
          <w:b/>
          <w:bCs/>
          <w:caps/>
          <w:sz w:val="26"/>
          <w:szCs w:val="26"/>
        </w:rPr>
      </w:pPr>
    </w:p>
    <w:p w:rsidR="002A65DC" w:rsidRDefault="002A65DC">
      <w:pPr>
        <w:spacing w:after="0" w:line="480" w:lineRule="auto"/>
        <w:jc w:val="center"/>
        <w:rPr>
          <w:rFonts w:ascii="Times New Roman" w:hAnsi="Times New Roman"/>
          <w:b/>
          <w:bCs/>
          <w:caps/>
          <w:sz w:val="26"/>
          <w:szCs w:val="26"/>
        </w:rPr>
      </w:pPr>
    </w:p>
    <w:p w:rsidR="002A65DC" w:rsidRDefault="002A65DC">
      <w:pPr>
        <w:spacing w:after="0" w:line="480" w:lineRule="auto"/>
        <w:jc w:val="center"/>
        <w:rPr>
          <w:rFonts w:ascii="Times New Roman" w:hAnsi="Times New Roman"/>
          <w:b/>
          <w:bCs/>
          <w:caps/>
          <w:sz w:val="26"/>
          <w:szCs w:val="26"/>
        </w:rPr>
      </w:pPr>
    </w:p>
    <w:p w:rsidR="002A65DC" w:rsidRDefault="002A65DC" w:rsidP="003C3685">
      <w:pPr>
        <w:spacing w:after="0" w:line="480" w:lineRule="auto"/>
        <w:rPr>
          <w:rFonts w:ascii="Times New Roman" w:hAnsi="Times New Roman"/>
          <w:b/>
          <w:bCs/>
          <w:caps/>
          <w:sz w:val="26"/>
          <w:szCs w:val="26"/>
        </w:rPr>
      </w:pPr>
    </w:p>
    <w:p w:rsidR="006D149C" w:rsidRPr="002A65DC" w:rsidRDefault="00000000">
      <w:pPr>
        <w:spacing w:after="0" w:line="480" w:lineRule="auto"/>
        <w:jc w:val="center"/>
        <w:rPr>
          <w:rFonts w:ascii="Times New Roman" w:hAnsi="Times New Roman"/>
          <w:b/>
          <w:bCs/>
          <w:caps/>
          <w:sz w:val="24"/>
          <w:szCs w:val="24"/>
        </w:rPr>
      </w:pPr>
      <w:r w:rsidRPr="002A65DC">
        <w:rPr>
          <w:rFonts w:ascii="Times New Roman" w:hAnsi="Times New Roman"/>
          <w:b/>
          <w:bCs/>
          <w:caps/>
          <w:sz w:val="24"/>
          <w:szCs w:val="24"/>
        </w:rPr>
        <w:lastRenderedPageBreak/>
        <w:t>CHAPTER FOUR</w:t>
      </w:r>
    </w:p>
    <w:p w:rsidR="006D149C" w:rsidRPr="002A65DC" w:rsidRDefault="00000000">
      <w:pPr>
        <w:spacing w:after="0" w:line="480" w:lineRule="auto"/>
        <w:jc w:val="center"/>
        <w:rPr>
          <w:rFonts w:ascii="Times New Roman" w:hAnsi="Times New Roman"/>
          <w:b/>
          <w:bCs/>
          <w:caps/>
          <w:sz w:val="24"/>
          <w:szCs w:val="24"/>
        </w:rPr>
      </w:pPr>
      <w:r w:rsidRPr="002A65DC">
        <w:rPr>
          <w:rFonts w:ascii="Times New Roman" w:hAnsi="Times New Roman"/>
          <w:b/>
          <w:bCs/>
          <w:caps/>
          <w:sz w:val="24"/>
          <w:szCs w:val="24"/>
        </w:rPr>
        <w:t>DATA PRESENTATION AND ANALYSIS</w:t>
      </w: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4.0</w:t>
      </w:r>
      <w:r w:rsidRPr="002A65DC">
        <w:rPr>
          <w:rFonts w:ascii="Times New Roman" w:hAnsi="Times New Roman"/>
          <w:b/>
          <w:bCs/>
          <w:sz w:val="24"/>
          <w:szCs w:val="24"/>
        </w:rPr>
        <w:tab/>
        <w:t>Introduction</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This chapter presents the data collected from the field survey and analyses the responses to assess the Investment Analysis of sustainable energy technologies in modern construction methods in Ilorin,</w:t>
      </w:r>
      <w:r w:rsidR="002A65DC">
        <w:rPr>
          <w:rFonts w:ascii="Times New Roman" w:hAnsi="Times New Roman"/>
          <w:sz w:val="24"/>
          <w:szCs w:val="24"/>
        </w:rPr>
        <w:t xml:space="preserve"> </w:t>
      </w:r>
      <w:r w:rsidRPr="002A65DC">
        <w:rPr>
          <w:rFonts w:ascii="Times New Roman" w:hAnsi="Times New Roman"/>
          <w:sz w:val="24"/>
          <w:szCs w:val="24"/>
        </w:rPr>
        <w:t xml:space="preserve">Kwara state. The chapter is structured in line with the research objectives, which include identifying and classification of sustainable energy technologies in use, assessment of initial capital and lifecycle cost implication, Evaluating </w:t>
      </w:r>
      <w:r w:rsidR="002A65DC" w:rsidRPr="002A65DC">
        <w:rPr>
          <w:rFonts w:ascii="Times New Roman" w:hAnsi="Times New Roman"/>
          <w:sz w:val="24"/>
          <w:szCs w:val="24"/>
        </w:rPr>
        <w:t xml:space="preserve">Return </w:t>
      </w:r>
      <w:r w:rsidRPr="002A65DC">
        <w:rPr>
          <w:rFonts w:ascii="Times New Roman" w:hAnsi="Times New Roman"/>
          <w:sz w:val="24"/>
          <w:szCs w:val="24"/>
        </w:rPr>
        <w:t xml:space="preserve">on </w:t>
      </w:r>
      <w:r w:rsidR="002A65DC" w:rsidRPr="002A65DC">
        <w:rPr>
          <w:rFonts w:ascii="Times New Roman" w:hAnsi="Times New Roman"/>
          <w:sz w:val="24"/>
          <w:szCs w:val="24"/>
        </w:rPr>
        <w:t xml:space="preserve">Investment </w:t>
      </w:r>
      <w:r w:rsidRPr="002A65DC">
        <w:rPr>
          <w:rFonts w:ascii="Times New Roman" w:hAnsi="Times New Roman"/>
          <w:sz w:val="24"/>
          <w:szCs w:val="24"/>
        </w:rPr>
        <w:t>(ROI), energy savings and economic benefits, and to propose strategic measures for enhancing investment in Sustainable energy technologies. Data were gathered through structured questionnaires administered to construction professionals, project developers, and facility managers involved in modern building projects integrating sustainable energy solutions.</w:t>
      </w: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4.1</w:t>
      </w:r>
      <w:r w:rsidRPr="002A65DC">
        <w:rPr>
          <w:rFonts w:ascii="Times New Roman" w:hAnsi="Times New Roman"/>
          <w:b/>
          <w:bCs/>
          <w:sz w:val="24"/>
          <w:szCs w:val="24"/>
        </w:rPr>
        <w:tab/>
        <w:t>Presentation of Data</w:t>
      </w: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4.1.1</w:t>
      </w:r>
      <w:r w:rsidRPr="002A65DC">
        <w:rPr>
          <w:rFonts w:ascii="Times New Roman" w:hAnsi="Times New Roman"/>
          <w:b/>
          <w:bCs/>
          <w:sz w:val="24"/>
          <w:szCs w:val="24"/>
        </w:rPr>
        <w:tab/>
        <w:t>Demographic Information of Respondents</w:t>
      </w:r>
    </w:p>
    <w:p w:rsidR="00915F4F"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The demographic analysis reveals the background of the respondents in terms of gender, age, profession, years of experience, academic qualification, and involvement in sustainable construction projects.</w:t>
      </w:r>
    </w:p>
    <w:p w:rsidR="002A65DC" w:rsidRDefault="002A65DC">
      <w:pPr>
        <w:spacing w:after="0" w:line="480" w:lineRule="auto"/>
        <w:jc w:val="both"/>
        <w:rPr>
          <w:rFonts w:ascii="Times New Roman" w:hAnsi="Times New Roman"/>
          <w:b/>
          <w:bCs/>
          <w:sz w:val="24"/>
          <w:szCs w:val="24"/>
        </w:rPr>
      </w:pPr>
    </w:p>
    <w:p w:rsidR="002A65DC" w:rsidRDefault="002A65DC">
      <w:pPr>
        <w:spacing w:after="0" w:line="480" w:lineRule="auto"/>
        <w:jc w:val="both"/>
        <w:rPr>
          <w:rFonts w:ascii="Times New Roman" w:hAnsi="Times New Roman"/>
          <w:b/>
          <w:bCs/>
          <w:sz w:val="24"/>
          <w:szCs w:val="24"/>
        </w:rPr>
      </w:pPr>
    </w:p>
    <w:p w:rsidR="002A65DC" w:rsidRDefault="002A65DC">
      <w:pPr>
        <w:spacing w:after="0" w:line="480" w:lineRule="auto"/>
        <w:jc w:val="both"/>
        <w:rPr>
          <w:rFonts w:ascii="Times New Roman" w:hAnsi="Times New Roman"/>
          <w:b/>
          <w:bCs/>
          <w:sz w:val="24"/>
          <w:szCs w:val="24"/>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lastRenderedPageBreak/>
        <w:t>4.1.1</w:t>
      </w:r>
      <w:r w:rsidRPr="002A65DC">
        <w:rPr>
          <w:rFonts w:ascii="Times New Roman" w:hAnsi="Times New Roman"/>
          <w:b/>
          <w:bCs/>
          <w:sz w:val="24"/>
          <w:szCs w:val="24"/>
        </w:rPr>
        <w:tab/>
        <w:t>Gender</w:t>
      </w:r>
    </w:p>
    <w:p w:rsidR="002A65DC" w:rsidRPr="002A65DC" w:rsidRDefault="009464D6">
      <w:pPr>
        <w:spacing w:after="0" w:line="480" w:lineRule="auto"/>
        <w:jc w:val="both"/>
        <w:rPr>
          <w:rFonts w:ascii="Times New Roman" w:hAnsi="Times New Roman"/>
          <w:sz w:val="24"/>
          <w:szCs w:val="24"/>
        </w:rPr>
      </w:pPr>
      <w:r w:rsidRPr="002A65DC">
        <w:rPr>
          <w:rFonts w:ascii="Times New Roman" w:hAnsi="Times New Roman"/>
          <w:sz w:val="24"/>
          <w:szCs w:val="24"/>
        </w:rPr>
        <w:t xml:space="preserve"> Table 4.1.1 and Figure 4.1.1 shows the number and percentage distribution of participants according to gender. 62% being the highest percentage was recorded for male participants while </w:t>
      </w:r>
      <w:r w:rsidR="002800D5" w:rsidRPr="002A65DC">
        <w:rPr>
          <w:rFonts w:ascii="Times New Roman" w:hAnsi="Times New Roman"/>
          <w:sz w:val="24"/>
          <w:szCs w:val="24"/>
        </w:rPr>
        <w:t>38</w:t>
      </w:r>
      <w:r w:rsidRPr="002A65DC">
        <w:rPr>
          <w:rFonts w:ascii="Times New Roman" w:hAnsi="Times New Roman"/>
          <w:sz w:val="24"/>
          <w:szCs w:val="24"/>
        </w:rPr>
        <w:t xml:space="preserve">% was recorded for female participants. </w:t>
      </w:r>
    </w:p>
    <w:tbl>
      <w:tblPr>
        <w:tblW w:w="8335" w:type="dxa"/>
        <w:tblInd w:w="108" w:type="dxa"/>
        <w:tblLook w:val="04A0" w:firstRow="1" w:lastRow="0" w:firstColumn="1" w:lastColumn="0" w:noHBand="0" w:noVBand="1"/>
      </w:tblPr>
      <w:tblGrid>
        <w:gridCol w:w="972"/>
        <w:gridCol w:w="4177"/>
        <w:gridCol w:w="848"/>
        <w:gridCol w:w="223"/>
        <w:gridCol w:w="1490"/>
        <w:gridCol w:w="546"/>
        <w:gridCol w:w="79"/>
      </w:tblGrid>
      <w:tr w:rsidR="006D149C" w:rsidRPr="002A65DC" w:rsidTr="003C3685">
        <w:trPr>
          <w:gridAfter w:val="1"/>
          <w:wAfter w:w="79" w:type="dxa"/>
          <w:trHeight w:val="243"/>
        </w:trPr>
        <w:tc>
          <w:tcPr>
            <w:tcW w:w="5997" w:type="dxa"/>
            <w:gridSpan w:val="3"/>
            <w:tcBorders>
              <w:bottom w:val="single" w:sz="4" w:space="0" w:color="auto"/>
            </w:tcBorders>
            <w:shd w:val="clear" w:color="FFFFFF" w:fill="auto"/>
            <w:tcMar>
              <w:top w:w="0" w:type="dxa"/>
              <w:left w:w="108" w:type="dxa"/>
              <w:bottom w:w="0" w:type="dxa"/>
              <w:right w:w="108" w:type="dxa"/>
            </w:tcMar>
            <w:vAlign w:val="center"/>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Table 4. 1.</w:t>
            </w:r>
            <w:r w:rsidRPr="002A65DC">
              <w:rPr>
                <w:rFonts w:ascii="Times New Roman" w:eastAsia="Times New Roman" w:hAnsi="Times New Roman"/>
                <w:b/>
                <w:bCs/>
                <w:color w:val="000000"/>
                <w:sz w:val="24"/>
                <w:szCs w:val="24"/>
                <w:lang w:eastAsia="en-GB"/>
              </w:rPr>
              <w:t>1</w:t>
            </w:r>
            <w:r w:rsidRPr="002A65DC">
              <w:rPr>
                <w:rFonts w:ascii="Times New Roman" w:eastAsia="Times New Roman" w:hAnsi="Times New Roman"/>
                <w:b/>
                <w:bCs/>
                <w:color w:val="000000"/>
                <w:sz w:val="24"/>
                <w:szCs w:val="24"/>
                <w:lang w:val="en-GB" w:eastAsia="en-GB"/>
              </w:rPr>
              <w:t xml:space="preserve"> Gender </w:t>
            </w:r>
            <w:proofErr w:type="gramStart"/>
            <w:r w:rsidRPr="002A65DC">
              <w:rPr>
                <w:rFonts w:ascii="Times New Roman" w:eastAsia="Times New Roman" w:hAnsi="Times New Roman"/>
                <w:b/>
                <w:bCs/>
                <w:color w:val="000000"/>
                <w:sz w:val="24"/>
                <w:szCs w:val="24"/>
                <w:lang w:val="en-GB" w:eastAsia="en-GB"/>
              </w:rPr>
              <w:t>Of</w:t>
            </w:r>
            <w:proofErr w:type="gramEnd"/>
            <w:r w:rsidRPr="002A65DC">
              <w:rPr>
                <w:rFonts w:ascii="Times New Roman" w:eastAsia="Times New Roman" w:hAnsi="Times New Roman"/>
                <w:b/>
                <w:bCs/>
                <w:color w:val="000000"/>
                <w:sz w:val="24"/>
                <w:szCs w:val="24"/>
                <w:lang w:val="en-GB" w:eastAsia="en-GB"/>
              </w:rPr>
              <w:t xml:space="preserve"> Respondents  </w:t>
            </w:r>
          </w:p>
        </w:tc>
        <w:tc>
          <w:tcPr>
            <w:tcW w:w="2259" w:type="dxa"/>
            <w:gridSpan w:val="3"/>
            <w:tcBorders>
              <w:bottom w:val="single" w:sz="4" w:space="0" w:color="auto"/>
            </w:tcBorders>
            <w:shd w:val="clear" w:color="FFFFFF" w:fill="auto"/>
            <w:tcMar>
              <w:top w:w="0" w:type="dxa"/>
              <w:left w:w="108" w:type="dxa"/>
              <w:bottom w:w="0" w:type="dxa"/>
              <w:right w:w="108" w:type="dxa"/>
            </w:tcMar>
            <w:vAlign w:val="center"/>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r>
      <w:tr w:rsidR="006D149C" w:rsidRPr="002A65DC" w:rsidTr="003C3685">
        <w:trPr>
          <w:gridAfter w:val="2"/>
          <w:wAfter w:w="625" w:type="dxa"/>
          <w:trHeight w:val="243"/>
        </w:trPr>
        <w:tc>
          <w:tcPr>
            <w:tcW w:w="972"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b/>
                <w:bCs/>
                <w:sz w:val="24"/>
                <w:szCs w:val="24"/>
              </w:rPr>
            </w:pPr>
            <w:r w:rsidRPr="002A65DC">
              <w:rPr>
                <w:rFonts w:ascii="Times New Roman" w:eastAsia="Times New Roman" w:hAnsi="Times New Roman"/>
                <w:b/>
                <w:bCs/>
                <w:color w:val="000000"/>
                <w:sz w:val="24"/>
                <w:szCs w:val="24"/>
                <w:lang w:val="en-GB" w:eastAsia="en-GB"/>
              </w:rPr>
              <w:t>S/N</w:t>
            </w:r>
          </w:p>
        </w:tc>
        <w:tc>
          <w:tcPr>
            <w:tcW w:w="5248" w:type="dxa"/>
            <w:gridSpan w:val="3"/>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b/>
                <w:bCs/>
                <w:sz w:val="24"/>
                <w:szCs w:val="24"/>
              </w:rPr>
            </w:pPr>
            <w:r w:rsidRPr="002A65DC">
              <w:rPr>
                <w:rFonts w:ascii="Times New Roman" w:eastAsia="Times New Roman" w:hAnsi="Times New Roman"/>
                <w:b/>
                <w:bCs/>
                <w:color w:val="000000"/>
                <w:sz w:val="24"/>
                <w:szCs w:val="24"/>
                <w:lang w:val="en-GB" w:eastAsia="en-GB"/>
              </w:rPr>
              <w:t xml:space="preserve">Gender </w:t>
            </w:r>
            <w:r w:rsidR="009464D6" w:rsidRPr="002A65DC">
              <w:rPr>
                <w:rFonts w:ascii="Times New Roman" w:eastAsia="Times New Roman" w:hAnsi="Times New Roman"/>
                <w:b/>
                <w:bCs/>
                <w:color w:val="000000"/>
                <w:sz w:val="24"/>
                <w:szCs w:val="24"/>
                <w:lang w:val="en-GB" w:eastAsia="en-GB"/>
              </w:rPr>
              <w:t>o</w:t>
            </w:r>
            <w:r w:rsidRPr="002A65DC">
              <w:rPr>
                <w:rFonts w:ascii="Times New Roman" w:eastAsia="Times New Roman" w:hAnsi="Times New Roman"/>
                <w:b/>
                <w:bCs/>
                <w:color w:val="000000"/>
                <w:sz w:val="24"/>
                <w:szCs w:val="24"/>
                <w:lang w:val="en-GB" w:eastAsia="en-GB"/>
              </w:rPr>
              <w:t>f Respondents</w:t>
            </w:r>
            <w:r w:rsidR="002800D5" w:rsidRPr="002A65DC">
              <w:rPr>
                <w:rFonts w:ascii="Times New Roman" w:eastAsia="Times New Roman" w:hAnsi="Times New Roman"/>
                <w:b/>
                <w:bCs/>
                <w:color w:val="000000"/>
                <w:sz w:val="24"/>
                <w:szCs w:val="24"/>
                <w:lang w:val="en-GB" w:eastAsia="en-GB"/>
              </w:rPr>
              <w:t xml:space="preserve">                      </w:t>
            </w:r>
            <w:r w:rsidR="009464D6" w:rsidRPr="002A65DC">
              <w:rPr>
                <w:rFonts w:ascii="Times New Roman" w:eastAsia="Times New Roman" w:hAnsi="Times New Roman"/>
                <w:b/>
                <w:bCs/>
                <w:color w:val="000000"/>
                <w:sz w:val="24"/>
                <w:szCs w:val="24"/>
                <w:lang w:val="en-GB" w:eastAsia="en-GB"/>
              </w:rPr>
              <w:t>Frequency</w:t>
            </w:r>
          </w:p>
        </w:tc>
        <w:tc>
          <w:tcPr>
            <w:tcW w:w="1490"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b/>
                <w:bCs/>
                <w:sz w:val="24"/>
                <w:szCs w:val="24"/>
              </w:rPr>
            </w:pPr>
            <w:r w:rsidRPr="002A65DC">
              <w:rPr>
                <w:rFonts w:ascii="Times New Roman" w:eastAsia="Times New Roman" w:hAnsi="Times New Roman"/>
                <w:b/>
                <w:bCs/>
                <w:color w:val="000000"/>
                <w:sz w:val="24"/>
                <w:szCs w:val="24"/>
                <w:lang w:val="en-GB" w:eastAsia="en-GB"/>
              </w:rPr>
              <w:t xml:space="preserve"> </w:t>
            </w:r>
            <w:r w:rsidR="009464D6" w:rsidRPr="002A65DC">
              <w:rPr>
                <w:rFonts w:ascii="Times New Roman" w:eastAsia="Times New Roman" w:hAnsi="Times New Roman"/>
                <w:b/>
                <w:bCs/>
                <w:color w:val="000000"/>
                <w:sz w:val="24"/>
                <w:szCs w:val="24"/>
                <w:lang w:val="en-GB" w:eastAsia="en-GB"/>
              </w:rPr>
              <w:t>Percentage</w:t>
            </w:r>
          </w:p>
        </w:tc>
      </w:tr>
      <w:tr w:rsidR="006D149C" w:rsidRPr="002A65DC" w:rsidTr="003C3685">
        <w:trPr>
          <w:trHeight w:val="243"/>
        </w:trPr>
        <w:tc>
          <w:tcPr>
            <w:tcW w:w="972" w:type="dxa"/>
            <w:tcBorders>
              <w:top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1</w:t>
            </w:r>
          </w:p>
        </w:tc>
        <w:tc>
          <w:tcPr>
            <w:tcW w:w="4177"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MALE</w:t>
            </w:r>
          </w:p>
        </w:tc>
        <w:tc>
          <w:tcPr>
            <w:tcW w:w="1071" w:type="dxa"/>
            <w:gridSpan w:val="2"/>
            <w:shd w:val="clear" w:color="FFFFFF" w:fill="auto"/>
            <w:tcMar>
              <w:top w:w="0" w:type="dxa"/>
              <w:left w:w="108" w:type="dxa"/>
              <w:bottom w:w="0" w:type="dxa"/>
              <w:right w:w="108" w:type="dxa"/>
            </w:tcMar>
            <w:vAlign w:val="bottom"/>
          </w:tcPr>
          <w:p w:rsidR="006D149C" w:rsidRPr="002A65DC" w:rsidRDefault="002800D5">
            <w:pPr>
              <w:spacing w:after="0" w:line="480" w:lineRule="auto"/>
              <w:jc w:val="both"/>
              <w:rPr>
                <w:rFonts w:ascii="Times New Roman" w:hAnsi="Times New Roman"/>
                <w:sz w:val="24"/>
                <w:szCs w:val="24"/>
              </w:rPr>
            </w:pPr>
            <w:r w:rsidRPr="002A65DC">
              <w:rPr>
                <w:rFonts w:ascii="Times New Roman" w:hAnsi="Times New Roman"/>
                <w:sz w:val="24"/>
                <w:szCs w:val="24"/>
              </w:rPr>
              <w:t>72</w:t>
            </w:r>
          </w:p>
        </w:tc>
        <w:tc>
          <w:tcPr>
            <w:tcW w:w="2115" w:type="dxa"/>
            <w:gridSpan w:val="3"/>
            <w:tcBorders>
              <w:top w:val="single" w:sz="4" w:space="0" w:color="auto"/>
            </w:tcBorders>
            <w:shd w:val="clear" w:color="FFFFFF" w:fill="auto"/>
            <w:tcMar>
              <w:top w:w="0" w:type="dxa"/>
              <w:left w:w="108" w:type="dxa"/>
              <w:bottom w:w="0" w:type="dxa"/>
              <w:right w:w="108" w:type="dxa"/>
            </w:tcMar>
            <w:vAlign w:val="bottom"/>
          </w:tcPr>
          <w:p w:rsidR="006D149C" w:rsidRPr="002A65DC" w:rsidRDefault="009464D6">
            <w:pPr>
              <w:spacing w:after="0" w:line="480" w:lineRule="auto"/>
              <w:jc w:val="both"/>
              <w:rPr>
                <w:rFonts w:ascii="Times New Roman" w:hAnsi="Times New Roman"/>
                <w:sz w:val="24"/>
                <w:szCs w:val="24"/>
              </w:rPr>
            </w:pPr>
            <w:r w:rsidRPr="002A65DC">
              <w:rPr>
                <w:rFonts w:ascii="Times New Roman" w:hAnsi="Times New Roman"/>
                <w:sz w:val="24"/>
                <w:szCs w:val="24"/>
              </w:rPr>
              <w:t xml:space="preserve">       62%</w:t>
            </w:r>
          </w:p>
        </w:tc>
      </w:tr>
      <w:tr w:rsidR="006D149C" w:rsidRPr="002A65DC" w:rsidTr="003C3685">
        <w:trPr>
          <w:trHeight w:val="243"/>
        </w:trPr>
        <w:tc>
          <w:tcPr>
            <w:tcW w:w="972"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2</w:t>
            </w:r>
          </w:p>
        </w:tc>
        <w:tc>
          <w:tcPr>
            <w:tcW w:w="4177"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FEMALE</w:t>
            </w:r>
          </w:p>
        </w:tc>
        <w:tc>
          <w:tcPr>
            <w:tcW w:w="1071" w:type="dxa"/>
            <w:gridSpan w:val="2"/>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w:t>
            </w:r>
            <w:r w:rsidR="002800D5" w:rsidRPr="002A65DC">
              <w:rPr>
                <w:rFonts w:ascii="Times New Roman" w:hAnsi="Times New Roman"/>
                <w:sz w:val="24"/>
                <w:szCs w:val="24"/>
              </w:rPr>
              <w:t>8</w:t>
            </w:r>
          </w:p>
        </w:tc>
        <w:tc>
          <w:tcPr>
            <w:tcW w:w="2115" w:type="dxa"/>
            <w:gridSpan w:val="3"/>
            <w:shd w:val="clear" w:color="FFFFFF" w:fill="auto"/>
            <w:tcMar>
              <w:top w:w="0" w:type="dxa"/>
              <w:left w:w="108" w:type="dxa"/>
              <w:bottom w:w="0" w:type="dxa"/>
              <w:right w:w="108" w:type="dxa"/>
            </w:tcMar>
            <w:vAlign w:val="bottom"/>
          </w:tcPr>
          <w:p w:rsidR="006D149C" w:rsidRPr="002A65DC" w:rsidRDefault="009464D6">
            <w:pPr>
              <w:spacing w:after="0" w:line="480" w:lineRule="auto"/>
              <w:jc w:val="both"/>
              <w:rPr>
                <w:rFonts w:ascii="Times New Roman" w:hAnsi="Times New Roman"/>
                <w:sz w:val="24"/>
                <w:szCs w:val="24"/>
              </w:rPr>
            </w:pPr>
            <w:r w:rsidRPr="002A65DC">
              <w:rPr>
                <w:rFonts w:ascii="Times New Roman" w:hAnsi="Times New Roman"/>
                <w:sz w:val="24"/>
                <w:szCs w:val="24"/>
              </w:rPr>
              <w:t xml:space="preserve">       38%</w:t>
            </w:r>
          </w:p>
        </w:tc>
      </w:tr>
      <w:tr w:rsidR="006D149C" w:rsidRPr="002A65DC" w:rsidTr="003C3685">
        <w:trPr>
          <w:trHeight w:val="243"/>
        </w:trPr>
        <w:tc>
          <w:tcPr>
            <w:tcW w:w="972"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c>
          <w:tcPr>
            <w:tcW w:w="4177"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Total</w:t>
            </w:r>
          </w:p>
        </w:tc>
        <w:tc>
          <w:tcPr>
            <w:tcW w:w="1071" w:type="dxa"/>
            <w:gridSpan w:val="2"/>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w:t>
            </w:r>
            <w:r w:rsidR="002800D5" w:rsidRPr="002A65DC">
              <w:rPr>
                <w:rFonts w:ascii="Times New Roman" w:hAnsi="Times New Roman"/>
                <w:sz w:val="24"/>
                <w:szCs w:val="24"/>
              </w:rPr>
              <w:t>2</w:t>
            </w:r>
            <w:r w:rsidRPr="002A65DC">
              <w:rPr>
                <w:rFonts w:ascii="Times New Roman" w:hAnsi="Times New Roman"/>
                <w:sz w:val="24"/>
                <w:szCs w:val="24"/>
              </w:rPr>
              <w:t>0</w:t>
            </w:r>
          </w:p>
        </w:tc>
        <w:tc>
          <w:tcPr>
            <w:tcW w:w="2115" w:type="dxa"/>
            <w:gridSpan w:val="3"/>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r w:rsidR="009464D6" w:rsidRPr="002A65DC">
              <w:rPr>
                <w:rFonts w:ascii="Times New Roman" w:eastAsia="Times New Roman" w:hAnsi="Times New Roman"/>
                <w:color w:val="000000"/>
                <w:sz w:val="24"/>
                <w:szCs w:val="24"/>
                <w:lang w:val="en-GB" w:eastAsia="en-GB"/>
              </w:rPr>
              <w:t xml:space="preserve">      100%</w:t>
            </w:r>
          </w:p>
        </w:tc>
      </w:tr>
    </w:tbl>
    <w:p w:rsidR="00915F4F"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Source: Research's Analysis (2025)</w:t>
      </w:r>
    </w:p>
    <w:p w:rsidR="006D149C" w:rsidRPr="002A65DC" w:rsidRDefault="00915F4F">
      <w:pPr>
        <w:spacing w:after="0" w:line="480" w:lineRule="auto"/>
        <w:jc w:val="both"/>
        <w:rPr>
          <w:rFonts w:ascii="Times New Roman" w:hAnsi="Times New Roman"/>
          <w:b/>
          <w:bCs/>
          <w:sz w:val="24"/>
          <w:szCs w:val="24"/>
        </w:rPr>
      </w:pPr>
      <w:r w:rsidRPr="002A65DC">
        <w:rPr>
          <w:rFonts w:ascii="Times New Roman" w:hAnsi="Times New Roman"/>
          <w:noProof/>
          <w:sz w:val="24"/>
          <w:szCs w:val="24"/>
        </w:rPr>
        <w:t xml:space="preserve"> </w:t>
      </w:r>
      <w:r w:rsidRPr="002A65DC">
        <w:rPr>
          <w:rFonts w:ascii="Times New Roman" w:hAnsi="Times New Roman"/>
          <w:noProof/>
          <w:sz w:val="24"/>
          <w:szCs w:val="24"/>
        </w:rPr>
        <w:drawing>
          <wp:inline distT="0" distB="0" distL="0" distR="0" wp14:anchorId="73B80E79" wp14:editId="77102DF7">
            <wp:extent cx="5114925" cy="3009900"/>
            <wp:effectExtent l="0" t="0" r="9525" b="0"/>
            <wp:docPr id="12512708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Figure 4.1.1: Percentage Distribution of Respondents according to Gender</w:t>
      </w:r>
    </w:p>
    <w:p w:rsid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Source: Research's Analysis (2025)</w:t>
      </w: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lastRenderedPageBreak/>
        <w:t>4.1.2     Age</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The largest number of respondents falls between 26 – 35 years, representing 35%, while the 18 – 25 years, 36 – 45 years, and 46 years and above age brackets represent 1</w:t>
      </w:r>
      <w:r w:rsidR="009E1340" w:rsidRPr="002A65DC">
        <w:rPr>
          <w:rFonts w:ascii="Times New Roman" w:hAnsi="Times New Roman"/>
          <w:sz w:val="24"/>
          <w:szCs w:val="24"/>
        </w:rPr>
        <w:t>6</w:t>
      </w:r>
      <w:r w:rsidRPr="002A65DC">
        <w:rPr>
          <w:rFonts w:ascii="Times New Roman" w:hAnsi="Times New Roman"/>
          <w:sz w:val="24"/>
          <w:szCs w:val="24"/>
        </w:rPr>
        <w:t>%, 24%, and 25% respectively. Table 4.1.2 and Figure 4.1.2 shows the percentage distribution of participants according to age.</w:t>
      </w:r>
    </w:p>
    <w:tbl>
      <w:tblPr>
        <w:tblW w:w="7722" w:type="dxa"/>
        <w:tblInd w:w="108" w:type="dxa"/>
        <w:tblLayout w:type="fixed"/>
        <w:tblLook w:val="04A0" w:firstRow="1" w:lastRow="0" w:firstColumn="1" w:lastColumn="0" w:noHBand="0" w:noVBand="1"/>
      </w:tblPr>
      <w:tblGrid>
        <w:gridCol w:w="809"/>
        <w:gridCol w:w="1153"/>
        <w:gridCol w:w="1890"/>
        <w:gridCol w:w="1713"/>
        <w:gridCol w:w="270"/>
        <w:gridCol w:w="252"/>
        <w:gridCol w:w="1635"/>
      </w:tblGrid>
      <w:tr w:rsidR="006D149C" w:rsidRPr="002A65DC" w:rsidTr="003C3685">
        <w:trPr>
          <w:trHeight w:val="368"/>
        </w:trPr>
        <w:tc>
          <w:tcPr>
            <w:tcW w:w="5565" w:type="dxa"/>
            <w:gridSpan w:val="4"/>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Table 4.</w:t>
            </w:r>
            <w:r w:rsidRPr="002A65DC">
              <w:rPr>
                <w:rFonts w:ascii="Times New Roman" w:eastAsia="Times New Roman" w:hAnsi="Times New Roman"/>
                <w:b/>
                <w:bCs/>
                <w:color w:val="000000"/>
                <w:sz w:val="24"/>
                <w:szCs w:val="24"/>
                <w:lang w:eastAsia="en-GB"/>
              </w:rPr>
              <w:t>1.</w:t>
            </w:r>
            <w:r w:rsidRPr="002A65DC">
              <w:rPr>
                <w:rFonts w:ascii="Times New Roman" w:eastAsia="Times New Roman" w:hAnsi="Times New Roman"/>
                <w:b/>
                <w:bCs/>
                <w:color w:val="000000"/>
                <w:sz w:val="24"/>
                <w:szCs w:val="24"/>
                <w:lang w:val="en-GB" w:eastAsia="en-GB"/>
              </w:rPr>
              <w:t>2 Age of Respondents in Percentage</w:t>
            </w:r>
          </w:p>
        </w:tc>
        <w:tc>
          <w:tcPr>
            <w:tcW w:w="270" w:type="dxa"/>
            <w:tcBorders>
              <w:bottom w:val="single" w:sz="4" w:space="0" w:color="auto"/>
            </w:tcBorders>
            <w:shd w:val="clear" w:color="FFFFFF" w:fill="auto"/>
            <w:tcMar>
              <w:top w:w="0" w:type="dxa"/>
              <w:left w:w="108" w:type="dxa"/>
              <w:bottom w:w="0" w:type="dxa"/>
              <w:right w:w="108" w:type="dxa"/>
            </w:tcMar>
            <w:vAlign w:val="center"/>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c>
          <w:tcPr>
            <w:tcW w:w="252" w:type="dxa"/>
            <w:tcBorders>
              <w:bottom w:val="single" w:sz="4" w:space="0" w:color="auto"/>
            </w:tcBorders>
            <w:shd w:val="clear" w:color="FFFFFF" w:fill="auto"/>
            <w:tcMar>
              <w:top w:w="0" w:type="dxa"/>
              <w:left w:w="108" w:type="dxa"/>
              <w:bottom w:w="0" w:type="dxa"/>
              <w:right w:w="108" w:type="dxa"/>
            </w:tcMar>
            <w:vAlign w:val="center"/>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c>
          <w:tcPr>
            <w:tcW w:w="1635" w:type="dxa"/>
            <w:tcBorders>
              <w:bottom w:val="single" w:sz="4" w:space="0" w:color="auto"/>
            </w:tcBorders>
            <w:shd w:val="clear" w:color="FFFFFF" w:fill="auto"/>
            <w:tcMar>
              <w:top w:w="0" w:type="dxa"/>
              <w:left w:w="108" w:type="dxa"/>
              <w:bottom w:w="0" w:type="dxa"/>
              <w:right w:w="108" w:type="dxa"/>
            </w:tcMar>
            <w:vAlign w:val="center"/>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r>
      <w:tr w:rsidR="006D149C" w:rsidRPr="002A65DC" w:rsidTr="003C3685">
        <w:trPr>
          <w:trHeight w:val="418"/>
        </w:trPr>
        <w:tc>
          <w:tcPr>
            <w:tcW w:w="809"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S/N</w:t>
            </w:r>
          </w:p>
        </w:tc>
        <w:tc>
          <w:tcPr>
            <w:tcW w:w="1153"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c>
          <w:tcPr>
            <w:tcW w:w="4125" w:type="dxa"/>
            <w:gridSpan w:val="4"/>
            <w:tcBorders>
              <w:bottom w:val="single" w:sz="4" w:space="0" w:color="auto"/>
            </w:tcBorders>
            <w:shd w:val="clear" w:color="FFFFFF" w:fill="auto"/>
            <w:tcMar>
              <w:top w:w="0" w:type="dxa"/>
              <w:left w:w="108" w:type="dxa"/>
              <w:bottom w:w="0" w:type="dxa"/>
              <w:right w:w="108" w:type="dxa"/>
            </w:tcMar>
            <w:vAlign w:val="center"/>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Age </w:t>
            </w:r>
            <w:r w:rsidR="009464D6" w:rsidRPr="002A65DC">
              <w:rPr>
                <w:rFonts w:ascii="Times New Roman" w:eastAsia="Times New Roman" w:hAnsi="Times New Roman"/>
                <w:color w:val="000000"/>
                <w:sz w:val="24"/>
                <w:szCs w:val="24"/>
                <w:lang w:val="en-GB" w:eastAsia="en-GB"/>
              </w:rPr>
              <w:t>o</w:t>
            </w:r>
            <w:r w:rsidRPr="002A65DC">
              <w:rPr>
                <w:rFonts w:ascii="Times New Roman" w:eastAsia="Times New Roman" w:hAnsi="Times New Roman"/>
                <w:color w:val="000000"/>
                <w:sz w:val="24"/>
                <w:szCs w:val="24"/>
                <w:lang w:val="en-GB" w:eastAsia="en-GB"/>
              </w:rPr>
              <w:t>f Respondents in Percentage</w:t>
            </w:r>
          </w:p>
        </w:tc>
        <w:tc>
          <w:tcPr>
            <w:tcW w:w="1635" w:type="dxa"/>
            <w:tcBorders>
              <w:bottom w:val="single" w:sz="4" w:space="0" w:color="auto"/>
            </w:tcBorders>
            <w:shd w:val="clear" w:color="FFFFFF" w:fill="auto"/>
            <w:tcMar>
              <w:top w:w="0" w:type="dxa"/>
              <w:left w:w="108" w:type="dxa"/>
              <w:bottom w:w="0" w:type="dxa"/>
              <w:right w:w="108" w:type="dxa"/>
            </w:tcMar>
            <w:vAlign w:val="center"/>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r>
      <w:tr w:rsidR="006D149C" w:rsidRPr="002A65DC" w:rsidTr="003C3685">
        <w:trPr>
          <w:trHeight w:val="537"/>
        </w:trPr>
        <w:tc>
          <w:tcPr>
            <w:tcW w:w="809" w:type="dxa"/>
            <w:tcBorders>
              <w:top w:val="single" w:sz="4" w:space="0" w:color="auto"/>
            </w:tcBorders>
            <w:shd w:val="clear" w:color="FFFFFF" w:fill="auto"/>
            <w:tcMar>
              <w:top w:w="0" w:type="dxa"/>
              <w:left w:w="108" w:type="dxa"/>
              <w:bottom w:w="0" w:type="dxa"/>
              <w:right w:w="108" w:type="dxa"/>
            </w:tcMar>
            <w:vAlign w:val="bottom"/>
          </w:tcPr>
          <w:p w:rsidR="006D149C" w:rsidRPr="002A65DC" w:rsidRDefault="002800D5">
            <w:pPr>
              <w:spacing w:after="0" w:line="480" w:lineRule="auto"/>
              <w:jc w:val="both"/>
              <w:rPr>
                <w:rFonts w:ascii="Times New Roman" w:hAnsi="Times New Roman"/>
                <w:sz w:val="24"/>
                <w:szCs w:val="24"/>
              </w:rPr>
            </w:pPr>
            <w:r w:rsidRPr="002A65DC">
              <w:rPr>
                <w:rFonts w:ascii="Times New Roman" w:hAnsi="Times New Roman"/>
                <w:sz w:val="24"/>
                <w:szCs w:val="24"/>
              </w:rPr>
              <w:t>AGE</w:t>
            </w:r>
          </w:p>
        </w:tc>
        <w:tc>
          <w:tcPr>
            <w:tcW w:w="1153" w:type="dxa"/>
            <w:tcBorders>
              <w:top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18 -</w:t>
            </w:r>
            <w:r w:rsidR="002800D5" w:rsidRPr="002A65DC">
              <w:rPr>
                <w:rFonts w:ascii="Times New Roman" w:hAnsi="Times New Roman"/>
                <w:sz w:val="24"/>
                <w:szCs w:val="24"/>
              </w:rPr>
              <w:t xml:space="preserve"> </w:t>
            </w:r>
            <w:r w:rsidRPr="002A65DC">
              <w:rPr>
                <w:rFonts w:ascii="Times New Roman" w:hAnsi="Times New Roman"/>
                <w:sz w:val="24"/>
                <w:szCs w:val="24"/>
              </w:rPr>
              <w:t>25</w:t>
            </w:r>
          </w:p>
        </w:tc>
        <w:tc>
          <w:tcPr>
            <w:tcW w:w="1890"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2</w:t>
            </w:r>
            <w:r w:rsidRPr="002A65DC">
              <w:rPr>
                <w:rFonts w:ascii="Times New Roman" w:eastAsia="Times New Roman" w:hAnsi="Times New Roman"/>
                <w:color w:val="000000"/>
                <w:sz w:val="24"/>
                <w:szCs w:val="24"/>
                <w:lang w:eastAsia="en-GB"/>
              </w:rPr>
              <w:t xml:space="preserve">6 </w:t>
            </w:r>
            <w:r w:rsidRPr="002A65DC">
              <w:rPr>
                <w:rFonts w:ascii="Times New Roman" w:eastAsia="Times New Roman" w:hAnsi="Times New Roman"/>
                <w:color w:val="000000"/>
                <w:sz w:val="24"/>
                <w:szCs w:val="24"/>
                <w:lang w:val="en-GB" w:eastAsia="en-GB"/>
              </w:rPr>
              <w:t>-3</w:t>
            </w:r>
            <w:r w:rsidRPr="002A65DC">
              <w:rPr>
                <w:rFonts w:ascii="Times New Roman" w:eastAsia="Times New Roman" w:hAnsi="Times New Roman"/>
                <w:color w:val="000000"/>
                <w:sz w:val="24"/>
                <w:szCs w:val="24"/>
                <w:lang w:eastAsia="en-GB"/>
              </w:rPr>
              <w:t>5</w:t>
            </w:r>
          </w:p>
        </w:tc>
        <w:tc>
          <w:tcPr>
            <w:tcW w:w="1713"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eastAsia="en-GB"/>
              </w:rPr>
              <w:t xml:space="preserve"> </w:t>
            </w:r>
            <w:r w:rsidRPr="002A65DC">
              <w:rPr>
                <w:rFonts w:ascii="Times New Roman" w:eastAsia="Times New Roman" w:hAnsi="Times New Roman"/>
                <w:color w:val="000000"/>
                <w:sz w:val="24"/>
                <w:szCs w:val="24"/>
                <w:lang w:val="en-GB" w:eastAsia="en-GB"/>
              </w:rPr>
              <w:t>3</w:t>
            </w:r>
            <w:r w:rsidRPr="002A65DC">
              <w:rPr>
                <w:rFonts w:ascii="Times New Roman" w:eastAsia="Times New Roman" w:hAnsi="Times New Roman"/>
                <w:color w:val="000000"/>
                <w:sz w:val="24"/>
                <w:szCs w:val="24"/>
                <w:lang w:eastAsia="en-GB"/>
              </w:rPr>
              <w:t>6</w:t>
            </w:r>
            <w:r w:rsidRPr="002A65DC">
              <w:rPr>
                <w:rFonts w:ascii="Times New Roman" w:eastAsia="Times New Roman" w:hAnsi="Times New Roman"/>
                <w:color w:val="000000"/>
                <w:sz w:val="24"/>
                <w:szCs w:val="24"/>
                <w:lang w:val="en-GB" w:eastAsia="en-GB"/>
              </w:rPr>
              <w:t xml:space="preserve"> - 4</w:t>
            </w:r>
            <w:r w:rsidRPr="002A65DC">
              <w:rPr>
                <w:rFonts w:ascii="Times New Roman" w:eastAsia="Times New Roman" w:hAnsi="Times New Roman"/>
                <w:color w:val="000000"/>
                <w:sz w:val="24"/>
                <w:szCs w:val="24"/>
                <w:lang w:eastAsia="en-GB"/>
              </w:rPr>
              <w:t>5</w:t>
            </w:r>
          </w:p>
        </w:tc>
        <w:tc>
          <w:tcPr>
            <w:tcW w:w="270" w:type="dxa"/>
            <w:shd w:val="clear" w:color="FFFFFF" w:fill="auto"/>
            <w:tcMar>
              <w:top w:w="0" w:type="dxa"/>
              <w:left w:w="108" w:type="dxa"/>
              <w:bottom w:w="0" w:type="dxa"/>
              <w:right w:w="108" w:type="dxa"/>
            </w:tcMar>
            <w:vAlign w:val="bottom"/>
          </w:tcPr>
          <w:p w:rsidR="006D149C" w:rsidRPr="002A65DC" w:rsidRDefault="006D149C">
            <w:pPr>
              <w:spacing w:after="0" w:line="480" w:lineRule="auto"/>
              <w:jc w:val="both"/>
              <w:rPr>
                <w:rFonts w:ascii="Times New Roman" w:hAnsi="Times New Roman"/>
                <w:sz w:val="24"/>
                <w:szCs w:val="24"/>
              </w:rPr>
            </w:pPr>
          </w:p>
        </w:tc>
        <w:tc>
          <w:tcPr>
            <w:tcW w:w="252" w:type="dxa"/>
            <w:shd w:val="clear" w:color="FFFFFF" w:fill="auto"/>
            <w:tcMar>
              <w:top w:w="0" w:type="dxa"/>
              <w:left w:w="108" w:type="dxa"/>
              <w:bottom w:w="0" w:type="dxa"/>
              <w:right w:w="108" w:type="dxa"/>
            </w:tcMar>
            <w:vAlign w:val="bottom"/>
          </w:tcPr>
          <w:p w:rsidR="006D149C" w:rsidRPr="002A65DC" w:rsidRDefault="006D149C">
            <w:pPr>
              <w:spacing w:after="0" w:line="480" w:lineRule="auto"/>
              <w:jc w:val="both"/>
              <w:rPr>
                <w:rFonts w:ascii="Times New Roman" w:hAnsi="Times New Roman"/>
                <w:sz w:val="24"/>
                <w:szCs w:val="24"/>
              </w:rPr>
            </w:pPr>
          </w:p>
        </w:tc>
        <w:tc>
          <w:tcPr>
            <w:tcW w:w="1635" w:type="dxa"/>
            <w:tcBorders>
              <w:top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eastAsia="en-GB"/>
              </w:rPr>
              <w:t>46</w:t>
            </w:r>
            <w:r w:rsidRPr="002A65DC">
              <w:rPr>
                <w:rFonts w:ascii="Times New Roman" w:eastAsia="Times New Roman" w:hAnsi="Times New Roman"/>
                <w:color w:val="000000"/>
                <w:sz w:val="24"/>
                <w:szCs w:val="24"/>
                <w:lang w:val="en-GB" w:eastAsia="en-GB"/>
              </w:rPr>
              <w:t xml:space="preserve"> and above</w:t>
            </w:r>
          </w:p>
        </w:tc>
      </w:tr>
      <w:tr w:rsidR="006D149C" w:rsidRPr="002A65DC" w:rsidTr="003C3685">
        <w:trPr>
          <w:trHeight w:val="316"/>
        </w:trPr>
        <w:tc>
          <w:tcPr>
            <w:tcW w:w="809"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2800D5">
            <w:pPr>
              <w:spacing w:after="0" w:line="480" w:lineRule="auto"/>
              <w:jc w:val="both"/>
              <w:rPr>
                <w:rFonts w:ascii="Times New Roman" w:eastAsia="Times New Roman" w:hAnsi="Times New Roman"/>
                <w:color w:val="000000"/>
                <w:sz w:val="24"/>
                <w:szCs w:val="24"/>
                <w:lang w:val="en-GB" w:eastAsia="en-GB"/>
              </w:rPr>
            </w:pPr>
            <w:r w:rsidRPr="002A65DC">
              <w:rPr>
                <w:rFonts w:ascii="Times New Roman" w:eastAsia="Times New Roman" w:hAnsi="Times New Roman"/>
                <w:color w:val="000000"/>
                <w:sz w:val="24"/>
                <w:szCs w:val="24"/>
                <w:lang w:val="en-GB" w:eastAsia="en-GB"/>
              </w:rPr>
              <w:t>NO</w:t>
            </w:r>
          </w:p>
          <w:p w:rsidR="009464D6" w:rsidRPr="002A65DC" w:rsidRDefault="009464D6">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w:t>
            </w:r>
          </w:p>
        </w:tc>
        <w:tc>
          <w:tcPr>
            <w:tcW w:w="1153"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2800D5">
            <w:pPr>
              <w:spacing w:after="0" w:line="480" w:lineRule="auto"/>
              <w:jc w:val="both"/>
              <w:rPr>
                <w:rFonts w:ascii="Times New Roman" w:hAnsi="Times New Roman"/>
                <w:sz w:val="24"/>
                <w:szCs w:val="24"/>
              </w:rPr>
            </w:pPr>
            <w:r w:rsidRPr="002A65DC">
              <w:rPr>
                <w:rFonts w:ascii="Times New Roman" w:hAnsi="Times New Roman"/>
                <w:sz w:val="24"/>
                <w:szCs w:val="24"/>
              </w:rPr>
              <w:t>19</w:t>
            </w:r>
          </w:p>
          <w:p w:rsidR="009464D6" w:rsidRPr="002A65DC" w:rsidRDefault="009464D6">
            <w:pPr>
              <w:spacing w:after="0" w:line="480" w:lineRule="auto"/>
              <w:jc w:val="both"/>
              <w:rPr>
                <w:rFonts w:ascii="Times New Roman" w:hAnsi="Times New Roman"/>
                <w:sz w:val="24"/>
                <w:szCs w:val="24"/>
              </w:rPr>
            </w:pPr>
            <w:r w:rsidRPr="002A65DC">
              <w:rPr>
                <w:rFonts w:ascii="Times New Roman" w:hAnsi="Times New Roman"/>
                <w:sz w:val="24"/>
                <w:szCs w:val="24"/>
              </w:rPr>
              <w:t>16%</w:t>
            </w:r>
          </w:p>
        </w:tc>
        <w:tc>
          <w:tcPr>
            <w:tcW w:w="1890"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2800D5">
            <w:pPr>
              <w:spacing w:after="0" w:line="480" w:lineRule="auto"/>
              <w:jc w:val="both"/>
              <w:rPr>
                <w:rFonts w:ascii="Times New Roman" w:hAnsi="Times New Roman"/>
                <w:sz w:val="24"/>
                <w:szCs w:val="24"/>
              </w:rPr>
            </w:pPr>
            <w:r w:rsidRPr="002A65DC">
              <w:rPr>
                <w:rFonts w:ascii="Times New Roman" w:hAnsi="Times New Roman"/>
                <w:sz w:val="24"/>
                <w:szCs w:val="24"/>
              </w:rPr>
              <w:t>42</w:t>
            </w:r>
          </w:p>
          <w:p w:rsidR="009464D6" w:rsidRPr="002A65DC" w:rsidRDefault="009464D6">
            <w:pPr>
              <w:spacing w:after="0" w:line="480" w:lineRule="auto"/>
              <w:jc w:val="both"/>
              <w:rPr>
                <w:rFonts w:ascii="Times New Roman" w:hAnsi="Times New Roman"/>
                <w:sz w:val="24"/>
                <w:szCs w:val="24"/>
              </w:rPr>
            </w:pPr>
            <w:r w:rsidRPr="002A65DC">
              <w:rPr>
                <w:rFonts w:ascii="Times New Roman" w:hAnsi="Times New Roman"/>
                <w:sz w:val="24"/>
                <w:szCs w:val="24"/>
              </w:rPr>
              <w:t>35%</w:t>
            </w:r>
          </w:p>
        </w:tc>
        <w:tc>
          <w:tcPr>
            <w:tcW w:w="1713"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2800D5">
            <w:pPr>
              <w:spacing w:after="0" w:line="480" w:lineRule="auto"/>
              <w:jc w:val="both"/>
              <w:rPr>
                <w:rFonts w:ascii="Times New Roman" w:hAnsi="Times New Roman"/>
                <w:sz w:val="24"/>
                <w:szCs w:val="24"/>
              </w:rPr>
            </w:pPr>
            <w:r w:rsidRPr="002A65DC">
              <w:rPr>
                <w:rFonts w:ascii="Times New Roman" w:hAnsi="Times New Roman"/>
                <w:sz w:val="24"/>
                <w:szCs w:val="24"/>
              </w:rPr>
              <w:t xml:space="preserve"> 29</w:t>
            </w:r>
          </w:p>
          <w:p w:rsidR="009464D6" w:rsidRPr="002A65DC" w:rsidRDefault="009464D6">
            <w:pPr>
              <w:spacing w:after="0" w:line="480" w:lineRule="auto"/>
              <w:jc w:val="both"/>
              <w:rPr>
                <w:rFonts w:ascii="Times New Roman" w:hAnsi="Times New Roman"/>
                <w:sz w:val="24"/>
                <w:szCs w:val="24"/>
              </w:rPr>
            </w:pPr>
            <w:r w:rsidRPr="002A65DC">
              <w:rPr>
                <w:rFonts w:ascii="Times New Roman" w:hAnsi="Times New Roman"/>
                <w:sz w:val="24"/>
                <w:szCs w:val="24"/>
              </w:rPr>
              <w:t>24%</w:t>
            </w:r>
          </w:p>
        </w:tc>
        <w:tc>
          <w:tcPr>
            <w:tcW w:w="270"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6D149C">
            <w:pPr>
              <w:spacing w:after="0" w:line="480" w:lineRule="auto"/>
              <w:jc w:val="both"/>
              <w:rPr>
                <w:rFonts w:ascii="Times New Roman" w:hAnsi="Times New Roman"/>
                <w:sz w:val="24"/>
                <w:szCs w:val="24"/>
              </w:rPr>
            </w:pPr>
          </w:p>
        </w:tc>
        <w:tc>
          <w:tcPr>
            <w:tcW w:w="252"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6D149C">
            <w:pPr>
              <w:spacing w:after="0" w:line="480" w:lineRule="auto"/>
              <w:jc w:val="both"/>
              <w:rPr>
                <w:rFonts w:ascii="Times New Roman" w:hAnsi="Times New Roman"/>
                <w:sz w:val="24"/>
                <w:szCs w:val="24"/>
              </w:rPr>
            </w:pPr>
          </w:p>
        </w:tc>
        <w:tc>
          <w:tcPr>
            <w:tcW w:w="1635"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2800D5">
            <w:pPr>
              <w:spacing w:after="0" w:line="480" w:lineRule="auto"/>
              <w:jc w:val="both"/>
              <w:rPr>
                <w:rFonts w:ascii="Times New Roman" w:hAnsi="Times New Roman"/>
                <w:sz w:val="24"/>
                <w:szCs w:val="24"/>
              </w:rPr>
            </w:pPr>
            <w:r w:rsidRPr="002A65DC">
              <w:rPr>
                <w:rFonts w:ascii="Times New Roman" w:hAnsi="Times New Roman"/>
                <w:sz w:val="24"/>
                <w:szCs w:val="24"/>
              </w:rPr>
              <w:t>30</w:t>
            </w:r>
          </w:p>
          <w:p w:rsidR="009464D6" w:rsidRPr="002A65DC" w:rsidRDefault="009464D6">
            <w:pPr>
              <w:spacing w:after="0" w:line="480" w:lineRule="auto"/>
              <w:jc w:val="both"/>
              <w:rPr>
                <w:rFonts w:ascii="Times New Roman" w:hAnsi="Times New Roman"/>
                <w:sz w:val="24"/>
                <w:szCs w:val="24"/>
              </w:rPr>
            </w:pPr>
            <w:r w:rsidRPr="002A65DC">
              <w:rPr>
                <w:rFonts w:ascii="Times New Roman" w:hAnsi="Times New Roman"/>
                <w:sz w:val="24"/>
                <w:szCs w:val="24"/>
              </w:rPr>
              <w:t>25%</w:t>
            </w:r>
          </w:p>
        </w:tc>
      </w:tr>
    </w:tbl>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Source: Research's Analysis (2025)</w:t>
      </w:r>
    </w:p>
    <w:p w:rsidR="006D149C" w:rsidRPr="002A65DC" w:rsidRDefault="00915F4F">
      <w:pPr>
        <w:spacing w:after="0" w:line="480" w:lineRule="auto"/>
        <w:jc w:val="both"/>
        <w:rPr>
          <w:rFonts w:ascii="Times New Roman" w:hAnsi="Times New Roman"/>
          <w:b/>
          <w:bCs/>
          <w:sz w:val="24"/>
          <w:szCs w:val="24"/>
        </w:rPr>
      </w:pPr>
      <w:r w:rsidRPr="002A65DC">
        <w:rPr>
          <w:rFonts w:ascii="Times New Roman" w:hAnsi="Times New Roman"/>
          <w:noProof/>
          <w:sz w:val="24"/>
          <w:szCs w:val="24"/>
        </w:rPr>
        <w:drawing>
          <wp:inline distT="0" distB="0" distL="0" distR="0" wp14:anchorId="4B6B802E" wp14:editId="76214B0F">
            <wp:extent cx="4581525" cy="2724150"/>
            <wp:effectExtent l="0" t="0" r="9525" b="0"/>
            <wp:docPr id="123379255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D149C" w:rsidRPr="002A65DC" w:rsidRDefault="00000000" w:rsidP="003C3685">
      <w:pPr>
        <w:spacing w:after="0" w:line="360" w:lineRule="auto"/>
        <w:jc w:val="both"/>
        <w:rPr>
          <w:rFonts w:ascii="Times New Roman" w:hAnsi="Times New Roman"/>
          <w:b/>
          <w:bCs/>
          <w:sz w:val="24"/>
          <w:szCs w:val="24"/>
        </w:rPr>
      </w:pPr>
      <w:r w:rsidRPr="002A65DC">
        <w:rPr>
          <w:rFonts w:ascii="Times New Roman" w:hAnsi="Times New Roman"/>
          <w:b/>
          <w:bCs/>
          <w:sz w:val="24"/>
          <w:szCs w:val="24"/>
        </w:rPr>
        <w:t>Figure 4.1.2: Percentage Distribution of Respondents according to Age</w:t>
      </w:r>
    </w:p>
    <w:p w:rsidR="002A65DC" w:rsidRDefault="00000000" w:rsidP="003C3685">
      <w:pPr>
        <w:spacing w:after="0" w:line="360" w:lineRule="auto"/>
        <w:jc w:val="both"/>
        <w:rPr>
          <w:rFonts w:ascii="Times New Roman" w:hAnsi="Times New Roman"/>
          <w:b/>
          <w:bCs/>
          <w:sz w:val="24"/>
          <w:szCs w:val="24"/>
        </w:rPr>
      </w:pPr>
      <w:r w:rsidRPr="002A65DC">
        <w:rPr>
          <w:rFonts w:ascii="Times New Roman" w:hAnsi="Times New Roman"/>
          <w:b/>
          <w:bCs/>
          <w:sz w:val="24"/>
          <w:szCs w:val="24"/>
        </w:rPr>
        <w:t>Source: Research's Analysis (2025)</w:t>
      </w: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lastRenderedPageBreak/>
        <w:t>4.1.3</w:t>
      </w:r>
      <w:r w:rsidRPr="002A65DC">
        <w:rPr>
          <w:rFonts w:ascii="Times New Roman" w:hAnsi="Times New Roman"/>
          <w:b/>
          <w:bCs/>
          <w:sz w:val="24"/>
          <w:szCs w:val="24"/>
        </w:rPr>
        <w:tab/>
        <w:t>Academic Qualification</w:t>
      </w:r>
    </w:p>
    <w:p w:rsidR="002A65DC" w:rsidRPr="002A65DC" w:rsidRDefault="00785D75">
      <w:pPr>
        <w:spacing w:after="0" w:line="480" w:lineRule="auto"/>
        <w:jc w:val="both"/>
        <w:rPr>
          <w:rFonts w:ascii="Times New Roman" w:hAnsi="Times New Roman"/>
          <w:sz w:val="24"/>
          <w:szCs w:val="24"/>
        </w:rPr>
      </w:pPr>
      <w:r w:rsidRPr="002A65DC">
        <w:rPr>
          <w:rFonts w:ascii="Times New Roman" w:hAnsi="Times New Roman"/>
          <w:sz w:val="24"/>
          <w:szCs w:val="24"/>
        </w:rPr>
        <w:t>From Figure 4.1.3, The largest number of respondents hold MTech/MSc qualifications, representing 40%, while HND/BSc, OND, and Ph.</w:t>
      </w:r>
      <w:r w:rsidR="009464D6" w:rsidRPr="002A65DC">
        <w:rPr>
          <w:rFonts w:ascii="Times New Roman" w:hAnsi="Times New Roman"/>
          <w:sz w:val="24"/>
          <w:szCs w:val="24"/>
        </w:rPr>
        <w:t xml:space="preserve"> </w:t>
      </w:r>
      <w:r w:rsidRPr="002A65DC">
        <w:rPr>
          <w:rFonts w:ascii="Times New Roman" w:hAnsi="Times New Roman"/>
          <w:sz w:val="24"/>
          <w:szCs w:val="24"/>
        </w:rPr>
        <w:t xml:space="preserve">D holders represent 33%, 18%, and </w:t>
      </w:r>
      <w:r w:rsidR="009E1340" w:rsidRPr="002A65DC">
        <w:rPr>
          <w:rFonts w:ascii="Times New Roman" w:hAnsi="Times New Roman"/>
          <w:sz w:val="24"/>
          <w:szCs w:val="24"/>
        </w:rPr>
        <w:t>9</w:t>
      </w:r>
      <w:r w:rsidRPr="002A65DC">
        <w:rPr>
          <w:rFonts w:ascii="Times New Roman" w:hAnsi="Times New Roman"/>
          <w:sz w:val="24"/>
          <w:szCs w:val="24"/>
        </w:rPr>
        <w:t xml:space="preserve">% respectively. </w:t>
      </w:r>
    </w:p>
    <w:tbl>
      <w:tblPr>
        <w:tblW w:w="7937" w:type="dxa"/>
        <w:tblInd w:w="108" w:type="dxa"/>
        <w:tblLook w:val="04A0" w:firstRow="1" w:lastRow="0" w:firstColumn="1" w:lastColumn="0" w:noHBand="0" w:noVBand="1"/>
      </w:tblPr>
      <w:tblGrid>
        <w:gridCol w:w="612"/>
        <w:gridCol w:w="4033"/>
        <w:gridCol w:w="1472"/>
        <w:gridCol w:w="255"/>
        <w:gridCol w:w="1082"/>
        <w:gridCol w:w="483"/>
      </w:tblGrid>
      <w:tr w:rsidR="006D149C" w:rsidRPr="002A65DC" w:rsidTr="003C3685">
        <w:trPr>
          <w:trHeight w:val="305"/>
        </w:trPr>
        <w:tc>
          <w:tcPr>
            <w:tcW w:w="7937" w:type="dxa"/>
            <w:gridSpan w:val="6"/>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Table 4.</w:t>
            </w:r>
            <w:r w:rsidRPr="002A65DC">
              <w:rPr>
                <w:rFonts w:ascii="Times New Roman" w:eastAsia="Times New Roman" w:hAnsi="Times New Roman"/>
                <w:b/>
                <w:bCs/>
                <w:color w:val="000000"/>
                <w:sz w:val="24"/>
                <w:szCs w:val="24"/>
                <w:lang w:eastAsia="en-GB"/>
              </w:rPr>
              <w:t>1.</w:t>
            </w:r>
            <w:r w:rsidRPr="002A65DC">
              <w:rPr>
                <w:rFonts w:ascii="Times New Roman" w:eastAsia="Times New Roman" w:hAnsi="Times New Roman"/>
                <w:b/>
                <w:bCs/>
                <w:color w:val="000000"/>
                <w:sz w:val="24"/>
                <w:szCs w:val="24"/>
                <w:lang w:val="en-GB" w:eastAsia="en-GB"/>
              </w:rPr>
              <w:t>3 Educational Qualification of Respondents</w:t>
            </w:r>
          </w:p>
        </w:tc>
      </w:tr>
      <w:tr w:rsidR="006D149C" w:rsidRPr="002A65DC" w:rsidTr="003C3685">
        <w:trPr>
          <w:trHeight w:val="305"/>
        </w:trPr>
        <w:tc>
          <w:tcPr>
            <w:tcW w:w="612"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S/N</w:t>
            </w:r>
          </w:p>
        </w:tc>
        <w:tc>
          <w:tcPr>
            <w:tcW w:w="5760" w:type="dxa"/>
            <w:gridSpan w:val="3"/>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Educational Qualification</w:t>
            </w:r>
            <w:r w:rsidR="002800D5" w:rsidRPr="002A65DC">
              <w:rPr>
                <w:rFonts w:ascii="Times New Roman" w:eastAsia="Times New Roman" w:hAnsi="Times New Roman"/>
                <w:b/>
                <w:bCs/>
                <w:color w:val="000000"/>
                <w:sz w:val="24"/>
                <w:szCs w:val="24"/>
                <w:lang w:val="en-GB" w:eastAsia="en-GB"/>
              </w:rPr>
              <w:t xml:space="preserve">              </w:t>
            </w:r>
            <w:r w:rsidR="009464D6" w:rsidRPr="002A65DC">
              <w:rPr>
                <w:rFonts w:ascii="Times New Roman" w:eastAsia="Times New Roman" w:hAnsi="Times New Roman"/>
                <w:b/>
                <w:bCs/>
                <w:color w:val="000000"/>
                <w:sz w:val="24"/>
                <w:szCs w:val="24"/>
                <w:lang w:val="en-GB" w:eastAsia="en-GB"/>
              </w:rPr>
              <w:t>Frequency</w:t>
            </w:r>
          </w:p>
        </w:tc>
        <w:tc>
          <w:tcPr>
            <w:tcW w:w="1563" w:type="dxa"/>
            <w:gridSpan w:val="2"/>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b/>
                <w:bCs/>
                <w:sz w:val="24"/>
                <w:szCs w:val="24"/>
              </w:rPr>
            </w:pPr>
            <w:r w:rsidRPr="002A65DC">
              <w:rPr>
                <w:rFonts w:ascii="Times New Roman" w:eastAsia="Times New Roman" w:hAnsi="Times New Roman"/>
                <w:color w:val="000000"/>
                <w:sz w:val="24"/>
                <w:szCs w:val="24"/>
                <w:lang w:val="en-GB" w:eastAsia="en-GB"/>
              </w:rPr>
              <w:t xml:space="preserve"> </w:t>
            </w:r>
            <w:r w:rsidR="009464D6" w:rsidRPr="002A65DC">
              <w:rPr>
                <w:rFonts w:ascii="Times New Roman" w:eastAsia="Times New Roman" w:hAnsi="Times New Roman"/>
                <w:b/>
                <w:bCs/>
                <w:color w:val="000000"/>
                <w:sz w:val="24"/>
                <w:szCs w:val="24"/>
                <w:lang w:val="en-GB" w:eastAsia="en-GB"/>
              </w:rPr>
              <w:t>Percentage</w:t>
            </w:r>
          </w:p>
        </w:tc>
      </w:tr>
      <w:tr w:rsidR="006D149C" w:rsidRPr="002A65DC" w:rsidTr="003C3685">
        <w:trPr>
          <w:gridAfter w:val="1"/>
          <w:wAfter w:w="483" w:type="dxa"/>
          <w:trHeight w:val="305"/>
        </w:trPr>
        <w:tc>
          <w:tcPr>
            <w:tcW w:w="612"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1</w:t>
            </w:r>
          </w:p>
        </w:tc>
        <w:tc>
          <w:tcPr>
            <w:tcW w:w="4033"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OND</w:t>
            </w:r>
          </w:p>
        </w:tc>
        <w:tc>
          <w:tcPr>
            <w:tcW w:w="1472" w:type="dxa"/>
            <w:shd w:val="clear" w:color="FFFFFF" w:fill="auto"/>
            <w:tcMar>
              <w:top w:w="0" w:type="dxa"/>
              <w:left w:w="108" w:type="dxa"/>
              <w:bottom w:w="0" w:type="dxa"/>
              <w:right w:w="108" w:type="dxa"/>
            </w:tcMar>
            <w:vAlign w:val="bottom"/>
          </w:tcPr>
          <w:p w:rsidR="006D149C" w:rsidRPr="002A65DC" w:rsidRDefault="002800D5">
            <w:pPr>
              <w:spacing w:after="0" w:line="480" w:lineRule="auto"/>
              <w:jc w:val="both"/>
              <w:rPr>
                <w:rFonts w:ascii="Times New Roman" w:hAnsi="Times New Roman"/>
                <w:sz w:val="24"/>
                <w:szCs w:val="24"/>
              </w:rPr>
            </w:pPr>
            <w:r w:rsidRPr="002A65DC">
              <w:rPr>
                <w:rFonts w:ascii="Times New Roman" w:hAnsi="Times New Roman"/>
                <w:sz w:val="24"/>
                <w:szCs w:val="24"/>
              </w:rPr>
              <w:t>22</w:t>
            </w:r>
          </w:p>
        </w:tc>
        <w:tc>
          <w:tcPr>
            <w:tcW w:w="1337" w:type="dxa"/>
            <w:gridSpan w:val="2"/>
            <w:shd w:val="clear" w:color="FFFFFF" w:fill="auto"/>
            <w:tcMar>
              <w:top w:w="0" w:type="dxa"/>
              <w:left w:w="108" w:type="dxa"/>
              <w:bottom w:w="0" w:type="dxa"/>
              <w:right w:w="108" w:type="dxa"/>
            </w:tcMar>
            <w:vAlign w:val="bottom"/>
          </w:tcPr>
          <w:p w:rsidR="006D149C" w:rsidRPr="002A65DC" w:rsidRDefault="009464D6">
            <w:pPr>
              <w:spacing w:after="0" w:line="480" w:lineRule="auto"/>
              <w:jc w:val="both"/>
              <w:rPr>
                <w:rFonts w:ascii="Times New Roman" w:hAnsi="Times New Roman"/>
                <w:sz w:val="24"/>
                <w:szCs w:val="24"/>
              </w:rPr>
            </w:pPr>
            <w:r w:rsidRPr="002A65DC">
              <w:rPr>
                <w:rFonts w:ascii="Times New Roman" w:hAnsi="Times New Roman"/>
                <w:sz w:val="24"/>
                <w:szCs w:val="24"/>
              </w:rPr>
              <w:t xml:space="preserve">           18%</w:t>
            </w:r>
          </w:p>
        </w:tc>
      </w:tr>
      <w:tr w:rsidR="006D149C" w:rsidRPr="002A65DC" w:rsidTr="003C3685">
        <w:trPr>
          <w:gridAfter w:val="1"/>
          <w:wAfter w:w="483" w:type="dxa"/>
          <w:trHeight w:val="305"/>
        </w:trPr>
        <w:tc>
          <w:tcPr>
            <w:tcW w:w="612"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2</w:t>
            </w:r>
          </w:p>
        </w:tc>
        <w:tc>
          <w:tcPr>
            <w:tcW w:w="4033"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eastAsia="en-GB"/>
              </w:rPr>
              <w:t>H</w:t>
            </w:r>
            <w:r w:rsidR="009464D6" w:rsidRPr="002A65DC">
              <w:rPr>
                <w:rFonts w:ascii="Times New Roman" w:eastAsia="Times New Roman" w:hAnsi="Times New Roman"/>
                <w:color w:val="000000"/>
                <w:sz w:val="24"/>
                <w:szCs w:val="24"/>
                <w:lang w:eastAsia="en-GB"/>
              </w:rPr>
              <w:t>N</w:t>
            </w:r>
            <w:r w:rsidRPr="002A65DC">
              <w:rPr>
                <w:rFonts w:ascii="Times New Roman" w:eastAsia="Times New Roman" w:hAnsi="Times New Roman"/>
                <w:color w:val="000000"/>
                <w:sz w:val="24"/>
                <w:szCs w:val="24"/>
                <w:lang w:eastAsia="en-GB"/>
              </w:rPr>
              <w:t>D</w:t>
            </w:r>
            <w:r w:rsidRPr="002A65DC">
              <w:rPr>
                <w:rFonts w:ascii="Times New Roman" w:eastAsia="Times New Roman" w:hAnsi="Times New Roman"/>
                <w:color w:val="000000"/>
                <w:sz w:val="24"/>
                <w:szCs w:val="24"/>
                <w:lang w:val="en-GB" w:eastAsia="en-GB"/>
              </w:rPr>
              <w:t xml:space="preserve"> / BSc</w:t>
            </w:r>
          </w:p>
        </w:tc>
        <w:tc>
          <w:tcPr>
            <w:tcW w:w="1472" w:type="dxa"/>
            <w:shd w:val="clear" w:color="FFFFFF" w:fill="auto"/>
            <w:tcMar>
              <w:top w:w="0" w:type="dxa"/>
              <w:left w:w="108" w:type="dxa"/>
              <w:bottom w:w="0" w:type="dxa"/>
              <w:right w:w="108" w:type="dxa"/>
            </w:tcMar>
            <w:vAlign w:val="bottom"/>
          </w:tcPr>
          <w:p w:rsidR="006D149C" w:rsidRPr="002A65DC" w:rsidRDefault="002800D5">
            <w:pPr>
              <w:spacing w:after="0" w:line="480" w:lineRule="auto"/>
              <w:jc w:val="both"/>
              <w:rPr>
                <w:rFonts w:ascii="Times New Roman" w:hAnsi="Times New Roman"/>
                <w:sz w:val="24"/>
                <w:szCs w:val="24"/>
              </w:rPr>
            </w:pPr>
            <w:r w:rsidRPr="002A65DC">
              <w:rPr>
                <w:rFonts w:ascii="Times New Roman" w:hAnsi="Times New Roman"/>
                <w:sz w:val="24"/>
                <w:szCs w:val="24"/>
              </w:rPr>
              <w:t>40</w:t>
            </w:r>
          </w:p>
        </w:tc>
        <w:tc>
          <w:tcPr>
            <w:tcW w:w="1337" w:type="dxa"/>
            <w:gridSpan w:val="2"/>
            <w:shd w:val="clear" w:color="FFFFFF" w:fill="auto"/>
            <w:tcMar>
              <w:top w:w="0" w:type="dxa"/>
              <w:left w:w="108" w:type="dxa"/>
              <w:bottom w:w="0" w:type="dxa"/>
              <w:right w:w="108" w:type="dxa"/>
            </w:tcMar>
            <w:vAlign w:val="bottom"/>
          </w:tcPr>
          <w:p w:rsidR="006D149C" w:rsidRPr="002A65DC" w:rsidRDefault="009464D6">
            <w:pPr>
              <w:spacing w:after="0" w:line="480" w:lineRule="auto"/>
              <w:jc w:val="both"/>
              <w:rPr>
                <w:rFonts w:ascii="Times New Roman" w:hAnsi="Times New Roman"/>
                <w:sz w:val="24"/>
                <w:szCs w:val="24"/>
              </w:rPr>
            </w:pPr>
            <w:r w:rsidRPr="002A65DC">
              <w:rPr>
                <w:rFonts w:ascii="Times New Roman" w:hAnsi="Times New Roman"/>
                <w:sz w:val="24"/>
                <w:szCs w:val="24"/>
              </w:rPr>
              <w:t xml:space="preserve">           33%</w:t>
            </w:r>
          </w:p>
        </w:tc>
      </w:tr>
      <w:tr w:rsidR="006D149C" w:rsidRPr="002A65DC" w:rsidTr="003C3685">
        <w:trPr>
          <w:gridAfter w:val="1"/>
          <w:wAfter w:w="483" w:type="dxa"/>
          <w:trHeight w:val="305"/>
        </w:trPr>
        <w:tc>
          <w:tcPr>
            <w:tcW w:w="612"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3</w:t>
            </w:r>
          </w:p>
        </w:tc>
        <w:tc>
          <w:tcPr>
            <w:tcW w:w="4033"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proofErr w:type="spellStart"/>
            <w:r w:rsidRPr="002A65DC">
              <w:rPr>
                <w:rFonts w:ascii="Times New Roman" w:eastAsia="Times New Roman" w:hAnsi="Times New Roman"/>
                <w:color w:val="000000"/>
                <w:sz w:val="24"/>
                <w:szCs w:val="24"/>
                <w:lang w:val="en-GB" w:eastAsia="en-GB"/>
              </w:rPr>
              <w:t>M.Tech</w:t>
            </w:r>
            <w:proofErr w:type="spellEnd"/>
            <w:r w:rsidRPr="002A65DC">
              <w:rPr>
                <w:rFonts w:ascii="Times New Roman" w:eastAsia="Times New Roman" w:hAnsi="Times New Roman"/>
                <w:color w:val="000000"/>
                <w:sz w:val="24"/>
                <w:szCs w:val="24"/>
                <w:lang w:val="en-GB" w:eastAsia="en-GB"/>
              </w:rPr>
              <w:t xml:space="preserve"> / MSc</w:t>
            </w:r>
          </w:p>
        </w:tc>
        <w:tc>
          <w:tcPr>
            <w:tcW w:w="1472" w:type="dxa"/>
            <w:shd w:val="clear" w:color="FFFFFF" w:fill="auto"/>
            <w:tcMar>
              <w:top w:w="0" w:type="dxa"/>
              <w:left w:w="108" w:type="dxa"/>
              <w:bottom w:w="0" w:type="dxa"/>
              <w:right w:w="108" w:type="dxa"/>
            </w:tcMar>
            <w:vAlign w:val="bottom"/>
          </w:tcPr>
          <w:p w:rsidR="006D149C" w:rsidRPr="002A65DC" w:rsidRDefault="00785D75">
            <w:pPr>
              <w:spacing w:after="0" w:line="480" w:lineRule="auto"/>
              <w:jc w:val="both"/>
              <w:rPr>
                <w:rFonts w:ascii="Times New Roman" w:hAnsi="Times New Roman"/>
                <w:sz w:val="24"/>
                <w:szCs w:val="24"/>
              </w:rPr>
            </w:pPr>
            <w:r w:rsidRPr="002A65DC">
              <w:rPr>
                <w:rFonts w:ascii="Times New Roman" w:hAnsi="Times New Roman"/>
                <w:sz w:val="24"/>
                <w:szCs w:val="24"/>
              </w:rPr>
              <w:t>4</w:t>
            </w:r>
            <w:r w:rsidR="002800D5" w:rsidRPr="002A65DC">
              <w:rPr>
                <w:rFonts w:ascii="Times New Roman" w:hAnsi="Times New Roman"/>
                <w:sz w:val="24"/>
                <w:szCs w:val="24"/>
              </w:rPr>
              <w:t>8</w:t>
            </w:r>
          </w:p>
        </w:tc>
        <w:tc>
          <w:tcPr>
            <w:tcW w:w="1337" w:type="dxa"/>
            <w:gridSpan w:val="2"/>
            <w:shd w:val="clear" w:color="FFFFFF" w:fill="auto"/>
            <w:tcMar>
              <w:top w:w="0" w:type="dxa"/>
              <w:left w:w="108" w:type="dxa"/>
              <w:bottom w:w="0" w:type="dxa"/>
              <w:right w:w="108" w:type="dxa"/>
            </w:tcMar>
            <w:vAlign w:val="bottom"/>
          </w:tcPr>
          <w:p w:rsidR="006D149C" w:rsidRPr="002A65DC" w:rsidRDefault="009464D6">
            <w:pPr>
              <w:spacing w:after="0" w:line="480" w:lineRule="auto"/>
              <w:jc w:val="both"/>
              <w:rPr>
                <w:rFonts w:ascii="Times New Roman" w:hAnsi="Times New Roman"/>
                <w:sz w:val="24"/>
                <w:szCs w:val="24"/>
              </w:rPr>
            </w:pPr>
            <w:r w:rsidRPr="002A65DC">
              <w:rPr>
                <w:rFonts w:ascii="Times New Roman" w:hAnsi="Times New Roman"/>
                <w:sz w:val="24"/>
                <w:szCs w:val="24"/>
              </w:rPr>
              <w:t xml:space="preserve">           40%</w:t>
            </w:r>
          </w:p>
        </w:tc>
      </w:tr>
      <w:tr w:rsidR="006D149C" w:rsidRPr="002A65DC" w:rsidTr="003C3685">
        <w:trPr>
          <w:gridAfter w:val="1"/>
          <w:wAfter w:w="483" w:type="dxa"/>
          <w:trHeight w:val="305"/>
        </w:trPr>
        <w:tc>
          <w:tcPr>
            <w:tcW w:w="612"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4</w:t>
            </w:r>
          </w:p>
        </w:tc>
        <w:tc>
          <w:tcPr>
            <w:tcW w:w="4033"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proofErr w:type="gramStart"/>
            <w:r w:rsidRPr="002A65DC">
              <w:rPr>
                <w:rFonts w:ascii="Times New Roman" w:eastAsia="Times New Roman" w:hAnsi="Times New Roman"/>
                <w:color w:val="000000"/>
                <w:sz w:val="24"/>
                <w:szCs w:val="24"/>
                <w:lang w:val="en-GB" w:eastAsia="en-GB"/>
              </w:rPr>
              <w:t>P</w:t>
            </w:r>
            <w:proofErr w:type="spellStart"/>
            <w:r w:rsidRPr="002A65DC">
              <w:rPr>
                <w:rFonts w:ascii="Times New Roman" w:eastAsia="Times New Roman" w:hAnsi="Times New Roman"/>
                <w:color w:val="000000"/>
                <w:sz w:val="24"/>
                <w:szCs w:val="24"/>
                <w:lang w:eastAsia="en-GB"/>
              </w:rPr>
              <w:t>h.</w:t>
            </w:r>
            <w:r w:rsidR="003C3685">
              <w:rPr>
                <w:rFonts w:ascii="Times New Roman" w:eastAsia="Times New Roman" w:hAnsi="Times New Roman"/>
                <w:color w:val="000000"/>
                <w:sz w:val="24"/>
                <w:szCs w:val="24"/>
                <w:lang w:eastAsia="en-GB"/>
              </w:rPr>
              <w:t>D</w:t>
            </w:r>
            <w:proofErr w:type="spellEnd"/>
            <w:proofErr w:type="gramEnd"/>
          </w:p>
        </w:tc>
        <w:tc>
          <w:tcPr>
            <w:tcW w:w="1472" w:type="dxa"/>
            <w:shd w:val="clear" w:color="FFFFFF" w:fill="auto"/>
            <w:tcMar>
              <w:top w:w="0" w:type="dxa"/>
              <w:left w:w="108" w:type="dxa"/>
              <w:bottom w:w="0" w:type="dxa"/>
              <w:right w:w="108" w:type="dxa"/>
            </w:tcMar>
            <w:vAlign w:val="bottom"/>
          </w:tcPr>
          <w:p w:rsidR="006D149C" w:rsidRPr="002A65DC" w:rsidRDefault="002800D5">
            <w:pPr>
              <w:spacing w:after="0" w:line="480" w:lineRule="auto"/>
              <w:jc w:val="both"/>
              <w:rPr>
                <w:rFonts w:ascii="Times New Roman" w:hAnsi="Times New Roman"/>
                <w:sz w:val="24"/>
                <w:szCs w:val="24"/>
              </w:rPr>
            </w:pPr>
            <w:r w:rsidRPr="002A65DC">
              <w:rPr>
                <w:rFonts w:ascii="Times New Roman" w:hAnsi="Times New Roman"/>
                <w:sz w:val="24"/>
                <w:szCs w:val="24"/>
              </w:rPr>
              <w:t>10</w:t>
            </w:r>
          </w:p>
        </w:tc>
        <w:tc>
          <w:tcPr>
            <w:tcW w:w="1337" w:type="dxa"/>
            <w:gridSpan w:val="2"/>
            <w:shd w:val="clear" w:color="FFFFFF" w:fill="auto"/>
            <w:tcMar>
              <w:top w:w="0" w:type="dxa"/>
              <w:left w:w="108" w:type="dxa"/>
              <w:bottom w:w="0" w:type="dxa"/>
              <w:right w:w="108" w:type="dxa"/>
            </w:tcMar>
            <w:vAlign w:val="bottom"/>
          </w:tcPr>
          <w:p w:rsidR="006D149C" w:rsidRPr="002A65DC" w:rsidRDefault="009464D6">
            <w:pPr>
              <w:spacing w:after="0" w:line="480" w:lineRule="auto"/>
              <w:jc w:val="both"/>
              <w:rPr>
                <w:rFonts w:ascii="Times New Roman" w:hAnsi="Times New Roman"/>
                <w:sz w:val="24"/>
                <w:szCs w:val="24"/>
              </w:rPr>
            </w:pPr>
            <w:r w:rsidRPr="002A65DC">
              <w:rPr>
                <w:rFonts w:ascii="Times New Roman" w:hAnsi="Times New Roman"/>
                <w:sz w:val="24"/>
                <w:szCs w:val="24"/>
              </w:rPr>
              <w:t xml:space="preserve">            </w:t>
            </w:r>
            <w:r w:rsidR="008649CC" w:rsidRPr="002A65DC">
              <w:rPr>
                <w:rFonts w:ascii="Times New Roman" w:hAnsi="Times New Roman"/>
                <w:sz w:val="24"/>
                <w:szCs w:val="24"/>
              </w:rPr>
              <w:t>9</w:t>
            </w:r>
            <w:r w:rsidRPr="002A65DC">
              <w:rPr>
                <w:rFonts w:ascii="Times New Roman" w:hAnsi="Times New Roman"/>
                <w:sz w:val="24"/>
                <w:szCs w:val="24"/>
              </w:rPr>
              <w:t>%</w:t>
            </w:r>
          </w:p>
        </w:tc>
      </w:tr>
      <w:tr w:rsidR="006D149C" w:rsidRPr="002A65DC" w:rsidTr="003C3685">
        <w:trPr>
          <w:gridAfter w:val="1"/>
          <w:wAfter w:w="483" w:type="dxa"/>
          <w:trHeight w:val="305"/>
        </w:trPr>
        <w:tc>
          <w:tcPr>
            <w:tcW w:w="612" w:type="dxa"/>
            <w:tcBorders>
              <w:top w:val="single" w:sz="4" w:space="0" w:color="auto"/>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c>
          <w:tcPr>
            <w:tcW w:w="4033" w:type="dxa"/>
            <w:tcBorders>
              <w:top w:val="single" w:sz="4" w:space="0" w:color="auto"/>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Total</w:t>
            </w:r>
          </w:p>
        </w:tc>
        <w:tc>
          <w:tcPr>
            <w:tcW w:w="1472" w:type="dxa"/>
            <w:tcBorders>
              <w:top w:val="single" w:sz="4" w:space="0" w:color="auto"/>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1</w:t>
            </w:r>
            <w:r w:rsidR="002800D5" w:rsidRPr="002A65DC">
              <w:rPr>
                <w:rFonts w:ascii="Times New Roman" w:hAnsi="Times New Roman"/>
                <w:b/>
                <w:bCs/>
                <w:sz w:val="24"/>
                <w:szCs w:val="24"/>
              </w:rPr>
              <w:t>2</w:t>
            </w:r>
            <w:r w:rsidRPr="002A65DC">
              <w:rPr>
                <w:rFonts w:ascii="Times New Roman" w:hAnsi="Times New Roman"/>
                <w:b/>
                <w:bCs/>
                <w:sz w:val="24"/>
                <w:szCs w:val="24"/>
              </w:rPr>
              <w:t xml:space="preserve">0 </w:t>
            </w:r>
          </w:p>
        </w:tc>
        <w:tc>
          <w:tcPr>
            <w:tcW w:w="1337" w:type="dxa"/>
            <w:gridSpan w:val="2"/>
            <w:tcBorders>
              <w:top w:val="single" w:sz="4" w:space="0" w:color="auto"/>
              <w:bottom w:val="single" w:sz="4" w:space="0" w:color="auto"/>
            </w:tcBorders>
            <w:shd w:val="clear" w:color="FFFFFF" w:fill="auto"/>
            <w:tcMar>
              <w:top w:w="0" w:type="dxa"/>
              <w:left w:w="108" w:type="dxa"/>
              <w:bottom w:w="0" w:type="dxa"/>
              <w:right w:w="108" w:type="dxa"/>
            </w:tcMar>
            <w:vAlign w:val="bottom"/>
          </w:tcPr>
          <w:p w:rsidR="006D149C" w:rsidRPr="002A65DC" w:rsidRDefault="00000000" w:rsidP="009464D6">
            <w:pPr>
              <w:spacing w:after="0" w:line="480" w:lineRule="auto"/>
              <w:ind w:right="-15"/>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r w:rsidR="009464D6" w:rsidRPr="002A65DC">
              <w:rPr>
                <w:rFonts w:ascii="Times New Roman" w:eastAsia="Times New Roman" w:hAnsi="Times New Roman"/>
                <w:color w:val="000000"/>
                <w:sz w:val="24"/>
                <w:szCs w:val="24"/>
                <w:lang w:val="en-GB" w:eastAsia="en-GB"/>
              </w:rPr>
              <w:t xml:space="preserve">        100%</w:t>
            </w:r>
          </w:p>
        </w:tc>
      </w:tr>
    </w:tbl>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Source: Research's Analysis (2025)</w:t>
      </w:r>
    </w:p>
    <w:p w:rsidR="006D149C" w:rsidRPr="002A65DC" w:rsidRDefault="00D70D7B">
      <w:pPr>
        <w:spacing w:after="0" w:line="480" w:lineRule="auto"/>
        <w:jc w:val="both"/>
        <w:rPr>
          <w:rFonts w:ascii="Times New Roman" w:hAnsi="Times New Roman"/>
          <w:b/>
          <w:bCs/>
          <w:sz w:val="24"/>
          <w:szCs w:val="24"/>
        </w:rPr>
      </w:pPr>
      <w:r w:rsidRPr="002A65DC">
        <w:rPr>
          <w:rFonts w:ascii="Times New Roman" w:hAnsi="Times New Roman"/>
          <w:noProof/>
          <w:sz w:val="24"/>
          <w:szCs w:val="24"/>
        </w:rPr>
        <w:drawing>
          <wp:inline distT="0" distB="0" distL="0" distR="0" wp14:anchorId="6FC3736A" wp14:editId="382FA703">
            <wp:extent cx="4457700" cy="2162175"/>
            <wp:effectExtent l="0" t="0" r="0" b="9525"/>
            <wp:docPr id="141191413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C3685" w:rsidRDefault="00000000" w:rsidP="003C3685">
      <w:pPr>
        <w:spacing w:after="0" w:line="360" w:lineRule="auto"/>
        <w:jc w:val="both"/>
        <w:rPr>
          <w:rFonts w:ascii="Times New Roman" w:hAnsi="Times New Roman"/>
          <w:b/>
          <w:bCs/>
          <w:sz w:val="24"/>
          <w:szCs w:val="24"/>
        </w:rPr>
      </w:pPr>
      <w:r w:rsidRPr="002A65DC">
        <w:rPr>
          <w:rFonts w:ascii="Times New Roman" w:hAnsi="Times New Roman"/>
          <w:b/>
          <w:bCs/>
          <w:sz w:val="24"/>
          <w:szCs w:val="24"/>
        </w:rPr>
        <w:t xml:space="preserve">Figure 4.1.3: Percentage Distribution of Respondents according to </w:t>
      </w:r>
    </w:p>
    <w:p w:rsidR="006D149C" w:rsidRPr="002A65DC" w:rsidRDefault="00000000" w:rsidP="003C3685">
      <w:pPr>
        <w:spacing w:after="0" w:line="360" w:lineRule="auto"/>
        <w:jc w:val="both"/>
        <w:rPr>
          <w:rFonts w:ascii="Times New Roman" w:hAnsi="Times New Roman"/>
          <w:b/>
          <w:bCs/>
          <w:sz w:val="24"/>
          <w:szCs w:val="24"/>
        </w:rPr>
      </w:pPr>
      <w:r w:rsidRPr="002A65DC">
        <w:rPr>
          <w:rFonts w:ascii="Times New Roman" w:hAnsi="Times New Roman"/>
          <w:b/>
          <w:bCs/>
          <w:sz w:val="24"/>
          <w:szCs w:val="24"/>
        </w:rPr>
        <w:t xml:space="preserve">Academic Qualification </w:t>
      </w:r>
    </w:p>
    <w:p w:rsidR="002A65DC" w:rsidRPr="003C3685" w:rsidRDefault="00000000" w:rsidP="00B17C82">
      <w:pPr>
        <w:spacing w:after="0" w:line="360" w:lineRule="auto"/>
        <w:jc w:val="both"/>
        <w:rPr>
          <w:rFonts w:ascii="Times New Roman" w:hAnsi="Times New Roman"/>
          <w:b/>
          <w:bCs/>
          <w:sz w:val="24"/>
          <w:szCs w:val="24"/>
        </w:rPr>
      </w:pPr>
      <w:r w:rsidRPr="002A65DC">
        <w:rPr>
          <w:rFonts w:ascii="Times New Roman" w:hAnsi="Times New Roman"/>
          <w:b/>
          <w:bCs/>
          <w:sz w:val="24"/>
          <w:szCs w:val="24"/>
        </w:rPr>
        <w:t>Source: Research's Analysis (2025)</w:t>
      </w:r>
    </w:p>
    <w:p w:rsidR="00785D75" w:rsidRPr="002A65DC" w:rsidRDefault="00000000" w:rsidP="00B17C82">
      <w:pPr>
        <w:spacing w:after="0" w:line="360" w:lineRule="auto"/>
        <w:jc w:val="both"/>
        <w:rPr>
          <w:rFonts w:ascii="Times New Roman" w:eastAsia="Calibri" w:hAnsi="Times New Roman"/>
          <w:b/>
          <w:bCs/>
          <w:sz w:val="24"/>
          <w:szCs w:val="24"/>
          <w:lang w:eastAsia="en-US"/>
        </w:rPr>
      </w:pPr>
      <w:r w:rsidRPr="002A65DC">
        <w:rPr>
          <w:rFonts w:ascii="Times New Roman" w:eastAsia="Calibri" w:hAnsi="Times New Roman"/>
          <w:b/>
          <w:bCs/>
          <w:sz w:val="24"/>
          <w:szCs w:val="24"/>
          <w:lang w:eastAsia="en-US"/>
        </w:rPr>
        <w:lastRenderedPageBreak/>
        <w:t>4.1.5     Professional Qualification</w:t>
      </w:r>
    </w:p>
    <w:p w:rsidR="00B17C82" w:rsidRPr="002A65DC" w:rsidRDefault="00B17C82" w:rsidP="003C3685">
      <w:pPr>
        <w:spacing w:after="0" w:line="480" w:lineRule="auto"/>
        <w:jc w:val="both"/>
        <w:rPr>
          <w:rFonts w:ascii="Times New Roman" w:hAnsi="Times New Roman"/>
          <w:sz w:val="24"/>
          <w:szCs w:val="24"/>
        </w:rPr>
      </w:pPr>
      <w:r w:rsidRPr="002A65DC">
        <w:rPr>
          <w:rFonts w:ascii="Times New Roman" w:hAnsi="Times New Roman"/>
          <w:sz w:val="24"/>
          <w:szCs w:val="24"/>
        </w:rPr>
        <w:t xml:space="preserve">From figure 4.1.5 The table above shows the professional background of the respondents. The largest number of respondents are Engineers, representing 25%, followed by Quantity Surveyors at 24%. Builders, Project Managers, and Architects account for </w:t>
      </w:r>
      <w:r w:rsidR="008649CC" w:rsidRPr="002A65DC">
        <w:rPr>
          <w:rFonts w:ascii="Times New Roman" w:hAnsi="Times New Roman"/>
          <w:sz w:val="24"/>
          <w:szCs w:val="24"/>
        </w:rPr>
        <w:t>19</w:t>
      </w:r>
      <w:r w:rsidRPr="002A65DC">
        <w:rPr>
          <w:rFonts w:ascii="Times New Roman" w:hAnsi="Times New Roman"/>
          <w:sz w:val="24"/>
          <w:szCs w:val="24"/>
        </w:rPr>
        <w:t>%, 1</w:t>
      </w:r>
      <w:r w:rsidR="008649CC" w:rsidRPr="002A65DC">
        <w:rPr>
          <w:rFonts w:ascii="Times New Roman" w:hAnsi="Times New Roman"/>
          <w:sz w:val="24"/>
          <w:szCs w:val="24"/>
        </w:rPr>
        <w:t>3</w:t>
      </w:r>
      <w:r w:rsidRPr="002A65DC">
        <w:rPr>
          <w:rFonts w:ascii="Times New Roman" w:hAnsi="Times New Roman"/>
          <w:sz w:val="24"/>
          <w:szCs w:val="24"/>
        </w:rPr>
        <w:t>%, and 1</w:t>
      </w:r>
      <w:r w:rsidR="009E1340" w:rsidRPr="002A65DC">
        <w:rPr>
          <w:rFonts w:ascii="Times New Roman" w:hAnsi="Times New Roman"/>
          <w:sz w:val="24"/>
          <w:szCs w:val="24"/>
        </w:rPr>
        <w:t>2</w:t>
      </w:r>
      <w:r w:rsidRPr="002A65DC">
        <w:rPr>
          <w:rFonts w:ascii="Times New Roman" w:hAnsi="Times New Roman"/>
          <w:sz w:val="24"/>
          <w:szCs w:val="24"/>
        </w:rPr>
        <w:t xml:space="preserve">% respectively, while Others represent 7%. </w:t>
      </w:r>
    </w:p>
    <w:tbl>
      <w:tblPr>
        <w:tblW w:w="8038" w:type="dxa"/>
        <w:tblInd w:w="108" w:type="dxa"/>
        <w:tblLook w:val="04A0" w:firstRow="1" w:lastRow="0" w:firstColumn="1" w:lastColumn="0" w:noHBand="0" w:noVBand="1"/>
      </w:tblPr>
      <w:tblGrid>
        <w:gridCol w:w="924"/>
        <w:gridCol w:w="3288"/>
        <w:gridCol w:w="276"/>
        <w:gridCol w:w="2031"/>
        <w:gridCol w:w="6"/>
        <w:gridCol w:w="1507"/>
        <w:gridCol w:w="6"/>
      </w:tblGrid>
      <w:tr w:rsidR="006D149C" w:rsidRPr="002A65DC" w:rsidTr="009464D6">
        <w:trPr>
          <w:gridAfter w:val="1"/>
          <w:wAfter w:w="6" w:type="dxa"/>
          <w:trHeight w:val="283"/>
        </w:trPr>
        <w:tc>
          <w:tcPr>
            <w:tcW w:w="6519" w:type="dxa"/>
            <w:gridSpan w:val="4"/>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36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Table 4.</w:t>
            </w:r>
            <w:r w:rsidRPr="002A65DC">
              <w:rPr>
                <w:rFonts w:ascii="Times New Roman" w:eastAsia="Times New Roman" w:hAnsi="Times New Roman"/>
                <w:b/>
                <w:bCs/>
                <w:color w:val="000000"/>
                <w:sz w:val="24"/>
                <w:szCs w:val="24"/>
                <w:lang w:eastAsia="en-GB"/>
              </w:rPr>
              <w:t>1.</w:t>
            </w:r>
            <w:r w:rsidRPr="002A65DC">
              <w:rPr>
                <w:rFonts w:ascii="Times New Roman" w:eastAsia="Times New Roman" w:hAnsi="Times New Roman"/>
                <w:b/>
                <w:bCs/>
                <w:color w:val="000000"/>
                <w:sz w:val="24"/>
                <w:szCs w:val="24"/>
                <w:lang w:val="en-GB" w:eastAsia="en-GB"/>
              </w:rPr>
              <w:t>5 Professional Qualification of Participants</w:t>
            </w:r>
          </w:p>
        </w:tc>
        <w:tc>
          <w:tcPr>
            <w:tcW w:w="1513" w:type="dxa"/>
            <w:gridSpan w:val="2"/>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36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r>
      <w:tr w:rsidR="006D149C" w:rsidRPr="002A65DC" w:rsidTr="009464D6">
        <w:trPr>
          <w:trHeight w:val="283"/>
        </w:trPr>
        <w:tc>
          <w:tcPr>
            <w:tcW w:w="924"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S/N</w:t>
            </w:r>
          </w:p>
        </w:tc>
        <w:tc>
          <w:tcPr>
            <w:tcW w:w="3288" w:type="dxa"/>
            <w:tcBorders>
              <w:bottom w:val="single" w:sz="4" w:space="0" w:color="auto"/>
            </w:tcBorders>
            <w:shd w:val="clear" w:color="FFFFFF" w:fill="auto"/>
            <w:tcMar>
              <w:top w:w="0" w:type="dxa"/>
              <w:left w:w="108" w:type="dxa"/>
              <w:bottom w:w="0" w:type="dxa"/>
              <w:right w:w="108" w:type="dxa"/>
            </w:tcMar>
            <w:vAlign w:val="center"/>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Profession</w:t>
            </w:r>
          </w:p>
        </w:tc>
        <w:tc>
          <w:tcPr>
            <w:tcW w:w="276"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c>
          <w:tcPr>
            <w:tcW w:w="2037" w:type="dxa"/>
            <w:gridSpan w:val="2"/>
            <w:tcBorders>
              <w:bottom w:val="single" w:sz="4" w:space="0" w:color="auto"/>
            </w:tcBorders>
            <w:shd w:val="clear" w:color="FFFFFF" w:fill="auto"/>
            <w:tcMar>
              <w:top w:w="0" w:type="dxa"/>
              <w:left w:w="108" w:type="dxa"/>
              <w:bottom w:w="0" w:type="dxa"/>
              <w:right w:w="108" w:type="dxa"/>
            </w:tcMar>
            <w:vAlign w:val="bottom"/>
          </w:tcPr>
          <w:p w:rsidR="006D149C" w:rsidRPr="002A65DC" w:rsidRDefault="009464D6" w:rsidP="003C3685">
            <w:pPr>
              <w:spacing w:after="0" w:line="48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Frequency</w:t>
            </w:r>
          </w:p>
        </w:tc>
        <w:tc>
          <w:tcPr>
            <w:tcW w:w="1513" w:type="dxa"/>
            <w:gridSpan w:val="2"/>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r w:rsidR="009464D6" w:rsidRPr="002A65DC">
              <w:rPr>
                <w:rFonts w:ascii="Times New Roman" w:eastAsia="Times New Roman" w:hAnsi="Times New Roman"/>
                <w:b/>
                <w:bCs/>
                <w:color w:val="000000"/>
                <w:sz w:val="24"/>
                <w:szCs w:val="24"/>
                <w:lang w:val="en-GB" w:eastAsia="en-GB"/>
              </w:rPr>
              <w:t>Percentage</w:t>
            </w:r>
            <w:r w:rsidR="009464D6" w:rsidRPr="002A65DC">
              <w:rPr>
                <w:rFonts w:ascii="Times New Roman" w:eastAsia="Times New Roman" w:hAnsi="Times New Roman"/>
                <w:color w:val="000000"/>
                <w:sz w:val="24"/>
                <w:szCs w:val="24"/>
                <w:lang w:val="en-GB" w:eastAsia="en-GB"/>
              </w:rPr>
              <w:t xml:space="preserve"> </w:t>
            </w:r>
          </w:p>
        </w:tc>
      </w:tr>
      <w:tr w:rsidR="006D149C" w:rsidRPr="002A65DC" w:rsidTr="009464D6">
        <w:trPr>
          <w:trHeight w:val="283"/>
        </w:trPr>
        <w:tc>
          <w:tcPr>
            <w:tcW w:w="924" w:type="dxa"/>
            <w:tcBorders>
              <w:top w:val="single" w:sz="4" w:space="0" w:color="auto"/>
            </w:tcBorders>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1</w:t>
            </w:r>
          </w:p>
        </w:tc>
        <w:tc>
          <w:tcPr>
            <w:tcW w:w="3288" w:type="dxa"/>
            <w:tcBorders>
              <w:top w:val="single" w:sz="4" w:space="0" w:color="auto"/>
            </w:tcBorders>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Quantity Surveyor</w:t>
            </w:r>
          </w:p>
        </w:tc>
        <w:tc>
          <w:tcPr>
            <w:tcW w:w="276" w:type="dxa"/>
            <w:tcBorders>
              <w:top w:val="single" w:sz="4" w:space="0" w:color="auto"/>
            </w:tcBorders>
            <w:shd w:val="clear" w:color="FFFFFF" w:fill="auto"/>
            <w:tcMar>
              <w:top w:w="0" w:type="dxa"/>
              <w:left w:w="108" w:type="dxa"/>
              <w:bottom w:w="0" w:type="dxa"/>
              <w:right w:w="108" w:type="dxa"/>
            </w:tcMar>
            <w:vAlign w:val="bottom"/>
          </w:tcPr>
          <w:p w:rsidR="006D149C" w:rsidRPr="002A65DC" w:rsidRDefault="006D149C" w:rsidP="003C3685">
            <w:pPr>
              <w:spacing w:after="0" w:line="480" w:lineRule="auto"/>
              <w:jc w:val="both"/>
              <w:rPr>
                <w:rFonts w:ascii="Times New Roman" w:hAnsi="Times New Roman"/>
                <w:sz w:val="24"/>
                <w:szCs w:val="24"/>
              </w:rPr>
            </w:pPr>
          </w:p>
        </w:tc>
        <w:tc>
          <w:tcPr>
            <w:tcW w:w="2037" w:type="dxa"/>
            <w:gridSpan w:val="2"/>
            <w:tcBorders>
              <w:top w:val="single" w:sz="4" w:space="0" w:color="auto"/>
            </w:tcBorders>
            <w:shd w:val="clear" w:color="FFFFFF" w:fill="auto"/>
            <w:tcMar>
              <w:top w:w="0" w:type="dxa"/>
              <w:left w:w="108" w:type="dxa"/>
              <w:bottom w:w="0" w:type="dxa"/>
              <w:right w:w="108" w:type="dxa"/>
            </w:tcMar>
            <w:vAlign w:val="bottom"/>
          </w:tcPr>
          <w:p w:rsidR="006D149C" w:rsidRPr="002A65DC" w:rsidRDefault="002800D5" w:rsidP="003C3685">
            <w:pPr>
              <w:spacing w:after="0" w:line="480" w:lineRule="auto"/>
              <w:jc w:val="both"/>
              <w:rPr>
                <w:rFonts w:ascii="Times New Roman" w:hAnsi="Times New Roman"/>
                <w:sz w:val="24"/>
                <w:szCs w:val="24"/>
              </w:rPr>
            </w:pPr>
            <w:r w:rsidRPr="002A65DC">
              <w:rPr>
                <w:rFonts w:ascii="Times New Roman" w:hAnsi="Times New Roman"/>
                <w:sz w:val="24"/>
                <w:szCs w:val="24"/>
              </w:rPr>
              <w:t>29</w:t>
            </w:r>
          </w:p>
        </w:tc>
        <w:tc>
          <w:tcPr>
            <w:tcW w:w="1513" w:type="dxa"/>
            <w:gridSpan w:val="2"/>
            <w:tcBorders>
              <w:top w:val="single" w:sz="4" w:space="0" w:color="auto"/>
            </w:tcBorders>
            <w:shd w:val="clear" w:color="FFFFFF" w:fill="auto"/>
            <w:tcMar>
              <w:top w:w="0" w:type="dxa"/>
              <w:left w:w="108" w:type="dxa"/>
              <w:bottom w:w="0" w:type="dxa"/>
              <w:right w:w="108" w:type="dxa"/>
            </w:tcMar>
            <w:vAlign w:val="bottom"/>
          </w:tcPr>
          <w:p w:rsidR="006D149C" w:rsidRPr="002A65DC" w:rsidRDefault="009464D6" w:rsidP="003C3685">
            <w:pPr>
              <w:spacing w:after="0" w:line="480" w:lineRule="auto"/>
              <w:jc w:val="both"/>
              <w:rPr>
                <w:rFonts w:ascii="Times New Roman" w:hAnsi="Times New Roman"/>
                <w:sz w:val="24"/>
                <w:szCs w:val="24"/>
              </w:rPr>
            </w:pPr>
            <w:r w:rsidRPr="002A65DC">
              <w:rPr>
                <w:rFonts w:ascii="Times New Roman" w:hAnsi="Times New Roman"/>
                <w:sz w:val="24"/>
                <w:szCs w:val="24"/>
              </w:rPr>
              <w:t xml:space="preserve">     </w:t>
            </w:r>
            <w:r w:rsidR="00FA412D" w:rsidRPr="002A65DC">
              <w:rPr>
                <w:rFonts w:ascii="Times New Roman" w:hAnsi="Times New Roman"/>
                <w:sz w:val="24"/>
                <w:szCs w:val="24"/>
              </w:rPr>
              <w:t>24%</w:t>
            </w:r>
          </w:p>
        </w:tc>
      </w:tr>
      <w:tr w:rsidR="006D149C" w:rsidRPr="002A65DC" w:rsidTr="009464D6">
        <w:trPr>
          <w:trHeight w:val="283"/>
        </w:trPr>
        <w:tc>
          <w:tcPr>
            <w:tcW w:w="924" w:type="dxa"/>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2</w:t>
            </w:r>
          </w:p>
        </w:tc>
        <w:tc>
          <w:tcPr>
            <w:tcW w:w="3288" w:type="dxa"/>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Architect</w:t>
            </w:r>
          </w:p>
        </w:tc>
        <w:tc>
          <w:tcPr>
            <w:tcW w:w="276" w:type="dxa"/>
            <w:shd w:val="clear" w:color="FFFFFF" w:fill="auto"/>
            <w:tcMar>
              <w:top w:w="0" w:type="dxa"/>
              <w:left w:w="108" w:type="dxa"/>
              <w:bottom w:w="0" w:type="dxa"/>
              <w:right w:w="108" w:type="dxa"/>
            </w:tcMar>
            <w:vAlign w:val="bottom"/>
          </w:tcPr>
          <w:p w:rsidR="006D149C" w:rsidRPr="002A65DC" w:rsidRDefault="006D149C" w:rsidP="003C3685">
            <w:pPr>
              <w:spacing w:after="0" w:line="480" w:lineRule="auto"/>
              <w:jc w:val="both"/>
              <w:rPr>
                <w:rFonts w:ascii="Times New Roman" w:hAnsi="Times New Roman"/>
                <w:sz w:val="24"/>
                <w:szCs w:val="24"/>
              </w:rPr>
            </w:pPr>
          </w:p>
        </w:tc>
        <w:tc>
          <w:tcPr>
            <w:tcW w:w="2037" w:type="dxa"/>
            <w:gridSpan w:val="2"/>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hAnsi="Times New Roman"/>
                <w:sz w:val="24"/>
                <w:szCs w:val="24"/>
              </w:rPr>
              <w:t>1</w:t>
            </w:r>
            <w:r w:rsidR="002800D5" w:rsidRPr="002A65DC">
              <w:rPr>
                <w:rFonts w:ascii="Times New Roman" w:hAnsi="Times New Roman"/>
                <w:sz w:val="24"/>
                <w:szCs w:val="24"/>
              </w:rPr>
              <w:t>4</w:t>
            </w:r>
          </w:p>
        </w:tc>
        <w:tc>
          <w:tcPr>
            <w:tcW w:w="1513" w:type="dxa"/>
            <w:gridSpan w:val="2"/>
            <w:shd w:val="clear" w:color="FFFFFF" w:fill="auto"/>
            <w:tcMar>
              <w:top w:w="0" w:type="dxa"/>
              <w:left w:w="108" w:type="dxa"/>
              <w:bottom w:w="0" w:type="dxa"/>
              <w:right w:w="108" w:type="dxa"/>
            </w:tcMar>
            <w:vAlign w:val="bottom"/>
          </w:tcPr>
          <w:p w:rsidR="006D149C" w:rsidRPr="002A65DC" w:rsidRDefault="00FA412D" w:rsidP="003C3685">
            <w:pPr>
              <w:spacing w:after="0" w:line="480" w:lineRule="auto"/>
              <w:jc w:val="both"/>
              <w:rPr>
                <w:rFonts w:ascii="Times New Roman" w:hAnsi="Times New Roman"/>
                <w:sz w:val="24"/>
                <w:szCs w:val="24"/>
              </w:rPr>
            </w:pPr>
            <w:r w:rsidRPr="002A65DC">
              <w:rPr>
                <w:rFonts w:ascii="Times New Roman" w:hAnsi="Times New Roman"/>
                <w:sz w:val="24"/>
                <w:szCs w:val="24"/>
              </w:rPr>
              <w:t xml:space="preserve">     12%</w:t>
            </w:r>
          </w:p>
        </w:tc>
      </w:tr>
      <w:tr w:rsidR="006D149C" w:rsidRPr="002A65DC" w:rsidTr="009464D6">
        <w:trPr>
          <w:trHeight w:val="283"/>
        </w:trPr>
        <w:tc>
          <w:tcPr>
            <w:tcW w:w="924" w:type="dxa"/>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3</w:t>
            </w:r>
          </w:p>
        </w:tc>
        <w:tc>
          <w:tcPr>
            <w:tcW w:w="3288" w:type="dxa"/>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hAnsi="Times New Roman"/>
                <w:sz w:val="24"/>
                <w:szCs w:val="24"/>
              </w:rPr>
              <w:t xml:space="preserve">Project manager </w:t>
            </w:r>
          </w:p>
        </w:tc>
        <w:tc>
          <w:tcPr>
            <w:tcW w:w="276" w:type="dxa"/>
            <w:shd w:val="clear" w:color="FFFFFF" w:fill="auto"/>
            <w:tcMar>
              <w:top w:w="0" w:type="dxa"/>
              <w:left w:w="108" w:type="dxa"/>
              <w:bottom w:w="0" w:type="dxa"/>
              <w:right w:w="108" w:type="dxa"/>
            </w:tcMar>
            <w:vAlign w:val="bottom"/>
          </w:tcPr>
          <w:p w:rsidR="006D149C" w:rsidRPr="002A65DC" w:rsidRDefault="006D149C" w:rsidP="003C3685">
            <w:pPr>
              <w:spacing w:after="0" w:line="480" w:lineRule="auto"/>
              <w:jc w:val="both"/>
              <w:rPr>
                <w:rFonts w:ascii="Times New Roman" w:hAnsi="Times New Roman"/>
                <w:sz w:val="24"/>
                <w:szCs w:val="24"/>
              </w:rPr>
            </w:pPr>
          </w:p>
        </w:tc>
        <w:tc>
          <w:tcPr>
            <w:tcW w:w="2037" w:type="dxa"/>
            <w:gridSpan w:val="2"/>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hAnsi="Times New Roman"/>
                <w:sz w:val="24"/>
                <w:szCs w:val="24"/>
              </w:rPr>
              <w:t>1</w:t>
            </w:r>
            <w:r w:rsidR="00FA412D" w:rsidRPr="002A65DC">
              <w:rPr>
                <w:rFonts w:ascii="Times New Roman" w:hAnsi="Times New Roman"/>
                <w:sz w:val="24"/>
                <w:szCs w:val="24"/>
              </w:rPr>
              <w:t>5</w:t>
            </w:r>
          </w:p>
        </w:tc>
        <w:tc>
          <w:tcPr>
            <w:tcW w:w="1513" w:type="dxa"/>
            <w:gridSpan w:val="2"/>
            <w:shd w:val="clear" w:color="FFFFFF" w:fill="auto"/>
            <w:tcMar>
              <w:top w:w="0" w:type="dxa"/>
              <w:left w:w="108" w:type="dxa"/>
              <w:bottom w:w="0" w:type="dxa"/>
              <w:right w:w="108" w:type="dxa"/>
            </w:tcMar>
            <w:vAlign w:val="bottom"/>
          </w:tcPr>
          <w:p w:rsidR="006D149C" w:rsidRPr="002A65DC" w:rsidRDefault="00FA412D" w:rsidP="003C3685">
            <w:pPr>
              <w:spacing w:after="0" w:line="480" w:lineRule="auto"/>
              <w:jc w:val="both"/>
              <w:rPr>
                <w:rFonts w:ascii="Times New Roman" w:hAnsi="Times New Roman"/>
                <w:sz w:val="24"/>
                <w:szCs w:val="24"/>
              </w:rPr>
            </w:pPr>
            <w:r w:rsidRPr="002A65DC">
              <w:rPr>
                <w:rFonts w:ascii="Times New Roman" w:hAnsi="Times New Roman"/>
                <w:sz w:val="24"/>
                <w:szCs w:val="24"/>
              </w:rPr>
              <w:t xml:space="preserve">     13%</w:t>
            </w:r>
          </w:p>
        </w:tc>
      </w:tr>
      <w:tr w:rsidR="006D149C" w:rsidRPr="002A65DC" w:rsidTr="009464D6">
        <w:trPr>
          <w:trHeight w:val="283"/>
        </w:trPr>
        <w:tc>
          <w:tcPr>
            <w:tcW w:w="924" w:type="dxa"/>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6</w:t>
            </w:r>
          </w:p>
        </w:tc>
        <w:tc>
          <w:tcPr>
            <w:tcW w:w="3288" w:type="dxa"/>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Builder</w:t>
            </w:r>
          </w:p>
        </w:tc>
        <w:tc>
          <w:tcPr>
            <w:tcW w:w="276" w:type="dxa"/>
            <w:shd w:val="clear" w:color="FFFFFF" w:fill="auto"/>
            <w:tcMar>
              <w:top w:w="0" w:type="dxa"/>
              <w:left w:w="108" w:type="dxa"/>
              <w:bottom w:w="0" w:type="dxa"/>
              <w:right w:w="108" w:type="dxa"/>
            </w:tcMar>
            <w:vAlign w:val="bottom"/>
          </w:tcPr>
          <w:p w:rsidR="006D149C" w:rsidRPr="002A65DC" w:rsidRDefault="006D149C" w:rsidP="003C3685">
            <w:pPr>
              <w:spacing w:after="0" w:line="480" w:lineRule="auto"/>
              <w:jc w:val="both"/>
              <w:rPr>
                <w:rFonts w:ascii="Times New Roman" w:hAnsi="Times New Roman"/>
                <w:sz w:val="24"/>
                <w:szCs w:val="24"/>
              </w:rPr>
            </w:pPr>
          </w:p>
        </w:tc>
        <w:tc>
          <w:tcPr>
            <w:tcW w:w="2037" w:type="dxa"/>
            <w:gridSpan w:val="2"/>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hAnsi="Times New Roman"/>
                <w:sz w:val="24"/>
                <w:szCs w:val="24"/>
              </w:rPr>
              <w:t>2</w:t>
            </w:r>
            <w:r w:rsidR="002800D5" w:rsidRPr="002A65DC">
              <w:rPr>
                <w:rFonts w:ascii="Times New Roman" w:hAnsi="Times New Roman"/>
                <w:sz w:val="24"/>
                <w:szCs w:val="24"/>
              </w:rPr>
              <w:t>4</w:t>
            </w:r>
          </w:p>
        </w:tc>
        <w:tc>
          <w:tcPr>
            <w:tcW w:w="1513" w:type="dxa"/>
            <w:gridSpan w:val="2"/>
            <w:shd w:val="clear" w:color="FFFFFF" w:fill="auto"/>
            <w:tcMar>
              <w:top w:w="0" w:type="dxa"/>
              <w:left w:w="108" w:type="dxa"/>
              <w:bottom w:w="0" w:type="dxa"/>
              <w:right w:w="108" w:type="dxa"/>
            </w:tcMar>
            <w:vAlign w:val="bottom"/>
          </w:tcPr>
          <w:p w:rsidR="006D149C" w:rsidRPr="002A65DC" w:rsidRDefault="00FA412D" w:rsidP="003C3685">
            <w:pPr>
              <w:spacing w:after="0" w:line="480" w:lineRule="auto"/>
              <w:jc w:val="both"/>
              <w:rPr>
                <w:rFonts w:ascii="Times New Roman" w:hAnsi="Times New Roman"/>
                <w:sz w:val="24"/>
                <w:szCs w:val="24"/>
              </w:rPr>
            </w:pPr>
            <w:r w:rsidRPr="002A65DC">
              <w:rPr>
                <w:rFonts w:ascii="Times New Roman" w:hAnsi="Times New Roman"/>
                <w:sz w:val="24"/>
                <w:szCs w:val="24"/>
              </w:rPr>
              <w:t xml:space="preserve">     19%</w:t>
            </w:r>
          </w:p>
        </w:tc>
      </w:tr>
      <w:tr w:rsidR="006D149C" w:rsidRPr="002A65DC" w:rsidTr="009464D6">
        <w:trPr>
          <w:trHeight w:val="283"/>
        </w:trPr>
        <w:tc>
          <w:tcPr>
            <w:tcW w:w="924" w:type="dxa"/>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eastAsia="Times New Roman" w:hAnsi="Times New Roman"/>
                <w:color w:val="000000"/>
                <w:sz w:val="24"/>
                <w:szCs w:val="24"/>
                <w:lang w:val="en-GB" w:eastAsia="en-GB"/>
              </w:rPr>
            </w:pPr>
            <w:r w:rsidRPr="002A65DC">
              <w:rPr>
                <w:rFonts w:ascii="Times New Roman" w:eastAsia="Times New Roman" w:hAnsi="Times New Roman"/>
                <w:color w:val="000000"/>
                <w:sz w:val="24"/>
                <w:szCs w:val="24"/>
                <w:lang w:eastAsia="en-GB"/>
              </w:rPr>
              <w:t>7</w:t>
            </w:r>
          </w:p>
        </w:tc>
        <w:tc>
          <w:tcPr>
            <w:tcW w:w="3288" w:type="dxa"/>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eastAsia="Times New Roman" w:hAnsi="Times New Roman"/>
                <w:color w:val="000000"/>
                <w:sz w:val="24"/>
                <w:szCs w:val="24"/>
                <w:lang w:val="en-GB" w:eastAsia="en-GB"/>
              </w:rPr>
            </w:pPr>
            <w:r w:rsidRPr="002A65DC">
              <w:rPr>
                <w:rFonts w:ascii="Times New Roman" w:eastAsia="Times New Roman" w:hAnsi="Times New Roman"/>
                <w:color w:val="000000"/>
                <w:sz w:val="24"/>
                <w:szCs w:val="24"/>
                <w:lang w:eastAsia="en-GB"/>
              </w:rPr>
              <w:t xml:space="preserve">Engineer </w:t>
            </w:r>
          </w:p>
        </w:tc>
        <w:tc>
          <w:tcPr>
            <w:tcW w:w="276" w:type="dxa"/>
            <w:shd w:val="clear" w:color="FFFFFF" w:fill="auto"/>
            <w:tcMar>
              <w:top w:w="0" w:type="dxa"/>
              <w:left w:w="108" w:type="dxa"/>
              <w:bottom w:w="0" w:type="dxa"/>
              <w:right w:w="108" w:type="dxa"/>
            </w:tcMar>
            <w:vAlign w:val="bottom"/>
          </w:tcPr>
          <w:p w:rsidR="006D149C" w:rsidRPr="002A65DC" w:rsidRDefault="006D149C" w:rsidP="003C3685">
            <w:pPr>
              <w:spacing w:after="0" w:line="480" w:lineRule="auto"/>
              <w:jc w:val="both"/>
              <w:rPr>
                <w:rFonts w:ascii="Times New Roman" w:eastAsia="Times New Roman" w:hAnsi="Times New Roman"/>
                <w:color w:val="000000"/>
                <w:sz w:val="24"/>
                <w:szCs w:val="24"/>
                <w:lang w:val="en-GB" w:eastAsia="en-GB"/>
              </w:rPr>
            </w:pPr>
          </w:p>
        </w:tc>
        <w:tc>
          <w:tcPr>
            <w:tcW w:w="2037" w:type="dxa"/>
            <w:gridSpan w:val="2"/>
            <w:shd w:val="clear" w:color="FFFFFF" w:fill="auto"/>
            <w:tcMar>
              <w:top w:w="0" w:type="dxa"/>
              <w:left w:w="108" w:type="dxa"/>
              <w:bottom w:w="0" w:type="dxa"/>
              <w:right w:w="108" w:type="dxa"/>
            </w:tcMar>
            <w:vAlign w:val="bottom"/>
          </w:tcPr>
          <w:p w:rsidR="006D149C" w:rsidRPr="002A65DC" w:rsidRDefault="002800D5" w:rsidP="003C3685">
            <w:pPr>
              <w:spacing w:after="0" w:line="480" w:lineRule="auto"/>
              <w:jc w:val="both"/>
              <w:rPr>
                <w:rFonts w:ascii="Times New Roman" w:eastAsia="Times New Roman" w:hAnsi="Times New Roman"/>
                <w:color w:val="000000"/>
                <w:sz w:val="24"/>
                <w:szCs w:val="24"/>
                <w:lang w:val="en-GB" w:eastAsia="en-GB"/>
              </w:rPr>
            </w:pPr>
            <w:r w:rsidRPr="002A65DC">
              <w:rPr>
                <w:rFonts w:ascii="Times New Roman" w:eastAsia="Times New Roman" w:hAnsi="Times New Roman"/>
                <w:color w:val="000000"/>
                <w:sz w:val="24"/>
                <w:szCs w:val="24"/>
                <w:lang w:val="en-GB" w:eastAsia="en-GB"/>
              </w:rPr>
              <w:t>30</w:t>
            </w:r>
          </w:p>
        </w:tc>
        <w:tc>
          <w:tcPr>
            <w:tcW w:w="1513" w:type="dxa"/>
            <w:gridSpan w:val="2"/>
            <w:shd w:val="clear" w:color="FFFFFF" w:fill="auto"/>
            <w:tcMar>
              <w:top w:w="0" w:type="dxa"/>
              <w:left w:w="108" w:type="dxa"/>
              <w:bottom w:w="0" w:type="dxa"/>
              <w:right w:w="108" w:type="dxa"/>
            </w:tcMar>
            <w:vAlign w:val="bottom"/>
          </w:tcPr>
          <w:p w:rsidR="006D149C" w:rsidRPr="002A65DC" w:rsidRDefault="00FA412D" w:rsidP="003C3685">
            <w:pPr>
              <w:spacing w:after="0" w:line="480" w:lineRule="auto"/>
              <w:jc w:val="both"/>
              <w:rPr>
                <w:rFonts w:ascii="Times New Roman" w:eastAsia="Times New Roman" w:hAnsi="Times New Roman"/>
                <w:color w:val="000000"/>
                <w:sz w:val="24"/>
                <w:szCs w:val="24"/>
                <w:lang w:val="en-GB" w:eastAsia="en-GB"/>
              </w:rPr>
            </w:pPr>
            <w:r w:rsidRPr="002A65DC">
              <w:rPr>
                <w:rFonts w:ascii="Times New Roman" w:eastAsia="Times New Roman" w:hAnsi="Times New Roman"/>
                <w:color w:val="000000"/>
                <w:sz w:val="24"/>
                <w:szCs w:val="24"/>
                <w:lang w:val="en-GB" w:eastAsia="en-GB"/>
              </w:rPr>
              <w:t xml:space="preserve">     25%</w:t>
            </w:r>
          </w:p>
        </w:tc>
      </w:tr>
      <w:tr w:rsidR="006D149C" w:rsidRPr="002A65DC" w:rsidTr="009464D6">
        <w:trPr>
          <w:trHeight w:val="283"/>
        </w:trPr>
        <w:tc>
          <w:tcPr>
            <w:tcW w:w="924" w:type="dxa"/>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hAnsi="Times New Roman"/>
                <w:sz w:val="24"/>
                <w:szCs w:val="24"/>
              </w:rPr>
              <w:t>8</w:t>
            </w:r>
          </w:p>
        </w:tc>
        <w:tc>
          <w:tcPr>
            <w:tcW w:w="3288" w:type="dxa"/>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Others</w:t>
            </w:r>
          </w:p>
        </w:tc>
        <w:tc>
          <w:tcPr>
            <w:tcW w:w="276" w:type="dxa"/>
            <w:shd w:val="clear" w:color="FFFFFF" w:fill="auto"/>
            <w:tcMar>
              <w:top w:w="0" w:type="dxa"/>
              <w:left w:w="108" w:type="dxa"/>
              <w:bottom w:w="0" w:type="dxa"/>
              <w:right w:w="108" w:type="dxa"/>
            </w:tcMar>
            <w:vAlign w:val="bottom"/>
          </w:tcPr>
          <w:p w:rsidR="006D149C" w:rsidRPr="002A65DC" w:rsidRDefault="006D149C" w:rsidP="003C3685">
            <w:pPr>
              <w:spacing w:after="0" w:line="480" w:lineRule="auto"/>
              <w:jc w:val="both"/>
              <w:rPr>
                <w:rFonts w:ascii="Times New Roman" w:hAnsi="Times New Roman"/>
                <w:sz w:val="24"/>
                <w:szCs w:val="24"/>
              </w:rPr>
            </w:pPr>
          </w:p>
        </w:tc>
        <w:tc>
          <w:tcPr>
            <w:tcW w:w="2037" w:type="dxa"/>
            <w:gridSpan w:val="2"/>
            <w:shd w:val="clear" w:color="FFFFFF" w:fill="auto"/>
            <w:tcMar>
              <w:top w:w="0" w:type="dxa"/>
              <w:left w:w="108" w:type="dxa"/>
              <w:bottom w:w="0" w:type="dxa"/>
              <w:right w:w="108" w:type="dxa"/>
            </w:tcMar>
            <w:vAlign w:val="bottom"/>
          </w:tcPr>
          <w:p w:rsidR="006D149C" w:rsidRPr="002A65DC" w:rsidRDefault="002800D5" w:rsidP="003C3685">
            <w:pPr>
              <w:spacing w:after="0" w:line="480" w:lineRule="auto"/>
              <w:jc w:val="both"/>
              <w:rPr>
                <w:rFonts w:ascii="Times New Roman" w:hAnsi="Times New Roman"/>
                <w:sz w:val="24"/>
                <w:szCs w:val="24"/>
              </w:rPr>
            </w:pPr>
            <w:r w:rsidRPr="002A65DC">
              <w:rPr>
                <w:rFonts w:ascii="Times New Roman" w:hAnsi="Times New Roman"/>
                <w:sz w:val="24"/>
                <w:szCs w:val="24"/>
              </w:rPr>
              <w:t>8</w:t>
            </w:r>
          </w:p>
        </w:tc>
        <w:tc>
          <w:tcPr>
            <w:tcW w:w="1513" w:type="dxa"/>
            <w:gridSpan w:val="2"/>
            <w:shd w:val="clear" w:color="FFFFFF" w:fill="auto"/>
            <w:tcMar>
              <w:top w:w="0" w:type="dxa"/>
              <w:left w:w="108" w:type="dxa"/>
              <w:bottom w:w="0" w:type="dxa"/>
              <w:right w:w="108" w:type="dxa"/>
            </w:tcMar>
            <w:vAlign w:val="bottom"/>
          </w:tcPr>
          <w:p w:rsidR="006D149C" w:rsidRPr="002A65DC" w:rsidRDefault="00FA412D" w:rsidP="003C3685">
            <w:pPr>
              <w:spacing w:after="0" w:line="480" w:lineRule="auto"/>
              <w:jc w:val="both"/>
              <w:rPr>
                <w:rFonts w:ascii="Times New Roman" w:hAnsi="Times New Roman"/>
                <w:sz w:val="24"/>
                <w:szCs w:val="24"/>
              </w:rPr>
            </w:pPr>
            <w:r w:rsidRPr="002A65DC">
              <w:rPr>
                <w:rFonts w:ascii="Times New Roman" w:hAnsi="Times New Roman"/>
                <w:sz w:val="24"/>
                <w:szCs w:val="24"/>
              </w:rPr>
              <w:t xml:space="preserve">     7%</w:t>
            </w:r>
          </w:p>
        </w:tc>
      </w:tr>
      <w:tr w:rsidR="006D149C" w:rsidRPr="002A65DC" w:rsidTr="009464D6">
        <w:trPr>
          <w:trHeight w:val="283"/>
        </w:trPr>
        <w:tc>
          <w:tcPr>
            <w:tcW w:w="924" w:type="dxa"/>
            <w:tcBorders>
              <w:top w:val="single" w:sz="4" w:space="0" w:color="auto"/>
              <w:bottom w:val="single" w:sz="4" w:space="0" w:color="auto"/>
            </w:tcBorders>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c>
          <w:tcPr>
            <w:tcW w:w="3288" w:type="dxa"/>
            <w:tcBorders>
              <w:top w:val="single" w:sz="4" w:space="0" w:color="auto"/>
              <w:bottom w:val="single" w:sz="4" w:space="0" w:color="auto"/>
            </w:tcBorders>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Total</w:t>
            </w:r>
          </w:p>
        </w:tc>
        <w:tc>
          <w:tcPr>
            <w:tcW w:w="276" w:type="dxa"/>
            <w:tcBorders>
              <w:top w:val="single" w:sz="4" w:space="0" w:color="auto"/>
              <w:bottom w:val="single" w:sz="4" w:space="0" w:color="auto"/>
            </w:tcBorders>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c>
          <w:tcPr>
            <w:tcW w:w="2037" w:type="dxa"/>
            <w:gridSpan w:val="2"/>
            <w:tcBorders>
              <w:top w:val="single" w:sz="4" w:space="0" w:color="auto"/>
              <w:bottom w:val="single" w:sz="4" w:space="0" w:color="auto"/>
            </w:tcBorders>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b/>
                <w:bCs/>
                <w:sz w:val="24"/>
                <w:szCs w:val="24"/>
              </w:rPr>
            </w:pPr>
            <w:r w:rsidRPr="002A65DC">
              <w:rPr>
                <w:rFonts w:ascii="Times New Roman" w:hAnsi="Times New Roman"/>
                <w:b/>
                <w:bCs/>
                <w:sz w:val="24"/>
                <w:szCs w:val="24"/>
              </w:rPr>
              <w:t>1</w:t>
            </w:r>
            <w:r w:rsidR="002800D5" w:rsidRPr="002A65DC">
              <w:rPr>
                <w:rFonts w:ascii="Times New Roman" w:hAnsi="Times New Roman"/>
                <w:b/>
                <w:bCs/>
                <w:sz w:val="24"/>
                <w:szCs w:val="24"/>
              </w:rPr>
              <w:t>2</w:t>
            </w:r>
            <w:r w:rsidRPr="002A65DC">
              <w:rPr>
                <w:rFonts w:ascii="Times New Roman" w:hAnsi="Times New Roman"/>
                <w:b/>
                <w:bCs/>
                <w:sz w:val="24"/>
                <w:szCs w:val="24"/>
              </w:rPr>
              <w:t>0</w:t>
            </w:r>
          </w:p>
        </w:tc>
        <w:tc>
          <w:tcPr>
            <w:tcW w:w="1513" w:type="dxa"/>
            <w:gridSpan w:val="2"/>
            <w:tcBorders>
              <w:top w:val="single" w:sz="4" w:space="0" w:color="auto"/>
              <w:bottom w:val="single" w:sz="4" w:space="0" w:color="auto"/>
            </w:tcBorders>
            <w:shd w:val="clear" w:color="FFFFFF" w:fill="auto"/>
            <w:tcMar>
              <w:top w:w="0" w:type="dxa"/>
              <w:left w:w="108" w:type="dxa"/>
              <w:bottom w:w="0" w:type="dxa"/>
              <w:right w:w="108" w:type="dxa"/>
            </w:tcMar>
            <w:vAlign w:val="bottom"/>
          </w:tcPr>
          <w:p w:rsidR="006D149C" w:rsidRPr="002A65DC" w:rsidRDefault="00000000" w:rsidP="003C3685">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r w:rsidR="00FA412D" w:rsidRPr="002A65DC">
              <w:rPr>
                <w:rFonts w:ascii="Times New Roman" w:eastAsia="Times New Roman" w:hAnsi="Times New Roman"/>
                <w:color w:val="000000"/>
                <w:sz w:val="24"/>
                <w:szCs w:val="24"/>
                <w:lang w:val="en-GB" w:eastAsia="en-GB"/>
              </w:rPr>
              <w:t xml:space="preserve">   100%</w:t>
            </w:r>
          </w:p>
        </w:tc>
      </w:tr>
    </w:tbl>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Source: Research's Analysis (2025)</w:t>
      </w:r>
    </w:p>
    <w:p w:rsidR="006D149C" w:rsidRPr="002A65DC" w:rsidRDefault="00D70D7B">
      <w:pPr>
        <w:spacing w:after="0" w:line="480" w:lineRule="auto"/>
        <w:jc w:val="both"/>
        <w:rPr>
          <w:rFonts w:ascii="Times New Roman" w:hAnsi="Times New Roman"/>
          <w:b/>
          <w:bCs/>
          <w:sz w:val="24"/>
          <w:szCs w:val="24"/>
        </w:rPr>
      </w:pPr>
      <w:r w:rsidRPr="002A65DC">
        <w:rPr>
          <w:rFonts w:ascii="Times New Roman" w:hAnsi="Times New Roman"/>
          <w:noProof/>
          <w:sz w:val="24"/>
          <w:szCs w:val="24"/>
        </w:rPr>
        <w:lastRenderedPageBreak/>
        <w:drawing>
          <wp:inline distT="0" distB="0" distL="0" distR="0" wp14:anchorId="19F3EB48" wp14:editId="3D95E58D">
            <wp:extent cx="5067300" cy="2952750"/>
            <wp:effectExtent l="0" t="0" r="0" b="0"/>
            <wp:docPr id="55379075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C3685" w:rsidRDefault="00000000">
      <w:pPr>
        <w:spacing w:after="0" w:line="360" w:lineRule="auto"/>
        <w:jc w:val="both"/>
        <w:rPr>
          <w:rFonts w:ascii="Times New Roman" w:hAnsi="Times New Roman"/>
          <w:b/>
          <w:bCs/>
          <w:sz w:val="24"/>
          <w:szCs w:val="24"/>
        </w:rPr>
      </w:pPr>
      <w:r w:rsidRPr="002A65DC">
        <w:rPr>
          <w:rFonts w:ascii="Times New Roman" w:hAnsi="Times New Roman"/>
          <w:b/>
          <w:bCs/>
          <w:sz w:val="24"/>
          <w:szCs w:val="24"/>
        </w:rPr>
        <w:t xml:space="preserve">Figure 4.1.5: Percentage Distribution of Respondents according to </w:t>
      </w:r>
    </w:p>
    <w:p w:rsidR="006D149C" w:rsidRPr="002A65DC" w:rsidRDefault="00000000">
      <w:pPr>
        <w:spacing w:after="0" w:line="360" w:lineRule="auto"/>
        <w:jc w:val="both"/>
        <w:rPr>
          <w:rFonts w:ascii="Times New Roman" w:hAnsi="Times New Roman"/>
          <w:b/>
          <w:bCs/>
          <w:sz w:val="24"/>
          <w:szCs w:val="24"/>
        </w:rPr>
      </w:pPr>
      <w:r w:rsidRPr="002A65DC">
        <w:rPr>
          <w:rFonts w:ascii="Times New Roman" w:hAnsi="Times New Roman"/>
          <w:b/>
          <w:bCs/>
          <w:sz w:val="24"/>
          <w:szCs w:val="24"/>
        </w:rPr>
        <w:t xml:space="preserve">professional Qualification </w:t>
      </w:r>
    </w:p>
    <w:p w:rsidR="006D149C" w:rsidRPr="002A65DC" w:rsidRDefault="00000000">
      <w:pPr>
        <w:spacing w:after="0" w:line="360" w:lineRule="auto"/>
        <w:jc w:val="both"/>
        <w:rPr>
          <w:rFonts w:ascii="Times New Roman" w:hAnsi="Times New Roman"/>
          <w:b/>
          <w:bCs/>
          <w:sz w:val="24"/>
          <w:szCs w:val="24"/>
        </w:rPr>
      </w:pPr>
      <w:r w:rsidRPr="002A65DC">
        <w:rPr>
          <w:rFonts w:ascii="Times New Roman" w:hAnsi="Times New Roman"/>
          <w:b/>
          <w:bCs/>
          <w:sz w:val="24"/>
          <w:szCs w:val="24"/>
        </w:rPr>
        <w:t>Source: Research's Analysis (2025)</w:t>
      </w:r>
    </w:p>
    <w:p w:rsidR="002A65DC" w:rsidRDefault="002A65DC">
      <w:pPr>
        <w:spacing w:after="0" w:line="480" w:lineRule="auto"/>
        <w:jc w:val="both"/>
        <w:rPr>
          <w:rFonts w:ascii="Times New Roman" w:hAnsi="Times New Roman"/>
          <w:b/>
          <w:bCs/>
          <w:sz w:val="24"/>
          <w:szCs w:val="24"/>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4.1.6     Project Experience</w:t>
      </w:r>
    </w:p>
    <w:p w:rsidR="006D149C" w:rsidRDefault="00B12E25">
      <w:pPr>
        <w:spacing w:after="0" w:line="480" w:lineRule="auto"/>
        <w:jc w:val="both"/>
        <w:rPr>
          <w:rFonts w:ascii="Times New Roman" w:hAnsi="Times New Roman"/>
          <w:sz w:val="24"/>
          <w:szCs w:val="24"/>
        </w:rPr>
      </w:pPr>
      <w:r w:rsidRPr="002A65DC">
        <w:rPr>
          <w:rFonts w:ascii="Times New Roman" w:hAnsi="Times New Roman"/>
          <w:sz w:val="24"/>
          <w:szCs w:val="24"/>
        </w:rPr>
        <w:t>From Figure 4.1.6, The largest number of respondents have 11–15 years of experience, representing 3</w:t>
      </w:r>
      <w:r w:rsidR="009E1340" w:rsidRPr="002A65DC">
        <w:rPr>
          <w:rFonts w:ascii="Times New Roman" w:hAnsi="Times New Roman"/>
          <w:sz w:val="24"/>
          <w:szCs w:val="24"/>
        </w:rPr>
        <w:t>6</w:t>
      </w:r>
      <w:r w:rsidRPr="002A65DC">
        <w:rPr>
          <w:rFonts w:ascii="Times New Roman" w:hAnsi="Times New Roman"/>
          <w:sz w:val="24"/>
          <w:szCs w:val="24"/>
        </w:rPr>
        <w:t>%, followed by those with 5–10 years at 33%. Respondents with above 15 years of experience account for 18%, while the lowest group, those with below 5 years, represent 1</w:t>
      </w:r>
      <w:r w:rsidR="009E1340" w:rsidRPr="002A65DC">
        <w:rPr>
          <w:rFonts w:ascii="Times New Roman" w:hAnsi="Times New Roman"/>
          <w:sz w:val="24"/>
          <w:szCs w:val="24"/>
        </w:rPr>
        <w:t>3</w:t>
      </w:r>
      <w:r w:rsidRPr="002A65DC">
        <w:rPr>
          <w:rFonts w:ascii="Times New Roman" w:hAnsi="Times New Roman"/>
          <w:sz w:val="24"/>
          <w:szCs w:val="24"/>
        </w:rPr>
        <w:t xml:space="preserve">%. </w:t>
      </w:r>
    </w:p>
    <w:p w:rsidR="003C3685" w:rsidRDefault="003C3685">
      <w:pPr>
        <w:spacing w:after="0" w:line="480" w:lineRule="auto"/>
        <w:jc w:val="both"/>
        <w:rPr>
          <w:rFonts w:ascii="Times New Roman" w:hAnsi="Times New Roman"/>
          <w:sz w:val="24"/>
          <w:szCs w:val="24"/>
        </w:rPr>
      </w:pPr>
    </w:p>
    <w:p w:rsidR="003C3685" w:rsidRDefault="003C3685">
      <w:pPr>
        <w:spacing w:after="0" w:line="480" w:lineRule="auto"/>
        <w:jc w:val="both"/>
        <w:rPr>
          <w:rFonts w:ascii="Times New Roman" w:hAnsi="Times New Roman"/>
          <w:sz w:val="24"/>
          <w:szCs w:val="24"/>
        </w:rPr>
      </w:pPr>
    </w:p>
    <w:p w:rsidR="003C3685" w:rsidRPr="002A65DC" w:rsidRDefault="003C3685">
      <w:pPr>
        <w:spacing w:after="0" w:line="480" w:lineRule="auto"/>
        <w:jc w:val="both"/>
        <w:rPr>
          <w:rFonts w:ascii="Times New Roman" w:hAnsi="Times New Roman"/>
          <w:sz w:val="24"/>
          <w:szCs w:val="24"/>
        </w:rPr>
      </w:pPr>
    </w:p>
    <w:tbl>
      <w:tblPr>
        <w:tblW w:w="8257" w:type="dxa"/>
        <w:tblInd w:w="108" w:type="dxa"/>
        <w:tblLook w:val="04A0" w:firstRow="1" w:lastRow="0" w:firstColumn="1" w:lastColumn="0" w:noHBand="0" w:noVBand="1"/>
      </w:tblPr>
      <w:tblGrid>
        <w:gridCol w:w="792"/>
        <w:gridCol w:w="1938"/>
        <w:gridCol w:w="1710"/>
        <w:gridCol w:w="1786"/>
        <w:gridCol w:w="2031"/>
      </w:tblGrid>
      <w:tr w:rsidR="006D149C" w:rsidRPr="002A65DC" w:rsidTr="009464D6">
        <w:trPr>
          <w:trHeight w:val="340"/>
        </w:trPr>
        <w:tc>
          <w:tcPr>
            <w:tcW w:w="6223" w:type="dxa"/>
            <w:gridSpan w:val="4"/>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lastRenderedPageBreak/>
              <w:t>Table 4.</w:t>
            </w:r>
            <w:r w:rsidRPr="002A65DC">
              <w:rPr>
                <w:rFonts w:ascii="Times New Roman" w:eastAsia="Times New Roman" w:hAnsi="Times New Roman"/>
                <w:b/>
                <w:bCs/>
                <w:color w:val="000000"/>
                <w:sz w:val="24"/>
                <w:szCs w:val="24"/>
                <w:lang w:eastAsia="en-GB"/>
              </w:rPr>
              <w:t>1.</w:t>
            </w:r>
            <w:r w:rsidRPr="002A65DC">
              <w:rPr>
                <w:rFonts w:ascii="Times New Roman" w:eastAsia="Times New Roman" w:hAnsi="Times New Roman"/>
                <w:b/>
                <w:bCs/>
                <w:color w:val="000000"/>
                <w:sz w:val="24"/>
                <w:szCs w:val="24"/>
                <w:lang w:val="en-GB" w:eastAsia="en-GB"/>
              </w:rPr>
              <w:t xml:space="preserve">6 Experience in Years </w:t>
            </w:r>
            <w:r w:rsidRPr="002A65DC">
              <w:rPr>
                <w:rFonts w:ascii="Times New Roman" w:eastAsia="Times New Roman" w:hAnsi="Times New Roman"/>
                <w:b/>
                <w:bCs/>
                <w:color w:val="000000"/>
                <w:sz w:val="24"/>
                <w:szCs w:val="24"/>
                <w:lang w:eastAsia="en-GB"/>
              </w:rPr>
              <w:t>for Respondents</w:t>
            </w:r>
          </w:p>
        </w:tc>
        <w:tc>
          <w:tcPr>
            <w:tcW w:w="2031"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r>
      <w:tr w:rsidR="006D149C" w:rsidRPr="002A65DC" w:rsidTr="009464D6">
        <w:trPr>
          <w:trHeight w:val="340"/>
        </w:trPr>
        <w:tc>
          <w:tcPr>
            <w:tcW w:w="792"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S/N</w:t>
            </w:r>
          </w:p>
        </w:tc>
        <w:tc>
          <w:tcPr>
            <w:tcW w:w="5434" w:type="dxa"/>
            <w:gridSpan w:val="3"/>
            <w:tcBorders>
              <w:bottom w:val="single" w:sz="4" w:space="0" w:color="auto"/>
            </w:tcBorders>
            <w:shd w:val="clear" w:color="FFFFFF" w:fill="auto"/>
            <w:tcMar>
              <w:top w:w="0" w:type="dxa"/>
              <w:left w:w="108" w:type="dxa"/>
              <w:bottom w:w="0" w:type="dxa"/>
              <w:right w:w="108" w:type="dxa"/>
            </w:tcMar>
            <w:vAlign w:val="center"/>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Experience in Years for</w:t>
            </w:r>
            <w:r w:rsidRPr="002A65DC">
              <w:rPr>
                <w:rFonts w:ascii="Times New Roman" w:eastAsia="Times New Roman" w:hAnsi="Times New Roman"/>
                <w:b/>
                <w:bCs/>
                <w:color w:val="000000"/>
                <w:sz w:val="24"/>
                <w:szCs w:val="24"/>
                <w:lang w:eastAsia="en-GB"/>
              </w:rPr>
              <w:t xml:space="preserve"> Respondents </w:t>
            </w:r>
          </w:p>
        </w:tc>
        <w:tc>
          <w:tcPr>
            <w:tcW w:w="2031"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r>
      <w:tr w:rsidR="006D149C" w:rsidRPr="002A65DC" w:rsidTr="009464D6">
        <w:trPr>
          <w:trHeight w:val="681"/>
        </w:trPr>
        <w:tc>
          <w:tcPr>
            <w:tcW w:w="792" w:type="dxa"/>
            <w:tcBorders>
              <w:top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1</w:t>
            </w:r>
          </w:p>
        </w:tc>
        <w:tc>
          <w:tcPr>
            <w:tcW w:w="1938"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eastAsia="en-GB"/>
              </w:rPr>
              <w:t xml:space="preserve">Below </w:t>
            </w:r>
            <w:r w:rsidRPr="002A65DC">
              <w:rPr>
                <w:rFonts w:ascii="Times New Roman" w:eastAsia="Times New Roman" w:hAnsi="Times New Roman"/>
                <w:color w:val="000000"/>
                <w:sz w:val="24"/>
                <w:szCs w:val="24"/>
                <w:lang w:val="en-GB" w:eastAsia="en-GB"/>
              </w:rPr>
              <w:t>5 years</w:t>
            </w:r>
          </w:p>
        </w:tc>
        <w:tc>
          <w:tcPr>
            <w:tcW w:w="1710"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5 - 10 years</w:t>
            </w:r>
          </w:p>
        </w:tc>
        <w:tc>
          <w:tcPr>
            <w:tcW w:w="1786"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1</w:t>
            </w:r>
            <w:r w:rsidRPr="002A65DC">
              <w:rPr>
                <w:rFonts w:ascii="Times New Roman" w:eastAsia="Times New Roman" w:hAnsi="Times New Roman"/>
                <w:color w:val="000000"/>
                <w:sz w:val="24"/>
                <w:szCs w:val="24"/>
                <w:lang w:eastAsia="en-GB"/>
              </w:rPr>
              <w:t>1</w:t>
            </w:r>
            <w:r w:rsidRPr="002A65DC">
              <w:rPr>
                <w:rFonts w:ascii="Times New Roman" w:eastAsia="Times New Roman" w:hAnsi="Times New Roman"/>
                <w:color w:val="000000"/>
                <w:sz w:val="24"/>
                <w:szCs w:val="24"/>
                <w:lang w:val="en-GB" w:eastAsia="en-GB"/>
              </w:rPr>
              <w:t xml:space="preserve"> - 15 years</w:t>
            </w:r>
          </w:p>
        </w:tc>
        <w:tc>
          <w:tcPr>
            <w:tcW w:w="2031" w:type="dxa"/>
            <w:tcBorders>
              <w:top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above 15 years</w:t>
            </w:r>
          </w:p>
        </w:tc>
      </w:tr>
      <w:tr w:rsidR="006D149C" w:rsidRPr="002A65DC" w:rsidTr="009464D6">
        <w:trPr>
          <w:trHeight w:val="340"/>
        </w:trPr>
        <w:tc>
          <w:tcPr>
            <w:tcW w:w="792"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eastAsia="Times New Roman" w:hAnsi="Times New Roman"/>
                <w:color w:val="000000"/>
                <w:sz w:val="24"/>
                <w:szCs w:val="24"/>
                <w:lang w:val="en-GB" w:eastAsia="en-GB"/>
              </w:rPr>
            </w:pPr>
            <w:r w:rsidRPr="002A65DC">
              <w:rPr>
                <w:rFonts w:ascii="Times New Roman" w:eastAsia="Times New Roman" w:hAnsi="Times New Roman"/>
                <w:color w:val="000000"/>
                <w:sz w:val="24"/>
                <w:szCs w:val="24"/>
                <w:lang w:val="en-GB" w:eastAsia="en-GB"/>
              </w:rPr>
              <w:t>2</w:t>
            </w:r>
          </w:p>
          <w:p w:rsidR="009464D6" w:rsidRPr="002A65DC" w:rsidRDefault="009464D6">
            <w:pPr>
              <w:spacing w:after="0" w:line="480" w:lineRule="auto"/>
              <w:jc w:val="both"/>
              <w:rPr>
                <w:rFonts w:ascii="Times New Roman" w:hAnsi="Times New Roman"/>
                <w:sz w:val="24"/>
                <w:szCs w:val="24"/>
              </w:rPr>
            </w:pPr>
            <w:r w:rsidRPr="002A65DC">
              <w:rPr>
                <w:rFonts w:ascii="Times New Roman" w:hAnsi="Times New Roman"/>
                <w:sz w:val="24"/>
                <w:szCs w:val="24"/>
              </w:rPr>
              <w:t>%</w:t>
            </w:r>
          </w:p>
        </w:tc>
        <w:tc>
          <w:tcPr>
            <w:tcW w:w="1938"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15</w:t>
            </w:r>
          </w:p>
          <w:p w:rsidR="009464D6" w:rsidRPr="002A65DC" w:rsidRDefault="00FA412D">
            <w:pPr>
              <w:spacing w:after="0" w:line="480" w:lineRule="auto"/>
              <w:jc w:val="both"/>
              <w:rPr>
                <w:rFonts w:ascii="Times New Roman" w:hAnsi="Times New Roman"/>
                <w:sz w:val="24"/>
                <w:szCs w:val="24"/>
              </w:rPr>
            </w:pPr>
            <w:r w:rsidRPr="002A65DC">
              <w:rPr>
                <w:rFonts w:ascii="Times New Roman" w:hAnsi="Times New Roman"/>
                <w:sz w:val="24"/>
                <w:szCs w:val="24"/>
              </w:rPr>
              <w:t>13%</w:t>
            </w:r>
          </w:p>
        </w:tc>
        <w:tc>
          <w:tcPr>
            <w:tcW w:w="1710"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40</w:t>
            </w:r>
          </w:p>
          <w:p w:rsidR="009464D6" w:rsidRPr="002A65DC" w:rsidRDefault="00FA412D">
            <w:pPr>
              <w:spacing w:after="0" w:line="480" w:lineRule="auto"/>
              <w:jc w:val="both"/>
              <w:rPr>
                <w:rFonts w:ascii="Times New Roman" w:hAnsi="Times New Roman"/>
                <w:sz w:val="24"/>
                <w:szCs w:val="24"/>
              </w:rPr>
            </w:pPr>
            <w:r w:rsidRPr="002A65DC">
              <w:rPr>
                <w:rFonts w:ascii="Times New Roman" w:hAnsi="Times New Roman"/>
                <w:sz w:val="24"/>
                <w:szCs w:val="24"/>
              </w:rPr>
              <w:t>33%</w:t>
            </w:r>
          </w:p>
        </w:tc>
        <w:tc>
          <w:tcPr>
            <w:tcW w:w="1786"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43</w:t>
            </w:r>
          </w:p>
          <w:p w:rsidR="009464D6" w:rsidRPr="002A65DC" w:rsidRDefault="00FA412D">
            <w:pPr>
              <w:spacing w:after="0" w:line="480" w:lineRule="auto"/>
              <w:jc w:val="both"/>
              <w:rPr>
                <w:rFonts w:ascii="Times New Roman" w:hAnsi="Times New Roman"/>
                <w:sz w:val="24"/>
                <w:szCs w:val="24"/>
              </w:rPr>
            </w:pPr>
            <w:r w:rsidRPr="002A65DC">
              <w:rPr>
                <w:rFonts w:ascii="Times New Roman" w:hAnsi="Times New Roman"/>
                <w:sz w:val="24"/>
                <w:szCs w:val="24"/>
              </w:rPr>
              <w:t>36%</w:t>
            </w:r>
          </w:p>
        </w:tc>
        <w:tc>
          <w:tcPr>
            <w:tcW w:w="2031"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22</w:t>
            </w:r>
          </w:p>
          <w:p w:rsidR="009464D6" w:rsidRPr="002A65DC" w:rsidRDefault="00FA412D">
            <w:pPr>
              <w:spacing w:after="0" w:line="480" w:lineRule="auto"/>
              <w:jc w:val="both"/>
              <w:rPr>
                <w:rFonts w:ascii="Times New Roman" w:hAnsi="Times New Roman"/>
                <w:sz w:val="24"/>
                <w:szCs w:val="24"/>
              </w:rPr>
            </w:pPr>
            <w:r w:rsidRPr="002A65DC">
              <w:rPr>
                <w:rFonts w:ascii="Times New Roman" w:hAnsi="Times New Roman"/>
                <w:sz w:val="24"/>
                <w:szCs w:val="24"/>
              </w:rPr>
              <w:t>18%</w:t>
            </w:r>
          </w:p>
        </w:tc>
      </w:tr>
    </w:tbl>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Source: Research's Analysis (2025)</w:t>
      </w:r>
    </w:p>
    <w:p w:rsidR="006D149C" w:rsidRPr="002A65DC" w:rsidRDefault="00B17C82">
      <w:pPr>
        <w:spacing w:after="0" w:line="480" w:lineRule="auto"/>
        <w:jc w:val="both"/>
        <w:rPr>
          <w:rFonts w:ascii="Times New Roman" w:hAnsi="Times New Roman"/>
          <w:b/>
          <w:bCs/>
          <w:sz w:val="24"/>
          <w:szCs w:val="24"/>
        </w:rPr>
      </w:pPr>
      <w:r w:rsidRPr="002A65DC">
        <w:rPr>
          <w:rFonts w:ascii="Times New Roman" w:hAnsi="Times New Roman"/>
          <w:noProof/>
          <w:sz w:val="24"/>
          <w:szCs w:val="24"/>
        </w:rPr>
        <w:drawing>
          <wp:inline distT="0" distB="0" distL="0" distR="0" wp14:anchorId="44B7CE3D" wp14:editId="5A6FE36F">
            <wp:extent cx="5381625" cy="3257550"/>
            <wp:effectExtent l="0" t="0" r="9525" b="0"/>
            <wp:docPr id="188555210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7C82" w:rsidRPr="002A65DC" w:rsidRDefault="00B17C82" w:rsidP="00B17C82">
      <w:pPr>
        <w:spacing w:after="0" w:line="360" w:lineRule="auto"/>
        <w:jc w:val="both"/>
        <w:rPr>
          <w:rFonts w:ascii="Times New Roman" w:hAnsi="Times New Roman"/>
          <w:b/>
          <w:bCs/>
          <w:sz w:val="24"/>
          <w:szCs w:val="24"/>
        </w:rPr>
      </w:pPr>
      <w:r w:rsidRPr="002A65DC">
        <w:rPr>
          <w:rFonts w:ascii="Times New Roman" w:hAnsi="Times New Roman"/>
          <w:b/>
          <w:bCs/>
          <w:sz w:val="24"/>
          <w:szCs w:val="24"/>
        </w:rPr>
        <w:t xml:space="preserve">Figure 4.1.6: Percentage Distribution of Respondents according to project  </w:t>
      </w:r>
    </w:p>
    <w:p w:rsidR="00B17C82" w:rsidRPr="002A65DC" w:rsidRDefault="00B17C82" w:rsidP="00FA412D">
      <w:pPr>
        <w:spacing w:after="0" w:line="360" w:lineRule="auto"/>
        <w:jc w:val="both"/>
        <w:rPr>
          <w:rFonts w:ascii="Times New Roman" w:hAnsi="Times New Roman"/>
          <w:b/>
          <w:bCs/>
          <w:sz w:val="24"/>
          <w:szCs w:val="24"/>
        </w:rPr>
      </w:pPr>
      <w:r w:rsidRPr="002A65DC">
        <w:rPr>
          <w:rFonts w:ascii="Times New Roman" w:hAnsi="Times New Roman"/>
          <w:b/>
          <w:bCs/>
          <w:sz w:val="24"/>
          <w:szCs w:val="24"/>
        </w:rPr>
        <w:t>Source: Research's Analysis (2025)</w:t>
      </w:r>
    </w:p>
    <w:p w:rsidR="002A65DC" w:rsidRDefault="002A65DC">
      <w:pPr>
        <w:spacing w:after="0" w:line="480" w:lineRule="auto"/>
        <w:jc w:val="both"/>
        <w:rPr>
          <w:rFonts w:ascii="Times New Roman" w:hAnsi="Times New Roman"/>
          <w:b/>
          <w:bCs/>
          <w:sz w:val="24"/>
          <w:szCs w:val="24"/>
        </w:rPr>
      </w:pPr>
    </w:p>
    <w:p w:rsidR="002A65DC" w:rsidRDefault="002A65DC">
      <w:pPr>
        <w:spacing w:after="0" w:line="480" w:lineRule="auto"/>
        <w:jc w:val="both"/>
        <w:rPr>
          <w:rFonts w:ascii="Times New Roman" w:hAnsi="Times New Roman"/>
          <w:b/>
          <w:bCs/>
          <w:sz w:val="24"/>
          <w:szCs w:val="24"/>
        </w:rPr>
      </w:pPr>
    </w:p>
    <w:p w:rsidR="003C3685" w:rsidRDefault="003C3685">
      <w:pPr>
        <w:spacing w:after="0" w:line="480" w:lineRule="auto"/>
        <w:jc w:val="both"/>
        <w:rPr>
          <w:rFonts w:ascii="Times New Roman" w:hAnsi="Times New Roman"/>
          <w:b/>
          <w:bCs/>
          <w:sz w:val="24"/>
          <w:szCs w:val="24"/>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lastRenderedPageBreak/>
        <w:t>4.1.7</w:t>
      </w:r>
      <w:r w:rsidRPr="002A65DC">
        <w:rPr>
          <w:rFonts w:ascii="Times New Roman" w:hAnsi="Times New Roman"/>
          <w:b/>
          <w:bCs/>
          <w:sz w:val="24"/>
          <w:szCs w:val="24"/>
        </w:rPr>
        <w:tab/>
        <w:t>Types of Sustainable Energy Technologies Used</w:t>
      </w:r>
    </w:p>
    <w:p w:rsidR="001D3D41" w:rsidRPr="002A65DC" w:rsidRDefault="001D3D41">
      <w:pPr>
        <w:spacing w:after="0" w:line="480" w:lineRule="auto"/>
        <w:jc w:val="both"/>
        <w:rPr>
          <w:rFonts w:ascii="Times New Roman" w:hAnsi="Times New Roman"/>
          <w:sz w:val="24"/>
          <w:szCs w:val="24"/>
        </w:rPr>
      </w:pPr>
      <w:r w:rsidRPr="002A65DC">
        <w:rPr>
          <w:rFonts w:ascii="Times New Roman" w:hAnsi="Times New Roman"/>
          <w:sz w:val="24"/>
          <w:szCs w:val="24"/>
        </w:rPr>
        <w:t>From figure 4.1.7, The most commonly used sustainable energy technology is Solar Photovoltaic (PV) Panels, representing 3</w:t>
      </w:r>
      <w:r w:rsidR="009E1340" w:rsidRPr="002A65DC">
        <w:rPr>
          <w:rFonts w:ascii="Times New Roman" w:hAnsi="Times New Roman"/>
          <w:sz w:val="24"/>
          <w:szCs w:val="24"/>
        </w:rPr>
        <w:t>9</w:t>
      </w:r>
      <w:r w:rsidRPr="002A65DC">
        <w:rPr>
          <w:rFonts w:ascii="Times New Roman" w:hAnsi="Times New Roman"/>
          <w:sz w:val="24"/>
          <w:szCs w:val="24"/>
        </w:rPr>
        <w:t xml:space="preserve">% of the responses. This is followed by Solar Water Heating Systems at 23% and Energy-Efficient HVAC Systems at 18%. Smart Energy Meters account for 9%, while </w:t>
      </w:r>
      <w:r w:rsidR="005B51F2" w:rsidRPr="002A65DC">
        <w:rPr>
          <w:rFonts w:ascii="Times New Roman" w:hAnsi="Times New Roman"/>
          <w:sz w:val="24"/>
          <w:szCs w:val="24"/>
        </w:rPr>
        <w:t xml:space="preserve">Wind Turbines </w:t>
      </w:r>
      <w:r w:rsidRPr="002A65DC">
        <w:rPr>
          <w:rFonts w:ascii="Times New Roman" w:hAnsi="Times New Roman"/>
          <w:sz w:val="24"/>
          <w:szCs w:val="24"/>
        </w:rPr>
        <w:t xml:space="preserve">and </w:t>
      </w:r>
      <w:r w:rsidR="005B51F2" w:rsidRPr="002A65DC">
        <w:rPr>
          <w:rFonts w:ascii="Times New Roman" w:hAnsi="Times New Roman"/>
          <w:sz w:val="24"/>
          <w:szCs w:val="24"/>
        </w:rPr>
        <w:t xml:space="preserve">Other </w:t>
      </w:r>
      <w:r w:rsidRPr="002A65DC">
        <w:rPr>
          <w:rFonts w:ascii="Times New Roman" w:hAnsi="Times New Roman"/>
          <w:sz w:val="24"/>
          <w:szCs w:val="24"/>
        </w:rPr>
        <w:t xml:space="preserve">technologies represent </w:t>
      </w:r>
      <w:r w:rsidR="009E1340" w:rsidRPr="002A65DC">
        <w:rPr>
          <w:rFonts w:ascii="Times New Roman" w:hAnsi="Times New Roman"/>
          <w:sz w:val="24"/>
          <w:szCs w:val="24"/>
        </w:rPr>
        <w:t>6</w:t>
      </w:r>
      <w:r w:rsidRPr="002A65DC">
        <w:rPr>
          <w:rFonts w:ascii="Times New Roman" w:hAnsi="Times New Roman"/>
          <w:sz w:val="24"/>
          <w:szCs w:val="24"/>
        </w:rPr>
        <w:t xml:space="preserve">% and </w:t>
      </w:r>
      <w:r w:rsidR="009E1340" w:rsidRPr="002A65DC">
        <w:rPr>
          <w:rFonts w:ascii="Times New Roman" w:hAnsi="Times New Roman"/>
          <w:sz w:val="24"/>
          <w:szCs w:val="24"/>
        </w:rPr>
        <w:t>5</w:t>
      </w:r>
      <w:r w:rsidRPr="002A65DC">
        <w:rPr>
          <w:rFonts w:ascii="Times New Roman" w:hAnsi="Times New Roman"/>
          <w:sz w:val="24"/>
          <w:szCs w:val="24"/>
        </w:rPr>
        <w:t>% respectively.</w:t>
      </w:r>
    </w:p>
    <w:tbl>
      <w:tblPr>
        <w:tblW w:w="8442" w:type="dxa"/>
        <w:tblInd w:w="108" w:type="dxa"/>
        <w:tblLayout w:type="fixed"/>
        <w:tblLook w:val="04A0" w:firstRow="1" w:lastRow="0" w:firstColumn="1" w:lastColumn="0" w:noHBand="0" w:noVBand="1"/>
      </w:tblPr>
      <w:tblGrid>
        <w:gridCol w:w="702"/>
        <w:gridCol w:w="3949"/>
        <w:gridCol w:w="236"/>
        <w:gridCol w:w="3285"/>
        <w:gridCol w:w="270"/>
      </w:tblGrid>
      <w:tr w:rsidR="006D149C" w:rsidRPr="002A65DC" w:rsidTr="003C3685">
        <w:tc>
          <w:tcPr>
            <w:tcW w:w="8172" w:type="dxa"/>
            <w:gridSpan w:val="4"/>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rsidP="002800D5">
            <w:pPr>
              <w:spacing w:after="0" w:line="480" w:lineRule="auto"/>
              <w:ind w:right="-480"/>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Table 4.</w:t>
            </w:r>
            <w:r w:rsidRPr="002A65DC">
              <w:rPr>
                <w:rFonts w:ascii="Times New Roman" w:eastAsia="Times New Roman" w:hAnsi="Times New Roman"/>
                <w:b/>
                <w:bCs/>
                <w:color w:val="000000"/>
                <w:sz w:val="24"/>
                <w:szCs w:val="24"/>
                <w:lang w:eastAsia="en-GB"/>
              </w:rPr>
              <w:t xml:space="preserve">1.7 Respondents’ Experience with Sustainable energy Technologies </w:t>
            </w:r>
          </w:p>
        </w:tc>
        <w:tc>
          <w:tcPr>
            <w:tcW w:w="270"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r>
      <w:tr w:rsidR="006D149C" w:rsidRPr="002A65DC" w:rsidTr="003C3685">
        <w:tc>
          <w:tcPr>
            <w:tcW w:w="702"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S/</w:t>
            </w:r>
            <w:r w:rsidR="009464D6" w:rsidRPr="002A65DC">
              <w:rPr>
                <w:rFonts w:ascii="Times New Roman" w:eastAsia="Times New Roman" w:hAnsi="Times New Roman"/>
                <w:b/>
                <w:bCs/>
                <w:color w:val="000000"/>
                <w:sz w:val="24"/>
                <w:szCs w:val="24"/>
                <w:lang w:val="en-GB" w:eastAsia="en-GB"/>
              </w:rPr>
              <w:t>n</w:t>
            </w:r>
          </w:p>
        </w:tc>
        <w:tc>
          <w:tcPr>
            <w:tcW w:w="3949" w:type="dxa"/>
            <w:tcBorders>
              <w:bottom w:val="single" w:sz="4" w:space="0" w:color="auto"/>
            </w:tcBorders>
            <w:shd w:val="clear" w:color="FFFFFF" w:fill="auto"/>
            <w:tcMar>
              <w:top w:w="0" w:type="dxa"/>
              <w:left w:w="108" w:type="dxa"/>
              <w:bottom w:w="0" w:type="dxa"/>
              <w:right w:w="108" w:type="dxa"/>
            </w:tcMar>
            <w:vAlign w:val="center"/>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 xml:space="preserve">Building System </w:t>
            </w:r>
          </w:p>
        </w:tc>
        <w:tc>
          <w:tcPr>
            <w:tcW w:w="236"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c>
          <w:tcPr>
            <w:tcW w:w="3285"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9464D6">
            <w:pPr>
              <w:spacing w:after="0" w:line="48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Frequency                Percentage</w:t>
            </w:r>
          </w:p>
        </w:tc>
        <w:tc>
          <w:tcPr>
            <w:tcW w:w="270" w:type="dxa"/>
            <w:tcBorders>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r>
      <w:tr w:rsidR="006D149C" w:rsidRPr="002A65DC" w:rsidTr="003C3685">
        <w:trPr>
          <w:trHeight w:val="283"/>
        </w:trPr>
        <w:tc>
          <w:tcPr>
            <w:tcW w:w="702" w:type="dxa"/>
            <w:tcBorders>
              <w:top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1</w:t>
            </w:r>
          </w:p>
        </w:tc>
        <w:tc>
          <w:tcPr>
            <w:tcW w:w="3949" w:type="dxa"/>
            <w:tcBorders>
              <w:top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Solar Photovoltaic (PV) Panels</w:t>
            </w:r>
          </w:p>
        </w:tc>
        <w:tc>
          <w:tcPr>
            <w:tcW w:w="236" w:type="dxa"/>
            <w:tcBorders>
              <w:top w:val="single" w:sz="4" w:space="0" w:color="auto"/>
            </w:tcBorders>
            <w:shd w:val="clear" w:color="FFFFFF" w:fill="auto"/>
            <w:tcMar>
              <w:top w:w="0" w:type="dxa"/>
              <w:left w:w="108" w:type="dxa"/>
              <w:bottom w:w="0" w:type="dxa"/>
              <w:right w:w="108" w:type="dxa"/>
            </w:tcMar>
            <w:vAlign w:val="bottom"/>
          </w:tcPr>
          <w:p w:rsidR="006D149C" w:rsidRPr="002A65DC" w:rsidRDefault="006D149C">
            <w:pPr>
              <w:spacing w:after="0" w:line="480" w:lineRule="auto"/>
              <w:jc w:val="both"/>
              <w:rPr>
                <w:rFonts w:ascii="Times New Roman" w:hAnsi="Times New Roman"/>
                <w:sz w:val="24"/>
                <w:szCs w:val="24"/>
              </w:rPr>
            </w:pPr>
          </w:p>
        </w:tc>
        <w:tc>
          <w:tcPr>
            <w:tcW w:w="3285" w:type="dxa"/>
            <w:tcBorders>
              <w:top w:val="single" w:sz="4" w:space="0" w:color="auto"/>
            </w:tcBorders>
            <w:shd w:val="clear" w:color="FFFFFF" w:fill="auto"/>
            <w:tcMar>
              <w:top w:w="0" w:type="dxa"/>
              <w:left w:w="108" w:type="dxa"/>
              <w:bottom w:w="0" w:type="dxa"/>
              <w:right w:w="108" w:type="dxa"/>
            </w:tcMar>
            <w:vAlign w:val="bottom"/>
          </w:tcPr>
          <w:p w:rsidR="006D149C" w:rsidRPr="002A65DC" w:rsidRDefault="002800D5" w:rsidP="002A65DC">
            <w:pPr>
              <w:spacing w:after="0" w:line="480" w:lineRule="auto"/>
              <w:rPr>
                <w:rFonts w:ascii="Times New Roman" w:hAnsi="Times New Roman"/>
                <w:sz w:val="24"/>
                <w:szCs w:val="24"/>
              </w:rPr>
            </w:pPr>
            <w:r w:rsidRPr="002A65DC">
              <w:rPr>
                <w:rFonts w:ascii="Times New Roman" w:hAnsi="Times New Roman"/>
                <w:sz w:val="24"/>
                <w:szCs w:val="24"/>
              </w:rPr>
              <w:t>46</w:t>
            </w:r>
            <w:r w:rsidR="00FA412D" w:rsidRPr="002A65DC">
              <w:rPr>
                <w:rFonts w:ascii="Times New Roman" w:hAnsi="Times New Roman"/>
                <w:sz w:val="24"/>
                <w:szCs w:val="24"/>
              </w:rPr>
              <w:t xml:space="preserve">                               3</w:t>
            </w:r>
            <w:r w:rsidR="008649CC" w:rsidRPr="002A65DC">
              <w:rPr>
                <w:rFonts w:ascii="Times New Roman" w:hAnsi="Times New Roman"/>
                <w:sz w:val="24"/>
                <w:szCs w:val="24"/>
              </w:rPr>
              <w:t>9</w:t>
            </w:r>
            <w:r w:rsidR="00FA412D" w:rsidRPr="002A65DC">
              <w:rPr>
                <w:rFonts w:ascii="Times New Roman" w:hAnsi="Times New Roman"/>
                <w:sz w:val="24"/>
                <w:szCs w:val="24"/>
              </w:rPr>
              <w:t>%</w:t>
            </w:r>
          </w:p>
        </w:tc>
        <w:tc>
          <w:tcPr>
            <w:tcW w:w="270" w:type="dxa"/>
            <w:tcBorders>
              <w:top w:val="single" w:sz="4" w:space="0" w:color="auto"/>
            </w:tcBorders>
            <w:shd w:val="clear" w:color="FFFFFF" w:fill="auto"/>
            <w:tcMar>
              <w:top w:w="0" w:type="dxa"/>
              <w:left w:w="108" w:type="dxa"/>
              <w:bottom w:w="0" w:type="dxa"/>
              <w:right w:w="108" w:type="dxa"/>
            </w:tcMar>
            <w:vAlign w:val="bottom"/>
          </w:tcPr>
          <w:p w:rsidR="006D149C" w:rsidRPr="002A65DC" w:rsidRDefault="006D149C">
            <w:pPr>
              <w:spacing w:after="0" w:line="480" w:lineRule="auto"/>
              <w:jc w:val="both"/>
              <w:rPr>
                <w:rFonts w:ascii="Times New Roman" w:hAnsi="Times New Roman"/>
                <w:sz w:val="24"/>
                <w:szCs w:val="24"/>
              </w:rPr>
            </w:pPr>
          </w:p>
        </w:tc>
      </w:tr>
      <w:tr w:rsidR="006D149C" w:rsidRPr="002A65DC" w:rsidTr="003C3685">
        <w:trPr>
          <w:trHeight w:val="283"/>
        </w:trPr>
        <w:tc>
          <w:tcPr>
            <w:tcW w:w="702"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2</w:t>
            </w:r>
          </w:p>
        </w:tc>
        <w:tc>
          <w:tcPr>
            <w:tcW w:w="3949"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Solar Water Heating Systems</w:t>
            </w:r>
          </w:p>
        </w:tc>
        <w:tc>
          <w:tcPr>
            <w:tcW w:w="236" w:type="dxa"/>
            <w:shd w:val="clear" w:color="FFFFFF" w:fill="auto"/>
            <w:tcMar>
              <w:top w:w="0" w:type="dxa"/>
              <w:left w:w="108" w:type="dxa"/>
              <w:bottom w:w="0" w:type="dxa"/>
              <w:right w:w="108" w:type="dxa"/>
            </w:tcMar>
            <w:vAlign w:val="bottom"/>
          </w:tcPr>
          <w:p w:rsidR="006D149C" w:rsidRPr="002A65DC" w:rsidRDefault="006D149C">
            <w:pPr>
              <w:spacing w:after="0" w:line="480" w:lineRule="auto"/>
              <w:jc w:val="both"/>
              <w:rPr>
                <w:rFonts w:ascii="Times New Roman" w:hAnsi="Times New Roman"/>
                <w:sz w:val="24"/>
                <w:szCs w:val="24"/>
              </w:rPr>
            </w:pPr>
          </w:p>
        </w:tc>
        <w:tc>
          <w:tcPr>
            <w:tcW w:w="3285" w:type="dxa"/>
            <w:shd w:val="clear" w:color="FFFFFF" w:fill="auto"/>
            <w:tcMar>
              <w:top w:w="0" w:type="dxa"/>
              <w:left w:w="108" w:type="dxa"/>
              <w:bottom w:w="0" w:type="dxa"/>
              <w:right w:w="108" w:type="dxa"/>
            </w:tcMar>
            <w:vAlign w:val="bottom"/>
          </w:tcPr>
          <w:p w:rsidR="006D149C" w:rsidRPr="002A65DC" w:rsidRDefault="00000000" w:rsidP="002A65DC">
            <w:pPr>
              <w:spacing w:after="0" w:line="480" w:lineRule="auto"/>
              <w:rPr>
                <w:rFonts w:ascii="Times New Roman" w:hAnsi="Times New Roman"/>
                <w:sz w:val="24"/>
                <w:szCs w:val="24"/>
              </w:rPr>
            </w:pPr>
            <w:r w:rsidRPr="002A65DC">
              <w:rPr>
                <w:rFonts w:ascii="Times New Roman" w:hAnsi="Times New Roman"/>
                <w:sz w:val="24"/>
                <w:szCs w:val="24"/>
              </w:rPr>
              <w:t>2</w:t>
            </w:r>
            <w:r w:rsidR="002800D5" w:rsidRPr="002A65DC">
              <w:rPr>
                <w:rFonts w:ascii="Times New Roman" w:hAnsi="Times New Roman"/>
                <w:sz w:val="24"/>
                <w:szCs w:val="24"/>
              </w:rPr>
              <w:t>8</w:t>
            </w:r>
            <w:r w:rsidR="00FA412D" w:rsidRPr="002A65DC">
              <w:rPr>
                <w:rFonts w:ascii="Times New Roman" w:hAnsi="Times New Roman"/>
                <w:sz w:val="24"/>
                <w:szCs w:val="24"/>
              </w:rPr>
              <w:t xml:space="preserve">                               </w:t>
            </w:r>
            <w:r w:rsidR="008649CC" w:rsidRPr="002A65DC">
              <w:rPr>
                <w:rFonts w:ascii="Times New Roman" w:hAnsi="Times New Roman"/>
                <w:sz w:val="24"/>
                <w:szCs w:val="24"/>
              </w:rPr>
              <w:t>2</w:t>
            </w:r>
            <w:r w:rsidR="00FA412D" w:rsidRPr="002A65DC">
              <w:rPr>
                <w:rFonts w:ascii="Times New Roman" w:hAnsi="Times New Roman"/>
                <w:sz w:val="24"/>
                <w:szCs w:val="24"/>
              </w:rPr>
              <w:t>3%</w:t>
            </w:r>
          </w:p>
        </w:tc>
        <w:tc>
          <w:tcPr>
            <w:tcW w:w="270" w:type="dxa"/>
            <w:shd w:val="clear" w:color="FFFFFF" w:fill="auto"/>
            <w:tcMar>
              <w:top w:w="0" w:type="dxa"/>
              <w:left w:w="108" w:type="dxa"/>
              <w:bottom w:w="0" w:type="dxa"/>
              <w:right w:w="108" w:type="dxa"/>
            </w:tcMar>
            <w:vAlign w:val="bottom"/>
          </w:tcPr>
          <w:p w:rsidR="006D149C" w:rsidRPr="002A65DC" w:rsidRDefault="006D149C">
            <w:pPr>
              <w:spacing w:after="0" w:line="480" w:lineRule="auto"/>
              <w:jc w:val="both"/>
              <w:rPr>
                <w:rFonts w:ascii="Times New Roman" w:hAnsi="Times New Roman"/>
                <w:sz w:val="24"/>
                <w:szCs w:val="24"/>
              </w:rPr>
            </w:pPr>
          </w:p>
        </w:tc>
      </w:tr>
      <w:tr w:rsidR="006D149C" w:rsidRPr="002A65DC" w:rsidTr="003C3685">
        <w:trPr>
          <w:trHeight w:val="283"/>
        </w:trPr>
        <w:tc>
          <w:tcPr>
            <w:tcW w:w="702"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3</w:t>
            </w:r>
          </w:p>
        </w:tc>
        <w:tc>
          <w:tcPr>
            <w:tcW w:w="3949" w:type="dxa"/>
            <w:shd w:val="clear" w:color="FFFFFF" w:fill="auto"/>
            <w:tcMar>
              <w:top w:w="0" w:type="dxa"/>
              <w:left w:w="108" w:type="dxa"/>
              <w:bottom w:w="0" w:type="dxa"/>
              <w:right w:w="108" w:type="dxa"/>
            </w:tcMar>
            <w:vAlign w:val="bottom"/>
          </w:tcPr>
          <w:p w:rsidR="006D149C" w:rsidRPr="002A65DC" w:rsidRDefault="001D3D41">
            <w:pPr>
              <w:spacing w:after="0" w:line="480" w:lineRule="auto"/>
              <w:jc w:val="both"/>
              <w:rPr>
                <w:rFonts w:ascii="Times New Roman" w:hAnsi="Times New Roman"/>
                <w:sz w:val="24"/>
                <w:szCs w:val="24"/>
              </w:rPr>
            </w:pPr>
            <w:r w:rsidRPr="002A65DC">
              <w:rPr>
                <w:rFonts w:ascii="Times New Roman" w:hAnsi="Times New Roman"/>
                <w:sz w:val="24"/>
                <w:szCs w:val="24"/>
              </w:rPr>
              <w:t>Energy-Efficient HVAC Systems</w:t>
            </w:r>
            <w:r w:rsidRPr="002A65DC">
              <w:rPr>
                <w:rFonts w:ascii="Times New Roman" w:hAnsi="Times New Roman"/>
                <w:sz w:val="24"/>
                <w:szCs w:val="24"/>
              </w:rPr>
              <w:tab/>
            </w:r>
          </w:p>
        </w:tc>
        <w:tc>
          <w:tcPr>
            <w:tcW w:w="236" w:type="dxa"/>
            <w:shd w:val="clear" w:color="FFFFFF" w:fill="auto"/>
            <w:tcMar>
              <w:top w:w="0" w:type="dxa"/>
              <w:left w:w="108" w:type="dxa"/>
              <w:bottom w:w="0" w:type="dxa"/>
              <w:right w:w="108" w:type="dxa"/>
            </w:tcMar>
            <w:vAlign w:val="bottom"/>
          </w:tcPr>
          <w:p w:rsidR="006D149C" w:rsidRPr="002A65DC" w:rsidRDefault="006D149C">
            <w:pPr>
              <w:spacing w:after="0" w:line="480" w:lineRule="auto"/>
              <w:jc w:val="both"/>
              <w:rPr>
                <w:rFonts w:ascii="Times New Roman" w:hAnsi="Times New Roman"/>
                <w:sz w:val="24"/>
                <w:szCs w:val="24"/>
              </w:rPr>
            </w:pPr>
          </w:p>
        </w:tc>
        <w:tc>
          <w:tcPr>
            <w:tcW w:w="3285" w:type="dxa"/>
            <w:shd w:val="clear" w:color="FFFFFF" w:fill="auto"/>
            <w:tcMar>
              <w:top w:w="0" w:type="dxa"/>
              <w:left w:w="108" w:type="dxa"/>
              <w:bottom w:w="0" w:type="dxa"/>
              <w:right w:w="108" w:type="dxa"/>
            </w:tcMar>
            <w:vAlign w:val="bottom"/>
          </w:tcPr>
          <w:p w:rsidR="006D149C" w:rsidRPr="002A65DC" w:rsidRDefault="002800D5" w:rsidP="002A65DC">
            <w:pPr>
              <w:spacing w:after="0" w:line="480" w:lineRule="auto"/>
              <w:rPr>
                <w:rFonts w:ascii="Times New Roman" w:hAnsi="Times New Roman"/>
                <w:sz w:val="24"/>
                <w:szCs w:val="24"/>
              </w:rPr>
            </w:pPr>
            <w:r w:rsidRPr="002A65DC">
              <w:rPr>
                <w:rFonts w:ascii="Times New Roman" w:hAnsi="Times New Roman"/>
                <w:sz w:val="24"/>
                <w:szCs w:val="24"/>
              </w:rPr>
              <w:t>22</w:t>
            </w:r>
            <w:r w:rsidR="00FA412D" w:rsidRPr="002A65DC">
              <w:rPr>
                <w:rFonts w:ascii="Times New Roman" w:hAnsi="Times New Roman"/>
                <w:sz w:val="24"/>
                <w:szCs w:val="24"/>
              </w:rPr>
              <w:t xml:space="preserve">                                18%</w:t>
            </w:r>
          </w:p>
        </w:tc>
        <w:tc>
          <w:tcPr>
            <w:tcW w:w="270" w:type="dxa"/>
            <w:shd w:val="clear" w:color="FFFFFF" w:fill="auto"/>
            <w:tcMar>
              <w:top w:w="0" w:type="dxa"/>
              <w:left w:w="108" w:type="dxa"/>
              <w:bottom w:w="0" w:type="dxa"/>
              <w:right w:w="108" w:type="dxa"/>
            </w:tcMar>
            <w:vAlign w:val="bottom"/>
          </w:tcPr>
          <w:p w:rsidR="006D149C" w:rsidRPr="002A65DC" w:rsidRDefault="006D149C">
            <w:pPr>
              <w:spacing w:after="0" w:line="480" w:lineRule="auto"/>
              <w:jc w:val="both"/>
              <w:rPr>
                <w:rFonts w:ascii="Times New Roman" w:hAnsi="Times New Roman"/>
                <w:sz w:val="24"/>
                <w:szCs w:val="24"/>
              </w:rPr>
            </w:pPr>
          </w:p>
        </w:tc>
      </w:tr>
      <w:tr w:rsidR="006D149C" w:rsidRPr="002A65DC" w:rsidTr="003C3685">
        <w:trPr>
          <w:trHeight w:val="283"/>
        </w:trPr>
        <w:tc>
          <w:tcPr>
            <w:tcW w:w="702"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w:t>
            </w:r>
          </w:p>
        </w:tc>
        <w:tc>
          <w:tcPr>
            <w:tcW w:w="3949"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Wind Turbines</w:t>
            </w:r>
            <w:r w:rsidRPr="002A65DC">
              <w:rPr>
                <w:rFonts w:ascii="Times New Roman" w:hAnsi="Times New Roman"/>
                <w:sz w:val="24"/>
                <w:szCs w:val="24"/>
              </w:rPr>
              <w:tab/>
            </w:r>
          </w:p>
        </w:tc>
        <w:tc>
          <w:tcPr>
            <w:tcW w:w="236" w:type="dxa"/>
            <w:shd w:val="clear" w:color="FFFFFF" w:fill="auto"/>
            <w:tcMar>
              <w:top w:w="0" w:type="dxa"/>
              <w:left w:w="108" w:type="dxa"/>
              <w:bottom w:w="0" w:type="dxa"/>
              <w:right w:w="108" w:type="dxa"/>
            </w:tcMar>
            <w:vAlign w:val="bottom"/>
          </w:tcPr>
          <w:p w:rsidR="006D149C" w:rsidRPr="002A65DC" w:rsidRDefault="006D149C">
            <w:pPr>
              <w:spacing w:after="0" w:line="480" w:lineRule="auto"/>
              <w:jc w:val="both"/>
              <w:rPr>
                <w:rFonts w:ascii="Times New Roman" w:hAnsi="Times New Roman"/>
                <w:sz w:val="24"/>
                <w:szCs w:val="24"/>
              </w:rPr>
            </w:pPr>
          </w:p>
        </w:tc>
        <w:tc>
          <w:tcPr>
            <w:tcW w:w="3285" w:type="dxa"/>
            <w:shd w:val="clear" w:color="FFFFFF" w:fill="auto"/>
            <w:tcMar>
              <w:top w:w="0" w:type="dxa"/>
              <w:left w:w="108" w:type="dxa"/>
              <w:bottom w:w="0" w:type="dxa"/>
              <w:right w:w="108" w:type="dxa"/>
            </w:tcMar>
            <w:vAlign w:val="bottom"/>
          </w:tcPr>
          <w:p w:rsidR="006D149C" w:rsidRPr="002A65DC" w:rsidRDefault="002800D5" w:rsidP="002A65DC">
            <w:pPr>
              <w:spacing w:after="0" w:line="480" w:lineRule="auto"/>
              <w:rPr>
                <w:rFonts w:ascii="Times New Roman" w:hAnsi="Times New Roman"/>
                <w:sz w:val="24"/>
                <w:szCs w:val="24"/>
              </w:rPr>
            </w:pPr>
            <w:r w:rsidRPr="002A65DC">
              <w:rPr>
                <w:rFonts w:ascii="Times New Roman" w:hAnsi="Times New Roman"/>
                <w:sz w:val="24"/>
                <w:szCs w:val="24"/>
              </w:rPr>
              <w:t>7</w:t>
            </w:r>
            <w:r w:rsidR="00FA412D" w:rsidRPr="002A65DC">
              <w:rPr>
                <w:rFonts w:ascii="Times New Roman" w:hAnsi="Times New Roman"/>
                <w:sz w:val="24"/>
                <w:szCs w:val="24"/>
              </w:rPr>
              <w:t xml:space="preserve">                                   6%</w:t>
            </w:r>
          </w:p>
        </w:tc>
        <w:tc>
          <w:tcPr>
            <w:tcW w:w="270" w:type="dxa"/>
            <w:shd w:val="clear" w:color="FFFFFF" w:fill="auto"/>
            <w:tcMar>
              <w:top w:w="0" w:type="dxa"/>
              <w:left w:w="108" w:type="dxa"/>
              <w:bottom w:w="0" w:type="dxa"/>
              <w:right w:w="108" w:type="dxa"/>
            </w:tcMar>
            <w:vAlign w:val="bottom"/>
          </w:tcPr>
          <w:p w:rsidR="006D149C" w:rsidRPr="002A65DC" w:rsidRDefault="006D149C">
            <w:pPr>
              <w:spacing w:after="0" w:line="480" w:lineRule="auto"/>
              <w:jc w:val="both"/>
              <w:rPr>
                <w:rFonts w:ascii="Times New Roman" w:hAnsi="Times New Roman"/>
                <w:sz w:val="24"/>
                <w:szCs w:val="24"/>
              </w:rPr>
            </w:pPr>
          </w:p>
        </w:tc>
      </w:tr>
      <w:tr w:rsidR="006D149C" w:rsidRPr="002A65DC" w:rsidTr="003C3685">
        <w:trPr>
          <w:trHeight w:val="283"/>
        </w:trPr>
        <w:tc>
          <w:tcPr>
            <w:tcW w:w="702"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5</w:t>
            </w:r>
          </w:p>
        </w:tc>
        <w:tc>
          <w:tcPr>
            <w:tcW w:w="3949"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Smart Energy meters</w:t>
            </w:r>
          </w:p>
        </w:tc>
        <w:tc>
          <w:tcPr>
            <w:tcW w:w="236" w:type="dxa"/>
            <w:shd w:val="clear" w:color="FFFFFF" w:fill="auto"/>
            <w:tcMar>
              <w:top w:w="0" w:type="dxa"/>
              <w:left w:w="108" w:type="dxa"/>
              <w:bottom w:w="0" w:type="dxa"/>
              <w:right w:w="108" w:type="dxa"/>
            </w:tcMar>
            <w:vAlign w:val="bottom"/>
          </w:tcPr>
          <w:p w:rsidR="006D149C" w:rsidRPr="002A65DC" w:rsidRDefault="006D149C">
            <w:pPr>
              <w:spacing w:after="0" w:line="480" w:lineRule="auto"/>
              <w:jc w:val="both"/>
              <w:rPr>
                <w:rFonts w:ascii="Times New Roman" w:hAnsi="Times New Roman"/>
                <w:sz w:val="24"/>
                <w:szCs w:val="24"/>
              </w:rPr>
            </w:pPr>
          </w:p>
        </w:tc>
        <w:tc>
          <w:tcPr>
            <w:tcW w:w="3285" w:type="dxa"/>
            <w:shd w:val="clear" w:color="FFFFFF" w:fill="auto"/>
            <w:tcMar>
              <w:top w:w="0" w:type="dxa"/>
              <w:left w:w="108" w:type="dxa"/>
              <w:bottom w:w="0" w:type="dxa"/>
              <w:right w:w="108" w:type="dxa"/>
            </w:tcMar>
            <w:vAlign w:val="bottom"/>
          </w:tcPr>
          <w:p w:rsidR="006D149C" w:rsidRPr="002A65DC" w:rsidRDefault="002800D5" w:rsidP="002A65DC">
            <w:pPr>
              <w:spacing w:after="0" w:line="480" w:lineRule="auto"/>
              <w:rPr>
                <w:rFonts w:ascii="Times New Roman" w:hAnsi="Times New Roman"/>
                <w:sz w:val="24"/>
                <w:szCs w:val="24"/>
              </w:rPr>
            </w:pPr>
            <w:r w:rsidRPr="002A65DC">
              <w:rPr>
                <w:rFonts w:ascii="Times New Roman" w:hAnsi="Times New Roman"/>
                <w:sz w:val="24"/>
                <w:szCs w:val="24"/>
              </w:rPr>
              <w:t>11</w:t>
            </w:r>
            <w:r w:rsidR="00FA412D" w:rsidRPr="002A65DC">
              <w:rPr>
                <w:rFonts w:ascii="Times New Roman" w:hAnsi="Times New Roman"/>
                <w:sz w:val="24"/>
                <w:szCs w:val="24"/>
              </w:rPr>
              <w:t xml:space="preserve">                                 </w:t>
            </w:r>
            <w:r w:rsidR="002A65DC">
              <w:rPr>
                <w:rFonts w:ascii="Times New Roman" w:hAnsi="Times New Roman"/>
                <w:sz w:val="24"/>
                <w:szCs w:val="24"/>
              </w:rPr>
              <w:t xml:space="preserve"> </w:t>
            </w:r>
            <w:r w:rsidR="00FA412D" w:rsidRPr="002A65DC">
              <w:rPr>
                <w:rFonts w:ascii="Times New Roman" w:hAnsi="Times New Roman"/>
                <w:sz w:val="24"/>
                <w:szCs w:val="24"/>
              </w:rPr>
              <w:t>9%</w:t>
            </w:r>
          </w:p>
        </w:tc>
        <w:tc>
          <w:tcPr>
            <w:tcW w:w="270" w:type="dxa"/>
            <w:shd w:val="clear" w:color="FFFFFF" w:fill="auto"/>
            <w:tcMar>
              <w:top w:w="0" w:type="dxa"/>
              <w:left w:w="108" w:type="dxa"/>
              <w:bottom w:w="0" w:type="dxa"/>
              <w:right w:w="108" w:type="dxa"/>
            </w:tcMar>
            <w:vAlign w:val="bottom"/>
          </w:tcPr>
          <w:p w:rsidR="006D149C" w:rsidRPr="002A65DC" w:rsidRDefault="006D149C">
            <w:pPr>
              <w:spacing w:after="0" w:line="480" w:lineRule="auto"/>
              <w:jc w:val="both"/>
              <w:rPr>
                <w:rFonts w:ascii="Times New Roman" w:hAnsi="Times New Roman"/>
                <w:sz w:val="24"/>
                <w:szCs w:val="24"/>
              </w:rPr>
            </w:pPr>
          </w:p>
        </w:tc>
      </w:tr>
      <w:tr w:rsidR="006D149C" w:rsidRPr="002A65DC" w:rsidTr="003C3685">
        <w:trPr>
          <w:trHeight w:val="283"/>
        </w:trPr>
        <w:tc>
          <w:tcPr>
            <w:tcW w:w="702"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6</w:t>
            </w:r>
          </w:p>
        </w:tc>
        <w:tc>
          <w:tcPr>
            <w:tcW w:w="3949" w:type="dxa"/>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 xml:space="preserve">Other </w:t>
            </w:r>
          </w:p>
        </w:tc>
        <w:tc>
          <w:tcPr>
            <w:tcW w:w="236" w:type="dxa"/>
            <w:shd w:val="clear" w:color="FFFFFF" w:fill="auto"/>
            <w:tcMar>
              <w:top w:w="0" w:type="dxa"/>
              <w:left w:w="108" w:type="dxa"/>
              <w:bottom w:w="0" w:type="dxa"/>
              <w:right w:w="108" w:type="dxa"/>
            </w:tcMar>
            <w:vAlign w:val="bottom"/>
          </w:tcPr>
          <w:p w:rsidR="006D149C" w:rsidRPr="002A65DC" w:rsidRDefault="006D149C">
            <w:pPr>
              <w:spacing w:after="0" w:line="480" w:lineRule="auto"/>
              <w:jc w:val="both"/>
              <w:rPr>
                <w:rFonts w:ascii="Times New Roman" w:hAnsi="Times New Roman"/>
                <w:sz w:val="24"/>
                <w:szCs w:val="24"/>
              </w:rPr>
            </w:pPr>
          </w:p>
        </w:tc>
        <w:tc>
          <w:tcPr>
            <w:tcW w:w="3285" w:type="dxa"/>
            <w:shd w:val="clear" w:color="FFFFFF" w:fill="auto"/>
            <w:tcMar>
              <w:top w:w="0" w:type="dxa"/>
              <w:left w:w="108" w:type="dxa"/>
              <w:bottom w:w="0" w:type="dxa"/>
              <w:right w:w="108" w:type="dxa"/>
            </w:tcMar>
            <w:vAlign w:val="bottom"/>
          </w:tcPr>
          <w:p w:rsidR="006D149C" w:rsidRPr="002A65DC" w:rsidRDefault="002800D5" w:rsidP="002A65DC">
            <w:pPr>
              <w:spacing w:after="0" w:line="480" w:lineRule="auto"/>
              <w:rPr>
                <w:rFonts w:ascii="Times New Roman" w:hAnsi="Times New Roman"/>
                <w:sz w:val="24"/>
                <w:szCs w:val="24"/>
              </w:rPr>
            </w:pPr>
            <w:r w:rsidRPr="002A65DC">
              <w:rPr>
                <w:rFonts w:ascii="Times New Roman" w:hAnsi="Times New Roman"/>
                <w:sz w:val="24"/>
                <w:szCs w:val="24"/>
              </w:rPr>
              <w:t>6</w:t>
            </w:r>
            <w:r w:rsidR="00FA412D" w:rsidRPr="002A65DC">
              <w:rPr>
                <w:rFonts w:ascii="Times New Roman" w:hAnsi="Times New Roman"/>
                <w:sz w:val="24"/>
                <w:szCs w:val="24"/>
              </w:rPr>
              <w:t xml:space="preserve">                                    5%</w:t>
            </w:r>
          </w:p>
        </w:tc>
        <w:tc>
          <w:tcPr>
            <w:tcW w:w="270" w:type="dxa"/>
            <w:shd w:val="clear" w:color="FFFFFF" w:fill="auto"/>
            <w:tcMar>
              <w:top w:w="0" w:type="dxa"/>
              <w:left w:w="108" w:type="dxa"/>
              <w:bottom w:w="0" w:type="dxa"/>
              <w:right w:w="108" w:type="dxa"/>
            </w:tcMar>
            <w:vAlign w:val="bottom"/>
          </w:tcPr>
          <w:p w:rsidR="006D149C" w:rsidRPr="002A65DC" w:rsidRDefault="006D149C">
            <w:pPr>
              <w:spacing w:after="0" w:line="480" w:lineRule="auto"/>
              <w:jc w:val="both"/>
              <w:rPr>
                <w:rFonts w:ascii="Times New Roman" w:hAnsi="Times New Roman"/>
                <w:sz w:val="24"/>
                <w:szCs w:val="24"/>
              </w:rPr>
            </w:pPr>
          </w:p>
        </w:tc>
      </w:tr>
      <w:tr w:rsidR="006D149C" w:rsidRPr="002A65DC" w:rsidTr="003C3685">
        <w:trPr>
          <w:trHeight w:val="283"/>
        </w:trPr>
        <w:tc>
          <w:tcPr>
            <w:tcW w:w="702" w:type="dxa"/>
            <w:tcBorders>
              <w:top w:val="single" w:sz="4" w:space="0" w:color="auto"/>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c>
          <w:tcPr>
            <w:tcW w:w="3949" w:type="dxa"/>
            <w:tcBorders>
              <w:top w:val="single" w:sz="4" w:space="0" w:color="auto"/>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b/>
                <w:bCs/>
                <w:color w:val="000000"/>
                <w:sz w:val="24"/>
                <w:szCs w:val="24"/>
                <w:lang w:val="en-GB" w:eastAsia="en-GB"/>
              </w:rPr>
              <w:t>Total</w:t>
            </w:r>
          </w:p>
        </w:tc>
        <w:tc>
          <w:tcPr>
            <w:tcW w:w="236" w:type="dxa"/>
            <w:tcBorders>
              <w:top w:val="single" w:sz="4" w:space="0" w:color="auto"/>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c>
          <w:tcPr>
            <w:tcW w:w="3285" w:type="dxa"/>
            <w:tcBorders>
              <w:top w:val="single" w:sz="4" w:space="0" w:color="auto"/>
              <w:bottom w:val="single" w:sz="4" w:space="0" w:color="auto"/>
            </w:tcBorders>
            <w:shd w:val="clear" w:color="FFFFFF" w:fill="auto"/>
            <w:tcMar>
              <w:top w:w="0" w:type="dxa"/>
              <w:left w:w="108" w:type="dxa"/>
              <w:bottom w:w="0" w:type="dxa"/>
              <w:right w:w="108" w:type="dxa"/>
            </w:tcMar>
            <w:vAlign w:val="bottom"/>
          </w:tcPr>
          <w:p w:rsidR="006D149C" w:rsidRPr="002A65DC" w:rsidRDefault="00000000" w:rsidP="002A65DC">
            <w:pPr>
              <w:spacing w:after="0" w:line="480" w:lineRule="auto"/>
              <w:rPr>
                <w:rFonts w:ascii="Times New Roman" w:hAnsi="Times New Roman"/>
                <w:sz w:val="24"/>
                <w:szCs w:val="24"/>
              </w:rPr>
            </w:pPr>
            <w:r w:rsidRPr="002A65DC">
              <w:rPr>
                <w:rFonts w:ascii="Times New Roman" w:hAnsi="Times New Roman"/>
                <w:sz w:val="24"/>
                <w:szCs w:val="24"/>
              </w:rPr>
              <w:t>120</w:t>
            </w:r>
            <w:r w:rsidR="00FA412D" w:rsidRPr="002A65DC">
              <w:rPr>
                <w:rFonts w:ascii="Times New Roman" w:hAnsi="Times New Roman"/>
                <w:sz w:val="24"/>
                <w:szCs w:val="24"/>
              </w:rPr>
              <w:t xml:space="preserve">                                100%</w:t>
            </w:r>
          </w:p>
        </w:tc>
        <w:tc>
          <w:tcPr>
            <w:tcW w:w="270" w:type="dxa"/>
            <w:tcBorders>
              <w:top w:val="single" w:sz="4" w:space="0" w:color="auto"/>
              <w:bottom w:val="single" w:sz="4" w:space="0" w:color="auto"/>
            </w:tcBorders>
            <w:shd w:val="clear" w:color="FFFFFF" w:fill="auto"/>
            <w:tcMar>
              <w:top w:w="0" w:type="dxa"/>
              <w:left w:w="108" w:type="dxa"/>
              <w:bottom w:w="0" w:type="dxa"/>
              <w:right w:w="108" w:type="dxa"/>
            </w:tcMar>
            <w:vAlign w:val="bottom"/>
          </w:tcPr>
          <w:p w:rsidR="006D149C" w:rsidRPr="002A65DC" w:rsidRDefault="00000000">
            <w:pPr>
              <w:spacing w:after="0" w:line="480" w:lineRule="auto"/>
              <w:jc w:val="both"/>
              <w:rPr>
                <w:rFonts w:ascii="Times New Roman" w:hAnsi="Times New Roman"/>
                <w:sz w:val="24"/>
                <w:szCs w:val="24"/>
              </w:rPr>
            </w:pPr>
            <w:r w:rsidRPr="002A65DC">
              <w:rPr>
                <w:rFonts w:ascii="Times New Roman" w:eastAsia="Times New Roman" w:hAnsi="Times New Roman"/>
                <w:color w:val="000000"/>
                <w:sz w:val="24"/>
                <w:szCs w:val="24"/>
                <w:lang w:val="en-GB" w:eastAsia="en-GB"/>
              </w:rPr>
              <w:t xml:space="preserve"> </w:t>
            </w:r>
          </w:p>
        </w:tc>
      </w:tr>
    </w:tbl>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b/>
          <w:bCs/>
          <w:sz w:val="24"/>
          <w:szCs w:val="24"/>
        </w:rPr>
        <w:t>Source: Research's Analysis (2025)</w:t>
      </w:r>
    </w:p>
    <w:p w:rsidR="006D149C" w:rsidRPr="002A65DC" w:rsidRDefault="001D3D41">
      <w:pPr>
        <w:spacing w:after="0" w:line="480" w:lineRule="auto"/>
        <w:jc w:val="both"/>
        <w:rPr>
          <w:rFonts w:ascii="Times New Roman" w:hAnsi="Times New Roman"/>
          <w:b/>
          <w:bCs/>
          <w:sz w:val="24"/>
          <w:szCs w:val="24"/>
        </w:rPr>
      </w:pPr>
      <w:r w:rsidRPr="002A65DC">
        <w:rPr>
          <w:rFonts w:ascii="Times New Roman" w:hAnsi="Times New Roman"/>
          <w:noProof/>
          <w:sz w:val="24"/>
          <w:szCs w:val="24"/>
        </w:rPr>
        <w:lastRenderedPageBreak/>
        <w:drawing>
          <wp:inline distT="0" distB="0" distL="0" distR="0" wp14:anchorId="3D47C3F3" wp14:editId="05351906">
            <wp:extent cx="5295900" cy="4038600"/>
            <wp:effectExtent l="0" t="0" r="0" b="0"/>
            <wp:docPr id="11533980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2E25" w:rsidRPr="002A65DC" w:rsidRDefault="00B12E25" w:rsidP="00B12E25">
      <w:pPr>
        <w:spacing w:after="0" w:line="360" w:lineRule="auto"/>
        <w:jc w:val="both"/>
        <w:rPr>
          <w:rFonts w:ascii="Times New Roman" w:hAnsi="Times New Roman"/>
          <w:sz w:val="24"/>
          <w:szCs w:val="24"/>
        </w:rPr>
      </w:pPr>
      <w:r w:rsidRPr="002A65DC">
        <w:rPr>
          <w:rFonts w:ascii="Times New Roman" w:hAnsi="Times New Roman"/>
          <w:b/>
          <w:bCs/>
          <w:sz w:val="24"/>
          <w:szCs w:val="24"/>
        </w:rPr>
        <w:t xml:space="preserve">Figure 4.1.7: Percentage Distribution of Respondents according to project  </w:t>
      </w:r>
    </w:p>
    <w:p w:rsidR="00B12E25" w:rsidRPr="002A65DC" w:rsidRDefault="00B12E25" w:rsidP="00B12E25">
      <w:pPr>
        <w:spacing w:after="0" w:line="360" w:lineRule="auto"/>
        <w:jc w:val="both"/>
        <w:rPr>
          <w:rFonts w:ascii="Times New Roman" w:hAnsi="Times New Roman"/>
          <w:sz w:val="24"/>
          <w:szCs w:val="24"/>
        </w:rPr>
      </w:pPr>
      <w:r w:rsidRPr="002A65DC">
        <w:rPr>
          <w:rFonts w:ascii="Times New Roman" w:hAnsi="Times New Roman"/>
          <w:b/>
          <w:bCs/>
          <w:sz w:val="24"/>
          <w:szCs w:val="24"/>
        </w:rPr>
        <w:t>Source: Research's Analysis (2025)</w:t>
      </w:r>
    </w:p>
    <w:p w:rsidR="00B12E25" w:rsidRPr="002A65DC" w:rsidRDefault="00B12E25">
      <w:pPr>
        <w:spacing w:after="0" w:line="480" w:lineRule="auto"/>
        <w:jc w:val="both"/>
        <w:rPr>
          <w:rFonts w:ascii="Times New Roman" w:hAnsi="Times New Roman"/>
          <w:b/>
          <w:bCs/>
          <w:sz w:val="24"/>
          <w:szCs w:val="24"/>
        </w:rPr>
      </w:pPr>
    </w:p>
    <w:p w:rsidR="005B51F2" w:rsidRPr="002A65DC" w:rsidRDefault="005B51F2">
      <w:pPr>
        <w:spacing w:after="0" w:line="480" w:lineRule="auto"/>
        <w:jc w:val="both"/>
        <w:rPr>
          <w:rFonts w:ascii="Times New Roman" w:hAnsi="Times New Roman"/>
          <w:b/>
          <w:bCs/>
          <w:sz w:val="24"/>
          <w:szCs w:val="24"/>
        </w:rPr>
      </w:pPr>
    </w:p>
    <w:p w:rsidR="005B51F2" w:rsidRPr="002A65DC" w:rsidRDefault="005B51F2">
      <w:pPr>
        <w:spacing w:after="0" w:line="480" w:lineRule="auto"/>
        <w:jc w:val="both"/>
        <w:rPr>
          <w:rFonts w:ascii="Times New Roman" w:hAnsi="Times New Roman"/>
          <w:b/>
          <w:bCs/>
          <w:sz w:val="24"/>
          <w:szCs w:val="24"/>
        </w:rPr>
      </w:pPr>
    </w:p>
    <w:p w:rsidR="005B51F2" w:rsidRPr="002A65DC" w:rsidRDefault="005B51F2">
      <w:pPr>
        <w:spacing w:after="0" w:line="480" w:lineRule="auto"/>
        <w:jc w:val="both"/>
        <w:rPr>
          <w:rFonts w:ascii="Times New Roman" w:hAnsi="Times New Roman"/>
          <w:b/>
          <w:bCs/>
          <w:sz w:val="24"/>
          <w:szCs w:val="24"/>
        </w:rPr>
      </w:pPr>
    </w:p>
    <w:p w:rsidR="005B51F2" w:rsidRPr="002A65DC" w:rsidRDefault="005B51F2">
      <w:pPr>
        <w:spacing w:after="0" w:line="480" w:lineRule="auto"/>
        <w:jc w:val="both"/>
        <w:rPr>
          <w:rFonts w:ascii="Times New Roman" w:hAnsi="Times New Roman"/>
          <w:b/>
          <w:bCs/>
          <w:sz w:val="24"/>
          <w:szCs w:val="24"/>
        </w:rPr>
      </w:pPr>
    </w:p>
    <w:p w:rsidR="005B51F2" w:rsidRPr="002A65DC" w:rsidRDefault="005B51F2">
      <w:pPr>
        <w:spacing w:after="0" w:line="480" w:lineRule="auto"/>
        <w:jc w:val="both"/>
        <w:rPr>
          <w:rFonts w:ascii="Times New Roman" w:hAnsi="Times New Roman"/>
          <w:b/>
          <w:bCs/>
          <w:sz w:val="24"/>
          <w:szCs w:val="24"/>
        </w:rPr>
      </w:pPr>
    </w:p>
    <w:p w:rsidR="002A65DC" w:rsidRPr="002A65DC" w:rsidRDefault="002A65DC">
      <w:pPr>
        <w:spacing w:after="0" w:line="480" w:lineRule="auto"/>
        <w:jc w:val="both"/>
        <w:rPr>
          <w:rFonts w:ascii="Times New Roman" w:hAnsi="Times New Roman"/>
          <w:b/>
          <w:bCs/>
          <w:sz w:val="24"/>
          <w:szCs w:val="24"/>
        </w:rPr>
      </w:pPr>
    </w:p>
    <w:p w:rsidR="006D149C" w:rsidRPr="002A65DC" w:rsidRDefault="00000000">
      <w:pPr>
        <w:spacing w:after="0" w:line="480" w:lineRule="auto"/>
        <w:ind w:left="720" w:hanging="720"/>
        <w:jc w:val="both"/>
        <w:rPr>
          <w:rFonts w:ascii="Times New Roman" w:hAnsi="Times New Roman"/>
          <w:sz w:val="24"/>
          <w:szCs w:val="24"/>
        </w:rPr>
      </w:pPr>
      <w:r w:rsidRPr="002A65DC">
        <w:rPr>
          <w:rFonts w:ascii="Times New Roman" w:hAnsi="Times New Roman"/>
          <w:b/>
          <w:bCs/>
          <w:sz w:val="24"/>
          <w:szCs w:val="24"/>
        </w:rPr>
        <w:lastRenderedPageBreak/>
        <w:t>4.2</w:t>
      </w:r>
      <w:r w:rsidRPr="002A65DC">
        <w:rPr>
          <w:rFonts w:ascii="Times New Roman" w:hAnsi="Times New Roman"/>
          <w:b/>
          <w:bCs/>
          <w:sz w:val="24"/>
          <w:szCs w:val="24"/>
        </w:rPr>
        <w:tab/>
        <w:t>Identification and Classification of Sustainable Energy Technologies (SETs)</w:t>
      </w:r>
    </w:p>
    <w:tbl>
      <w:tblPr>
        <w:tblStyle w:val="TableGrid"/>
        <w:tblW w:w="0" w:type="auto"/>
        <w:tblLook w:val="0600" w:firstRow="0" w:lastRow="0" w:firstColumn="0" w:lastColumn="0" w:noHBand="1" w:noVBand="1"/>
      </w:tblPr>
      <w:tblGrid>
        <w:gridCol w:w="550"/>
        <w:gridCol w:w="5754"/>
        <w:gridCol w:w="784"/>
        <w:gridCol w:w="765"/>
        <w:gridCol w:w="777"/>
      </w:tblGrid>
      <w:tr w:rsidR="006D149C" w:rsidRPr="002A65DC">
        <w:trPr>
          <w:trHeight w:val="408"/>
        </w:trPr>
        <w:tc>
          <w:tcPr>
            <w:tcW w:w="528" w:type="dxa"/>
            <w:tcBorders>
              <w:top w:val="single" w:sz="4" w:space="0" w:color="000000"/>
              <w:left w:val="single" w:sz="4" w:space="0" w:color="000000"/>
              <w:bottom w:val="single" w:sz="4" w:space="0" w:color="000000"/>
              <w:right w:val="single" w:sz="4" w:space="0" w:color="000000"/>
            </w:tcBorders>
          </w:tcPr>
          <w:p w:rsidR="006D149C" w:rsidRPr="002A65DC" w:rsidRDefault="00000000">
            <w:pPr>
              <w:spacing w:after="0" w:line="408" w:lineRule="auto"/>
              <w:jc w:val="both"/>
              <w:rPr>
                <w:rFonts w:ascii="Times New Roman" w:hAnsi="Times New Roman"/>
                <w:b/>
                <w:bCs/>
                <w:sz w:val="24"/>
                <w:szCs w:val="24"/>
              </w:rPr>
            </w:pPr>
            <w:r w:rsidRPr="002A65DC">
              <w:rPr>
                <w:rFonts w:ascii="Times New Roman" w:hAnsi="Times New Roman"/>
                <w:b/>
                <w:bCs/>
                <w:sz w:val="24"/>
                <w:szCs w:val="24"/>
              </w:rPr>
              <w:t>S/n</w:t>
            </w:r>
          </w:p>
        </w:tc>
        <w:tc>
          <w:tcPr>
            <w:tcW w:w="6775" w:type="dxa"/>
            <w:tcBorders>
              <w:top w:val="single" w:sz="4" w:space="0" w:color="000000"/>
              <w:left w:val="single" w:sz="4" w:space="0" w:color="000000"/>
              <w:bottom w:val="single" w:sz="4" w:space="0" w:color="000000"/>
              <w:right w:val="single" w:sz="4" w:space="0" w:color="000000"/>
            </w:tcBorders>
          </w:tcPr>
          <w:p w:rsidR="006D149C" w:rsidRPr="002A65DC" w:rsidRDefault="00000000">
            <w:pPr>
              <w:spacing w:after="0" w:line="408" w:lineRule="auto"/>
              <w:jc w:val="both"/>
              <w:rPr>
                <w:rFonts w:ascii="Times New Roman" w:hAnsi="Times New Roman"/>
                <w:b/>
                <w:bCs/>
                <w:sz w:val="24"/>
                <w:szCs w:val="24"/>
              </w:rPr>
            </w:pPr>
            <w:r w:rsidRPr="002A65DC">
              <w:rPr>
                <w:rFonts w:ascii="Times New Roman" w:hAnsi="Times New Roman"/>
                <w:b/>
                <w:bCs/>
                <w:sz w:val="24"/>
                <w:szCs w:val="24"/>
              </w:rPr>
              <w:t xml:space="preserve">Identification and Classification of Sustainable Energy Technologies </w:t>
            </w:r>
          </w:p>
        </w:tc>
        <w:tc>
          <w:tcPr>
            <w:tcW w:w="790" w:type="dxa"/>
            <w:tcBorders>
              <w:top w:val="single" w:sz="4" w:space="0" w:color="000000"/>
              <w:left w:val="single" w:sz="4" w:space="0" w:color="000000"/>
              <w:bottom w:val="single" w:sz="4" w:space="0" w:color="000000"/>
              <w:right w:val="single" w:sz="4" w:space="0" w:color="000000"/>
            </w:tcBorders>
          </w:tcPr>
          <w:p w:rsidR="006D149C" w:rsidRPr="002A65DC" w:rsidRDefault="00000000">
            <w:pPr>
              <w:spacing w:after="0" w:line="408" w:lineRule="auto"/>
              <w:jc w:val="both"/>
              <w:rPr>
                <w:rFonts w:ascii="Times New Roman" w:hAnsi="Times New Roman"/>
                <w:b/>
                <w:bCs/>
                <w:sz w:val="24"/>
                <w:szCs w:val="24"/>
              </w:rPr>
            </w:pPr>
            <w:r w:rsidRPr="002A65DC">
              <w:rPr>
                <w:rFonts w:ascii="Times New Roman" w:hAnsi="Times New Roman"/>
                <w:b/>
                <w:bCs/>
                <w:sz w:val="24"/>
                <w:szCs w:val="24"/>
              </w:rPr>
              <w:t>Total</w:t>
            </w:r>
          </w:p>
        </w:tc>
        <w:tc>
          <w:tcPr>
            <w:tcW w:w="790" w:type="dxa"/>
            <w:tcBorders>
              <w:top w:val="single" w:sz="4" w:space="0" w:color="000000"/>
              <w:left w:val="single" w:sz="4" w:space="0" w:color="000000"/>
              <w:bottom w:val="single" w:sz="4" w:space="0" w:color="000000"/>
              <w:right w:val="single" w:sz="4" w:space="0" w:color="000000"/>
            </w:tcBorders>
          </w:tcPr>
          <w:p w:rsidR="006D149C" w:rsidRPr="002A65DC" w:rsidRDefault="00000000">
            <w:pPr>
              <w:spacing w:after="0" w:line="408" w:lineRule="auto"/>
              <w:jc w:val="both"/>
              <w:rPr>
                <w:rFonts w:ascii="Times New Roman" w:hAnsi="Times New Roman"/>
                <w:b/>
                <w:bCs/>
                <w:sz w:val="24"/>
                <w:szCs w:val="24"/>
              </w:rPr>
            </w:pPr>
            <w:r w:rsidRPr="002A65DC">
              <w:rPr>
                <w:rFonts w:ascii="Times New Roman" w:hAnsi="Times New Roman"/>
                <w:b/>
                <w:bCs/>
                <w:sz w:val="24"/>
                <w:szCs w:val="24"/>
              </w:rPr>
              <w:t xml:space="preserve"> MIS</w:t>
            </w:r>
          </w:p>
        </w:tc>
        <w:tc>
          <w:tcPr>
            <w:tcW w:w="693" w:type="dxa"/>
            <w:tcBorders>
              <w:top w:val="single" w:sz="4" w:space="0" w:color="000000"/>
              <w:left w:val="single" w:sz="4" w:space="0" w:color="000000"/>
              <w:bottom w:val="single" w:sz="4" w:space="0" w:color="000000"/>
              <w:right w:val="single" w:sz="4" w:space="0" w:color="000000"/>
            </w:tcBorders>
          </w:tcPr>
          <w:p w:rsidR="006D149C" w:rsidRPr="002A65DC" w:rsidRDefault="00000000">
            <w:pPr>
              <w:spacing w:after="0" w:line="408" w:lineRule="auto"/>
              <w:jc w:val="both"/>
              <w:rPr>
                <w:rFonts w:ascii="Times New Roman" w:hAnsi="Times New Roman"/>
                <w:b/>
                <w:bCs/>
                <w:sz w:val="24"/>
                <w:szCs w:val="24"/>
              </w:rPr>
            </w:pPr>
            <w:r w:rsidRPr="002A65DC">
              <w:rPr>
                <w:rFonts w:ascii="Times New Roman" w:hAnsi="Times New Roman"/>
                <w:b/>
                <w:bCs/>
                <w:sz w:val="24"/>
                <w:szCs w:val="24"/>
              </w:rPr>
              <w:t>Rank</w:t>
            </w:r>
          </w:p>
        </w:tc>
      </w:tr>
      <w:tr w:rsidR="006D149C" w:rsidRPr="002A65DC">
        <w:trPr>
          <w:trHeight w:val="526"/>
        </w:trPr>
        <w:tc>
          <w:tcPr>
            <w:tcW w:w="528" w:type="dxa"/>
            <w:tcBorders>
              <w:top w:val="single" w:sz="4" w:space="0" w:color="000000"/>
              <w:left w:val="single" w:sz="4" w:space="0" w:color="000000"/>
              <w:bottom w:val="single" w:sz="4" w:space="0" w:color="000000"/>
              <w:right w:val="single" w:sz="4" w:space="0" w:color="000000"/>
            </w:tcBorders>
          </w:tcPr>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1</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2</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3</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4</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5</w:t>
            </w:r>
          </w:p>
          <w:p w:rsidR="006D149C" w:rsidRPr="002A65DC" w:rsidRDefault="006D149C">
            <w:pPr>
              <w:spacing w:after="0" w:line="408" w:lineRule="auto"/>
              <w:jc w:val="both"/>
              <w:rPr>
                <w:rFonts w:ascii="Times New Roman" w:hAnsi="Times New Roman"/>
                <w:sz w:val="24"/>
                <w:szCs w:val="24"/>
              </w:rPr>
            </w:pPr>
          </w:p>
          <w:p w:rsidR="003C3685" w:rsidRDefault="003C3685">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6</w:t>
            </w:r>
          </w:p>
          <w:p w:rsidR="003C3685" w:rsidRDefault="003C3685">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7</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8</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9</w:t>
            </w:r>
          </w:p>
        </w:tc>
        <w:tc>
          <w:tcPr>
            <w:tcW w:w="6775" w:type="dxa"/>
            <w:tcBorders>
              <w:top w:val="single" w:sz="4" w:space="0" w:color="000000"/>
              <w:left w:val="single" w:sz="4" w:space="0" w:color="000000"/>
              <w:bottom w:val="single" w:sz="4" w:space="0" w:color="000000"/>
              <w:right w:val="single" w:sz="4" w:space="0" w:color="000000"/>
            </w:tcBorders>
          </w:tcPr>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Solar PV systems are commonly used in modern construction project.</w:t>
            </w: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Energy-efficient HVAC systems are widely adopted in new buildings.</w:t>
            </w: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Smart lighting systems (LED/automated) are gaining ground in contemporary buildings.</w:t>
            </w: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Solar water heating systems are becoming more prevalent in residential projects.</w:t>
            </w: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Sustainable energy technologies are more frequently adopted in commercial and institutional buildings than in residential ones.</w:t>
            </w: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Wind turbines and biomass systems are rarely integrated in construction.</w:t>
            </w: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Geothermal systems are not commonly considered due to technical limitations.</w:t>
            </w:r>
            <w:r w:rsidRPr="002A65DC">
              <w:rPr>
                <w:rFonts w:ascii="Times New Roman" w:hAnsi="Times New Roman"/>
                <w:sz w:val="24"/>
                <w:szCs w:val="24"/>
              </w:rPr>
              <w:tab/>
            </w: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The selection of energy technology in construction is mostly influenced by environmental concerns.</w:t>
            </w: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Client awareness and preference play a major role in the adoption of sustainable energy systems.</w:t>
            </w:r>
            <w:r w:rsidRPr="002A65DC">
              <w:rPr>
                <w:rFonts w:ascii="Times New Roman" w:hAnsi="Times New Roman"/>
                <w:sz w:val="24"/>
                <w:szCs w:val="24"/>
              </w:rPr>
              <w:tab/>
            </w:r>
          </w:p>
        </w:tc>
        <w:tc>
          <w:tcPr>
            <w:tcW w:w="790" w:type="dxa"/>
            <w:tcBorders>
              <w:top w:val="single" w:sz="4" w:space="0" w:color="000000"/>
              <w:left w:val="single" w:sz="4" w:space="0" w:color="000000"/>
              <w:bottom w:val="single" w:sz="4" w:space="0" w:color="000000"/>
              <w:right w:val="single" w:sz="4" w:space="0" w:color="000000"/>
            </w:tcBorders>
          </w:tcPr>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08" w:lineRule="auto"/>
              <w:jc w:val="both"/>
              <w:rPr>
                <w:rFonts w:ascii="Times New Roman" w:hAnsi="Times New Roman"/>
                <w:sz w:val="24"/>
                <w:szCs w:val="24"/>
              </w:rPr>
            </w:pPr>
          </w:p>
          <w:p w:rsidR="003C3685" w:rsidRDefault="003C3685">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120</w:t>
            </w:r>
          </w:p>
          <w:p w:rsidR="003C3685" w:rsidRDefault="003C3685">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08" w:lineRule="auto"/>
              <w:jc w:val="both"/>
              <w:rPr>
                <w:rFonts w:ascii="Times New Roman" w:hAnsi="Times New Roman"/>
                <w:sz w:val="24"/>
                <w:szCs w:val="24"/>
              </w:rPr>
            </w:pPr>
          </w:p>
        </w:tc>
        <w:tc>
          <w:tcPr>
            <w:tcW w:w="790" w:type="dxa"/>
            <w:tcBorders>
              <w:top w:val="single" w:sz="4" w:space="0" w:color="000000"/>
              <w:left w:val="single" w:sz="4" w:space="0" w:color="000000"/>
              <w:bottom w:val="single" w:sz="4" w:space="0" w:color="000000"/>
              <w:right w:val="single" w:sz="4" w:space="0" w:color="000000"/>
            </w:tcBorders>
          </w:tcPr>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3.98</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3.79</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4.14</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4.36</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3.00</w:t>
            </w:r>
          </w:p>
          <w:p w:rsidR="006D149C" w:rsidRPr="002A65DC" w:rsidRDefault="006D149C">
            <w:pPr>
              <w:spacing w:after="0" w:line="408" w:lineRule="auto"/>
              <w:jc w:val="both"/>
              <w:rPr>
                <w:rFonts w:ascii="Times New Roman" w:hAnsi="Times New Roman"/>
                <w:sz w:val="24"/>
                <w:szCs w:val="24"/>
              </w:rPr>
            </w:pPr>
          </w:p>
          <w:p w:rsidR="003C3685" w:rsidRDefault="003C3685">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2.40</w:t>
            </w:r>
          </w:p>
          <w:p w:rsidR="003C3685" w:rsidRDefault="003C3685">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3.83</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3.65</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4.06</w:t>
            </w:r>
          </w:p>
        </w:tc>
        <w:tc>
          <w:tcPr>
            <w:tcW w:w="693" w:type="dxa"/>
            <w:tcBorders>
              <w:top w:val="single" w:sz="4" w:space="0" w:color="000000"/>
              <w:left w:val="single" w:sz="4" w:space="0" w:color="000000"/>
              <w:bottom w:val="single" w:sz="4" w:space="0" w:color="000000"/>
              <w:right w:val="single" w:sz="4" w:space="0" w:color="000000"/>
            </w:tcBorders>
          </w:tcPr>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4th</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6th</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2nd</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1st</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8th</w:t>
            </w:r>
          </w:p>
          <w:p w:rsidR="006D149C" w:rsidRPr="002A65DC" w:rsidRDefault="006D149C">
            <w:pPr>
              <w:spacing w:after="0" w:line="408" w:lineRule="auto"/>
              <w:jc w:val="both"/>
              <w:rPr>
                <w:rFonts w:ascii="Times New Roman" w:hAnsi="Times New Roman"/>
                <w:sz w:val="24"/>
                <w:szCs w:val="24"/>
              </w:rPr>
            </w:pPr>
          </w:p>
          <w:p w:rsidR="003C3685" w:rsidRDefault="003C3685">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9th</w:t>
            </w:r>
          </w:p>
          <w:p w:rsidR="003C3685" w:rsidRDefault="003C3685">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5th</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7th</w:t>
            </w:r>
          </w:p>
          <w:p w:rsidR="006D149C" w:rsidRPr="002A65DC" w:rsidRDefault="006D149C">
            <w:pPr>
              <w:spacing w:after="0" w:line="408" w:lineRule="auto"/>
              <w:jc w:val="both"/>
              <w:rPr>
                <w:rFonts w:ascii="Times New Roman" w:hAnsi="Times New Roman"/>
                <w:sz w:val="24"/>
                <w:szCs w:val="24"/>
              </w:rPr>
            </w:pPr>
          </w:p>
          <w:p w:rsidR="006D149C" w:rsidRPr="002A65DC" w:rsidRDefault="00000000">
            <w:pPr>
              <w:spacing w:after="0" w:line="408" w:lineRule="auto"/>
              <w:jc w:val="both"/>
              <w:rPr>
                <w:rFonts w:ascii="Times New Roman" w:hAnsi="Times New Roman"/>
                <w:sz w:val="24"/>
                <w:szCs w:val="24"/>
              </w:rPr>
            </w:pPr>
            <w:r w:rsidRPr="002A65DC">
              <w:rPr>
                <w:rFonts w:ascii="Times New Roman" w:hAnsi="Times New Roman"/>
                <w:sz w:val="24"/>
                <w:szCs w:val="24"/>
              </w:rPr>
              <w:t xml:space="preserve">3rd </w:t>
            </w:r>
          </w:p>
        </w:tc>
      </w:tr>
    </w:tbl>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Source: Research's Analysis (2025)</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lastRenderedPageBreak/>
        <w:t xml:space="preserve">The first objective of the study assessed respondents’ level of Agreement on the Identification and Classification of Sustainable Energy Technologies   using some selected criteria on a Likert scale 1 – 5 (1 = (SD) </w:t>
      </w:r>
      <w:r w:rsidR="002916AB" w:rsidRPr="002A65DC">
        <w:rPr>
          <w:rFonts w:ascii="Times New Roman" w:hAnsi="Times New Roman"/>
          <w:sz w:val="24"/>
          <w:szCs w:val="24"/>
        </w:rPr>
        <w:t>Strongly Disagree</w:t>
      </w:r>
      <w:r w:rsidRPr="002A65DC">
        <w:rPr>
          <w:rFonts w:ascii="Times New Roman" w:hAnsi="Times New Roman"/>
          <w:sz w:val="24"/>
          <w:szCs w:val="24"/>
        </w:rPr>
        <w:t xml:space="preserve">, 2 = (D) </w:t>
      </w:r>
      <w:r w:rsidR="002916AB" w:rsidRPr="002A65DC">
        <w:rPr>
          <w:rFonts w:ascii="Times New Roman" w:hAnsi="Times New Roman"/>
          <w:sz w:val="24"/>
          <w:szCs w:val="24"/>
        </w:rPr>
        <w:t>Disagree</w:t>
      </w:r>
      <w:r w:rsidRPr="002A65DC">
        <w:rPr>
          <w:rFonts w:ascii="Times New Roman" w:hAnsi="Times New Roman"/>
          <w:sz w:val="24"/>
          <w:szCs w:val="24"/>
        </w:rPr>
        <w:t xml:space="preserve">, 3 = (N) </w:t>
      </w:r>
      <w:r w:rsidR="002916AB" w:rsidRPr="002A65DC">
        <w:rPr>
          <w:rFonts w:ascii="Times New Roman" w:hAnsi="Times New Roman"/>
          <w:sz w:val="24"/>
          <w:szCs w:val="24"/>
        </w:rPr>
        <w:t>Neutral</w:t>
      </w:r>
      <w:r w:rsidRPr="002A65DC">
        <w:rPr>
          <w:rFonts w:ascii="Times New Roman" w:hAnsi="Times New Roman"/>
          <w:sz w:val="24"/>
          <w:szCs w:val="24"/>
        </w:rPr>
        <w:t xml:space="preserve">, 4 = (A) </w:t>
      </w:r>
      <w:r w:rsidR="002916AB" w:rsidRPr="002A65DC">
        <w:rPr>
          <w:rFonts w:ascii="Times New Roman" w:hAnsi="Times New Roman"/>
          <w:sz w:val="24"/>
          <w:szCs w:val="24"/>
        </w:rPr>
        <w:t>Agree</w:t>
      </w:r>
      <w:r w:rsidRPr="002A65DC">
        <w:rPr>
          <w:rFonts w:ascii="Times New Roman" w:hAnsi="Times New Roman"/>
          <w:sz w:val="24"/>
          <w:szCs w:val="24"/>
        </w:rPr>
        <w:t xml:space="preserve">, 5 = (SA) </w:t>
      </w:r>
      <w:r w:rsidR="002916AB" w:rsidRPr="002A65DC">
        <w:rPr>
          <w:rFonts w:ascii="Times New Roman" w:hAnsi="Times New Roman"/>
          <w:sz w:val="24"/>
          <w:szCs w:val="24"/>
        </w:rPr>
        <w:t>Strongly Agree.</w:t>
      </w: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sz w:val="24"/>
          <w:szCs w:val="24"/>
        </w:rPr>
        <w:t>From Table 4.2: The table presents the respondents' ranking of Identification and Classification of Sustainable Energy Technologies using the Mean Item Score (MIS). The most significant factor identified was solar water heating systems ranking first with a mean score of 4.36. This is closely followed by the increasing use of smart lighting systems (MIS = 4.14) and the influence of client awareness and preferences (MIS = 4.06) on the adoption of sustainable technologies. Solar PV systems and geothermal systems also scored relatively high, indicating their growing relevance.</w:t>
      </w: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sz w:val="24"/>
          <w:szCs w:val="24"/>
        </w:rPr>
        <w:t>On the other hand, wind turbines and biomass systems ranked lowest with a mean score of 2.40, suggesting they are rarely used in construction projects. Similarly, the idea that sustainable technologies are more common in commercial buildings than residential ones received a moderate response (MIS = 3.00). These findings show that technologies which are simpler to implement and influenced by client interest are more widely adopted than those that are technically complex or less familiar.</w:t>
      </w:r>
    </w:p>
    <w:p w:rsidR="002916AB" w:rsidRDefault="002916AB">
      <w:pPr>
        <w:spacing w:after="0" w:line="480" w:lineRule="auto"/>
        <w:jc w:val="both"/>
        <w:rPr>
          <w:rFonts w:ascii="Times New Roman" w:hAnsi="Times New Roman"/>
          <w:b/>
          <w:bCs/>
          <w:sz w:val="26"/>
          <w:szCs w:val="26"/>
        </w:rPr>
      </w:pPr>
    </w:p>
    <w:p w:rsidR="002916AB" w:rsidRDefault="002916AB">
      <w:pPr>
        <w:spacing w:after="0" w:line="480" w:lineRule="auto"/>
        <w:jc w:val="both"/>
        <w:rPr>
          <w:rFonts w:ascii="Times New Roman" w:hAnsi="Times New Roman"/>
          <w:b/>
          <w:bCs/>
          <w:sz w:val="26"/>
          <w:szCs w:val="26"/>
        </w:rPr>
      </w:pPr>
    </w:p>
    <w:p w:rsidR="002916AB" w:rsidRDefault="002916AB">
      <w:pPr>
        <w:spacing w:after="0" w:line="480" w:lineRule="auto"/>
        <w:jc w:val="both"/>
        <w:rPr>
          <w:rFonts w:ascii="Times New Roman" w:hAnsi="Times New Roman"/>
          <w:b/>
          <w:bCs/>
          <w:sz w:val="26"/>
          <w:szCs w:val="26"/>
        </w:rPr>
      </w:pPr>
    </w:p>
    <w:p w:rsidR="003C3685" w:rsidRDefault="003C3685">
      <w:pPr>
        <w:spacing w:after="0" w:line="480" w:lineRule="auto"/>
        <w:jc w:val="both"/>
        <w:rPr>
          <w:rFonts w:ascii="Times New Roman" w:hAnsi="Times New Roman"/>
          <w:b/>
          <w:bCs/>
          <w:sz w:val="26"/>
          <w:szCs w:val="26"/>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lastRenderedPageBreak/>
        <w:t xml:space="preserve">4.3 Initial Capital and Lifecycle cost Implications of Adopting Sustainable Energy Technologies </w:t>
      </w:r>
    </w:p>
    <w:tbl>
      <w:tblPr>
        <w:tblStyle w:val="TableGrid"/>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83"/>
        <w:gridCol w:w="5882"/>
        <w:gridCol w:w="810"/>
        <w:gridCol w:w="810"/>
        <w:gridCol w:w="900"/>
      </w:tblGrid>
      <w:tr w:rsidR="006D149C" w:rsidRPr="002A65DC" w:rsidTr="003C3685">
        <w:tc>
          <w:tcPr>
            <w:tcW w:w="683"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S/n</w:t>
            </w:r>
          </w:p>
        </w:tc>
        <w:tc>
          <w:tcPr>
            <w:tcW w:w="5882"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 xml:space="preserve">Capital and Lifecycle cost Implications </w:t>
            </w:r>
          </w:p>
        </w:tc>
        <w:tc>
          <w:tcPr>
            <w:tcW w:w="810"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 xml:space="preserve">Total </w:t>
            </w:r>
          </w:p>
        </w:tc>
        <w:tc>
          <w:tcPr>
            <w:tcW w:w="810"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MIS</w:t>
            </w:r>
          </w:p>
        </w:tc>
        <w:tc>
          <w:tcPr>
            <w:tcW w:w="900"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Rank</w:t>
            </w:r>
          </w:p>
        </w:tc>
      </w:tr>
      <w:tr w:rsidR="006D149C" w:rsidRPr="002A65DC" w:rsidTr="003C3685">
        <w:tc>
          <w:tcPr>
            <w:tcW w:w="683"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1</w:t>
            </w:r>
          </w:p>
          <w:p w:rsidR="006D149C" w:rsidRPr="002A65DC" w:rsidRDefault="006D149C">
            <w:pPr>
              <w:spacing w:after="0" w:line="480" w:lineRule="auto"/>
              <w:jc w:val="both"/>
              <w:rPr>
                <w:rFonts w:ascii="Times New Roman" w:hAnsi="Times New Roman"/>
                <w:b/>
                <w:bCs/>
                <w:sz w:val="24"/>
                <w:szCs w:val="24"/>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2</w:t>
            </w:r>
          </w:p>
          <w:p w:rsidR="006D149C" w:rsidRPr="002A65DC" w:rsidRDefault="006D149C">
            <w:pPr>
              <w:spacing w:after="0" w:line="480" w:lineRule="auto"/>
              <w:jc w:val="both"/>
              <w:rPr>
                <w:rFonts w:ascii="Times New Roman" w:hAnsi="Times New Roman"/>
                <w:b/>
                <w:bCs/>
                <w:sz w:val="24"/>
                <w:szCs w:val="24"/>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3</w:t>
            </w:r>
          </w:p>
          <w:p w:rsidR="006D149C" w:rsidRPr="002A65DC" w:rsidRDefault="006D149C">
            <w:pPr>
              <w:spacing w:after="0" w:line="480" w:lineRule="auto"/>
              <w:jc w:val="both"/>
              <w:rPr>
                <w:rFonts w:ascii="Times New Roman" w:hAnsi="Times New Roman"/>
                <w:b/>
                <w:bCs/>
                <w:sz w:val="24"/>
                <w:szCs w:val="24"/>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4</w:t>
            </w:r>
          </w:p>
          <w:p w:rsidR="006D149C" w:rsidRPr="002A65DC" w:rsidRDefault="006D149C">
            <w:pPr>
              <w:spacing w:after="0" w:line="480" w:lineRule="auto"/>
              <w:jc w:val="both"/>
              <w:rPr>
                <w:rFonts w:ascii="Times New Roman" w:hAnsi="Times New Roman"/>
                <w:b/>
                <w:bCs/>
                <w:sz w:val="24"/>
                <w:szCs w:val="24"/>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5</w:t>
            </w:r>
          </w:p>
          <w:p w:rsidR="006D149C" w:rsidRPr="002A65DC" w:rsidRDefault="006D149C">
            <w:pPr>
              <w:spacing w:after="0" w:line="480" w:lineRule="auto"/>
              <w:jc w:val="both"/>
              <w:rPr>
                <w:rFonts w:ascii="Times New Roman" w:hAnsi="Times New Roman"/>
                <w:b/>
                <w:bCs/>
                <w:sz w:val="24"/>
                <w:szCs w:val="24"/>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6</w:t>
            </w:r>
          </w:p>
          <w:p w:rsidR="006D149C" w:rsidRPr="002A65DC" w:rsidRDefault="006D149C">
            <w:pPr>
              <w:spacing w:after="0" w:line="480" w:lineRule="auto"/>
              <w:jc w:val="both"/>
              <w:rPr>
                <w:rFonts w:ascii="Times New Roman" w:hAnsi="Times New Roman"/>
                <w:b/>
                <w:bCs/>
                <w:sz w:val="24"/>
                <w:szCs w:val="24"/>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7</w:t>
            </w:r>
          </w:p>
          <w:p w:rsidR="006D149C" w:rsidRPr="002A65DC" w:rsidRDefault="006D149C">
            <w:pPr>
              <w:spacing w:after="0" w:line="480" w:lineRule="auto"/>
              <w:jc w:val="both"/>
              <w:rPr>
                <w:rFonts w:ascii="Times New Roman" w:hAnsi="Times New Roman"/>
                <w:b/>
                <w:bCs/>
                <w:sz w:val="24"/>
                <w:szCs w:val="24"/>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8</w:t>
            </w:r>
          </w:p>
        </w:tc>
        <w:tc>
          <w:tcPr>
            <w:tcW w:w="5882"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Sustainable energy systems require higher initial capital compared to traditional systems.</w:t>
            </w:r>
            <w:r w:rsidRPr="002A65DC">
              <w:rPr>
                <w:rFonts w:ascii="Times New Roman" w:hAnsi="Times New Roman"/>
                <w:sz w:val="24"/>
                <w:szCs w:val="24"/>
              </w:rPr>
              <w:tab/>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Lifecycle costs (operation and maintenance) of sustainable systems are lower than conventional systems.</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The high cost of imported components contributes significantly to the overall project cost.</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Lack of local expertise increases the cost of installing sustainable energy technologies.</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Clients often hesitate to invest due to the high upfront capital required.</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Sustainable energy technologies result in overall cost savings in the long term.</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Cost-benefit analysis is often overlooked in project planning for green technologies.</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Installation costs constitute the bulk of the expenditure in adopting green energy systems.</w:t>
            </w:r>
          </w:p>
        </w:tc>
        <w:tc>
          <w:tcPr>
            <w:tcW w:w="810"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120</w:t>
            </w:r>
          </w:p>
        </w:tc>
        <w:tc>
          <w:tcPr>
            <w:tcW w:w="810"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4.53</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4.19</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4.13</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4.35</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4.51</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3.80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3.91</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4.11</w:t>
            </w:r>
          </w:p>
        </w:tc>
        <w:tc>
          <w:tcPr>
            <w:tcW w:w="900"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1st</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4th</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5th</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3rd</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2nd</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8th</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7th</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6th</w:t>
            </w:r>
          </w:p>
        </w:tc>
      </w:tr>
    </w:tbl>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Source: Research's Analysis (2025)</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lastRenderedPageBreak/>
        <w:t xml:space="preserve">The second objective of the study assessed respondents’ level of Agreement on the Assessment of initial capital and Lifecycle cost Implications of Adopting Sustainable energy </w:t>
      </w:r>
      <w:r w:rsidR="002916AB" w:rsidRPr="002A65DC">
        <w:rPr>
          <w:rFonts w:ascii="Times New Roman" w:hAnsi="Times New Roman"/>
          <w:sz w:val="24"/>
          <w:szCs w:val="24"/>
        </w:rPr>
        <w:t>Technologies using</w:t>
      </w:r>
      <w:r w:rsidRPr="002A65DC">
        <w:rPr>
          <w:rFonts w:ascii="Times New Roman" w:hAnsi="Times New Roman"/>
          <w:sz w:val="24"/>
          <w:szCs w:val="24"/>
        </w:rPr>
        <w:t xml:space="preserve"> some selected criteria on a Likert scale 1 – 5 (1 = (SD) </w:t>
      </w:r>
      <w:r w:rsidR="002916AB" w:rsidRPr="002A65DC">
        <w:rPr>
          <w:rFonts w:ascii="Times New Roman" w:hAnsi="Times New Roman"/>
          <w:sz w:val="24"/>
          <w:szCs w:val="24"/>
        </w:rPr>
        <w:t>Strongly Disagree</w:t>
      </w:r>
      <w:r w:rsidRPr="002A65DC">
        <w:rPr>
          <w:rFonts w:ascii="Times New Roman" w:hAnsi="Times New Roman"/>
          <w:sz w:val="24"/>
          <w:szCs w:val="24"/>
        </w:rPr>
        <w:t xml:space="preserve">, 2 = (D) </w:t>
      </w:r>
      <w:r w:rsidR="002916AB" w:rsidRPr="002A65DC">
        <w:rPr>
          <w:rFonts w:ascii="Times New Roman" w:hAnsi="Times New Roman"/>
          <w:sz w:val="24"/>
          <w:szCs w:val="24"/>
        </w:rPr>
        <w:t>Disagree</w:t>
      </w:r>
      <w:r w:rsidRPr="002A65DC">
        <w:rPr>
          <w:rFonts w:ascii="Times New Roman" w:hAnsi="Times New Roman"/>
          <w:sz w:val="24"/>
          <w:szCs w:val="24"/>
        </w:rPr>
        <w:t xml:space="preserve">, 3 = (N) </w:t>
      </w:r>
      <w:r w:rsidR="002916AB" w:rsidRPr="002A65DC">
        <w:rPr>
          <w:rFonts w:ascii="Times New Roman" w:hAnsi="Times New Roman"/>
          <w:sz w:val="24"/>
          <w:szCs w:val="24"/>
        </w:rPr>
        <w:t>Neutral</w:t>
      </w:r>
      <w:r w:rsidRPr="002A65DC">
        <w:rPr>
          <w:rFonts w:ascii="Times New Roman" w:hAnsi="Times New Roman"/>
          <w:sz w:val="24"/>
          <w:szCs w:val="24"/>
        </w:rPr>
        <w:t xml:space="preserve">, 4 = (A) </w:t>
      </w:r>
      <w:r w:rsidR="002916AB" w:rsidRPr="002A65DC">
        <w:rPr>
          <w:rFonts w:ascii="Times New Roman" w:hAnsi="Times New Roman"/>
          <w:sz w:val="24"/>
          <w:szCs w:val="24"/>
        </w:rPr>
        <w:t>Agree</w:t>
      </w:r>
      <w:r w:rsidRPr="002A65DC">
        <w:rPr>
          <w:rFonts w:ascii="Times New Roman" w:hAnsi="Times New Roman"/>
          <w:sz w:val="24"/>
          <w:szCs w:val="24"/>
        </w:rPr>
        <w:t xml:space="preserve">, 5 = (SA) </w:t>
      </w:r>
      <w:r w:rsidR="002916AB" w:rsidRPr="002A65DC">
        <w:rPr>
          <w:rFonts w:ascii="Times New Roman" w:hAnsi="Times New Roman"/>
          <w:sz w:val="24"/>
          <w:szCs w:val="24"/>
        </w:rPr>
        <w:t>Strongly Agree</w:t>
      </w:r>
      <w:r w:rsidRPr="002A65DC">
        <w:rPr>
          <w:rFonts w:ascii="Times New Roman" w:hAnsi="Times New Roman"/>
          <w:sz w:val="24"/>
          <w:szCs w:val="24"/>
        </w:rPr>
        <w:t>.</w:t>
      </w: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sz w:val="24"/>
          <w:szCs w:val="24"/>
        </w:rPr>
        <w:t>From Table 4.3: The table presents the ranking of initial capital and Lifecycle cost Implications based on the Mean Item Score (MIS). The requirement for higher initial capital was ranked 1st with a mean score of 4.53, highlighting it as the most critical barrier to adoption. This was followed by client hesitation due to high upfront costs, ranked 2nd with a mean score of 4.51, indicating that many clients are discouraged by the early-stage financial commitment.</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Lack of local expertise was ranked 3rd with a mean score of 4.35, reflecting how the shortage of trained professionals contributes to increased installation costs. Lower lifecycle costs, which suggest long-term savings, were ranked 4th with a mean score of 4.19, while the high cost of imported components came 5th with a score of 4.13, showing concern over foreign dependency.</w:t>
      </w:r>
    </w:p>
    <w:p w:rsidR="003C3685" w:rsidRPr="002A65DC" w:rsidRDefault="00000000">
      <w:pPr>
        <w:spacing w:after="0" w:line="480" w:lineRule="auto"/>
        <w:jc w:val="both"/>
        <w:rPr>
          <w:rFonts w:ascii="Times New Roman" w:hAnsi="Times New Roman"/>
          <w:b/>
          <w:bCs/>
          <w:sz w:val="24"/>
          <w:szCs w:val="24"/>
        </w:rPr>
      </w:pPr>
      <w:r w:rsidRPr="002A65DC">
        <w:rPr>
          <w:rFonts w:ascii="Times New Roman" w:hAnsi="Times New Roman"/>
          <w:sz w:val="24"/>
          <w:szCs w:val="24"/>
        </w:rPr>
        <w:t>Installation costs were ranked 6th with a mean score of 4.11, pointing to their significant share in total expenditure. Cost-benefit analysis was ranked 7th at 3.91, suggesting it is not consistently applied during project planning. Lastly, the long-term cost savings from sustainable energy technologies were ranked lowest, in 8th position, with a mean score of 3.80, indicating that while recognized, the long-term benefit may still be undervalued during decision-making.</w:t>
      </w:r>
      <w:r w:rsidRPr="002A65DC">
        <w:rPr>
          <w:rFonts w:hAnsi="Times New Roman"/>
          <w:sz w:val="24"/>
          <w:szCs w:val="24"/>
        </w:rPr>
        <w:t xml:space="preserve"> </w:t>
      </w:r>
      <w:r w:rsidRPr="002A65DC">
        <w:rPr>
          <w:rFonts w:ascii="Times New Roman" w:hAnsi="Times New Roman"/>
          <w:sz w:val="24"/>
          <w:szCs w:val="24"/>
        </w:rPr>
        <w:t xml:space="preserve">These results indicate that upfront financial factors and technical </w:t>
      </w:r>
      <w:r w:rsidRPr="002A65DC">
        <w:rPr>
          <w:rFonts w:ascii="Times New Roman" w:hAnsi="Times New Roman"/>
          <w:sz w:val="24"/>
          <w:szCs w:val="24"/>
        </w:rPr>
        <w:lastRenderedPageBreak/>
        <w:t>challenges remain major obstacles to adopting sustainable energy systems, despite their long-term economic potential</w:t>
      </w:r>
      <w:r w:rsidRPr="002A65DC">
        <w:rPr>
          <w:rFonts w:ascii="Times New Roman" w:hAnsi="Times New Roman"/>
          <w:b/>
          <w:bCs/>
          <w:sz w:val="24"/>
          <w:szCs w:val="24"/>
        </w:rPr>
        <w:t>.</w:t>
      </w: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4.</w:t>
      </w:r>
      <w:r w:rsidR="003C3685">
        <w:rPr>
          <w:rFonts w:ascii="Times New Roman" w:hAnsi="Times New Roman"/>
          <w:b/>
          <w:bCs/>
          <w:sz w:val="24"/>
          <w:szCs w:val="24"/>
        </w:rPr>
        <w:t>4</w:t>
      </w:r>
      <w:r w:rsidRPr="002A65DC">
        <w:rPr>
          <w:rFonts w:ascii="Times New Roman" w:hAnsi="Times New Roman"/>
          <w:b/>
          <w:bCs/>
          <w:sz w:val="24"/>
          <w:szCs w:val="24"/>
        </w:rPr>
        <w:tab/>
        <w:t>Evaluation on Return on Investment</w:t>
      </w:r>
      <w:r w:rsidR="003C3685">
        <w:rPr>
          <w:rFonts w:ascii="Times New Roman" w:hAnsi="Times New Roman"/>
          <w:b/>
          <w:bCs/>
          <w:sz w:val="24"/>
          <w:szCs w:val="24"/>
        </w:rPr>
        <w:t xml:space="preserve"> </w:t>
      </w:r>
      <w:r w:rsidRPr="002A65DC">
        <w:rPr>
          <w:rFonts w:ascii="Times New Roman" w:hAnsi="Times New Roman"/>
          <w:b/>
          <w:bCs/>
          <w:sz w:val="24"/>
          <w:szCs w:val="24"/>
        </w:rPr>
        <w:t>(ROI), energy saving,</w:t>
      </w:r>
      <w:r w:rsidR="003C3685">
        <w:rPr>
          <w:rFonts w:ascii="Times New Roman" w:hAnsi="Times New Roman"/>
          <w:b/>
          <w:bCs/>
          <w:sz w:val="24"/>
          <w:szCs w:val="24"/>
        </w:rPr>
        <w:t xml:space="preserve"> </w:t>
      </w:r>
      <w:r w:rsidRPr="002A65DC">
        <w:rPr>
          <w:rFonts w:ascii="Times New Roman" w:hAnsi="Times New Roman"/>
          <w:b/>
          <w:bCs/>
          <w:sz w:val="24"/>
          <w:szCs w:val="24"/>
        </w:rPr>
        <w:t>and Economic benefits associated with their use.</w:t>
      </w:r>
    </w:p>
    <w:tbl>
      <w:tblPr>
        <w:tblStyle w:val="TableGrid"/>
        <w:tblW w:w="8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78"/>
        <w:gridCol w:w="5626"/>
        <w:gridCol w:w="763"/>
        <w:gridCol w:w="801"/>
        <w:gridCol w:w="777"/>
      </w:tblGrid>
      <w:tr w:rsidR="006D149C" w:rsidRPr="002A65DC" w:rsidTr="003C3685">
        <w:tc>
          <w:tcPr>
            <w:tcW w:w="578"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S/n</w:t>
            </w:r>
          </w:p>
        </w:tc>
        <w:tc>
          <w:tcPr>
            <w:tcW w:w="5681"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Return on investment</w:t>
            </w:r>
            <w:r w:rsidR="003C3685">
              <w:rPr>
                <w:rFonts w:ascii="Times New Roman" w:hAnsi="Times New Roman"/>
                <w:b/>
                <w:bCs/>
                <w:sz w:val="24"/>
                <w:szCs w:val="24"/>
              </w:rPr>
              <w:t xml:space="preserve"> </w:t>
            </w:r>
            <w:r w:rsidRPr="002A65DC">
              <w:rPr>
                <w:rFonts w:ascii="Times New Roman" w:hAnsi="Times New Roman"/>
                <w:b/>
                <w:bCs/>
                <w:sz w:val="24"/>
                <w:szCs w:val="24"/>
              </w:rPr>
              <w:t xml:space="preserve">(ROI) and Economic benefits </w:t>
            </w:r>
          </w:p>
        </w:tc>
        <w:tc>
          <w:tcPr>
            <w:tcW w:w="763"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 xml:space="preserve">Total </w:t>
            </w:r>
          </w:p>
        </w:tc>
        <w:tc>
          <w:tcPr>
            <w:tcW w:w="803"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MIS</w:t>
            </w:r>
          </w:p>
        </w:tc>
        <w:tc>
          <w:tcPr>
            <w:tcW w:w="720"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Rank</w:t>
            </w:r>
          </w:p>
        </w:tc>
      </w:tr>
      <w:tr w:rsidR="006D149C" w:rsidRPr="002A65DC" w:rsidTr="003C3685">
        <w:tc>
          <w:tcPr>
            <w:tcW w:w="578"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2</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3</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5</w:t>
            </w:r>
          </w:p>
        </w:tc>
        <w:tc>
          <w:tcPr>
            <w:tcW w:w="5681"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Energy savings from green systems significantly reduce operational costs.</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The payback period for sustainable energy investments is within an acceptable range.</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Using sustainable energy technology increases the resale or rental value of a building.</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Clients who have adopted sustainable energy systems report high satisfaction with Return on Investment (ROI).</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Sustainable energy use enhances the long-term value of construction assets.</w:t>
            </w:r>
          </w:p>
        </w:tc>
        <w:tc>
          <w:tcPr>
            <w:tcW w:w="763"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120</w:t>
            </w:r>
          </w:p>
        </w:tc>
        <w:tc>
          <w:tcPr>
            <w:tcW w:w="803"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4.47</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4.38</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4.50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3.98</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4.69</w:t>
            </w:r>
          </w:p>
          <w:p w:rsidR="006D149C" w:rsidRPr="002A65DC" w:rsidRDefault="006D149C">
            <w:pPr>
              <w:spacing w:after="0" w:line="480" w:lineRule="auto"/>
              <w:jc w:val="both"/>
              <w:rPr>
                <w:rFonts w:ascii="Times New Roman" w:hAnsi="Times New Roman"/>
                <w:sz w:val="24"/>
                <w:szCs w:val="24"/>
              </w:rPr>
            </w:pPr>
          </w:p>
          <w:p w:rsidR="006D149C" w:rsidRPr="002A65DC" w:rsidRDefault="006D149C">
            <w:pPr>
              <w:spacing w:after="0" w:line="480"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3rd</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4th</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2nd</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5th</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1st</w:t>
            </w:r>
          </w:p>
        </w:tc>
      </w:tr>
    </w:tbl>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Source: Research's Analysis (2025)</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 xml:space="preserve">The third objective of the study assessed respondents’ level of agreement on the evaluation of </w:t>
      </w:r>
      <w:r w:rsidR="002916AB" w:rsidRPr="002A65DC">
        <w:rPr>
          <w:rFonts w:ascii="Times New Roman" w:hAnsi="Times New Roman"/>
          <w:sz w:val="24"/>
          <w:szCs w:val="24"/>
        </w:rPr>
        <w:t xml:space="preserve">Return On Investment </w:t>
      </w:r>
      <w:r w:rsidRPr="002A65DC">
        <w:rPr>
          <w:rFonts w:ascii="Times New Roman" w:hAnsi="Times New Roman"/>
          <w:sz w:val="24"/>
          <w:szCs w:val="24"/>
        </w:rPr>
        <w:t xml:space="preserve">(ROI), energy savings, and economic benefits associated with the use of sustainable energy technologies, using selected criteria on a Likert scale 1– 5 (1 = </w:t>
      </w:r>
      <w:r w:rsidRPr="002A65DC">
        <w:rPr>
          <w:rFonts w:ascii="Times New Roman" w:hAnsi="Times New Roman"/>
          <w:sz w:val="24"/>
          <w:szCs w:val="24"/>
        </w:rPr>
        <w:lastRenderedPageBreak/>
        <w:t xml:space="preserve">(SD) </w:t>
      </w:r>
      <w:r w:rsidR="002916AB" w:rsidRPr="002A65DC">
        <w:rPr>
          <w:rFonts w:ascii="Times New Roman" w:hAnsi="Times New Roman"/>
          <w:sz w:val="24"/>
          <w:szCs w:val="24"/>
        </w:rPr>
        <w:t>Strongly Disagree</w:t>
      </w:r>
      <w:r w:rsidRPr="002A65DC">
        <w:rPr>
          <w:rFonts w:ascii="Times New Roman" w:hAnsi="Times New Roman"/>
          <w:sz w:val="24"/>
          <w:szCs w:val="24"/>
        </w:rPr>
        <w:t xml:space="preserve">, 2 = (D) </w:t>
      </w:r>
      <w:r w:rsidR="002916AB" w:rsidRPr="002A65DC">
        <w:rPr>
          <w:rFonts w:ascii="Times New Roman" w:hAnsi="Times New Roman"/>
          <w:sz w:val="24"/>
          <w:szCs w:val="24"/>
        </w:rPr>
        <w:t>Disagree</w:t>
      </w:r>
      <w:r w:rsidRPr="002A65DC">
        <w:rPr>
          <w:rFonts w:ascii="Times New Roman" w:hAnsi="Times New Roman"/>
          <w:sz w:val="24"/>
          <w:szCs w:val="24"/>
        </w:rPr>
        <w:t xml:space="preserve">, 3 = (N) </w:t>
      </w:r>
      <w:r w:rsidR="002916AB" w:rsidRPr="002A65DC">
        <w:rPr>
          <w:rFonts w:ascii="Times New Roman" w:hAnsi="Times New Roman"/>
          <w:sz w:val="24"/>
          <w:szCs w:val="24"/>
        </w:rPr>
        <w:t>Neutral</w:t>
      </w:r>
      <w:r w:rsidRPr="002A65DC">
        <w:rPr>
          <w:rFonts w:ascii="Times New Roman" w:hAnsi="Times New Roman"/>
          <w:sz w:val="24"/>
          <w:szCs w:val="24"/>
        </w:rPr>
        <w:t xml:space="preserve">, 4 = (A) </w:t>
      </w:r>
      <w:r w:rsidR="002916AB" w:rsidRPr="002A65DC">
        <w:rPr>
          <w:rFonts w:ascii="Times New Roman" w:hAnsi="Times New Roman"/>
          <w:sz w:val="24"/>
          <w:szCs w:val="24"/>
        </w:rPr>
        <w:t>Agree</w:t>
      </w:r>
      <w:r w:rsidRPr="002A65DC">
        <w:rPr>
          <w:rFonts w:ascii="Times New Roman" w:hAnsi="Times New Roman"/>
          <w:sz w:val="24"/>
          <w:szCs w:val="24"/>
        </w:rPr>
        <w:t xml:space="preserve">, 5 = (SA) </w:t>
      </w:r>
      <w:r w:rsidR="002916AB" w:rsidRPr="002A65DC">
        <w:rPr>
          <w:rFonts w:ascii="Times New Roman" w:hAnsi="Times New Roman"/>
          <w:sz w:val="24"/>
          <w:szCs w:val="24"/>
        </w:rPr>
        <w:t>Strongly Agree</w:t>
      </w:r>
      <w:r w:rsidRPr="002A65DC">
        <w:rPr>
          <w:rFonts w:ascii="Times New Roman" w:hAnsi="Times New Roman"/>
          <w:sz w:val="24"/>
          <w:szCs w:val="24"/>
        </w:rPr>
        <w:t>.</w:t>
      </w:r>
    </w:p>
    <w:p w:rsidR="006D149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From Table 4.4: The table presents that respondents strongly agree that sustainable energy use enhances the long-term value of construction assets, which ranked 1st with a Mean Item Score (MIS) of 4.69. This is followed by the belief that using sustainable energy technology increases the resale or rental value of a building, ranked 2nd with an MIS of 4.50. Energy savings from green systems are also highly recognized for reducing operational costs, ranking 3rd with an MIS of 4.47. The payback period for sustainable energy investments was rated slightly lower, ranked 4th with an MIS of 4.38, though still within a strong agreement range. Lastly, client satisfaction with ROI was ranked 5th with an MIS of 3.98, suggesting a generally positive but slightly less consistent experience.</w:t>
      </w:r>
    </w:p>
    <w:p w:rsidR="003C3685" w:rsidRDefault="003C3685">
      <w:pPr>
        <w:spacing w:after="0" w:line="480" w:lineRule="auto"/>
        <w:jc w:val="both"/>
        <w:rPr>
          <w:rFonts w:ascii="Times New Roman" w:hAnsi="Times New Roman"/>
          <w:sz w:val="24"/>
          <w:szCs w:val="24"/>
        </w:rPr>
      </w:pPr>
    </w:p>
    <w:p w:rsidR="003C3685" w:rsidRDefault="003C3685">
      <w:pPr>
        <w:spacing w:after="0" w:line="480" w:lineRule="auto"/>
        <w:jc w:val="both"/>
        <w:rPr>
          <w:rFonts w:ascii="Times New Roman" w:hAnsi="Times New Roman"/>
          <w:sz w:val="24"/>
          <w:szCs w:val="24"/>
        </w:rPr>
      </w:pPr>
    </w:p>
    <w:p w:rsidR="003C3685" w:rsidRDefault="003C3685">
      <w:pPr>
        <w:spacing w:after="0" w:line="480" w:lineRule="auto"/>
        <w:jc w:val="both"/>
        <w:rPr>
          <w:rFonts w:ascii="Times New Roman" w:hAnsi="Times New Roman"/>
          <w:sz w:val="24"/>
          <w:szCs w:val="24"/>
        </w:rPr>
      </w:pPr>
    </w:p>
    <w:p w:rsidR="003C3685" w:rsidRDefault="003C3685">
      <w:pPr>
        <w:spacing w:after="0" w:line="480" w:lineRule="auto"/>
        <w:jc w:val="both"/>
        <w:rPr>
          <w:rFonts w:ascii="Times New Roman" w:hAnsi="Times New Roman"/>
          <w:sz w:val="24"/>
          <w:szCs w:val="24"/>
        </w:rPr>
      </w:pPr>
    </w:p>
    <w:p w:rsidR="003C3685" w:rsidRDefault="003C3685">
      <w:pPr>
        <w:spacing w:after="0" w:line="480" w:lineRule="auto"/>
        <w:jc w:val="both"/>
        <w:rPr>
          <w:rFonts w:ascii="Times New Roman" w:hAnsi="Times New Roman"/>
          <w:sz w:val="24"/>
          <w:szCs w:val="24"/>
        </w:rPr>
      </w:pPr>
    </w:p>
    <w:p w:rsidR="003C3685" w:rsidRDefault="003C3685">
      <w:pPr>
        <w:spacing w:after="0" w:line="480" w:lineRule="auto"/>
        <w:jc w:val="both"/>
        <w:rPr>
          <w:rFonts w:ascii="Times New Roman" w:hAnsi="Times New Roman"/>
          <w:sz w:val="24"/>
          <w:szCs w:val="24"/>
        </w:rPr>
      </w:pPr>
    </w:p>
    <w:p w:rsidR="003C3685" w:rsidRDefault="003C3685">
      <w:pPr>
        <w:spacing w:after="0" w:line="480" w:lineRule="auto"/>
        <w:jc w:val="both"/>
        <w:rPr>
          <w:rFonts w:ascii="Times New Roman" w:hAnsi="Times New Roman"/>
          <w:sz w:val="24"/>
          <w:szCs w:val="24"/>
        </w:rPr>
      </w:pPr>
    </w:p>
    <w:p w:rsidR="003C3685" w:rsidRDefault="003C3685">
      <w:pPr>
        <w:spacing w:after="0" w:line="480" w:lineRule="auto"/>
        <w:jc w:val="both"/>
        <w:rPr>
          <w:rFonts w:ascii="Times New Roman" w:hAnsi="Times New Roman"/>
          <w:sz w:val="24"/>
          <w:szCs w:val="24"/>
        </w:rPr>
      </w:pPr>
    </w:p>
    <w:p w:rsidR="003C3685" w:rsidRDefault="003C3685">
      <w:pPr>
        <w:spacing w:after="0" w:line="480" w:lineRule="auto"/>
        <w:jc w:val="both"/>
        <w:rPr>
          <w:rFonts w:ascii="Times New Roman" w:hAnsi="Times New Roman"/>
          <w:sz w:val="24"/>
          <w:szCs w:val="24"/>
        </w:rPr>
      </w:pPr>
    </w:p>
    <w:p w:rsidR="003C3685" w:rsidRPr="002A65DC" w:rsidRDefault="003C3685">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lastRenderedPageBreak/>
        <w:t xml:space="preserve">4.5 Strategic measures for enhancing investment in sustainable energy Technologies </w:t>
      </w:r>
    </w:p>
    <w:tbl>
      <w:tblPr>
        <w:tblStyle w:val="TableGrid"/>
        <w:tblW w:w="8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5"/>
        <w:gridCol w:w="5700"/>
        <w:gridCol w:w="810"/>
        <w:gridCol w:w="720"/>
        <w:gridCol w:w="810"/>
      </w:tblGrid>
      <w:tr w:rsidR="006D149C" w:rsidRPr="002A65DC" w:rsidTr="003C3685">
        <w:trPr>
          <w:trHeight w:val="597"/>
        </w:trPr>
        <w:tc>
          <w:tcPr>
            <w:tcW w:w="595"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S/n</w:t>
            </w:r>
          </w:p>
        </w:tc>
        <w:tc>
          <w:tcPr>
            <w:tcW w:w="5700"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Strategic measures and investment Barrier</w:t>
            </w:r>
          </w:p>
        </w:tc>
        <w:tc>
          <w:tcPr>
            <w:tcW w:w="810"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 xml:space="preserve">Total </w:t>
            </w:r>
          </w:p>
        </w:tc>
        <w:tc>
          <w:tcPr>
            <w:tcW w:w="720"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MIS</w:t>
            </w:r>
          </w:p>
        </w:tc>
        <w:tc>
          <w:tcPr>
            <w:tcW w:w="810"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Rank</w:t>
            </w:r>
          </w:p>
        </w:tc>
      </w:tr>
      <w:tr w:rsidR="006D149C" w:rsidRPr="002A65DC" w:rsidTr="003C3685">
        <w:trPr>
          <w:trHeight w:val="908"/>
        </w:trPr>
        <w:tc>
          <w:tcPr>
            <w:tcW w:w="595" w:type="dxa"/>
            <w:tcBorders>
              <w:top w:val="single" w:sz="4" w:space="0" w:color="auto"/>
              <w:left w:val="single" w:sz="4" w:space="0" w:color="auto"/>
              <w:bottom w:val="single" w:sz="4" w:space="0" w:color="auto"/>
              <w:right w:val="single" w:sz="4" w:space="0" w:color="auto"/>
            </w:tcBorders>
          </w:tcPr>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1</w:t>
            </w:r>
          </w:p>
          <w:p w:rsidR="006D149C" w:rsidRPr="002A65DC" w:rsidRDefault="006D149C">
            <w:pPr>
              <w:spacing w:after="0" w:line="480" w:lineRule="auto"/>
              <w:jc w:val="both"/>
              <w:rPr>
                <w:rFonts w:ascii="Times New Roman" w:hAnsi="Times New Roman"/>
                <w:b/>
                <w:bCs/>
                <w:sz w:val="24"/>
                <w:szCs w:val="24"/>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2</w:t>
            </w:r>
          </w:p>
          <w:p w:rsidR="006D149C" w:rsidRPr="002A65DC" w:rsidRDefault="006D149C">
            <w:pPr>
              <w:spacing w:after="0" w:line="480" w:lineRule="auto"/>
              <w:jc w:val="both"/>
              <w:rPr>
                <w:rFonts w:ascii="Times New Roman" w:hAnsi="Times New Roman"/>
                <w:b/>
                <w:bCs/>
                <w:sz w:val="24"/>
                <w:szCs w:val="24"/>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3</w:t>
            </w:r>
          </w:p>
          <w:p w:rsidR="002916AB" w:rsidRPr="002A65DC" w:rsidRDefault="002916AB">
            <w:pPr>
              <w:spacing w:after="0" w:line="480" w:lineRule="auto"/>
              <w:jc w:val="both"/>
              <w:rPr>
                <w:rFonts w:ascii="Times New Roman" w:hAnsi="Times New Roman"/>
                <w:b/>
                <w:bCs/>
                <w:sz w:val="24"/>
                <w:szCs w:val="24"/>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4</w:t>
            </w:r>
          </w:p>
          <w:p w:rsidR="006D149C" w:rsidRPr="002A65DC" w:rsidRDefault="006D149C">
            <w:pPr>
              <w:spacing w:after="0" w:line="480" w:lineRule="auto"/>
              <w:jc w:val="both"/>
              <w:rPr>
                <w:rFonts w:ascii="Times New Roman" w:hAnsi="Times New Roman"/>
                <w:b/>
                <w:bCs/>
                <w:sz w:val="24"/>
                <w:szCs w:val="24"/>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5</w:t>
            </w:r>
          </w:p>
          <w:p w:rsidR="006D149C" w:rsidRPr="002A65DC" w:rsidRDefault="006D149C">
            <w:pPr>
              <w:spacing w:after="0" w:line="480" w:lineRule="auto"/>
              <w:jc w:val="both"/>
              <w:rPr>
                <w:rFonts w:ascii="Times New Roman" w:hAnsi="Times New Roman"/>
                <w:b/>
                <w:bCs/>
                <w:sz w:val="24"/>
                <w:szCs w:val="24"/>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6</w:t>
            </w:r>
          </w:p>
          <w:p w:rsidR="006D149C" w:rsidRPr="002A65DC" w:rsidRDefault="006D149C">
            <w:pPr>
              <w:spacing w:after="0" w:line="480" w:lineRule="auto"/>
              <w:jc w:val="both"/>
              <w:rPr>
                <w:rFonts w:ascii="Times New Roman" w:hAnsi="Times New Roman"/>
                <w:b/>
                <w:bCs/>
                <w:sz w:val="24"/>
                <w:szCs w:val="24"/>
              </w:rPr>
            </w:pP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7</w:t>
            </w:r>
          </w:p>
        </w:tc>
        <w:tc>
          <w:tcPr>
            <w:tcW w:w="5700" w:type="dxa"/>
            <w:tcBorders>
              <w:top w:val="single" w:sz="4" w:space="0" w:color="auto"/>
              <w:left w:val="single" w:sz="4" w:space="0" w:color="auto"/>
              <w:bottom w:val="single" w:sz="4" w:space="0" w:color="auto"/>
              <w:right w:val="single" w:sz="4" w:space="0" w:color="auto"/>
            </w:tcBorders>
            <w:shd w:val="clear" w:color="auto" w:fill="FFFFFF"/>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High capital cost is the major barrier to adopting sustainable energy technologies</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Government incentives can significantly improve investment in green technologies.</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Unstable policies and regulations discourage sustainable investment.</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There is inadequate awareness of the financial and environmental benefits of sustainable energy.</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Public-</w:t>
            </w:r>
            <w:r w:rsidR="002916AB" w:rsidRPr="002A65DC">
              <w:rPr>
                <w:rFonts w:ascii="Times New Roman" w:hAnsi="Times New Roman"/>
                <w:sz w:val="24"/>
                <w:szCs w:val="24"/>
              </w:rPr>
              <w:t xml:space="preserve">Private Partnerships </w:t>
            </w:r>
            <w:r w:rsidRPr="002A65DC">
              <w:rPr>
                <w:rFonts w:ascii="Times New Roman" w:hAnsi="Times New Roman"/>
                <w:sz w:val="24"/>
                <w:szCs w:val="24"/>
              </w:rPr>
              <w:t>(PPPs) are a viable way to promote sustainable investment.</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lang w:val="en-GB"/>
              </w:rPr>
              <w:t>There is a need for more technical training and capacity building in green construction.</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 xml:space="preserve"> </w:t>
            </w:r>
            <w:r w:rsidR="002916AB" w:rsidRPr="002A65DC">
              <w:rPr>
                <w:rFonts w:ascii="Times New Roman" w:hAnsi="Times New Roman"/>
                <w:sz w:val="24"/>
                <w:szCs w:val="24"/>
              </w:rPr>
              <w:t>Recommend integrating sustainable energy systems in future construction projects.</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 xml:space="preserve"> 120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 xml:space="preserve"> 120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 xml:space="preserve"> 120</w:t>
            </w:r>
          </w:p>
          <w:p w:rsidR="002916AB"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 xml:space="preserve"> </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120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 xml:space="preserve"> 120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 xml:space="preserve"> 120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 xml:space="preserve"> 120 </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4.08</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3.73</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4.06</w:t>
            </w:r>
          </w:p>
          <w:p w:rsidR="002916AB" w:rsidRPr="002A65DC" w:rsidRDefault="002916AB">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4.65</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4.10</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4.04</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4.51</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3rd</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7th</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4th</w:t>
            </w:r>
          </w:p>
          <w:p w:rsidR="002916AB" w:rsidRPr="002A65DC" w:rsidRDefault="002916AB">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1st</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5th</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6th</w:t>
            </w:r>
          </w:p>
          <w:p w:rsidR="006D149C" w:rsidRPr="002A65DC" w:rsidRDefault="006D149C">
            <w:pPr>
              <w:spacing w:after="0" w:line="480" w:lineRule="auto"/>
              <w:jc w:val="both"/>
              <w:rPr>
                <w:rFonts w:ascii="Times New Roman" w:hAnsi="Times New Roman"/>
                <w:sz w:val="24"/>
                <w:szCs w:val="24"/>
              </w:rPr>
            </w:pP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2nd</w:t>
            </w:r>
          </w:p>
        </w:tc>
      </w:tr>
    </w:tbl>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Source: Research's Analysis (2025)</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 xml:space="preserve">The fourth objective of the study assessed respondents’ level of agreement on strategic measures for enhancing investment in sustainable energy technologies, using selected criteria on a Likert scale 1– 5 (1 = (SD) </w:t>
      </w:r>
      <w:r w:rsidR="002916AB" w:rsidRPr="002A65DC">
        <w:rPr>
          <w:rFonts w:ascii="Times New Roman" w:hAnsi="Times New Roman"/>
          <w:sz w:val="24"/>
          <w:szCs w:val="24"/>
        </w:rPr>
        <w:t>Strongly Disagree</w:t>
      </w:r>
      <w:r w:rsidRPr="002A65DC">
        <w:rPr>
          <w:rFonts w:ascii="Times New Roman" w:hAnsi="Times New Roman"/>
          <w:sz w:val="24"/>
          <w:szCs w:val="24"/>
        </w:rPr>
        <w:t xml:space="preserve">, 2 = (D) </w:t>
      </w:r>
      <w:r w:rsidR="002916AB" w:rsidRPr="002A65DC">
        <w:rPr>
          <w:rFonts w:ascii="Times New Roman" w:hAnsi="Times New Roman"/>
          <w:sz w:val="24"/>
          <w:szCs w:val="24"/>
        </w:rPr>
        <w:t>Disagree</w:t>
      </w:r>
      <w:r w:rsidRPr="002A65DC">
        <w:rPr>
          <w:rFonts w:ascii="Times New Roman" w:hAnsi="Times New Roman"/>
          <w:sz w:val="24"/>
          <w:szCs w:val="24"/>
        </w:rPr>
        <w:t xml:space="preserve">, 3 = (N) </w:t>
      </w:r>
      <w:r w:rsidR="002916AB" w:rsidRPr="002A65DC">
        <w:rPr>
          <w:rFonts w:ascii="Times New Roman" w:hAnsi="Times New Roman"/>
          <w:sz w:val="24"/>
          <w:szCs w:val="24"/>
        </w:rPr>
        <w:t>Neutral</w:t>
      </w:r>
      <w:r w:rsidRPr="002A65DC">
        <w:rPr>
          <w:rFonts w:ascii="Times New Roman" w:hAnsi="Times New Roman"/>
          <w:sz w:val="24"/>
          <w:szCs w:val="24"/>
        </w:rPr>
        <w:t xml:space="preserve">, 4 = (A) </w:t>
      </w:r>
      <w:r w:rsidR="002916AB" w:rsidRPr="002A65DC">
        <w:rPr>
          <w:rFonts w:ascii="Times New Roman" w:hAnsi="Times New Roman"/>
          <w:sz w:val="24"/>
          <w:szCs w:val="24"/>
        </w:rPr>
        <w:t>Agree</w:t>
      </w:r>
      <w:r w:rsidRPr="002A65DC">
        <w:rPr>
          <w:rFonts w:ascii="Times New Roman" w:hAnsi="Times New Roman"/>
          <w:sz w:val="24"/>
          <w:szCs w:val="24"/>
        </w:rPr>
        <w:t xml:space="preserve">, 5 = (SA) </w:t>
      </w:r>
      <w:r w:rsidR="002916AB" w:rsidRPr="002A65DC">
        <w:rPr>
          <w:rFonts w:ascii="Times New Roman" w:hAnsi="Times New Roman"/>
          <w:sz w:val="24"/>
          <w:szCs w:val="24"/>
        </w:rPr>
        <w:t>Strongly Agree</w:t>
      </w:r>
      <w:r w:rsidRPr="002A65DC">
        <w:rPr>
          <w:rFonts w:ascii="Times New Roman" w:hAnsi="Times New Roman"/>
          <w:sz w:val="24"/>
          <w:szCs w:val="24"/>
        </w:rPr>
        <w:t>.</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lastRenderedPageBreak/>
        <w:t>From Table 4.5:</w:t>
      </w:r>
      <w:r w:rsidR="003C3685">
        <w:rPr>
          <w:rFonts w:ascii="Times New Roman" w:hAnsi="Times New Roman"/>
          <w:sz w:val="24"/>
          <w:szCs w:val="24"/>
        </w:rPr>
        <w:t xml:space="preserve"> </w:t>
      </w:r>
      <w:r w:rsidRPr="002A65DC">
        <w:rPr>
          <w:rFonts w:ascii="Times New Roman" w:hAnsi="Times New Roman"/>
          <w:sz w:val="24"/>
          <w:szCs w:val="24"/>
        </w:rPr>
        <w:t>The table highlights key strategic measures and barriers influencing investment in sustainable energy technologies. The most strongly agreed measure was the need to raise awareness of the financial and environmental benefits of sustainable energy, ranked 1st with a Mean Item Score (MIS) of 4.65. This was followed by the recommendation to integrate sustainable energy systems in future construction projects, ranked 2nd with an MIS of 4.51. The belief that public-private partnerships (PPPs) are a viable strategy ranked 3rd (MIS = 4.10), while high capital cost was recognized as a major barrier, ranking 4th (MIS = 4.08). Unstable policies and regulations followed closely with an MIS of 4.06, ranked 5th, showing that lack of consistent government support affects investor confidence. The need for more technical training and capacity building ranked 6th (MIS = 4.04), and government incentives—despite their importance—ranked the lowest, 7th (MIS = 3.73), possibly due to limited visibility or access in practice.</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b/>
          <w:bCs/>
          <w:caps/>
          <w:sz w:val="24"/>
          <w:szCs w:val="24"/>
        </w:rPr>
        <w:t>4.6</w:t>
      </w:r>
      <w:r w:rsidRPr="002A65DC">
        <w:rPr>
          <w:rFonts w:ascii="Times New Roman" w:hAnsi="Times New Roman"/>
          <w:b/>
          <w:bCs/>
          <w:caps/>
          <w:sz w:val="24"/>
          <w:szCs w:val="24"/>
        </w:rPr>
        <w:tab/>
      </w:r>
      <w:r w:rsidRPr="002A65DC">
        <w:rPr>
          <w:rFonts w:ascii="Times New Roman" w:hAnsi="Times New Roman"/>
          <w:b/>
          <w:bCs/>
          <w:sz w:val="24"/>
          <w:szCs w:val="24"/>
        </w:rPr>
        <w:t>Discussion of Findings</w:t>
      </w:r>
    </w:p>
    <w:p w:rsidR="006D149C" w:rsidRPr="002A65DC" w:rsidRDefault="00000000" w:rsidP="00A91BB8">
      <w:pPr>
        <w:spacing w:after="0" w:line="480" w:lineRule="auto"/>
        <w:ind w:firstLine="720"/>
        <w:jc w:val="both"/>
        <w:rPr>
          <w:rFonts w:ascii="Times New Roman" w:hAnsi="Times New Roman"/>
          <w:sz w:val="24"/>
          <w:szCs w:val="24"/>
        </w:rPr>
      </w:pPr>
      <w:r w:rsidRPr="002A65DC">
        <w:rPr>
          <w:rFonts w:ascii="Times New Roman" w:hAnsi="Times New Roman"/>
          <w:sz w:val="24"/>
          <w:szCs w:val="24"/>
        </w:rPr>
        <w:t xml:space="preserve">The analysis of responses obtained from construction professionals provides critical insights into the current </w:t>
      </w:r>
      <w:r w:rsidR="003C3685" w:rsidRPr="002A65DC">
        <w:rPr>
          <w:rFonts w:ascii="Times New Roman" w:hAnsi="Times New Roman"/>
          <w:sz w:val="24"/>
          <w:szCs w:val="24"/>
        </w:rPr>
        <w:t>trends;</w:t>
      </w:r>
      <w:r w:rsidRPr="002A65DC">
        <w:rPr>
          <w:rFonts w:ascii="Times New Roman" w:hAnsi="Times New Roman"/>
          <w:sz w:val="24"/>
          <w:szCs w:val="24"/>
        </w:rPr>
        <w:t xml:space="preserve"> cost implications, return on investment, and strategic challenges associated with </w:t>
      </w:r>
      <w:r w:rsidR="002800D5" w:rsidRPr="002A65DC">
        <w:rPr>
          <w:rFonts w:ascii="Times New Roman" w:hAnsi="Times New Roman"/>
          <w:sz w:val="24"/>
          <w:szCs w:val="24"/>
        </w:rPr>
        <w:t xml:space="preserve">Sustainable Energy Technologies </w:t>
      </w:r>
      <w:r w:rsidRPr="002A65DC">
        <w:rPr>
          <w:rFonts w:ascii="Times New Roman" w:hAnsi="Times New Roman"/>
          <w:sz w:val="24"/>
          <w:szCs w:val="24"/>
        </w:rPr>
        <w:t>(SETs) in modern construction projects in Nigeria. It was observed that technologies such as solar water heating systems, smart lighting (particularly LED and automated systems), and solar PV systems are the most commonly adopted</w:t>
      </w:r>
      <w:r w:rsidR="002800D5" w:rsidRPr="002A65DC">
        <w:rPr>
          <w:rFonts w:ascii="Times New Roman" w:hAnsi="Times New Roman"/>
          <w:sz w:val="24"/>
          <w:szCs w:val="24"/>
        </w:rPr>
        <w:t xml:space="preserve"> (Table 4.2)</w:t>
      </w:r>
      <w:r w:rsidRPr="002A65DC">
        <w:rPr>
          <w:rFonts w:ascii="Times New Roman" w:hAnsi="Times New Roman"/>
          <w:sz w:val="24"/>
          <w:szCs w:val="24"/>
        </w:rPr>
        <w:t xml:space="preserve">. These findings align with the work of Jamil et al. (2018), who emphasized the growing integration of renewable energy solutions, particularly in residential and commercial buildings, due to rising energy demand </w:t>
      </w:r>
      <w:r w:rsidRPr="002A65DC">
        <w:rPr>
          <w:rFonts w:ascii="Times New Roman" w:hAnsi="Times New Roman"/>
          <w:sz w:val="24"/>
          <w:szCs w:val="24"/>
        </w:rPr>
        <w:lastRenderedPageBreak/>
        <w:t>and the need for operational efficiency. However, the adoption of systems like wind turbines, biomass, and geothermal remains low, suggesting that their technical requirements, cost of implementation, and site constraints limit their practical application in the Nigerian context.</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One of the most prominent issues raised in relation to SET adoption is the high initial capital investment. Respondents highlighted that this remains a major barrier, despite the acknowledged benefits of long-term savings</w:t>
      </w:r>
      <w:r w:rsidR="00855217" w:rsidRPr="002A65DC">
        <w:rPr>
          <w:rFonts w:ascii="Times New Roman" w:hAnsi="Times New Roman"/>
          <w:sz w:val="24"/>
          <w:szCs w:val="24"/>
        </w:rPr>
        <w:t xml:space="preserve"> (Table 4.3)</w:t>
      </w:r>
      <w:r w:rsidRPr="002A65DC">
        <w:rPr>
          <w:rFonts w:ascii="Times New Roman" w:hAnsi="Times New Roman"/>
          <w:sz w:val="24"/>
          <w:szCs w:val="24"/>
        </w:rPr>
        <w:t>. This finding supports the study of Oladokun and Aigbavboa (2020), which stressed that upfront cost remains a significant deterrent, especially in a market where financial support systems and incentives are underdeveloped. The cost is further inflated by the reliance on imported components and the lack of local expertise, a problem also noted by Adebayo et al. (2019), who pointed out that the absence of local manufacturing for green components significantly increases installation costs. Although the lifecycle costs of sustainable energy systems are generally lower than conventional systems, the financial burden at the outset continues to slow widespread adoption.</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 xml:space="preserve">The responses also revealed that while clients recognize the long-term economic benefits of Sustainable Energy Technologies (SETs), hesitation still exists due to uncertainties around </w:t>
      </w:r>
      <w:r w:rsidR="002916AB" w:rsidRPr="002A65DC">
        <w:rPr>
          <w:rFonts w:ascii="Times New Roman" w:hAnsi="Times New Roman"/>
          <w:sz w:val="24"/>
          <w:szCs w:val="24"/>
        </w:rPr>
        <w:t xml:space="preserve">Return On Investment </w:t>
      </w:r>
      <w:r w:rsidRPr="002A65DC">
        <w:rPr>
          <w:rFonts w:ascii="Times New Roman" w:hAnsi="Times New Roman"/>
          <w:sz w:val="24"/>
          <w:szCs w:val="24"/>
        </w:rPr>
        <w:t>(ROI)</w:t>
      </w:r>
      <w:r w:rsidR="00855217" w:rsidRPr="002A65DC">
        <w:rPr>
          <w:rFonts w:ascii="Times New Roman" w:hAnsi="Times New Roman"/>
          <w:sz w:val="24"/>
          <w:szCs w:val="24"/>
        </w:rPr>
        <w:t xml:space="preserve"> (Table 4.4)</w:t>
      </w:r>
      <w:r w:rsidRPr="002A65DC">
        <w:rPr>
          <w:rFonts w:ascii="Times New Roman" w:hAnsi="Times New Roman"/>
          <w:sz w:val="24"/>
          <w:szCs w:val="24"/>
        </w:rPr>
        <w:t xml:space="preserve">. Nonetheless, the findings indicate that these technologies enhance property value, reduce operational costs, and offer acceptable payback periods. This observation supports the position of Yusuf et al. (2017), who found that sustainable technologies improve the resale and rental value of properties, especially </w:t>
      </w:r>
      <w:r w:rsidRPr="002A65DC">
        <w:rPr>
          <w:rFonts w:ascii="Times New Roman" w:hAnsi="Times New Roman"/>
          <w:sz w:val="24"/>
          <w:szCs w:val="24"/>
        </w:rPr>
        <w:lastRenderedPageBreak/>
        <w:t>in urban centers where energy efficiency is increasingly becoming a market differentiator. However, varying levels of client satisfaction with Return on Investment (ROI) suggest that expectations may sometimes exceed actual returns, possibly due to poor planning or lack of accurate financial forecasting during the investment decision-making process.</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In terms of strategic implementation, the study highlighted that awareness remains a critical bottleneck. Inadequate understanding of the financial and environmental benefits of SETs limits their acceptance, even among professionals</w:t>
      </w:r>
      <w:r w:rsidR="00855217" w:rsidRPr="002A65DC">
        <w:rPr>
          <w:rFonts w:ascii="Times New Roman" w:hAnsi="Times New Roman"/>
          <w:sz w:val="24"/>
          <w:szCs w:val="24"/>
        </w:rPr>
        <w:t xml:space="preserve"> (Table 4.5)</w:t>
      </w:r>
      <w:r w:rsidRPr="002A65DC">
        <w:rPr>
          <w:rFonts w:ascii="Times New Roman" w:hAnsi="Times New Roman"/>
          <w:sz w:val="24"/>
          <w:szCs w:val="24"/>
        </w:rPr>
        <w:t>. This finding corroborates the work of Ugochukwu and Chioma (2021), who observed that many construction stakeholders in Nigeria lack sufficient education and training in sustainable practices. Moreover, unstable policy environments and weak government incentives further hinder progress, as noted by Akande et al. (2020), who emphasized the role of regulatory frameworks and fiscal policies in accelerating or constraining green investment.</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 xml:space="preserve">Despite these challenges, respondents identified effective strategies for optimizing the cost of sustainable energy adoption. Bulk procurement of equipment, early-stage cost planning, and the integration of local materials were seen as practical solutions to reduce overall expenses. The findings align with those of Olanrewaju and Abdul-Aziz (2015), who advocated for the early involvement of cost planners and quantity surveyors as a way to manage budget variability in sustainable construction. While the use of planning tools and government support was noted, the relatively low ranking of technological solutions such as Building Information Modeling (BIM) suggests that digital tools are yet to gain strong </w:t>
      </w:r>
      <w:r w:rsidRPr="002A65DC">
        <w:rPr>
          <w:rFonts w:ascii="Times New Roman" w:hAnsi="Times New Roman"/>
          <w:sz w:val="24"/>
          <w:szCs w:val="24"/>
        </w:rPr>
        <w:lastRenderedPageBreak/>
        <w:t>ground in the green construction sector. This could be attributed to limited technical capacity, lack of awareness, or resistance to changing traditional practices.</w:t>
      </w:r>
    </w:p>
    <w:p w:rsidR="006D149C" w:rsidRPr="002A65DC" w:rsidRDefault="00000000">
      <w:pPr>
        <w:spacing w:after="0" w:line="480" w:lineRule="auto"/>
        <w:jc w:val="both"/>
        <w:rPr>
          <w:rFonts w:ascii="Times New Roman" w:hAnsi="Times New Roman"/>
          <w:b/>
          <w:bCs/>
          <w:sz w:val="24"/>
          <w:szCs w:val="24"/>
        </w:rPr>
      </w:pPr>
      <w:r w:rsidRPr="002A65DC">
        <w:rPr>
          <w:rFonts w:ascii="Times New Roman" w:hAnsi="Times New Roman"/>
          <w:b/>
          <w:bCs/>
          <w:sz w:val="24"/>
          <w:szCs w:val="24"/>
        </w:rPr>
        <w:t>4.7</w:t>
      </w:r>
      <w:r w:rsidRPr="002A65DC">
        <w:rPr>
          <w:rFonts w:ascii="Times New Roman" w:hAnsi="Times New Roman"/>
          <w:b/>
          <w:bCs/>
          <w:sz w:val="24"/>
          <w:szCs w:val="24"/>
        </w:rPr>
        <w:tab/>
        <w:t xml:space="preserve">Summary of Findings </w:t>
      </w:r>
    </w:p>
    <w:p w:rsidR="006D149C" w:rsidRPr="002A65DC" w:rsidRDefault="00000000" w:rsidP="00A91BB8">
      <w:pPr>
        <w:spacing w:after="0" w:line="480" w:lineRule="auto"/>
        <w:ind w:firstLine="720"/>
        <w:jc w:val="both"/>
        <w:rPr>
          <w:rFonts w:ascii="Times New Roman" w:hAnsi="Times New Roman"/>
          <w:sz w:val="24"/>
          <w:szCs w:val="24"/>
        </w:rPr>
      </w:pPr>
      <w:r w:rsidRPr="002A65DC">
        <w:rPr>
          <w:rFonts w:ascii="Times New Roman" w:hAnsi="Times New Roman"/>
          <w:sz w:val="24"/>
          <w:szCs w:val="24"/>
        </w:rPr>
        <w:t>The summary of findings on the Investment Analysis of Sustainable Energy Technologies in Modern Construction Method covers the following key areas:</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1. The study revealed that among the sustainable energy technologies currently adopted in construction, solar water heating systems, smart lighting solutions, and solar photovoltaic systems are the most frequently utilized. This indicates a strong preference for technologies that are cost-effective, reliable, and well-suited to Nigeria’s climatic conditions.</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2. High initial capital investment was identified as the most critical cost-related factor affecting the adoption of SETs. This challenge is further compounded by the reliance on imported components and the shortage of skilled local labor, which collectively increase project costs despite the long-term economic benefits these technologies offer.</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3. In evaluating the economic benefits of SETs, the study found that these technologies contribute significantly to reducing operational costs and increasing the market value of buildings. While most respondents agreed that SETs offer an acceptable payback period, varying levels of client satisfaction were reported, often due to gaps in financial planning and ROI tracking.</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 xml:space="preserve">4. Awareness and understanding of sustainable energy technologies remain limited among stakeholders. The study showed that low public and professional awareness, coupled with </w:t>
      </w:r>
      <w:r w:rsidRPr="002A65DC">
        <w:rPr>
          <w:rFonts w:ascii="Times New Roman" w:hAnsi="Times New Roman"/>
          <w:sz w:val="24"/>
          <w:szCs w:val="24"/>
        </w:rPr>
        <w:lastRenderedPageBreak/>
        <w:t>unstable government policies and weak incentive structures, serve as major obstacles to broader adoption.</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5. Strategic approaches such as early-stage cost planning, bulk procurement of equipment, and the use of locally available materials were identified as effective in reducing overall costs. However, the use of digital technologies like Building Information Modeling (BIM) is still limited, indicating a need for greater technological integration in sustainable construction.</w:t>
      </w:r>
    </w:p>
    <w:p w:rsidR="006D149C" w:rsidRPr="002A65DC" w:rsidRDefault="00000000">
      <w:pPr>
        <w:spacing w:after="0" w:line="480" w:lineRule="auto"/>
        <w:jc w:val="both"/>
        <w:rPr>
          <w:rFonts w:ascii="Times New Roman" w:hAnsi="Times New Roman"/>
          <w:sz w:val="24"/>
          <w:szCs w:val="24"/>
        </w:rPr>
      </w:pPr>
      <w:r w:rsidRPr="002A65DC">
        <w:rPr>
          <w:rFonts w:ascii="Times New Roman" w:hAnsi="Times New Roman"/>
          <w:sz w:val="24"/>
          <w:szCs w:val="24"/>
        </w:rPr>
        <w:t>6. Finally, the findings emphasized the need for stronger institutional and policy support to promote the adoption of SETs. Suggested measures include government-backed incentives, awareness campaigns, professional training, and the integration of sustainable energy education into construction-related academic programs.</w:t>
      </w:r>
    </w:p>
    <w:p w:rsidR="002916AB" w:rsidRPr="002A65DC" w:rsidRDefault="002916AB">
      <w:pPr>
        <w:spacing w:after="0" w:line="480" w:lineRule="auto"/>
        <w:jc w:val="both"/>
        <w:rPr>
          <w:rFonts w:ascii="Times New Roman" w:hAnsi="Times New Roman"/>
          <w:sz w:val="24"/>
          <w:szCs w:val="24"/>
        </w:rPr>
      </w:pPr>
    </w:p>
    <w:p w:rsidR="002916AB" w:rsidRDefault="002916AB">
      <w:pPr>
        <w:spacing w:after="0" w:line="480" w:lineRule="auto"/>
        <w:jc w:val="both"/>
        <w:rPr>
          <w:rFonts w:ascii="Times New Roman" w:hAnsi="Times New Roman"/>
          <w:sz w:val="24"/>
          <w:szCs w:val="24"/>
        </w:rPr>
      </w:pPr>
    </w:p>
    <w:p w:rsidR="003C3685" w:rsidRDefault="003C3685">
      <w:pPr>
        <w:spacing w:after="0" w:line="480" w:lineRule="auto"/>
        <w:jc w:val="both"/>
        <w:rPr>
          <w:rFonts w:ascii="Times New Roman" w:hAnsi="Times New Roman"/>
          <w:sz w:val="24"/>
          <w:szCs w:val="24"/>
        </w:rPr>
      </w:pPr>
    </w:p>
    <w:p w:rsidR="003C3685" w:rsidRDefault="003C3685">
      <w:pPr>
        <w:spacing w:after="0" w:line="480" w:lineRule="auto"/>
        <w:jc w:val="both"/>
        <w:rPr>
          <w:rFonts w:ascii="Times New Roman" w:hAnsi="Times New Roman"/>
          <w:sz w:val="24"/>
          <w:szCs w:val="24"/>
        </w:rPr>
      </w:pPr>
    </w:p>
    <w:p w:rsidR="003C3685" w:rsidRDefault="003C3685">
      <w:pPr>
        <w:spacing w:after="0" w:line="480" w:lineRule="auto"/>
        <w:jc w:val="both"/>
        <w:rPr>
          <w:rFonts w:ascii="Times New Roman" w:hAnsi="Times New Roman"/>
          <w:sz w:val="24"/>
          <w:szCs w:val="24"/>
        </w:rPr>
      </w:pPr>
    </w:p>
    <w:p w:rsidR="003C3685" w:rsidRDefault="003C3685">
      <w:pPr>
        <w:spacing w:after="0" w:line="480" w:lineRule="auto"/>
        <w:jc w:val="both"/>
        <w:rPr>
          <w:rFonts w:ascii="Times New Roman" w:hAnsi="Times New Roman"/>
          <w:sz w:val="24"/>
          <w:szCs w:val="24"/>
        </w:rPr>
      </w:pPr>
    </w:p>
    <w:p w:rsidR="003C3685" w:rsidRDefault="003C3685">
      <w:pPr>
        <w:spacing w:after="0" w:line="480" w:lineRule="auto"/>
        <w:jc w:val="both"/>
        <w:rPr>
          <w:rFonts w:ascii="Times New Roman" w:hAnsi="Times New Roman"/>
          <w:sz w:val="24"/>
          <w:szCs w:val="24"/>
        </w:rPr>
      </w:pPr>
    </w:p>
    <w:p w:rsidR="003C3685" w:rsidRDefault="003C3685">
      <w:pPr>
        <w:spacing w:after="0" w:line="480" w:lineRule="auto"/>
        <w:jc w:val="both"/>
        <w:rPr>
          <w:rFonts w:ascii="Times New Roman" w:hAnsi="Times New Roman"/>
          <w:sz w:val="24"/>
          <w:szCs w:val="24"/>
        </w:rPr>
      </w:pPr>
    </w:p>
    <w:p w:rsidR="003C3685" w:rsidRDefault="003C3685">
      <w:pPr>
        <w:spacing w:after="0" w:line="480" w:lineRule="auto"/>
        <w:jc w:val="both"/>
        <w:rPr>
          <w:rFonts w:ascii="Times New Roman" w:hAnsi="Times New Roman"/>
          <w:sz w:val="24"/>
          <w:szCs w:val="24"/>
        </w:rPr>
      </w:pPr>
    </w:p>
    <w:p w:rsidR="003C3685" w:rsidRPr="002A65DC" w:rsidRDefault="003C3685">
      <w:pPr>
        <w:spacing w:after="0" w:line="480" w:lineRule="auto"/>
        <w:jc w:val="both"/>
        <w:rPr>
          <w:rFonts w:ascii="Times New Roman" w:hAnsi="Times New Roman"/>
          <w:sz w:val="24"/>
          <w:szCs w:val="24"/>
        </w:rPr>
      </w:pPr>
    </w:p>
    <w:p w:rsidR="002916AB" w:rsidRPr="002A65DC" w:rsidRDefault="002916AB" w:rsidP="002916AB">
      <w:pPr>
        <w:spacing w:after="0" w:line="480" w:lineRule="auto"/>
        <w:jc w:val="both"/>
        <w:rPr>
          <w:rFonts w:ascii="Times New Roman" w:hAnsi="Times New Roman"/>
          <w:b/>
          <w:bCs/>
          <w:sz w:val="24"/>
          <w:szCs w:val="24"/>
        </w:rPr>
      </w:pPr>
      <w:r w:rsidRPr="002A65DC">
        <w:rPr>
          <w:rFonts w:ascii="Times New Roman" w:hAnsi="Times New Roman"/>
          <w:b/>
          <w:bCs/>
          <w:sz w:val="24"/>
          <w:szCs w:val="24"/>
        </w:rPr>
        <w:lastRenderedPageBreak/>
        <w:t xml:space="preserve">                                                           CHAPTER FIVE</w:t>
      </w:r>
    </w:p>
    <w:p w:rsidR="002916AB" w:rsidRPr="002A65DC" w:rsidRDefault="002916AB" w:rsidP="00A91BB8">
      <w:pPr>
        <w:spacing w:after="0" w:line="480" w:lineRule="auto"/>
        <w:jc w:val="center"/>
        <w:rPr>
          <w:rFonts w:ascii="Times New Roman" w:hAnsi="Times New Roman"/>
          <w:b/>
          <w:bCs/>
          <w:sz w:val="24"/>
          <w:szCs w:val="24"/>
        </w:rPr>
      </w:pPr>
      <w:r w:rsidRPr="002A65DC">
        <w:rPr>
          <w:rFonts w:ascii="Times New Roman" w:hAnsi="Times New Roman"/>
          <w:b/>
          <w:bCs/>
          <w:sz w:val="24"/>
          <w:szCs w:val="24"/>
        </w:rPr>
        <w:t>CONCLUSIONS AND RECOMMENDATIONS</w:t>
      </w:r>
    </w:p>
    <w:p w:rsidR="002916AB" w:rsidRPr="002A65DC" w:rsidRDefault="002916AB" w:rsidP="002916AB">
      <w:pPr>
        <w:spacing w:after="0" w:line="480" w:lineRule="auto"/>
        <w:jc w:val="both"/>
        <w:rPr>
          <w:rFonts w:ascii="Times New Roman" w:hAnsi="Times New Roman"/>
          <w:b/>
          <w:bCs/>
          <w:sz w:val="24"/>
          <w:szCs w:val="24"/>
        </w:rPr>
      </w:pPr>
      <w:r w:rsidRPr="002A65DC">
        <w:rPr>
          <w:rFonts w:ascii="Times New Roman" w:hAnsi="Times New Roman"/>
          <w:b/>
          <w:bCs/>
          <w:sz w:val="24"/>
          <w:szCs w:val="24"/>
        </w:rPr>
        <w:t>5.1</w:t>
      </w:r>
      <w:r w:rsidRPr="002A65DC">
        <w:rPr>
          <w:rFonts w:ascii="Times New Roman" w:hAnsi="Times New Roman"/>
          <w:b/>
          <w:bCs/>
          <w:sz w:val="24"/>
          <w:szCs w:val="24"/>
        </w:rPr>
        <w:tab/>
        <w:t xml:space="preserve">Conclusion </w:t>
      </w:r>
    </w:p>
    <w:p w:rsidR="002916AB" w:rsidRPr="002A65DC" w:rsidRDefault="002916AB" w:rsidP="00A91BB8">
      <w:pPr>
        <w:spacing w:after="0" w:line="480" w:lineRule="auto"/>
        <w:ind w:firstLine="720"/>
        <w:jc w:val="both"/>
        <w:rPr>
          <w:rFonts w:ascii="Times New Roman" w:hAnsi="Times New Roman"/>
          <w:sz w:val="24"/>
          <w:szCs w:val="24"/>
        </w:rPr>
      </w:pPr>
      <w:r w:rsidRPr="002A65DC">
        <w:rPr>
          <w:rFonts w:ascii="Times New Roman" w:hAnsi="Times New Roman"/>
          <w:sz w:val="24"/>
          <w:szCs w:val="24"/>
        </w:rPr>
        <w:t>The study concludes that sustainable energy technologies are gradually becoming more accepted in the Nigerian construction industry, particularly solar-based systems and energy-efficient lighting. These technologies offer substantial benefits in reducing operational costs and enhancing building performance. However, their widespread adoption is limited by high initial costs, technical barriers, and weak institutional support.</w:t>
      </w:r>
    </w:p>
    <w:p w:rsidR="002916AB" w:rsidRPr="002A65DC" w:rsidRDefault="002916AB" w:rsidP="002916AB">
      <w:pPr>
        <w:spacing w:after="0" w:line="480" w:lineRule="auto"/>
        <w:jc w:val="both"/>
        <w:rPr>
          <w:rFonts w:ascii="Times New Roman" w:hAnsi="Times New Roman"/>
          <w:sz w:val="24"/>
          <w:szCs w:val="24"/>
        </w:rPr>
      </w:pPr>
      <w:r w:rsidRPr="002A65DC">
        <w:rPr>
          <w:rFonts w:ascii="Times New Roman" w:hAnsi="Times New Roman"/>
          <w:sz w:val="24"/>
          <w:szCs w:val="24"/>
        </w:rPr>
        <w:t>Despite the long-term cost savings and value enhancement that SETs provide, clients and stakeholders remain hesitant due to upfront financial burdens and uncertainty about return on investment. The success of sustainable technology integration in modern construction depends not only on the availability of these systems but also on policy support, public awareness, and effective planning and evaluation practices. Therefore, there is a pressing need for collaborative efforts between government, industry professionals, and academic institutions to drive the adoption of SETs through incentives, training, and reliable implementation strategies.</w:t>
      </w:r>
    </w:p>
    <w:p w:rsidR="002916AB" w:rsidRPr="002A65DC" w:rsidRDefault="002916AB" w:rsidP="002916AB">
      <w:pPr>
        <w:spacing w:after="0" w:line="480" w:lineRule="auto"/>
        <w:jc w:val="both"/>
        <w:rPr>
          <w:rFonts w:ascii="Times New Roman" w:hAnsi="Times New Roman"/>
          <w:b/>
          <w:bCs/>
          <w:sz w:val="24"/>
          <w:szCs w:val="24"/>
        </w:rPr>
      </w:pPr>
      <w:r w:rsidRPr="002A65DC">
        <w:rPr>
          <w:rFonts w:ascii="Times New Roman" w:hAnsi="Times New Roman"/>
          <w:b/>
          <w:bCs/>
          <w:sz w:val="24"/>
          <w:szCs w:val="24"/>
        </w:rPr>
        <w:t>5.2</w:t>
      </w:r>
      <w:r w:rsidRPr="002A65DC">
        <w:rPr>
          <w:rFonts w:ascii="Times New Roman" w:hAnsi="Times New Roman"/>
          <w:b/>
          <w:bCs/>
          <w:sz w:val="24"/>
          <w:szCs w:val="24"/>
        </w:rPr>
        <w:tab/>
        <w:t>Recommendations</w:t>
      </w:r>
    </w:p>
    <w:p w:rsidR="002916AB" w:rsidRPr="002A65DC" w:rsidRDefault="002916AB" w:rsidP="002916AB">
      <w:pPr>
        <w:spacing w:after="0" w:line="480" w:lineRule="auto"/>
        <w:ind w:firstLine="720"/>
        <w:jc w:val="both"/>
        <w:rPr>
          <w:rFonts w:ascii="Times New Roman" w:hAnsi="Times New Roman"/>
          <w:sz w:val="24"/>
          <w:szCs w:val="24"/>
        </w:rPr>
      </w:pPr>
      <w:r w:rsidRPr="002A65DC">
        <w:rPr>
          <w:rFonts w:ascii="Times New Roman" w:hAnsi="Times New Roman"/>
          <w:sz w:val="24"/>
          <w:szCs w:val="24"/>
        </w:rPr>
        <w:t>Based on the findings and conclusion of the study, the following recommendations are proposed:</w:t>
      </w:r>
    </w:p>
    <w:p w:rsidR="002916AB" w:rsidRPr="002A65DC" w:rsidRDefault="002916AB" w:rsidP="002916AB">
      <w:pPr>
        <w:spacing w:after="0" w:line="480" w:lineRule="auto"/>
        <w:jc w:val="both"/>
        <w:rPr>
          <w:rFonts w:ascii="Times New Roman" w:hAnsi="Times New Roman"/>
          <w:sz w:val="24"/>
          <w:szCs w:val="24"/>
        </w:rPr>
      </w:pPr>
      <w:r w:rsidRPr="002A65DC">
        <w:rPr>
          <w:rFonts w:ascii="Times New Roman" w:hAnsi="Times New Roman"/>
          <w:b/>
          <w:bCs/>
          <w:sz w:val="24"/>
          <w:szCs w:val="24"/>
        </w:rPr>
        <w:lastRenderedPageBreak/>
        <w:t>1. Provide Government Incentives and Support:</w:t>
      </w:r>
      <w:r w:rsidRPr="002A65DC">
        <w:rPr>
          <w:rFonts w:ascii="Times New Roman" w:hAnsi="Times New Roman"/>
          <w:sz w:val="24"/>
          <w:szCs w:val="24"/>
        </w:rPr>
        <w:t xml:space="preserve"> The government should introduce consistent and transparent financial incentives such as tax rebates, grants, or subsidies to reduce the capital burden of adopting Sustainable Energy Technologies (SETs.)</w:t>
      </w:r>
    </w:p>
    <w:p w:rsidR="002916AB" w:rsidRPr="002A65DC" w:rsidRDefault="002916AB" w:rsidP="002916AB">
      <w:pPr>
        <w:spacing w:after="0" w:line="480" w:lineRule="auto"/>
        <w:jc w:val="both"/>
        <w:rPr>
          <w:rFonts w:ascii="Times New Roman" w:hAnsi="Times New Roman"/>
          <w:sz w:val="24"/>
          <w:szCs w:val="24"/>
        </w:rPr>
      </w:pPr>
      <w:r w:rsidRPr="002A65DC">
        <w:rPr>
          <w:rFonts w:ascii="Times New Roman" w:hAnsi="Times New Roman"/>
          <w:b/>
          <w:bCs/>
          <w:sz w:val="24"/>
          <w:szCs w:val="24"/>
        </w:rPr>
        <w:t>2. Promote Awareness and Capacity Building:</w:t>
      </w:r>
      <w:r w:rsidRPr="002A65DC">
        <w:rPr>
          <w:rFonts w:ascii="Times New Roman" w:hAnsi="Times New Roman"/>
          <w:sz w:val="24"/>
          <w:szCs w:val="24"/>
        </w:rPr>
        <w:t xml:space="preserve"> Awareness campaigns, professional workshops, and training programs should be organized to educate clients, developers, and professionals on the long-term benefits and use of sustainable energy systems.</w:t>
      </w:r>
    </w:p>
    <w:p w:rsidR="002916AB" w:rsidRPr="002A65DC" w:rsidRDefault="002916AB" w:rsidP="002916AB">
      <w:pPr>
        <w:spacing w:after="0" w:line="480" w:lineRule="auto"/>
        <w:jc w:val="both"/>
        <w:rPr>
          <w:rFonts w:ascii="Times New Roman" w:hAnsi="Times New Roman"/>
          <w:sz w:val="24"/>
          <w:szCs w:val="24"/>
        </w:rPr>
      </w:pPr>
      <w:r w:rsidRPr="002A65DC">
        <w:rPr>
          <w:rFonts w:ascii="Times New Roman" w:hAnsi="Times New Roman"/>
          <w:b/>
          <w:bCs/>
          <w:sz w:val="24"/>
          <w:szCs w:val="24"/>
        </w:rPr>
        <w:t>3. Strengthen Local Technical Expertise and Manufacturing:</w:t>
      </w:r>
      <w:r w:rsidRPr="002A65DC">
        <w:rPr>
          <w:rFonts w:ascii="Times New Roman" w:hAnsi="Times New Roman"/>
          <w:sz w:val="24"/>
          <w:szCs w:val="24"/>
        </w:rPr>
        <w:t xml:space="preserve"> Investment in local production of green technology components and development of skilled labor is essential to reduce reliance on imported materials and lower overall project costs.</w:t>
      </w:r>
    </w:p>
    <w:p w:rsidR="002916AB" w:rsidRPr="002A65DC" w:rsidRDefault="002916AB" w:rsidP="002916AB">
      <w:pPr>
        <w:spacing w:after="0" w:line="480" w:lineRule="auto"/>
        <w:jc w:val="both"/>
        <w:rPr>
          <w:rFonts w:ascii="Times New Roman" w:hAnsi="Times New Roman"/>
          <w:sz w:val="24"/>
          <w:szCs w:val="24"/>
        </w:rPr>
      </w:pPr>
      <w:r w:rsidRPr="002A65DC">
        <w:rPr>
          <w:rFonts w:ascii="Times New Roman" w:hAnsi="Times New Roman"/>
          <w:b/>
          <w:bCs/>
          <w:sz w:val="24"/>
          <w:szCs w:val="24"/>
        </w:rPr>
        <w:t>4. Integrate Sustainable Energy Education in Curriculum:</w:t>
      </w:r>
      <w:r w:rsidRPr="002A65DC">
        <w:rPr>
          <w:rFonts w:ascii="Times New Roman" w:hAnsi="Times New Roman"/>
          <w:sz w:val="24"/>
          <w:szCs w:val="24"/>
        </w:rPr>
        <w:t xml:space="preserve"> Tertiary institutions should include sustainable energy concepts, tools, and practices in construction and engineering programs to prepare future professionals for the green construction landscape.</w:t>
      </w:r>
    </w:p>
    <w:p w:rsidR="002916AB" w:rsidRPr="002A65DC" w:rsidRDefault="002916AB" w:rsidP="002916AB">
      <w:pPr>
        <w:spacing w:after="0" w:line="480" w:lineRule="auto"/>
        <w:jc w:val="both"/>
        <w:rPr>
          <w:rFonts w:ascii="Times New Roman" w:hAnsi="Times New Roman"/>
          <w:sz w:val="24"/>
          <w:szCs w:val="24"/>
        </w:rPr>
      </w:pPr>
      <w:r w:rsidRPr="002A65DC">
        <w:rPr>
          <w:rFonts w:ascii="Times New Roman" w:hAnsi="Times New Roman"/>
          <w:b/>
          <w:bCs/>
          <w:sz w:val="24"/>
          <w:szCs w:val="24"/>
        </w:rPr>
        <w:t>5. Encourage Early Involvement of Cost Professionals:</w:t>
      </w:r>
      <w:r w:rsidRPr="002A65DC">
        <w:rPr>
          <w:rFonts w:ascii="Times New Roman" w:hAnsi="Times New Roman"/>
          <w:sz w:val="24"/>
          <w:szCs w:val="24"/>
        </w:rPr>
        <w:t xml:space="preserve"> Quantity surveyors and cost planners should be involved from the project design stage to provide accurate financial forecasts and ensure cost-effective decision-making throughout the project lifecycle.</w:t>
      </w:r>
    </w:p>
    <w:p w:rsidR="002916AB" w:rsidRPr="002A65DC" w:rsidRDefault="002916AB" w:rsidP="002916AB">
      <w:pPr>
        <w:spacing w:after="0" w:line="480" w:lineRule="auto"/>
        <w:jc w:val="both"/>
        <w:rPr>
          <w:rFonts w:ascii="Times New Roman" w:hAnsi="Times New Roman"/>
          <w:sz w:val="24"/>
          <w:szCs w:val="24"/>
        </w:rPr>
      </w:pPr>
      <w:r w:rsidRPr="002A65DC">
        <w:rPr>
          <w:rFonts w:ascii="Times New Roman" w:hAnsi="Times New Roman"/>
          <w:b/>
          <w:bCs/>
          <w:sz w:val="24"/>
          <w:szCs w:val="24"/>
        </w:rPr>
        <w:t>6. Adopt Advanced Planning Tools:</w:t>
      </w:r>
      <w:r w:rsidRPr="002A65DC">
        <w:rPr>
          <w:rFonts w:ascii="Times New Roman" w:hAnsi="Times New Roman"/>
          <w:sz w:val="24"/>
          <w:szCs w:val="24"/>
        </w:rPr>
        <w:t xml:space="preserve"> The use of digital tools such as Building Information Modeling (BIM) should be encouraged to improve project efficiency, coordination, and real-time cost control in sustainable construction projects.</w:t>
      </w:r>
    </w:p>
    <w:p w:rsidR="002916AB" w:rsidRPr="002A65DC" w:rsidRDefault="002916AB" w:rsidP="002916AB">
      <w:pPr>
        <w:spacing w:after="0" w:line="480" w:lineRule="auto"/>
        <w:jc w:val="both"/>
        <w:rPr>
          <w:rFonts w:ascii="Times New Roman" w:hAnsi="Times New Roman"/>
          <w:sz w:val="24"/>
          <w:szCs w:val="24"/>
        </w:rPr>
      </w:pPr>
      <w:r w:rsidRPr="002A65DC">
        <w:rPr>
          <w:rFonts w:ascii="Times New Roman" w:hAnsi="Times New Roman"/>
          <w:b/>
          <w:bCs/>
          <w:sz w:val="24"/>
          <w:szCs w:val="24"/>
        </w:rPr>
        <w:t>7. Facilitate Public-Private Partnerships (PPPs):</w:t>
      </w:r>
      <w:r w:rsidRPr="002A65DC">
        <w:rPr>
          <w:rFonts w:ascii="Times New Roman" w:hAnsi="Times New Roman"/>
          <w:sz w:val="24"/>
          <w:szCs w:val="24"/>
        </w:rPr>
        <w:t xml:space="preserve"> Collaboration between government bodies and private sector firms can help bridge funding gaps and facilitate the wider deployment of SETs in large-scale developments.</w:t>
      </w:r>
    </w:p>
    <w:p w:rsidR="002916AB" w:rsidRPr="002A65DC" w:rsidRDefault="002916AB" w:rsidP="002916AB">
      <w:pPr>
        <w:spacing w:after="0" w:line="480" w:lineRule="auto"/>
        <w:jc w:val="both"/>
        <w:rPr>
          <w:rFonts w:ascii="Times New Roman" w:hAnsi="Times New Roman"/>
          <w:b/>
          <w:bCs/>
          <w:sz w:val="24"/>
          <w:szCs w:val="24"/>
        </w:rPr>
      </w:pPr>
      <w:r w:rsidRPr="002A65DC">
        <w:rPr>
          <w:rFonts w:ascii="Times New Roman" w:hAnsi="Times New Roman"/>
          <w:b/>
          <w:bCs/>
          <w:sz w:val="24"/>
          <w:szCs w:val="24"/>
        </w:rPr>
        <w:lastRenderedPageBreak/>
        <w:t>5.3</w:t>
      </w:r>
      <w:r w:rsidRPr="002A65DC">
        <w:rPr>
          <w:rFonts w:ascii="Times New Roman" w:hAnsi="Times New Roman"/>
          <w:b/>
          <w:bCs/>
          <w:sz w:val="24"/>
          <w:szCs w:val="24"/>
        </w:rPr>
        <w:tab/>
        <w:t xml:space="preserve">Contribution to Knowledge </w:t>
      </w:r>
    </w:p>
    <w:p w:rsidR="002916AB" w:rsidRPr="002A65DC" w:rsidRDefault="002916AB" w:rsidP="00A91BB8">
      <w:pPr>
        <w:spacing w:after="0" w:line="480" w:lineRule="auto"/>
        <w:ind w:firstLine="720"/>
        <w:jc w:val="both"/>
        <w:rPr>
          <w:rFonts w:ascii="Times New Roman" w:hAnsi="Times New Roman"/>
          <w:sz w:val="24"/>
          <w:szCs w:val="24"/>
        </w:rPr>
      </w:pPr>
      <w:r w:rsidRPr="002A65DC">
        <w:rPr>
          <w:rFonts w:ascii="Times New Roman" w:hAnsi="Times New Roman"/>
          <w:sz w:val="24"/>
          <w:szCs w:val="24"/>
        </w:rPr>
        <w:t>This study has expanded current understanding of sustainable energy technologies (SETs) in modern construction by providing context-specific insights into their adoption, cost dynamics, and strategic challenges within Nigeria. It offers an integrated view of both initial capital and long-term return on investment, highlighting practical solutions such as bulk procurement and early cost planning. The research also reveals the limited adoption of digital tools like BIM in sustainable projects, pointing to a gap in technological integration. Additionally, it provides empirical evidence to support policy reform, public-private collaboration, and the inclusion of sustainable construction practices in educational curricula.</w:t>
      </w:r>
    </w:p>
    <w:p w:rsidR="002916AB" w:rsidRPr="002A65DC" w:rsidRDefault="002916AB" w:rsidP="002916AB">
      <w:pPr>
        <w:spacing w:after="0" w:line="480" w:lineRule="auto"/>
        <w:jc w:val="both"/>
        <w:rPr>
          <w:rFonts w:ascii="Times New Roman" w:hAnsi="Times New Roman"/>
          <w:b/>
          <w:bCs/>
          <w:sz w:val="24"/>
          <w:szCs w:val="24"/>
        </w:rPr>
      </w:pPr>
      <w:r w:rsidRPr="002A65DC">
        <w:rPr>
          <w:rFonts w:ascii="Times New Roman" w:hAnsi="Times New Roman"/>
          <w:b/>
          <w:bCs/>
          <w:sz w:val="24"/>
          <w:szCs w:val="24"/>
        </w:rPr>
        <w:t>5.4</w:t>
      </w:r>
      <w:r w:rsidRPr="002A65DC">
        <w:rPr>
          <w:rFonts w:ascii="Times New Roman" w:hAnsi="Times New Roman"/>
          <w:b/>
          <w:bCs/>
          <w:sz w:val="24"/>
          <w:szCs w:val="24"/>
        </w:rPr>
        <w:tab/>
        <w:t xml:space="preserve">Area of </w:t>
      </w:r>
      <w:r w:rsidR="00A91BB8" w:rsidRPr="002A65DC">
        <w:rPr>
          <w:rFonts w:ascii="Times New Roman" w:hAnsi="Times New Roman"/>
          <w:b/>
          <w:bCs/>
          <w:sz w:val="24"/>
          <w:szCs w:val="24"/>
        </w:rPr>
        <w:t>Further Study</w:t>
      </w:r>
    </w:p>
    <w:p w:rsidR="002916AB" w:rsidRPr="002A65DC" w:rsidRDefault="002916AB" w:rsidP="002916AB">
      <w:pPr>
        <w:spacing w:after="0" w:line="480" w:lineRule="auto"/>
        <w:jc w:val="both"/>
        <w:rPr>
          <w:rFonts w:ascii="Times New Roman" w:hAnsi="Times New Roman"/>
          <w:sz w:val="24"/>
          <w:szCs w:val="24"/>
        </w:rPr>
      </w:pPr>
      <w:r w:rsidRPr="002A65DC">
        <w:rPr>
          <w:rFonts w:ascii="Times New Roman" w:hAnsi="Times New Roman"/>
          <w:sz w:val="24"/>
          <w:szCs w:val="24"/>
        </w:rPr>
        <w:t>1. The Role of Building Information Modeling (BIM) in Enhancing Cost Efficiency of Sustainable Construction Projects in Developing Economies.</w:t>
      </w:r>
    </w:p>
    <w:p w:rsidR="002916AB" w:rsidRPr="002A65DC" w:rsidRDefault="002916AB" w:rsidP="002916AB">
      <w:pPr>
        <w:spacing w:after="0" w:line="480" w:lineRule="auto"/>
        <w:jc w:val="both"/>
        <w:rPr>
          <w:rFonts w:ascii="Times New Roman" w:hAnsi="Times New Roman"/>
          <w:sz w:val="24"/>
          <w:szCs w:val="24"/>
        </w:rPr>
      </w:pPr>
      <w:r w:rsidRPr="002A65DC">
        <w:rPr>
          <w:rFonts w:ascii="Times New Roman" w:hAnsi="Times New Roman"/>
          <w:sz w:val="24"/>
          <w:szCs w:val="24"/>
        </w:rPr>
        <w:t>2. Assessing the Impact of Government Incentives and Policy Frameworks on the Adoption of Sustainable Energy Technologies in the Nigerian Construction Industry.</w:t>
      </w:r>
    </w:p>
    <w:p w:rsidR="002916AB" w:rsidRPr="002A65DC" w:rsidRDefault="002916AB" w:rsidP="002916AB">
      <w:pPr>
        <w:spacing w:after="0" w:line="480" w:lineRule="auto"/>
        <w:jc w:val="both"/>
        <w:rPr>
          <w:rFonts w:ascii="Times New Roman" w:hAnsi="Times New Roman"/>
          <w:sz w:val="24"/>
          <w:szCs w:val="24"/>
        </w:rPr>
      </w:pPr>
      <w:r w:rsidRPr="002A65DC">
        <w:rPr>
          <w:rFonts w:ascii="Times New Roman" w:hAnsi="Times New Roman"/>
          <w:sz w:val="24"/>
          <w:szCs w:val="24"/>
        </w:rPr>
        <w:t>3. Evaluating the Effectiveness of Public-Private Partnerships (PPPs) in Promoting Sustainable Energy Investments in the Nigerian Construction Sector.</w:t>
      </w:r>
    </w:p>
    <w:p w:rsidR="002916AB" w:rsidRPr="002A65DC" w:rsidRDefault="002916AB" w:rsidP="002916AB">
      <w:pPr>
        <w:spacing w:after="0" w:line="480" w:lineRule="auto"/>
        <w:jc w:val="both"/>
        <w:rPr>
          <w:rFonts w:ascii="Times New Roman" w:hAnsi="Times New Roman"/>
          <w:sz w:val="24"/>
          <w:szCs w:val="24"/>
        </w:rPr>
      </w:pPr>
    </w:p>
    <w:p w:rsidR="002916AB" w:rsidRDefault="002916AB" w:rsidP="002916AB">
      <w:pPr>
        <w:spacing w:after="0" w:line="480" w:lineRule="auto"/>
        <w:jc w:val="both"/>
        <w:rPr>
          <w:rFonts w:ascii="Times New Roman" w:hAnsi="Times New Roman"/>
          <w:sz w:val="24"/>
          <w:szCs w:val="24"/>
        </w:rPr>
      </w:pPr>
    </w:p>
    <w:p w:rsidR="002A65DC" w:rsidRDefault="002A65DC" w:rsidP="002916AB">
      <w:pPr>
        <w:spacing w:after="0" w:line="480" w:lineRule="auto"/>
        <w:jc w:val="both"/>
        <w:rPr>
          <w:rFonts w:ascii="Times New Roman" w:hAnsi="Times New Roman"/>
          <w:sz w:val="24"/>
          <w:szCs w:val="24"/>
        </w:rPr>
      </w:pPr>
    </w:p>
    <w:p w:rsidR="002A65DC" w:rsidRDefault="002A65DC" w:rsidP="002916AB">
      <w:pPr>
        <w:spacing w:after="0" w:line="480" w:lineRule="auto"/>
        <w:jc w:val="both"/>
        <w:rPr>
          <w:rFonts w:ascii="Times New Roman" w:hAnsi="Times New Roman"/>
          <w:sz w:val="24"/>
          <w:szCs w:val="24"/>
        </w:rPr>
      </w:pPr>
    </w:p>
    <w:p w:rsidR="002A65DC" w:rsidRPr="00267BE4" w:rsidRDefault="002A65DC" w:rsidP="003C3685">
      <w:pPr>
        <w:spacing w:after="0" w:line="480" w:lineRule="auto"/>
        <w:jc w:val="center"/>
        <w:rPr>
          <w:rFonts w:asciiTheme="majorBidi" w:hAnsiTheme="majorBidi" w:cstheme="majorBidi"/>
          <w:b/>
          <w:bCs/>
          <w:sz w:val="24"/>
          <w:szCs w:val="24"/>
        </w:rPr>
      </w:pPr>
      <w:r w:rsidRPr="00267BE4">
        <w:rPr>
          <w:rFonts w:asciiTheme="majorBidi" w:hAnsiTheme="majorBidi" w:cstheme="majorBidi"/>
          <w:b/>
          <w:bCs/>
          <w:sz w:val="24"/>
          <w:szCs w:val="24"/>
        </w:rPr>
        <w:lastRenderedPageBreak/>
        <w:t>REFERENCE</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Adegboye, F., Smith, L., &amp; Adedeji, O. (2022). </w:t>
      </w:r>
      <w:r w:rsidRPr="006877DD">
        <w:rPr>
          <w:rFonts w:asciiTheme="majorBidi" w:hAnsiTheme="majorBidi" w:cstheme="majorBidi"/>
          <w:i/>
          <w:iCs/>
          <w:sz w:val="24"/>
          <w:szCs w:val="24"/>
        </w:rPr>
        <w:t xml:space="preserve">Public-private partnerships and sustainable energy investments. </w:t>
      </w:r>
      <w:r w:rsidRPr="00267BE4">
        <w:rPr>
          <w:rFonts w:asciiTheme="majorBidi" w:hAnsiTheme="majorBidi" w:cstheme="majorBidi"/>
          <w:sz w:val="24"/>
          <w:szCs w:val="24"/>
        </w:rPr>
        <w:t>Energy Policy, 158, 112547.</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Adewuyi, A. O., et al. (2017). </w:t>
      </w:r>
      <w:r w:rsidRPr="006877DD">
        <w:rPr>
          <w:rFonts w:asciiTheme="majorBidi" w:hAnsiTheme="majorBidi" w:cstheme="majorBidi"/>
          <w:i/>
          <w:iCs/>
          <w:sz w:val="24"/>
          <w:szCs w:val="24"/>
        </w:rPr>
        <w:t xml:space="preserve">Infrastructure and energy policy in Nigeria: A roadmap for sustainable implementation. </w:t>
      </w:r>
      <w:r w:rsidRPr="00267BE4">
        <w:rPr>
          <w:rFonts w:asciiTheme="majorBidi" w:hAnsiTheme="majorBidi" w:cstheme="majorBidi"/>
          <w:sz w:val="24"/>
          <w:szCs w:val="24"/>
        </w:rPr>
        <w:t>Energy Policy Journal, 45(3), 354-366.</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Adewuyi, T. O., </w:t>
      </w:r>
      <w:proofErr w:type="spellStart"/>
      <w:r w:rsidRPr="00267BE4">
        <w:rPr>
          <w:rFonts w:asciiTheme="majorBidi" w:hAnsiTheme="majorBidi" w:cstheme="majorBidi"/>
          <w:sz w:val="24"/>
          <w:szCs w:val="24"/>
        </w:rPr>
        <w:t>Oyewunmi</w:t>
      </w:r>
      <w:proofErr w:type="spellEnd"/>
      <w:r w:rsidRPr="00267BE4">
        <w:rPr>
          <w:rFonts w:asciiTheme="majorBidi" w:hAnsiTheme="majorBidi" w:cstheme="majorBidi"/>
          <w:sz w:val="24"/>
          <w:szCs w:val="24"/>
        </w:rPr>
        <w:t xml:space="preserve">, O. O., &amp; Oladipo, O. A. (2017). </w:t>
      </w:r>
      <w:r w:rsidRPr="006877DD">
        <w:rPr>
          <w:rFonts w:asciiTheme="majorBidi" w:hAnsiTheme="majorBidi" w:cstheme="majorBidi"/>
          <w:i/>
          <w:iCs/>
          <w:sz w:val="24"/>
          <w:szCs w:val="24"/>
        </w:rPr>
        <w:t>Infrastructure challenges for renewable energy in Nigeria</w:t>
      </w:r>
      <w:r w:rsidRPr="00267BE4">
        <w:rPr>
          <w:rFonts w:asciiTheme="majorBidi" w:hAnsiTheme="majorBidi" w:cstheme="majorBidi"/>
          <w:sz w:val="24"/>
          <w:szCs w:val="24"/>
        </w:rPr>
        <w:t>. Renewable Energy, 113, 713–723.</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Adewuyi, T., &amp; Ojo, A. (2021). </w:t>
      </w:r>
      <w:r w:rsidRPr="006877DD">
        <w:rPr>
          <w:rFonts w:asciiTheme="majorBidi" w:hAnsiTheme="majorBidi" w:cstheme="majorBidi"/>
          <w:i/>
          <w:iCs/>
          <w:sz w:val="24"/>
          <w:szCs w:val="24"/>
        </w:rPr>
        <w:t xml:space="preserve">Economic impacts of solar PV systems in residential buildings in Nigeria. </w:t>
      </w:r>
      <w:r w:rsidRPr="00267BE4">
        <w:rPr>
          <w:rFonts w:asciiTheme="majorBidi" w:hAnsiTheme="majorBidi" w:cstheme="majorBidi"/>
          <w:sz w:val="24"/>
          <w:szCs w:val="24"/>
        </w:rPr>
        <w:t>Renewable Energy, 163, 1087-1096.</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Agyekum, E. B., Obeng, G. Y., &amp; Amponsah, O. (2022). </w:t>
      </w:r>
      <w:r w:rsidRPr="006877DD">
        <w:rPr>
          <w:rFonts w:asciiTheme="majorBidi" w:hAnsiTheme="majorBidi" w:cstheme="majorBidi"/>
          <w:i/>
          <w:iCs/>
          <w:sz w:val="24"/>
          <w:szCs w:val="24"/>
        </w:rPr>
        <w:t>A review of energy efficiency improvement in building construction: Impacts and strategies.</w:t>
      </w:r>
      <w:r w:rsidRPr="00267BE4">
        <w:rPr>
          <w:rFonts w:asciiTheme="majorBidi" w:hAnsiTheme="majorBidi" w:cstheme="majorBidi"/>
          <w:sz w:val="24"/>
          <w:szCs w:val="24"/>
        </w:rPr>
        <w:t xml:space="preserve"> Renewable and Sustainable Energy Reviews, 153, 111773.</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Agyekum, E. B., Obeng, G. Y., &amp; Amponsah, O. (2022). </w:t>
      </w:r>
      <w:r w:rsidRPr="006877DD">
        <w:rPr>
          <w:rFonts w:asciiTheme="majorBidi" w:hAnsiTheme="majorBidi" w:cstheme="majorBidi"/>
          <w:i/>
          <w:iCs/>
          <w:sz w:val="24"/>
          <w:szCs w:val="24"/>
        </w:rPr>
        <w:t>Drivers and barriers to the adoption of energy-efficient technologies in African construction.</w:t>
      </w:r>
      <w:r w:rsidRPr="00267BE4">
        <w:rPr>
          <w:rFonts w:asciiTheme="majorBidi" w:hAnsiTheme="majorBidi" w:cstheme="majorBidi"/>
          <w:sz w:val="24"/>
          <w:szCs w:val="24"/>
        </w:rPr>
        <w:t xml:space="preserve"> Renewable Energy Reviews, 156, 112022.</w:t>
      </w:r>
    </w:p>
    <w:p w:rsidR="002A65DC" w:rsidRPr="00267BE4" w:rsidRDefault="002A65DC" w:rsidP="002A65DC">
      <w:pPr>
        <w:spacing w:after="0" w:line="480" w:lineRule="auto"/>
        <w:ind w:left="450" w:hanging="450"/>
        <w:jc w:val="both"/>
        <w:rPr>
          <w:rFonts w:asciiTheme="majorBidi" w:hAnsiTheme="majorBidi" w:cstheme="majorBidi"/>
          <w:sz w:val="24"/>
          <w:szCs w:val="24"/>
        </w:rPr>
      </w:pPr>
      <w:proofErr w:type="spellStart"/>
      <w:r w:rsidRPr="00267BE4">
        <w:rPr>
          <w:rFonts w:asciiTheme="majorBidi" w:hAnsiTheme="majorBidi" w:cstheme="majorBidi"/>
          <w:sz w:val="24"/>
          <w:szCs w:val="24"/>
        </w:rPr>
        <w:t>Akinbami</w:t>
      </w:r>
      <w:proofErr w:type="spellEnd"/>
      <w:r w:rsidRPr="00267BE4">
        <w:rPr>
          <w:rFonts w:asciiTheme="majorBidi" w:hAnsiTheme="majorBidi" w:cstheme="majorBidi"/>
          <w:sz w:val="24"/>
          <w:szCs w:val="24"/>
        </w:rPr>
        <w:t xml:space="preserve">, J. F. K., </w:t>
      </w:r>
      <w:proofErr w:type="spellStart"/>
      <w:r w:rsidRPr="00267BE4">
        <w:rPr>
          <w:rFonts w:asciiTheme="majorBidi" w:hAnsiTheme="majorBidi" w:cstheme="majorBidi"/>
          <w:sz w:val="24"/>
          <w:szCs w:val="24"/>
        </w:rPr>
        <w:t>Adegbulugbe</w:t>
      </w:r>
      <w:proofErr w:type="spellEnd"/>
      <w:r w:rsidRPr="00267BE4">
        <w:rPr>
          <w:rFonts w:asciiTheme="majorBidi" w:hAnsiTheme="majorBidi" w:cstheme="majorBidi"/>
          <w:sz w:val="24"/>
          <w:szCs w:val="24"/>
        </w:rPr>
        <w:t xml:space="preserve">, A. O., &amp; </w:t>
      </w:r>
      <w:proofErr w:type="spellStart"/>
      <w:r w:rsidRPr="00267BE4">
        <w:rPr>
          <w:rFonts w:asciiTheme="majorBidi" w:hAnsiTheme="majorBidi" w:cstheme="majorBidi"/>
          <w:sz w:val="24"/>
          <w:szCs w:val="24"/>
        </w:rPr>
        <w:t>Akinwumi</w:t>
      </w:r>
      <w:proofErr w:type="spellEnd"/>
      <w:r w:rsidRPr="00267BE4">
        <w:rPr>
          <w:rFonts w:asciiTheme="majorBidi" w:hAnsiTheme="majorBidi" w:cstheme="majorBidi"/>
          <w:sz w:val="24"/>
          <w:szCs w:val="24"/>
        </w:rPr>
        <w:t xml:space="preserve">, I. O. (2020). </w:t>
      </w:r>
      <w:r w:rsidRPr="006877DD">
        <w:rPr>
          <w:rFonts w:asciiTheme="majorBidi" w:hAnsiTheme="majorBidi" w:cstheme="majorBidi"/>
          <w:i/>
          <w:iCs/>
          <w:sz w:val="24"/>
          <w:szCs w:val="24"/>
        </w:rPr>
        <w:t>Renewable energy adoption in Nigeria: Policy frameworks and practical implications.</w:t>
      </w:r>
      <w:r w:rsidRPr="00267BE4">
        <w:rPr>
          <w:rFonts w:asciiTheme="majorBidi" w:hAnsiTheme="majorBidi" w:cstheme="majorBidi"/>
          <w:sz w:val="24"/>
          <w:szCs w:val="24"/>
        </w:rPr>
        <w:t xml:space="preserve"> Energy Policy Journal, 48(4), 287-295.</w:t>
      </w:r>
    </w:p>
    <w:p w:rsidR="002A65DC" w:rsidRPr="00267BE4" w:rsidRDefault="002A65DC" w:rsidP="002A65DC">
      <w:pPr>
        <w:spacing w:after="0" w:line="480" w:lineRule="auto"/>
        <w:ind w:left="450" w:hanging="450"/>
        <w:jc w:val="both"/>
        <w:rPr>
          <w:rFonts w:asciiTheme="majorBidi" w:hAnsiTheme="majorBidi" w:cstheme="majorBidi"/>
          <w:sz w:val="24"/>
          <w:szCs w:val="24"/>
        </w:rPr>
      </w:pPr>
      <w:proofErr w:type="spellStart"/>
      <w:r w:rsidRPr="00267BE4">
        <w:rPr>
          <w:rFonts w:asciiTheme="majorBidi" w:hAnsiTheme="majorBidi" w:cstheme="majorBidi"/>
          <w:sz w:val="24"/>
          <w:szCs w:val="24"/>
        </w:rPr>
        <w:t>Akinbami</w:t>
      </w:r>
      <w:proofErr w:type="spellEnd"/>
      <w:r w:rsidRPr="00267BE4">
        <w:rPr>
          <w:rFonts w:asciiTheme="majorBidi" w:hAnsiTheme="majorBidi" w:cstheme="majorBidi"/>
          <w:sz w:val="24"/>
          <w:szCs w:val="24"/>
        </w:rPr>
        <w:t xml:space="preserve">, J. F. K., </w:t>
      </w:r>
      <w:proofErr w:type="spellStart"/>
      <w:r w:rsidRPr="00267BE4">
        <w:rPr>
          <w:rFonts w:asciiTheme="majorBidi" w:hAnsiTheme="majorBidi" w:cstheme="majorBidi"/>
          <w:sz w:val="24"/>
          <w:szCs w:val="24"/>
        </w:rPr>
        <w:t>Adegbulugbe</w:t>
      </w:r>
      <w:proofErr w:type="spellEnd"/>
      <w:r w:rsidRPr="00267BE4">
        <w:rPr>
          <w:rFonts w:asciiTheme="majorBidi" w:hAnsiTheme="majorBidi" w:cstheme="majorBidi"/>
          <w:sz w:val="24"/>
          <w:szCs w:val="24"/>
        </w:rPr>
        <w:t xml:space="preserve">, A. O., &amp; </w:t>
      </w:r>
      <w:proofErr w:type="spellStart"/>
      <w:r w:rsidRPr="00267BE4">
        <w:rPr>
          <w:rFonts w:asciiTheme="majorBidi" w:hAnsiTheme="majorBidi" w:cstheme="majorBidi"/>
          <w:sz w:val="24"/>
          <w:szCs w:val="24"/>
        </w:rPr>
        <w:t>Akinwumi</w:t>
      </w:r>
      <w:proofErr w:type="spellEnd"/>
      <w:r w:rsidRPr="00267BE4">
        <w:rPr>
          <w:rFonts w:asciiTheme="majorBidi" w:hAnsiTheme="majorBidi" w:cstheme="majorBidi"/>
          <w:sz w:val="24"/>
          <w:szCs w:val="24"/>
        </w:rPr>
        <w:t xml:space="preserve">, I. O. (2020). </w:t>
      </w:r>
      <w:r w:rsidRPr="006877DD">
        <w:rPr>
          <w:rFonts w:asciiTheme="majorBidi" w:hAnsiTheme="majorBidi" w:cstheme="majorBidi"/>
          <w:i/>
          <w:iCs/>
          <w:sz w:val="24"/>
          <w:szCs w:val="24"/>
        </w:rPr>
        <w:t xml:space="preserve">Barriers to sustainable energy adoption in Nigerian construction. </w:t>
      </w:r>
      <w:r w:rsidRPr="00267BE4">
        <w:rPr>
          <w:rFonts w:asciiTheme="majorBidi" w:hAnsiTheme="majorBidi" w:cstheme="majorBidi"/>
          <w:sz w:val="24"/>
          <w:szCs w:val="24"/>
        </w:rPr>
        <w:t>Energy Policy Journal, 48(4), 287-295.</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lastRenderedPageBreak/>
        <w:t xml:space="preserve">Akinola, A. O., Oke, A. E., &amp; Olatunji, S. O. (2020). </w:t>
      </w:r>
      <w:r w:rsidRPr="006877DD">
        <w:rPr>
          <w:rFonts w:asciiTheme="majorBidi" w:hAnsiTheme="majorBidi" w:cstheme="majorBidi"/>
          <w:i/>
          <w:iCs/>
          <w:sz w:val="24"/>
          <w:szCs w:val="24"/>
        </w:rPr>
        <w:t xml:space="preserve">Challenges and policies for renewable energy integration in Nigeria’s construction sector. </w:t>
      </w:r>
      <w:r w:rsidRPr="00267BE4">
        <w:rPr>
          <w:rFonts w:asciiTheme="majorBidi" w:hAnsiTheme="majorBidi" w:cstheme="majorBidi"/>
          <w:sz w:val="24"/>
          <w:szCs w:val="24"/>
        </w:rPr>
        <w:t>International Journal of Energy Economics and Policy, 10(2), 210-218.</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Akinola, O. S., </w:t>
      </w:r>
      <w:proofErr w:type="spellStart"/>
      <w:r w:rsidRPr="00267BE4">
        <w:rPr>
          <w:rFonts w:asciiTheme="majorBidi" w:hAnsiTheme="majorBidi" w:cstheme="majorBidi"/>
          <w:sz w:val="24"/>
          <w:szCs w:val="24"/>
        </w:rPr>
        <w:t>Akinbami</w:t>
      </w:r>
      <w:proofErr w:type="spellEnd"/>
      <w:r w:rsidRPr="00267BE4">
        <w:rPr>
          <w:rFonts w:asciiTheme="majorBidi" w:hAnsiTheme="majorBidi" w:cstheme="majorBidi"/>
          <w:sz w:val="24"/>
          <w:szCs w:val="24"/>
        </w:rPr>
        <w:t xml:space="preserve">, J. F. K., &amp; </w:t>
      </w:r>
      <w:proofErr w:type="spellStart"/>
      <w:r w:rsidRPr="00267BE4">
        <w:rPr>
          <w:rFonts w:asciiTheme="majorBidi" w:hAnsiTheme="majorBidi" w:cstheme="majorBidi"/>
          <w:sz w:val="24"/>
          <w:szCs w:val="24"/>
        </w:rPr>
        <w:t>Ogunjuyigbe</w:t>
      </w:r>
      <w:proofErr w:type="spellEnd"/>
      <w:r w:rsidRPr="00267BE4">
        <w:rPr>
          <w:rFonts w:asciiTheme="majorBidi" w:hAnsiTheme="majorBidi" w:cstheme="majorBidi"/>
          <w:sz w:val="24"/>
          <w:szCs w:val="24"/>
        </w:rPr>
        <w:t xml:space="preserve">, A. S. O. (2020). </w:t>
      </w:r>
      <w:r w:rsidRPr="006877DD">
        <w:rPr>
          <w:rFonts w:asciiTheme="majorBidi" w:hAnsiTheme="majorBidi" w:cstheme="majorBidi"/>
          <w:i/>
          <w:iCs/>
          <w:sz w:val="24"/>
          <w:szCs w:val="24"/>
        </w:rPr>
        <w:t>Policy and regulatory frameworks for renewable energy development in Nigeria</w:t>
      </w:r>
      <w:r w:rsidRPr="00267BE4">
        <w:rPr>
          <w:rFonts w:asciiTheme="majorBidi" w:hAnsiTheme="majorBidi" w:cstheme="majorBidi"/>
          <w:sz w:val="24"/>
          <w:szCs w:val="24"/>
        </w:rPr>
        <w:t>: Challenges and prospects. Energy Policy, 144, 111669.</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Akinyele, D. O., &amp; Rayudu, R. K. (2016). </w:t>
      </w:r>
      <w:r w:rsidRPr="006877DD">
        <w:rPr>
          <w:rFonts w:asciiTheme="majorBidi" w:hAnsiTheme="majorBidi" w:cstheme="majorBidi"/>
          <w:i/>
          <w:iCs/>
          <w:sz w:val="24"/>
          <w:szCs w:val="24"/>
        </w:rPr>
        <w:t>Barriers to sustainable energy adoption in developing countries: Technical and human factors</w:t>
      </w:r>
      <w:r w:rsidRPr="00267BE4">
        <w:rPr>
          <w:rFonts w:asciiTheme="majorBidi" w:hAnsiTheme="majorBidi" w:cstheme="majorBidi"/>
          <w:sz w:val="24"/>
          <w:szCs w:val="24"/>
        </w:rPr>
        <w:t>. Renewable and Sustainable Energy Reviews, 59, 1191–1201.</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Akinyele, D. O., &amp; Rayudu, R. K. (2016). </w:t>
      </w:r>
      <w:r w:rsidRPr="006877DD">
        <w:rPr>
          <w:rFonts w:asciiTheme="majorBidi" w:hAnsiTheme="majorBidi" w:cstheme="majorBidi"/>
          <w:i/>
          <w:iCs/>
          <w:sz w:val="24"/>
          <w:szCs w:val="24"/>
        </w:rPr>
        <w:t>Strategy for developing energy access in Nigeria. Renewable and Sustainable Energy Reviews</w:t>
      </w:r>
      <w:r w:rsidRPr="00267BE4">
        <w:rPr>
          <w:rFonts w:asciiTheme="majorBidi" w:hAnsiTheme="majorBidi" w:cstheme="majorBidi"/>
          <w:sz w:val="24"/>
          <w:szCs w:val="24"/>
        </w:rPr>
        <w:t>, 66, 258–272.</w:t>
      </w:r>
    </w:p>
    <w:p w:rsidR="002A65DC" w:rsidRPr="00267BE4" w:rsidRDefault="002A65DC" w:rsidP="002A65DC">
      <w:pPr>
        <w:spacing w:after="0" w:line="480" w:lineRule="auto"/>
        <w:ind w:left="450" w:hanging="450"/>
        <w:jc w:val="both"/>
        <w:rPr>
          <w:rFonts w:asciiTheme="majorBidi" w:hAnsiTheme="majorBidi" w:cstheme="majorBidi"/>
          <w:sz w:val="24"/>
          <w:szCs w:val="24"/>
        </w:rPr>
      </w:pPr>
      <w:proofErr w:type="spellStart"/>
      <w:r w:rsidRPr="00267BE4">
        <w:rPr>
          <w:rFonts w:asciiTheme="majorBidi" w:hAnsiTheme="majorBidi" w:cstheme="majorBidi"/>
          <w:sz w:val="24"/>
          <w:szCs w:val="24"/>
        </w:rPr>
        <w:t>Ametepey</w:t>
      </w:r>
      <w:proofErr w:type="spellEnd"/>
      <w:r w:rsidRPr="00267BE4">
        <w:rPr>
          <w:rFonts w:asciiTheme="majorBidi" w:hAnsiTheme="majorBidi" w:cstheme="majorBidi"/>
          <w:sz w:val="24"/>
          <w:szCs w:val="24"/>
        </w:rPr>
        <w:t xml:space="preserve">, O., &amp; Ansah, S. K. (2021). </w:t>
      </w:r>
      <w:r w:rsidRPr="006877DD">
        <w:rPr>
          <w:rFonts w:asciiTheme="majorBidi" w:hAnsiTheme="majorBidi" w:cstheme="majorBidi"/>
          <w:i/>
          <w:iCs/>
          <w:sz w:val="24"/>
          <w:szCs w:val="24"/>
        </w:rPr>
        <w:t>Cost barriers to sustainable construction practices in developing countries.</w:t>
      </w:r>
      <w:r w:rsidRPr="00267BE4">
        <w:rPr>
          <w:rFonts w:asciiTheme="majorBidi" w:hAnsiTheme="majorBidi" w:cstheme="majorBidi"/>
          <w:sz w:val="24"/>
          <w:szCs w:val="24"/>
        </w:rPr>
        <w:t xml:space="preserve"> International Journal of Construction Management, 21(6), 612–620.</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Asiedu, Y., &amp; Gu, P. (2019). </w:t>
      </w:r>
      <w:r w:rsidRPr="006877DD">
        <w:rPr>
          <w:rFonts w:asciiTheme="majorBidi" w:hAnsiTheme="majorBidi" w:cstheme="majorBidi"/>
          <w:i/>
          <w:iCs/>
          <w:sz w:val="24"/>
          <w:szCs w:val="24"/>
        </w:rPr>
        <w:t>Lifecycle cost analysis of energy-efficient buildings.</w:t>
      </w:r>
      <w:r w:rsidRPr="00267BE4">
        <w:rPr>
          <w:rFonts w:asciiTheme="majorBidi" w:hAnsiTheme="majorBidi" w:cstheme="majorBidi"/>
          <w:sz w:val="24"/>
          <w:szCs w:val="24"/>
        </w:rPr>
        <w:t xml:space="preserve"> Journal of Building Performance, 10(3), 102–117.</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Attia, S., Hamdy, M., &amp; O'Brien, W. (2019</w:t>
      </w:r>
      <w:r w:rsidRPr="006877DD">
        <w:rPr>
          <w:rFonts w:asciiTheme="majorBidi" w:hAnsiTheme="majorBidi" w:cstheme="majorBidi"/>
          <w:i/>
          <w:iCs/>
          <w:sz w:val="24"/>
          <w:szCs w:val="24"/>
        </w:rPr>
        <w:t>). Net zero energy buildings: A review of definitions and policies.</w:t>
      </w:r>
      <w:r w:rsidRPr="00267BE4">
        <w:rPr>
          <w:rFonts w:asciiTheme="majorBidi" w:hAnsiTheme="majorBidi" w:cstheme="majorBidi"/>
          <w:sz w:val="24"/>
          <w:szCs w:val="24"/>
        </w:rPr>
        <w:t xml:space="preserve"> Renewable and Sustainable Energy Reviews, 112, 68–82.</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Azizi, N. S. M., Ismail, M., &amp; Kamaruzzaman, S. N. (2020). </w:t>
      </w:r>
      <w:r w:rsidRPr="006877DD">
        <w:rPr>
          <w:rFonts w:asciiTheme="majorBidi" w:hAnsiTheme="majorBidi" w:cstheme="majorBidi"/>
          <w:i/>
          <w:iCs/>
          <w:sz w:val="24"/>
          <w:szCs w:val="24"/>
        </w:rPr>
        <w:t>Solar energy applications in buildings: A review of recent developments and energy performance</w:t>
      </w:r>
      <w:r w:rsidRPr="00267BE4">
        <w:rPr>
          <w:rFonts w:asciiTheme="majorBidi" w:hAnsiTheme="majorBidi" w:cstheme="majorBidi"/>
          <w:sz w:val="24"/>
          <w:szCs w:val="24"/>
        </w:rPr>
        <w:t>. Renewable and Sustainable Energy Reviews, 128, 109900.</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lastRenderedPageBreak/>
        <w:t xml:space="preserve">Brown, M., &amp; Chen, Y. (2020). </w:t>
      </w:r>
      <w:r w:rsidRPr="006877DD">
        <w:rPr>
          <w:rFonts w:asciiTheme="majorBidi" w:hAnsiTheme="majorBidi" w:cstheme="majorBidi"/>
          <w:i/>
          <w:iCs/>
          <w:sz w:val="24"/>
          <w:szCs w:val="24"/>
        </w:rPr>
        <w:t>Tax incentives and green building adoption</w:t>
      </w:r>
      <w:r w:rsidRPr="00267BE4">
        <w:rPr>
          <w:rFonts w:asciiTheme="majorBidi" w:hAnsiTheme="majorBidi" w:cstheme="majorBidi"/>
          <w:sz w:val="24"/>
          <w:szCs w:val="24"/>
        </w:rPr>
        <w:t>. Journal of Environmental Economics, 15(3), 205-219.</w:t>
      </w:r>
    </w:p>
    <w:p w:rsidR="002A65DC" w:rsidRPr="00267BE4" w:rsidRDefault="002A65DC" w:rsidP="002A65DC">
      <w:pPr>
        <w:spacing w:after="0" w:line="480" w:lineRule="auto"/>
        <w:ind w:left="450" w:hanging="450"/>
        <w:jc w:val="both"/>
        <w:rPr>
          <w:rFonts w:asciiTheme="majorBidi" w:hAnsiTheme="majorBidi" w:cstheme="majorBidi"/>
          <w:sz w:val="24"/>
          <w:szCs w:val="24"/>
        </w:rPr>
      </w:pPr>
      <w:proofErr w:type="spellStart"/>
      <w:r w:rsidRPr="00267BE4">
        <w:rPr>
          <w:rFonts w:asciiTheme="majorBidi" w:hAnsiTheme="majorBidi" w:cstheme="majorBidi"/>
          <w:sz w:val="24"/>
          <w:szCs w:val="24"/>
        </w:rPr>
        <w:t>Dumancas</w:t>
      </w:r>
      <w:proofErr w:type="spellEnd"/>
      <w:r w:rsidRPr="00267BE4">
        <w:rPr>
          <w:rFonts w:asciiTheme="majorBidi" w:hAnsiTheme="majorBidi" w:cstheme="majorBidi"/>
          <w:sz w:val="24"/>
          <w:szCs w:val="24"/>
        </w:rPr>
        <w:t xml:space="preserve">, G. G., Oloruntoba, R., &amp; </w:t>
      </w:r>
      <w:proofErr w:type="spellStart"/>
      <w:r w:rsidRPr="00267BE4">
        <w:rPr>
          <w:rFonts w:asciiTheme="majorBidi" w:hAnsiTheme="majorBidi" w:cstheme="majorBidi"/>
          <w:sz w:val="24"/>
          <w:szCs w:val="24"/>
        </w:rPr>
        <w:t>Anarado</w:t>
      </w:r>
      <w:proofErr w:type="spellEnd"/>
      <w:r w:rsidRPr="00267BE4">
        <w:rPr>
          <w:rFonts w:asciiTheme="majorBidi" w:hAnsiTheme="majorBidi" w:cstheme="majorBidi"/>
          <w:sz w:val="24"/>
          <w:szCs w:val="24"/>
        </w:rPr>
        <w:t>, N. (2020</w:t>
      </w:r>
      <w:r w:rsidRPr="006877DD">
        <w:rPr>
          <w:rFonts w:asciiTheme="majorBidi" w:hAnsiTheme="majorBidi" w:cstheme="majorBidi"/>
          <w:i/>
          <w:iCs/>
          <w:sz w:val="24"/>
          <w:szCs w:val="24"/>
        </w:rPr>
        <w:t>). Evaluating solar project viability using IRR and NPV in sub-Saharan Africa.</w:t>
      </w:r>
      <w:r w:rsidRPr="00267BE4">
        <w:rPr>
          <w:rFonts w:asciiTheme="majorBidi" w:hAnsiTheme="majorBidi" w:cstheme="majorBidi"/>
          <w:sz w:val="24"/>
          <w:szCs w:val="24"/>
        </w:rPr>
        <w:t xml:space="preserve"> Renewable Energy Economics Review, 6(2), 89–96.</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Eberhard, A., et al. (2019). </w:t>
      </w:r>
      <w:r w:rsidRPr="006877DD">
        <w:rPr>
          <w:rFonts w:asciiTheme="majorBidi" w:hAnsiTheme="majorBidi" w:cstheme="majorBidi"/>
          <w:i/>
          <w:iCs/>
          <w:sz w:val="24"/>
          <w:szCs w:val="24"/>
        </w:rPr>
        <w:t>Global trends in renewable energy investment.</w:t>
      </w:r>
      <w:r w:rsidRPr="00267BE4">
        <w:rPr>
          <w:rFonts w:asciiTheme="majorBidi" w:hAnsiTheme="majorBidi" w:cstheme="majorBidi"/>
          <w:sz w:val="24"/>
          <w:szCs w:val="24"/>
        </w:rPr>
        <w:t xml:space="preserve"> UNEP and Bloomberg New Energy Finance.</w:t>
      </w:r>
    </w:p>
    <w:p w:rsidR="002A65DC" w:rsidRPr="00267BE4" w:rsidRDefault="002A65DC" w:rsidP="002A65DC">
      <w:pPr>
        <w:spacing w:after="0" w:line="480" w:lineRule="auto"/>
        <w:ind w:left="450" w:hanging="450"/>
        <w:jc w:val="both"/>
        <w:rPr>
          <w:rFonts w:asciiTheme="majorBidi" w:hAnsiTheme="majorBidi" w:cstheme="majorBidi"/>
          <w:sz w:val="24"/>
          <w:szCs w:val="24"/>
        </w:rPr>
      </w:pPr>
      <w:proofErr w:type="spellStart"/>
      <w:r w:rsidRPr="00267BE4">
        <w:rPr>
          <w:rFonts w:asciiTheme="majorBidi" w:hAnsiTheme="majorBidi" w:cstheme="majorBidi"/>
          <w:sz w:val="24"/>
          <w:szCs w:val="24"/>
        </w:rPr>
        <w:t>Emodi</w:t>
      </w:r>
      <w:proofErr w:type="spellEnd"/>
      <w:r w:rsidRPr="00267BE4">
        <w:rPr>
          <w:rFonts w:asciiTheme="majorBidi" w:hAnsiTheme="majorBidi" w:cstheme="majorBidi"/>
          <w:sz w:val="24"/>
          <w:szCs w:val="24"/>
        </w:rPr>
        <w:t xml:space="preserve">, N. V., Ebele, N. E., &amp; </w:t>
      </w:r>
      <w:proofErr w:type="spellStart"/>
      <w:r w:rsidRPr="00267BE4">
        <w:rPr>
          <w:rFonts w:asciiTheme="majorBidi" w:hAnsiTheme="majorBidi" w:cstheme="majorBidi"/>
          <w:sz w:val="24"/>
          <w:szCs w:val="24"/>
        </w:rPr>
        <w:t>Emodi</w:t>
      </w:r>
      <w:proofErr w:type="spellEnd"/>
      <w:r w:rsidRPr="00267BE4">
        <w:rPr>
          <w:rFonts w:asciiTheme="majorBidi" w:hAnsiTheme="majorBidi" w:cstheme="majorBidi"/>
          <w:sz w:val="24"/>
          <w:szCs w:val="24"/>
        </w:rPr>
        <w:t xml:space="preserve">, C. C. (2022). </w:t>
      </w:r>
      <w:r w:rsidRPr="006877DD">
        <w:rPr>
          <w:rFonts w:asciiTheme="majorBidi" w:hAnsiTheme="majorBidi" w:cstheme="majorBidi"/>
          <w:i/>
          <w:iCs/>
          <w:sz w:val="24"/>
          <w:szCs w:val="24"/>
        </w:rPr>
        <w:t>Renewable energy investment in sub-Saharan Africa: Market dynamics and barriers.</w:t>
      </w:r>
      <w:r w:rsidRPr="00267BE4">
        <w:rPr>
          <w:rFonts w:asciiTheme="majorBidi" w:hAnsiTheme="majorBidi" w:cstheme="majorBidi"/>
          <w:sz w:val="24"/>
          <w:szCs w:val="24"/>
        </w:rPr>
        <w:t xml:space="preserve"> Renewable Energy Focus, 43, 85-95.</w:t>
      </w:r>
    </w:p>
    <w:p w:rsidR="002A65DC" w:rsidRPr="00267BE4" w:rsidRDefault="002A65DC" w:rsidP="002A65DC">
      <w:pPr>
        <w:spacing w:after="0" w:line="480" w:lineRule="auto"/>
        <w:ind w:left="450" w:hanging="450"/>
        <w:jc w:val="both"/>
        <w:rPr>
          <w:rFonts w:asciiTheme="majorBidi" w:hAnsiTheme="majorBidi" w:cstheme="majorBidi"/>
          <w:sz w:val="24"/>
          <w:szCs w:val="24"/>
        </w:rPr>
      </w:pPr>
      <w:proofErr w:type="spellStart"/>
      <w:r w:rsidRPr="00267BE4">
        <w:rPr>
          <w:rFonts w:asciiTheme="majorBidi" w:hAnsiTheme="majorBidi" w:cstheme="majorBidi"/>
          <w:sz w:val="24"/>
          <w:szCs w:val="24"/>
        </w:rPr>
        <w:t>Emodi</w:t>
      </w:r>
      <w:proofErr w:type="spellEnd"/>
      <w:r w:rsidRPr="00267BE4">
        <w:rPr>
          <w:rFonts w:asciiTheme="majorBidi" w:hAnsiTheme="majorBidi" w:cstheme="majorBidi"/>
          <w:sz w:val="24"/>
          <w:szCs w:val="24"/>
        </w:rPr>
        <w:t xml:space="preserve">, N. V., Madu, C. N., &amp; </w:t>
      </w:r>
      <w:proofErr w:type="spellStart"/>
      <w:r w:rsidRPr="00267BE4">
        <w:rPr>
          <w:rFonts w:asciiTheme="majorBidi" w:hAnsiTheme="majorBidi" w:cstheme="majorBidi"/>
          <w:sz w:val="24"/>
          <w:szCs w:val="24"/>
        </w:rPr>
        <w:t>Ezeabasili</w:t>
      </w:r>
      <w:proofErr w:type="spellEnd"/>
      <w:r w:rsidRPr="00267BE4">
        <w:rPr>
          <w:rFonts w:asciiTheme="majorBidi" w:hAnsiTheme="majorBidi" w:cstheme="majorBidi"/>
          <w:sz w:val="24"/>
          <w:szCs w:val="24"/>
        </w:rPr>
        <w:t>, A. C. (2022</w:t>
      </w:r>
      <w:r w:rsidRPr="006877DD">
        <w:rPr>
          <w:rFonts w:asciiTheme="majorBidi" w:hAnsiTheme="majorBidi" w:cstheme="majorBidi"/>
          <w:i/>
          <w:iCs/>
          <w:sz w:val="24"/>
          <w:szCs w:val="24"/>
        </w:rPr>
        <w:t>). Economic uncertainty and renewable energy investments in Nigeria.</w:t>
      </w:r>
      <w:r w:rsidRPr="00267BE4">
        <w:rPr>
          <w:rFonts w:asciiTheme="majorBidi" w:hAnsiTheme="majorBidi" w:cstheme="majorBidi"/>
          <w:sz w:val="24"/>
          <w:szCs w:val="24"/>
        </w:rPr>
        <w:t xml:space="preserve"> Energy Economics, 105, 105720.</w:t>
      </w:r>
    </w:p>
    <w:p w:rsidR="002A65DC" w:rsidRPr="00817A8F" w:rsidRDefault="002A65DC" w:rsidP="002A65DC">
      <w:pPr>
        <w:spacing w:after="0" w:line="480" w:lineRule="auto"/>
        <w:ind w:left="450" w:hanging="450"/>
        <w:jc w:val="both"/>
        <w:rPr>
          <w:rFonts w:asciiTheme="majorBidi" w:hAnsiTheme="majorBidi" w:cstheme="majorBidi"/>
          <w:i/>
          <w:iCs/>
          <w:sz w:val="24"/>
          <w:szCs w:val="24"/>
        </w:rPr>
      </w:pPr>
      <w:r w:rsidRPr="00267BE4">
        <w:rPr>
          <w:rFonts w:asciiTheme="majorBidi" w:hAnsiTheme="majorBidi" w:cstheme="majorBidi"/>
          <w:sz w:val="24"/>
          <w:szCs w:val="24"/>
        </w:rPr>
        <w:t xml:space="preserve">Energy Commission of Nigeria (2021). </w:t>
      </w:r>
      <w:r w:rsidRPr="00817A8F">
        <w:rPr>
          <w:rFonts w:asciiTheme="majorBidi" w:hAnsiTheme="majorBidi" w:cstheme="majorBidi"/>
          <w:i/>
          <w:iCs/>
          <w:sz w:val="24"/>
          <w:szCs w:val="24"/>
        </w:rPr>
        <w:t>National Renewable Energy and Energy Efficiency Policy Review.</w:t>
      </w:r>
    </w:p>
    <w:p w:rsidR="002A65DC" w:rsidRPr="006877DD" w:rsidRDefault="002A65DC" w:rsidP="002A65DC">
      <w:pPr>
        <w:spacing w:after="0" w:line="480" w:lineRule="auto"/>
        <w:ind w:left="450" w:hanging="450"/>
        <w:jc w:val="both"/>
        <w:rPr>
          <w:rFonts w:asciiTheme="majorBidi" w:hAnsiTheme="majorBidi" w:cstheme="majorBidi"/>
          <w:i/>
          <w:iCs/>
          <w:sz w:val="24"/>
          <w:szCs w:val="24"/>
        </w:rPr>
      </w:pPr>
      <w:r w:rsidRPr="00267BE4">
        <w:rPr>
          <w:rFonts w:asciiTheme="majorBidi" w:hAnsiTheme="majorBidi" w:cstheme="majorBidi"/>
          <w:sz w:val="24"/>
          <w:szCs w:val="24"/>
        </w:rPr>
        <w:t xml:space="preserve">Energy Commission of Nigeria. (2021). </w:t>
      </w:r>
      <w:r w:rsidRPr="006877DD">
        <w:rPr>
          <w:rFonts w:asciiTheme="majorBidi" w:hAnsiTheme="majorBidi" w:cstheme="majorBidi"/>
          <w:i/>
          <w:iCs/>
          <w:sz w:val="24"/>
          <w:szCs w:val="24"/>
        </w:rPr>
        <w:t>Renewable Energy Master Plan (REMP). Abuja, Nigeria.</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Fuerst, F., &amp; McAllister, P. (2015). </w:t>
      </w:r>
      <w:r w:rsidRPr="00817A8F">
        <w:rPr>
          <w:rFonts w:asciiTheme="majorBidi" w:hAnsiTheme="majorBidi" w:cstheme="majorBidi"/>
          <w:i/>
          <w:iCs/>
          <w:sz w:val="24"/>
          <w:szCs w:val="24"/>
        </w:rPr>
        <w:t xml:space="preserve">The impact of energy performance certificates on the rental and capital values of commercial property assets. </w:t>
      </w:r>
      <w:r w:rsidRPr="00267BE4">
        <w:rPr>
          <w:rFonts w:asciiTheme="majorBidi" w:hAnsiTheme="majorBidi" w:cstheme="majorBidi"/>
          <w:sz w:val="24"/>
          <w:szCs w:val="24"/>
        </w:rPr>
        <w:t>Energy Policy, 39(10), 6608–6614.</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González-Sánchez, A., Martín-Gamboa, M., &amp; Iribarren, D. (2019). </w:t>
      </w:r>
      <w:r w:rsidRPr="006877DD">
        <w:rPr>
          <w:rFonts w:asciiTheme="majorBidi" w:hAnsiTheme="majorBidi" w:cstheme="majorBidi"/>
          <w:i/>
          <w:iCs/>
          <w:sz w:val="24"/>
          <w:szCs w:val="24"/>
        </w:rPr>
        <w:t xml:space="preserve">Integrating sustainability into investment appraisal of building retrofitting projects. </w:t>
      </w:r>
      <w:r w:rsidRPr="00267BE4">
        <w:rPr>
          <w:rFonts w:asciiTheme="majorBidi" w:hAnsiTheme="majorBidi" w:cstheme="majorBidi"/>
          <w:sz w:val="24"/>
          <w:szCs w:val="24"/>
        </w:rPr>
        <w:t>Sustainable Cities and Society, 47, 101502.</w:t>
      </w:r>
    </w:p>
    <w:p w:rsidR="002A65DC" w:rsidRPr="006877DD" w:rsidRDefault="002A65DC" w:rsidP="002A65DC">
      <w:pPr>
        <w:spacing w:after="0" w:line="480" w:lineRule="auto"/>
        <w:ind w:left="450" w:hanging="450"/>
        <w:jc w:val="both"/>
        <w:rPr>
          <w:rFonts w:asciiTheme="majorBidi" w:hAnsiTheme="majorBidi" w:cstheme="majorBidi"/>
          <w:i/>
          <w:iCs/>
          <w:sz w:val="24"/>
          <w:szCs w:val="24"/>
        </w:rPr>
      </w:pPr>
      <w:r w:rsidRPr="00267BE4">
        <w:rPr>
          <w:rFonts w:asciiTheme="majorBidi" w:hAnsiTheme="majorBidi" w:cstheme="majorBidi"/>
          <w:sz w:val="24"/>
          <w:szCs w:val="24"/>
        </w:rPr>
        <w:lastRenderedPageBreak/>
        <w:t>Green, M. A., Dunlop, E. D., Levi, D. H., Hohl‐Ebinger, J., Yoshita, M., &amp; Ho‐Baillie, A. W. (2021</w:t>
      </w:r>
      <w:r w:rsidRPr="006877DD">
        <w:rPr>
          <w:rFonts w:asciiTheme="majorBidi" w:hAnsiTheme="majorBidi" w:cstheme="majorBidi"/>
          <w:i/>
          <w:iCs/>
          <w:sz w:val="24"/>
          <w:szCs w:val="24"/>
        </w:rPr>
        <w:t>). Solar cell efficiency tables (version 57). Progress in Photovoltaics: Research and Applications, 29(1), 3–15.</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Gyamfi, S., </w:t>
      </w:r>
      <w:proofErr w:type="spellStart"/>
      <w:r w:rsidRPr="00267BE4">
        <w:rPr>
          <w:rFonts w:asciiTheme="majorBidi" w:hAnsiTheme="majorBidi" w:cstheme="majorBidi"/>
          <w:sz w:val="24"/>
          <w:szCs w:val="24"/>
        </w:rPr>
        <w:t>Krumdieck</w:t>
      </w:r>
      <w:proofErr w:type="spellEnd"/>
      <w:r w:rsidRPr="00267BE4">
        <w:rPr>
          <w:rFonts w:asciiTheme="majorBidi" w:hAnsiTheme="majorBidi" w:cstheme="majorBidi"/>
          <w:sz w:val="24"/>
          <w:szCs w:val="24"/>
        </w:rPr>
        <w:t xml:space="preserve">, S., &amp; </w:t>
      </w:r>
      <w:proofErr w:type="spellStart"/>
      <w:r w:rsidRPr="00267BE4">
        <w:rPr>
          <w:rFonts w:asciiTheme="majorBidi" w:hAnsiTheme="majorBidi" w:cstheme="majorBidi"/>
          <w:sz w:val="24"/>
          <w:szCs w:val="24"/>
        </w:rPr>
        <w:t>Urmee</w:t>
      </w:r>
      <w:proofErr w:type="spellEnd"/>
      <w:r w:rsidRPr="00267BE4">
        <w:rPr>
          <w:rFonts w:asciiTheme="majorBidi" w:hAnsiTheme="majorBidi" w:cstheme="majorBidi"/>
          <w:sz w:val="24"/>
          <w:szCs w:val="24"/>
        </w:rPr>
        <w:t xml:space="preserve">, T. (2018). </w:t>
      </w:r>
      <w:r w:rsidRPr="006877DD">
        <w:rPr>
          <w:rFonts w:asciiTheme="majorBidi" w:hAnsiTheme="majorBidi" w:cstheme="majorBidi"/>
          <w:i/>
          <w:iCs/>
          <w:sz w:val="24"/>
          <w:szCs w:val="24"/>
        </w:rPr>
        <w:t xml:space="preserve">Residential peak electricity demand response—Highlights of some </w:t>
      </w:r>
      <w:proofErr w:type="spellStart"/>
      <w:r w:rsidRPr="006877DD">
        <w:rPr>
          <w:rFonts w:asciiTheme="majorBidi" w:hAnsiTheme="majorBidi" w:cstheme="majorBidi"/>
          <w:i/>
          <w:iCs/>
          <w:sz w:val="24"/>
          <w:szCs w:val="24"/>
        </w:rPr>
        <w:t>behavioural</w:t>
      </w:r>
      <w:proofErr w:type="spellEnd"/>
      <w:r w:rsidRPr="006877DD">
        <w:rPr>
          <w:rFonts w:asciiTheme="majorBidi" w:hAnsiTheme="majorBidi" w:cstheme="majorBidi"/>
          <w:i/>
          <w:iCs/>
          <w:sz w:val="24"/>
          <w:szCs w:val="24"/>
        </w:rPr>
        <w:t xml:space="preserve"> issues</w:t>
      </w:r>
      <w:r w:rsidRPr="00267BE4">
        <w:rPr>
          <w:rFonts w:asciiTheme="majorBidi" w:hAnsiTheme="majorBidi" w:cstheme="majorBidi"/>
          <w:sz w:val="24"/>
          <w:szCs w:val="24"/>
        </w:rPr>
        <w:t>. Renewable and Sustainable Energy Reviews, 92, 915–928.</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Gyamfi, S., Kumi, E. N., &amp; </w:t>
      </w:r>
      <w:proofErr w:type="spellStart"/>
      <w:r w:rsidRPr="00267BE4">
        <w:rPr>
          <w:rFonts w:asciiTheme="majorBidi" w:hAnsiTheme="majorBidi" w:cstheme="majorBidi"/>
          <w:sz w:val="24"/>
          <w:szCs w:val="24"/>
        </w:rPr>
        <w:t>Bawakyillenuo</w:t>
      </w:r>
      <w:proofErr w:type="spellEnd"/>
      <w:r w:rsidRPr="00267BE4">
        <w:rPr>
          <w:rFonts w:asciiTheme="majorBidi" w:hAnsiTheme="majorBidi" w:cstheme="majorBidi"/>
          <w:sz w:val="24"/>
          <w:szCs w:val="24"/>
        </w:rPr>
        <w:t xml:space="preserve">, S. (2022). </w:t>
      </w:r>
      <w:r w:rsidRPr="00817A8F">
        <w:rPr>
          <w:rFonts w:asciiTheme="majorBidi" w:hAnsiTheme="majorBidi" w:cstheme="majorBidi"/>
          <w:i/>
          <w:iCs/>
          <w:sz w:val="24"/>
          <w:szCs w:val="24"/>
        </w:rPr>
        <w:t>Smart grids and demand-side energy management: Challenges and opportunities in emerging economies.</w:t>
      </w:r>
      <w:r w:rsidRPr="00267BE4">
        <w:rPr>
          <w:rFonts w:asciiTheme="majorBidi" w:hAnsiTheme="majorBidi" w:cstheme="majorBidi"/>
          <w:sz w:val="24"/>
          <w:szCs w:val="24"/>
        </w:rPr>
        <w:t xml:space="preserve"> Renewable and Sustainable Energy Reviews, 159, 112210.</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IEA. (2022). </w:t>
      </w:r>
      <w:r w:rsidRPr="006877DD">
        <w:rPr>
          <w:rFonts w:asciiTheme="majorBidi" w:hAnsiTheme="majorBidi" w:cstheme="majorBidi"/>
          <w:i/>
          <w:iCs/>
          <w:sz w:val="24"/>
          <w:szCs w:val="24"/>
        </w:rPr>
        <w:t>Global Status Report for Buildings and Construction</w:t>
      </w:r>
      <w:r w:rsidRPr="00267BE4">
        <w:rPr>
          <w:rFonts w:asciiTheme="majorBidi" w:hAnsiTheme="majorBidi" w:cstheme="majorBidi"/>
          <w:sz w:val="24"/>
          <w:szCs w:val="24"/>
        </w:rPr>
        <w:t>. International Energy Agency.</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International Energy Agency (IEA). (2022). </w:t>
      </w:r>
      <w:r w:rsidRPr="006877DD">
        <w:rPr>
          <w:rFonts w:asciiTheme="majorBidi" w:hAnsiTheme="majorBidi" w:cstheme="majorBidi"/>
          <w:i/>
          <w:iCs/>
          <w:sz w:val="24"/>
          <w:szCs w:val="24"/>
        </w:rPr>
        <w:t>World Energy Outlook 2022.</w:t>
      </w:r>
      <w:r w:rsidRPr="00267BE4">
        <w:rPr>
          <w:rFonts w:asciiTheme="majorBidi" w:hAnsiTheme="majorBidi" w:cstheme="majorBidi"/>
          <w:sz w:val="24"/>
          <w:szCs w:val="24"/>
        </w:rPr>
        <w:t xml:space="preserve"> Paris: IEA Publications.</w:t>
      </w:r>
    </w:p>
    <w:p w:rsidR="002A65DC" w:rsidRPr="006877DD" w:rsidRDefault="002A65DC" w:rsidP="002A65DC">
      <w:pPr>
        <w:spacing w:after="0" w:line="480" w:lineRule="auto"/>
        <w:ind w:left="450" w:hanging="450"/>
        <w:jc w:val="both"/>
        <w:rPr>
          <w:rFonts w:asciiTheme="majorBidi" w:hAnsiTheme="majorBidi" w:cstheme="majorBidi"/>
          <w:i/>
          <w:iCs/>
          <w:sz w:val="24"/>
          <w:szCs w:val="24"/>
        </w:rPr>
      </w:pPr>
      <w:r w:rsidRPr="00267BE4">
        <w:rPr>
          <w:rFonts w:asciiTheme="majorBidi" w:hAnsiTheme="majorBidi" w:cstheme="majorBidi"/>
          <w:sz w:val="24"/>
          <w:szCs w:val="24"/>
        </w:rPr>
        <w:t xml:space="preserve">International Energy Agency (IEA). (2022). </w:t>
      </w:r>
      <w:r w:rsidRPr="006877DD">
        <w:rPr>
          <w:rFonts w:asciiTheme="majorBidi" w:hAnsiTheme="majorBidi" w:cstheme="majorBidi"/>
          <w:i/>
          <w:iCs/>
          <w:sz w:val="24"/>
          <w:szCs w:val="24"/>
        </w:rPr>
        <w:t>World Energy Outlook 2022. Paris: IEA Publications.</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Iro, H. I., Usman, M., &amp; Mohammed, M. (2021). </w:t>
      </w:r>
      <w:r w:rsidRPr="006877DD">
        <w:rPr>
          <w:rFonts w:asciiTheme="majorBidi" w:hAnsiTheme="majorBidi" w:cstheme="majorBidi"/>
          <w:i/>
          <w:iCs/>
          <w:sz w:val="24"/>
          <w:szCs w:val="24"/>
        </w:rPr>
        <w:t>Public perception and awareness of renewable energy technologies in northern Nigeria</w:t>
      </w:r>
      <w:r w:rsidRPr="00267BE4">
        <w:rPr>
          <w:rFonts w:asciiTheme="majorBidi" w:hAnsiTheme="majorBidi" w:cstheme="majorBidi"/>
          <w:sz w:val="24"/>
          <w:szCs w:val="24"/>
        </w:rPr>
        <w:t>. Energy Reports, 7, 5245–5255.</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Iro, U. N., Onu, D. O., &amp; Onyema, A. F. (2021). </w:t>
      </w:r>
      <w:r w:rsidRPr="006877DD">
        <w:rPr>
          <w:rFonts w:asciiTheme="majorBidi" w:hAnsiTheme="majorBidi" w:cstheme="majorBidi"/>
          <w:i/>
          <w:iCs/>
          <w:sz w:val="24"/>
          <w:szCs w:val="24"/>
        </w:rPr>
        <w:t>Awareness and perception of renewable energy technologies in Nigeria’s construction sector.</w:t>
      </w:r>
      <w:r w:rsidRPr="00267BE4">
        <w:rPr>
          <w:rFonts w:asciiTheme="majorBidi" w:hAnsiTheme="majorBidi" w:cstheme="majorBidi"/>
          <w:sz w:val="24"/>
          <w:szCs w:val="24"/>
        </w:rPr>
        <w:t xml:space="preserve"> International Journal of Sustainable Energy, 40(7), 675–690.</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lastRenderedPageBreak/>
        <w:t xml:space="preserve">Jenkins, K., Patel, S., &amp; Wong, T. (2021). </w:t>
      </w:r>
      <w:r w:rsidRPr="006877DD">
        <w:rPr>
          <w:rFonts w:asciiTheme="majorBidi" w:hAnsiTheme="majorBidi" w:cstheme="majorBidi"/>
          <w:i/>
          <w:iCs/>
          <w:sz w:val="24"/>
          <w:szCs w:val="24"/>
        </w:rPr>
        <w:t>Government subsidies and sustainable energy technology uptake.</w:t>
      </w:r>
      <w:r w:rsidRPr="00267BE4">
        <w:rPr>
          <w:rFonts w:asciiTheme="majorBidi" w:hAnsiTheme="majorBidi" w:cstheme="majorBidi"/>
          <w:sz w:val="24"/>
          <w:szCs w:val="24"/>
        </w:rPr>
        <w:t xml:space="preserve"> Renewable Energy Finance Review, 7(1), 45-61.</w:t>
      </w:r>
    </w:p>
    <w:p w:rsidR="002A65DC" w:rsidRPr="006877DD" w:rsidRDefault="002A65DC" w:rsidP="002A65DC">
      <w:pPr>
        <w:spacing w:after="0" w:line="480" w:lineRule="auto"/>
        <w:ind w:left="450" w:hanging="450"/>
        <w:jc w:val="both"/>
        <w:rPr>
          <w:rFonts w:asciiTheme="majorBidi" w:hAnsiTheme="majorBidi" w:cstheme="majorBidi"/>
          <w:i/>
          <w:iCs/>
          <w:sz w:val="24"/>
          <w:szCs w:val="24"/>
        </w:rPr>
      </w:pPr>
      <w:proofErr w:type="spellStart"/>
      <w:r w:rsidRPr="00267BE4">
        <w:rPr>
          <w:rFonts w:asciiTheme="majorBidi" w:hAnsiTheme="majorBidi" w:cstheme="majorBidi"/>
          <w:sz w:val="24"/>
          <w:szCs w:val="24"/>
        </w:rPr>
        <w:t>Kibert</w:t>
      </w:r>
      <w:proofErr w:type="spellEnd"/>
      <w:r w:rsidRPr="00267BE4">
        <w:rPr>
          <w:rFonts w:asciiTheme="majorBidi" w:hAnsiTheme="majorBidi" w:cstheme="majorBidi"/>
          <w:sz w:val="24"/>
          <w:szCs w:val="24"/>
        </w:rPr>
        <w:t xml:space="preserve">, C. J. (2016). </w:t>
      </w:r>
      <w:r w:rsidRPr="006877DD">
        <w:rPr>
          <w:rFonts w:asciiTheme="majorBidi" w:hAnsiTheme="majorBidi" w:cstheme="majorBidi"/>
          <w:i/>
          <w:iCs/>
          <w:sz w:val="24"/>
          <w:szCs w:val="24"/>
        </w:rPr>
        <w:t>Sustainable Construction: Green Building Design and Delivery (4th Ed.). Wiley.</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Kim, J., Lee, J. H., &amp; Lee, J. Y. (2019). </w:t>
      </w:r>
      <w:r w:rsidRPr="006877DD">
        <w:rPr>
          <w:rFonts w:asciiTheme="majorBidi" w:hAnsiTheme="majorBidi" w:cstheme="majorBidi"/>
          <w:i/>
          <w:iCs/>
          <w:sz w:val="24"/>
          <w:szCs w:val="24"/>
        </w:rPr>
        <w:t>Assessment of geothermal energy systems in large-scale buildings: Economic and environmental benefits</w:t>
      </w:r>
      <w:r w:rsidRPr="00267BE4">
        <w:rPr>
          <w:rFonts w:asciiTheme="majorBidi" w:hAnsiTheme="majorBidi" w:cstheme="majorBidi"/>
          <w:sz w:val="24"/>
          <w:szCs w:val="24"/>
        </w:rPr>
        <w:t>. Energy and Buildings, 188–189, 15–28.</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Kumar, A., &amp; Kumar, A. (2019). </w:t>
      </w:r>
      <w:r w:rsidRPr="006877DD">
        <w:rPr>
          <w:rFonts w:asciiTheme="majorBidi" w:hAnsiTheme="majorBidi" w:cstheme="majorBidi"/>
          <w:i/>
          <w:iCs/>
          <w:sz w:val="24"/>
          <w:szCs w:val="24"/>
        </w:rPr>
        <w:t>Economic feasibility analysis of sustainable energy technologies in building construction.</w:t>
      </w:r>
      <w:r w:rsidRPr="00267BE4">
        <w:rPr>
          <w:rFonts w:asciiTheme="majorBidi" w:hAnsiTheme="majorBidi" w:cstheme="majorBidi"/>
          <w:sz w:val="24"/>
          <w:szCs w:val="24"/>
        </w:rPr>
        <w:t xml:space="preserve"> Sustainable Cities and Society, 48, 101533.</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Kumar, S., Singh, R., &amp; Gupta, V. (2019). </w:t>
      </w:r>
      <w:r w:rsidRPr="006877DD">
        <w:rPr>
          <w:rFonts w:asciiTheme="majorBidi" w:hAnsiTheme="majorBidi" w:cstheme="majorBidi"/>
          <w:i/>
          <w:iCs/>
          <w:sz w:val="24"/>
          <w:szCs w:val="24"/>
        </w:rPr>
        <w:t>Feed-in tariffs and renewable energy growth.</w:t>
      </w:r>
      <w:r w:rsidRPr="00267BE4">
        <w:rPr>
          <w:rFonts w:asciiTheme="majorBidi" w:hAnsiTheme="majorBidi" w:cstheme="majorBidi"/>
          <w:sz w:val="24"/>
          <w:szCs w:val="24"/>
        </w:rPr>
        <w:t xml:space="preserve"> Energy Economics, 81, 54-65.</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Li, X., Wang, Y., &amp; Li, N. (2019). </w:t>
      </w:r>
      <w:r w:rsidRPr="006877DD">
        <w:rPr>
          <w:rFonts w:asciiTheme="majorBidi" w:hAnsiTheme="majorBidi" w:cstheme="majorBidi"/>
          <w:i/>
          <w:iCs/>
          <w:sz w:val="24"/>
          <w:szCs w:val="24"/>
        </w:rPr>
        <w:t>Environmental benefits of integrating renewable energy in building construction.</w:t>
      </w:r>
      <w:r w:rsidRPr="00267BE4">
        <w:rPr>
          <w:rFonts w:asciiTheme="majorBidi" w:hAnsiTheme="majorBidi" w:cstheme="majorBidi"/>
          <w:sz w:val="24"/>
          <w:szCs w:val="24"/>
        </w:rPr>
        <w:t xml:space="preserve"> Journal of Cleaner Production, 213, 159-167.</w:t>
      </w:r>
    </w:p>
    <w:p w:rsidR="002A65DC" w:rsidRPr="00267BE4" w:rsidRDefault="002A65DC" w:rsidP="002A65DC">
      <w:pPr>
        <w:spacing w:after="0" w:line="480" w:lineRule="auto"/>
        <w:ind w:left="450" w:hanging="450"/>
        <w:jc w:val="both"/>
        <w:rPr>
          <w:rFonts w:asciiTheme="majorBidi" w:hAnsiTheme="majorBidi" w:cstheme="majorBidi"/>
          <w:sz w:val="24"/>
          <w:szCs w:val="24"/>
        </w:rPr>
      </w:pPr>
      <w:proofErr w:type="spellStart"/>
      <w:r w:rsidRPr="00267BE4">
        <w:rPr>
          <w:rFonts w:asciiTheme="majorBidi" w:hAnsiTheme="majorBidi" w:cstheme="majorBidi"/>
          <w:sz w:val="24"/>
          <w:szCs w:val="24"/>
        </w:rPr>
        <w:t>Luthander</w:t>
      </w:r>
      <w:proofErr w:type="spellEnd"/>
      <w:r w:rsidRPr="00267BE4">
        <w:rPr>
          <w:rFonts w:asciiTheme="majorBidi" w:hAnsiTheme="majorBidi" w:cstheme="majorBidi"/>
          <w:sz w:val="24"/>
          <w:szCs w:val="24"/>
        </w:rPr>
        <w:t xml:space="preserve">, R., </w:t>
      </w:r>
      <w:proofErr w:type="spellStart"/>
      <w:r w:rsidRPr="00267BE4">
        <w:rPr>
          <w:rFonts w:asciiTheme="majorBidi" w:hAnsiTheme="majorBidi" w:cstheme="majorBidi"/>
          <w:sz w:val="24"/>
          <w:szCs w:val="24"/>
        </w:rPr>
        <w:t>Widén</w:t>
      </w:r>
      <w:proofErr w:type="spellEnd"/>
      <w:r w:rsidRPr="00267BE4">
        <w:rPr>
          <w:rFonts w:asciiTheme="majorBidi" w:hAnsiTheme="majorBidi" w:cstheme="majorBidi"/>
          <w:sz w:val="24"/>
          <w:szCs w:val="24"/>
        </w:rPr>
        <w:t xml:space="preserve">, J., Nilsson, D., &amp; Palm, J. (2015). </w:t>
      </w:r>
      <w:r w:rsidRPr="006877DD">
        <w:rPr>
          <w:rFonts w:asciiTheme="majorBidi" w:hAnsiTheme="majorBidi" w:cstheme="majorBidi"/>
          <w:i/>
          <w:iCs/>
          <w:sz w:val="24"/>
          <w:szCs w:val="24"/>
        </w:rPr>
        <w:t>Photovoltaic self-consumption in buildings: A review.</w:t>
      </w:r>
      <w:r w:rsidRPr="00267BE4">
        <w:rPr>
          <w:rFonts w:asciiTheme="majorBidi" w:hAnsiTheme="majorBidi" w:cstheme="majorBidi"/>
          <w:sz w:val="24"/>
          <w:szCs w:val="24"/>
        </w:rPr>
        <w:t xml:space="preserve"> Applied Energy, 142, 80–94. </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Ma, Z., Cooper, P., Daly, D., &amp; Ledo, L. (2018). </w:t>
      </w:r>
      <w:r w:rsidRPr="00817A8F">
        <w:rPr>
          <w:rFonts w:asciiTheme="majorBidi" w:hAnsiTheme="majorBidi" w:cstheme="majorBidi"/>
          <w:i/>
          <w:iCs/>
          <w:sz w:val="24"/>
          <w:szCs w:val="24"/>
        </w:rPr>
        <w:t>Existing building retrofits: Methodology and state-of-the-art. Energy and Buildings, 55, 889–902.</w:t>
      </w:r>
    </w:p>
    <w:p w:rsidR="002A65DC" w:rsidRPr="00267BE4" w:rsidRDefault="002A65DC" w:rsidP="002A65DC">
      <w:pPr>
        <w:spacing w:after="0" w:line="480" w:lineRule="auto"/>
        <w:ind w:left="450" w:hanging="450"/>
        <w:jc w:val="both"/>
        <w:rPr>
          <w:rFonts w:asciiTheme="majorBidi" w:hAnsiTheme="majorBidi" w:cstheme="majorBidi"/>
          <w:sz w:val="24"/>
          <w:szCs w:val="24"/>
        </w:rPr>
      </w:pPr>
      <w:proofErr w:type="spellStart"/>
      <w:r w:rsidRPr="00267BE4">
        <w:rPr>
          <w:rFonts w:asciiTheme="majorBidi" w:hAnsiTheme="majorBidi" w:cstheme="majorBidi"/>
          <w:sz w:val="24"/>
          <w:szCs w:val="24"/>
        </w:rPr>
        <w:t>Markandya</w:t>
      </w:r>
      <w:proofErr w:type="spellEnd"/>
      <w:r w:rsidRPr="00267BE4">
        <w:rPr>
          <w:rFonts w:asciiTheme="majorBidi" w:hAnsiTheme="majorBidi" w:cstheme="majorBidi"/>
          <w:sz w:val="24"/>
          <w:szCs w:val="24"/>
        </w:rPr>
        <w:t xml:space="preserve">, A., &amp; Wilkinson, P. (2021). </w:t>
      </w:r>
      <w:r w:rsidRPr="006877DD">
        <w:rPr>
          <w:rFonts w:asciiTheme="majorBidi" w:hAnsiTheme="majorBidi" w:cstheme="majorBidi"/>
          <w:i/>
          <w:iCs/>
          <w:sz w:val="24"/>
          <w:szCs w:val="24"/>
        </w:rPr>
        <w:t>Cost-benefit analysis of climate change mitigation in construction.</w:t>
      </w:r>
      <w:r w:rsidRPr="00267BE4">
        <w:rPr>
          <w:rFonts w:asciiTheme="majorBidi" w:hAnsiTheme="majorBidi" w:cstheme="majorBidi"/>
          <w:sz w:val="24"/>
          <w:szCs w:val="24"/>
        </w:rPr>
        <w:t xml:space="preserve"> Environmental Health Perspectives, 129(4), 470–481.</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Nguyen, A. T., &amp; Reiter, S. (2017). </w:t>
      </w:r>
      <w:r w:rsidRPr="006877DD">
        <w:rPr>
          <w:rFonts w:asciiTheme="majorBidi" w:hAnsiTheme="majorBidi" w:cstheme="majorBidi"/>
          <w:i/>
          <w:iCs/>
          <w:sz w:val="24"/>
          <w:szCs w:val="24"/>
        </w:rPr>
        <w:t>Challenges in sustaining energy-efficient technologies in buildings.</w:t>
      </w:r>
      <w:r w:rsidRPr="00267BE4">
        <w:rPr>
          <w:rFonts w:asciiTheme="majorBidi" w:hAnsiTheme="majorBidi" w:cstheme="majorBidi"/>
          <w:sz w:val="24"/>
          <w:szCs w:val="24"/>
        </w:rPr>
        <w:t xml:space="preserve"> Sustainable Cities and Society, 31, 250-258.</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lastRenderedPageBreak/>
        <w:t xml:space="preserve">Nigerian Energy Support Programme (NESP). (2022). </w:t>
      </w:r>
      <w:r w:rsidRPr="006877DD">
        <w:rPr>
          <w:rFonts w:asciiTheme="majorBidi" w:hAnsiTheme="majorBidi" w:cstheme="majorBidi"/>
          <w:i/>
          <w:iCs/>
          <w:sz w:val="24"/>
          <w:szCs w:val="24"/>
        </w:rPr>
        <w:t xml:space="preserve">Project Reports and Outcomes. </w:t>
      </w:r>
      <w:r w:rsidRPr="00267BE4">
        <w:rPr>
          <w:rFonts w:asciiTheme="majorBidi" w:hAnsiTheme="majorBidi" w:cstheme="majorBidi"/>
          <w:sz w:val="24"/>
          <w:szCs w:val="24"/>
        </w:rPr>
        <w:t>Abuja: GIZ/NESP.</w:t>
      </w:r>
    </w:p>
    <w:p w:rsidR="002A65DC" w:rsidRPr="00267BE4" w:rsidRDefault="002A65DC" w:rsidP="002A65DC">
      <w:pPr>
        <w:spacing w:after="0" w:line="480" w:lineRule="auto"/>
        <w:ind w:left="450" w:hanging="450"/>
        <w:jc w:val="both"/>
        <w:rPr>
          <w:rFonts w:asciiTheme="majorBidi" w:hAnsiTheme="majorBidi" w:cstheme="majorBidi"/>
          <w:sz w:val="24"/>
          <w:szCs w:val="24"/>
        </w:rPr>
      </w:pPr>
      <w:proofErr w:type="spellStart"/>
      <w:r w:rsidRPr="00267BE4">
        <w:rPr>
          <w:rFonts w:asciiTheme="majorBidi" w:hAnsiTheme="majorBidi" w:cstheme="majorBidi"/>
          <w:sz w:val="24"/>
          <w:szCs w:val="24"/>
        </w:rPr>
        <w:t>Ogunbode</w:t>
      </w:r>
      <w:proofErr w:type="spellEnd"/>
      <w:r w:rsidRPr="00267BE4">
        <w:rPr>
          <w:rFonts w:asciiTheme="majorBidi" w:hAnsiTheme="majorBidi" w:cstheme="majorBidi"/>
          <w:sz w:val="24"/>
          <w:szCs w:val="24"/>
        </w:rPr>
        <w:t xml:space="preserve">, O., Olalekan, A., &amp; </w:t>
      </w:r>
      <w:proofErr w:type="spellStart"/>
      <w:r w:rsidRPr="00267BE4">
        <w:rPr>
          <w:rFonts w:asciiTheme="majorBidi" w:hAnsiTheme="majorBidi" w:cstheme="majorBidi"/>
          <w:sz w:val="24"/>
          <w:szCs w:val="24"/>
        </w:rPr>
        <w:t>Oyesiku</w:t>
      </w:r>
      <w:proofErr w:type="spellEnd"/>
      <w:r w:rsidRPr="00267BE4">
        <w:rPr>
          <w:rFonts w:asciiTheme="majorBidi" w:hAnsiTheme="majorBidi" w:cstheme="majorBidi"/>
          <w:sz w:val="24"/>
          <w:szCs w:val="24"/>
        </w:rPr>
        <w:t xml:space="preserve">, O. (2020). </w:t>
      </w:r>
      <w:r w:rsidRPr="006877DD">
        <w:rPr>
          <w:rFonts w:asciiTheme="majorBidi" w:hAnsiTheme="majorBidi" w:cstheme="majorBidi"/>
          <w:i/>
          <w:iCs/>
          <w:sz w:val="24"/>
          <w:szCs w:val="24"/>
        </w:rPr>
        <w:t>Resilience of sustainable energy systems in Nigeria’s construction sector.</w:t>
      </w:r>
      <w:r w:rsidRPr="00267BE4">
        <w:rPr>
          <w:rFonts w:asciiTheme="majorBidi" w:hAnsiTheme="majorBidi" w:cstheme="majorBidi"/>
          <w:sz w:val="24"/>
          <w:szCs w:val="24"/>
        </w:rPr>
        <w:t xml:space="preserve"> Energy Reports, 6, 1246-1254.</w:t>
      </w:r>
    </w:p>
    <w:p w:rsidR="002A65DC" w:rsidRPr="00267BE4" w:rsidRDefault="002A65DC" w:rsidP="002A65DC">
      <w:pPr>
        <w:spacing w:after="0" w:line="480" w:lineRule="auto"/>
        <w:ind w:left="450" w:hanging="450"/>
        <w:jc w:val="both"/>
        <w:rPr>
          <w:rFonts w:asciiTheme="majorBidi" w:hAnsiTheme="majorBidi" w:cstheme="majorBidi"/>
          <w:sz w:val="24"/>
          <w:szCs w:val="24"/>
        </w:rPr>
      </w:pPr>
      <w:proofErr w:type="spellStart"/>
      <w:r w:rsidRPr="00267BE4">
        <w:rPr>
          <w:rFonts w:asciiTheme="majorBidi" w:hAnsiTheme="majorBidi" w:cstheme="majorBidi"/>
          <w:sz w:val="24"/>
          <w:szCs w:val="24"/>
        </w:rPr>
        <w:t>Ogunjuyigbe</w:t>
      </w:r>
      <w:proofErr w:type="spellEnd"/>
      <w:r w:rsidRPr="00267BE4">
        <w:rPr>
          <w:rFonts w:asciiTheme="majorBidi" w:hAnsiTheme="majorBidi" w:cstheme="majorBidi"/>
          <w:sz w:val="24"/>
          <w:szCs w:val="24"/>
        </w:rPr>
        <w:t xml:space="preserve">, A. S. O., Akinola, O. S., &amp; Ayodele, T. R. (2018). </w:t>
      </w:r>
      <w:r w:rsidRPr="006877DD">
        <w:rPr>
          <w:rFonts w:asciiTheme="majorBidi" w:hAnsiTheme="majorBidi" w:cstheme="majorBidi"/>
          <w:i/>
          <w:iCs/>
          <w:sz w:val="24"/>
          <w:szCs w:val="24"/>
        </w:rPr>
        <w:t>Barriers to the adoption of renewable energy technologies in Nigeria: A review</w:t>
      </w:r>
      <w:r w:rsidRPr="00267BE4">
        <w:rPr>
          <w:rFonts w:asciiTheme="majorBidi" w:hAnsiTheme="majorBidi" w:cstheme="majorBidi"/>
          <w:sz w:val="24"/>
          <w:szCs w:val="24"/>
        </w:rPr>
        <w:t>. Renewable and Sustainable Energy Reviews, 92, 298–315.</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Okonkwo, E. C., Eze, C. N., &amp; Akuru, U. B. (2021). </w:t>
      </w:r>
      <w:r w:rsidRPr="006877DD">
        <w:rPr>
          <w:rFonts w:asciiTheme="majorBidi" w:hAnsiTheme="majorBidi" w:cstheme="majorBidi"/>
          <w:i/>
          <w:iCs/>
          <w:sz w:val="24"/>
          <w:szCs w:val="24"/>
        </w:rPr>
        <w:t>Assessment of renewable energy integration in Nigeria’s construction sector:</w:t>
      </w:r>
      <w:r w:rsidRPr="00267BE4">
        <w:rPr>
          <w:rFonts w:asciiTheme="majorBidi" w:hAnsiTheme="majorBidi" w:cstheme="majorBidi"/>
          <w:sz w:val="24"/>
          <w:szCs w:val="24"/>
        </w:rPr>
        <w:t xml:space="preserve"> Opportunities and challenges. Energy Reports, 7, 456–466.</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Okonkwo, E. C., </w:t>
      </w:r>
      <w:proofErr w:type="spellStart"/>
      <w:r w:rsidRPr="00267BE4">
        <w:rPr>
          <w:rFonts w:asciiTheme="majorBidi" w:hAnsiTheme="majorBidi" w:cstheme="majorBidi"/>
          <w:sz w:val="24"/>
          <w:szCs w:val="24"/>
        </w:rPr>
        <w:t>Odigure</w:t>
      </w:r>
      <w:proofErr w:type="spellEnd"/>
      <w:r w:rsidRPr="00267BE4">
        <w:rPr>
          <w:rFonts w:asciiTheme="majorBidi" w:hAnsiTheme="majorBidi" w:cstheme="majorBidi"/>
          <w:sz w:val="24"/>
          <w:szCs w:val="24"/>
        </w:rPr>
        <w:t xml:space="preserve">, J. O., &amp; </w:t>
      </w:r>
      <w:proofErr w:type="spellStart"/>
      <w:r w:rsidRPr="00267BE4">
        <w:rPr>
          <w:rFonts w:asciiTheme="majorBidi" w:hAnsiTheme="majorBidi" w:cstheme="majorBidi"/>
          <w:sz w:val="24"/>
          <w:szCs w:val="24"/>
        </w:rPr>
        <w:t>Obanor</w:t>
      </w:r>
      <w:proofErr w:type="spellEnd"/>
      <w:r w:rsidRPr="00267BE4">
        <w:rPr>
          <w:rFonts w:asciiTheme="majorBidi" w:hAnsiTheme="majorBidi" w:cstheme="majorBidi"/>
          <w:sz w:val="24"/>
          <w:szCs w:val="24"/>
        </w:rPr>
        <w:t xml:space="preserve">, A. I. (2020). </w:t>
      </w:r>
      <w:r w:rsidRPr="006877DD">
        <w:rPr>
          <w:rFonts w:asciiTheme="majorBidi" w:hAnsiTheme="majorBidi" w:cstheme="majorBidi"/>
          <w:i/>
          <w:iCs/>
          <w:sz w:val="24"/>
          <w:szCs w:val="24"/>
        </w:rPr>
        <w:t>Risk analysis of sustainable energy investments in Nigeria.</w:t>
      </w:r>
      <w:r w:rsidRPr="00267BE4">
        <w:rPr>
          <w:rFonts w:asciiTheme="majorBidi" w:hAnsiTheme="majorBidi" w:cstheme="majorBidi"/>
          <w:sz w:val="24"/>
          <w:szCs w:val="24"/>
        </w:rPr>
        <w:t xml:space="preserve"> International Journal of Energy Economics and Policy, 10(1), 135–142.</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Okonkwo, E., Etuk, S. I., &amp; Iwuoha, D. C. (2021). </w:t>
      </w:r>
      <w:r w:rsidRPr="006877DD">
        <w:rPr>
          <w:rFonts w:asciiTheme="majorBidi" w:hAnsiTheme="majorBidi" w:cstheme="majorBidi"/>
          <w:i/>
          <w:iCs/>
          <w:sz w:val="24"/>
          <w:szCs w:val="24"/>
        </w:rPr>
        <w:t>Evaluation of the role of government policy on the adoption of renewable energy technologies in Nigeria</w:t>
      </w:r>
      <w:r w:rsidRPr="00267BE4">
        <w:rPr>
          <w:rFonts w:asciiTheme="majorBidi" w:hAnsiTheme="majorBidi" w:cstheme="majorBidi"/>
          <w:sz w:val="24"/>
          <w:szCs w:val="24"/>
        </w:rPr>
        <w:t>. Journal of Sustainable Development in Africa, 23(3), 44–58.</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Okonkwo, O. U., Okonkwo, C. I., &amp; </w:t>
      </w:r>
      <w:proofErr w:type="spellStart"/>
      <w:r w:rsidRPr="00267BE4">
        <w:rPr>
          <w:rFonts w:asciiTheme="majorBidi" w:hAnsiTheme="majorBidi" w:cstheme="majorBidi"/>
          <w:sz w:val="24"/>
          <w:szCs w:val="24"/>
        </w:rPr>
        <w:t>Ezekoye</w:t>
      </w:r>
      <w:proofErr w:type="spellEnd"/>
      <w:r w:rsidRPr="00267BE4">
        <w:rPr>
          <w:rFonts w:asciiTheme="majorBidi" w:hAnsiTheme="majorBidi" w:cstheme="majorBidi"/>
          <w:sz w:val="24"/>
          <w:szCs w:val="24"/>
        </w:rPr>
        <w:t>, B. A. (2020</w:t>
      </w:r>
      <w:r w:rsidRPr="006877DD">
        <w:rPr>
          <w:rFonts w:asciiTheme="majorBidi" w:hAnsiTheme="majorBidi" w:cstheme="majorBidi"/>
          <w:i/>
          <w:iCs/>
          <w:sz w:val="24"/>
          <w:szCs w:val="24"/>
        </w:rPr>
        <w:t>). Evaluating building resilience with solar energy systems in Nigeria.</w:t>
      </w:r>
      <w:r w:rsidRPr="00267BE4">
        <w:rPr>
          <w:rFonts w:asciiTheme="majorBidi" w:hAnsiTheme="majorBidi" w:cstheme="majorBidi"/>
          <w:sz w:val="24"/>
          <w:szCs w:val="24"/>
        </w:rPr>
        <w:t xml:space="preserve"> Renewable Energy Reviews, 55, 228-236.</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Oladokun, T. T., &amp; Adebayo, O. S. (2019). </w:t>
      </w:r>
      <w:r w:rsidRPr="006877DD">
        <w:rPr>
          <w:rFonts w:asciiTheme="majorBidi" w:hAnsiTheme="majorBidi" w:cstheme="majorBidi"/>
          <w:i/>
          <w:iCs/>
          <w:sz w:val="24"/>
          <w:szCs w:val="24"/>
        </w:rPr>
        <w:t>Economic viability of solar energy systems in Nigerian buildings: A life cycle analysis.</w:t>
      </w:r>
      <w:r w:rsidRPr="00267BE4">
        <w:rPr>
          <w:rFonts w:asciiTheme="majorBidi" w:hAnsiTheme="majorBidi" w:cstheme="majorBidi"/>
          <w:sz w:val="24"/>
          <w:szCs w:val="24"/>
        </w:rPr>
        <w:t xml:space="preserve"> Journal of Building Performance, 10(1), 55-63.</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lastRenderedPageBreak/>
        <w:t xml:space="preserve">Olanrewaju, O. I., et al. (2021). </w:t>
      </w:r>
      <w:r w:rsidRPr="006877DD">
        <w:rPr>
          <w:rFonts w:asciiTheme="majorBidi" w:hAnsiTheme="majorBidi" w:cstheme="majorBidi"/>
          <w:i/>
          <w:iCs/>
          <w:sz w:val="24"/>
          <w:szCs w:val="24"/>
        </w:rPr>
        <w:t>Impact of green buildings on real estate valuation in Nigeria.</w:t>
      </w:r>
      <w:r w:rsidRPr="00267BE4">
        <w:rPr>
          <w:rFonts w:asciiTheme="majorBidi" w:hAnsiTheme="majorBidi" w:cstheme="majorBidi"/>
          <w:sz w:val="24"/>
          <w:szCs w:val="24"/>
        </w:rPr>
        <w:t xml:space="preserve"> Sustainable Cities and Society, 66, 102687.</w:t>
      </w:r>
    </w:p>
    <w:p w:rsidR="002A65DC" w:rsidRPr="00267BE4" w:rsidRDefault="002A65DC" w:rsidP="002A65DC">
      <w:pPr>
        <w:spacing w:after="0" w:line="480" w:lineRule="auto"/>
        <w:ind w:left="450" w:hanging="450"/>
        <w:jc w:val="both"/>
        <w:rPr>
          <w:rFonts w:asciiTheme="majorBidi" w:hAnsiTheme="majorBidi" w:cstheme="majorBidi"/>
          <w:sz w:val="24"/>
          <w:szCs w:val="24"/>
        </w:rPr>
      </w:pPr>
      <w:proofErr w:type="spellStart"/>
      <w:r w:rsidRPr="00267BE4">
        <w:rPr>
          <w:rFonts w:asciiTheme="majorBidi" w:hAnsiTheme="majorBidi" w:cstheme="majorBidi"/>
          <w:sz w:val="24"/>
          <w:szCs w:val="24"/>
        </w:rPr>
        <w:t>Olawumi</w:t>
      </w:r>
      <w:proofErr w:type="spellEnd"/>
      <w:r w:rsidRPr="00267BE4">
        <w:rPr>
          <w:rFonts w:asciiTheme="majorBidi" w:hAnsiTheme="majorBidi" w:cstheme="majorBidi"/>
          <w:sz w:val="24"/>
          <w:szCs w:val="24"/>
        </w:rPr>
        <w:t xml:space="preserve">, T. O., &amp; Chan, D. W. M. (2019). </w:t>
      </w:r>
      <w:r w:rsidRPr="006877DD">
        <w:rPr>
          <w:rFonts w:asciiTheme="majorBidi" w:hAnsiTheme="majorBidi" w:cstheme="majorBidi"/>
          <w:i/>
          <w:iCs/>
          <w:sz w:val="24"/>
          <w:szCs w:val="24"/>
        </w:rPr>
        <w:t>Drivers for implementing green building technologies in Nigeria.</w:t>
      </w:r>
      <w:r w:rsidRPr="00267BE4">
        <w:rPr>
          <w:rFonts w:asciiTheme="majorBidi" w:hAnsiTheme="majorBidi" w:cstheme="majorBidi"/>
          <w:sz w:val="24"/>
          <w:szCs w:val="24"/>
        </w:rPr>
        <w:t xml:space="preserve"> Journal of Cleaner Production, 238, 117865.</w:t>
      </w:r>
    </w:p>
    <w:p w:rsidR="002A65DC" w:rsidRPr="00267BE4" w:rsidRDefault="002A65DC" w:rsidP="002A65DC">
      <w:pPr>
        <w:spacing w:after="0" w:line="480" w:lineRule="auto"/>
        <w:ind w:left="450" w:hanging="450"/>
        <w:jc w:val="both"/>
        <w:rPr>
          <w:rFonts w:asciiTheme="majorBidi" w:hAnsiTheme="majorBidi" w:cstheme="majorBidi"/>
          <w:sz w:val="24"/>
          <w:szCs w:val="24"/>
        </w:rPr>
      </w:pPr>
      <w:proofErr w:type="spellStart"/>
      <w:r w:rsidRPr="00267BE4">
        <w:rPr>
          <w:rFonts w:asciiTheme="majorBidi" w:hAnsiTheme="majorBidi" w:cstheme="majorBidi"/>
          <w:sz w:val="24"/>
          <w:szCs w:val="24"/>
        </w:rPr>
        <w:t>Olawumi</w:t>
      </w:r>
      <w:proofErr w:type="spellEnd"/>
      <w:r w:rsidRPr="00267BE4">
        <w:rPr>
          <w:rFonts w:asciiTheme="majorBidi" w:hAnsiTheme="majorBidi" w:cstheme="majorBidi"/>
          <w:sz w:val="24"/>
          <w:szCs w:val="24"/>
        </w:rPr>
        <w:t xml:space="preserve">, T. O., Chan, D. W. M., &amp; Wong, J. K. W. (2019). </w:t>
      </w:r>
      <w:r w:rsidRPr="006877DD">
        <w:rPr>
          <w:rFonts w:asciiTheme="majorBidi" w:hAnsiTheme="majorBidi" w:cstheme="majorBidi"/>
          <w:i/>
          <w:iCs/>
          <w:sz w:val="24"/>
          <w:szCs w:val="24"/>
        </w:rPr>
        <w:t>Cultural influences on adoption of sustainable building technologies</w:t>
      </w:r>
      <w:r w:rsidRPr="00267BE4">
        <w:rPr>
          <w:rFonts w:asciiTheme="majorBidi" w:hAnsiTheme="majorBidi" w:cstheme="majorBidi"/>
          <w:sz w:val="24"/>
          <w:szCs w:val="24"/>
        </w:rPr>
        <w:t>. Journal of Cleaner Production, 213, 1237–1249.</w:t>
      </w:r>
    </w:p>
    <w:p w:rsidR="002A65DC" w:rsidRPr="00267BE4" w:rsidRDefault="002A65DC" w:rsidP="002A65DC">
      <w:pPr>
        <w:spacing w:after="0" w:line="480" w:lineRule="auto"/>
        <w:ind w:left="450" w:hanging="450"/>
        <w:jc w:val="both"/>
        <w:rPr>
          <w:rFonts w:asciiTheme="majorBidi" w:hAnsiTheme="majorBidi" w:cstheme="majorBidi"/>
          <w:sz w:val="24"/>
          <w:szCs w:val="24"/>
        </w:rPr>
      </w:pPr>
      <w:proofErr w:type="spellStart"/>
      <w:r w:rsidRPr="00267BE4">
        <w:rPr>
          <w:rFonts w:asciiTheme="majorBidi" w:hAnsiTheme="majorBidi" w:cstheme="majorBidi"/>
          <w:sz w:val="24"/>
          <w:szCs w:val="24"/>
        </w:rPr>
        <w:t>Olawumi</w:t>
      </w:r>
      <w:proofErr w:type="spellEnd"/>
      <w:r w:rsidRPr="00267BE4">
        <w:rPr>
          <w:rFonts w:asciiTheme="majorBidi" w:hAnsiTheme="majorBidi" w:cstheme="majorBidi"/>
          <w:sz w:val="24"/>
          <w:szCs w:val="24"/>
        </w:rPr>
        <w:t xml:space="preserve">, T. O., Chan, D. W. M., &amp; Wong, J. K. W. (2019). </w:t>
      </w:r>
      <w:r w:rsidRPr="006877DD">
        <w:rPr>
          <w:rFonts w:asciiTheme="majorBidi" w:hAnsiTheme="majorBidi" w:cstheme="majorBidi"/>
          <w:i/>
          <w:iCs/>
          <w:sz w:val="24"/>
          <w:szCs w:val="24"/>
        </w:rPr>
        <w:t xml:space="preserve">Factors affecting the adoption of green building technologies: A study in Lagos. </w:t>
      </w:r>
      <w:r w:rsidRPr="00267BE4">
        <w:rPr>
          <w:rFonts w:asciiTheme="majorBidi" w:hAnsiTheme="majorBidi" w:cstheme="majorBidi"/>
          <w:sz w:val="24"/>
          <w:szCs w:val="24"/>
        </w:rPr>
        <w:t>Journal of Cleaner Production, 230, 1134-1144.</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Olawuyi, D. (2019). </w:t>
      </w:r>
      <w:r w:rsidRPr="006877DD">
        <w:rPr>
          <w:rFonts w:asciiTheme="majorBidi" w:hAnsiTheme="majorBidi" w:cstheme="majorBidi"/>
          <w:i/>
          <w:iCs/>
          <w:sz w:val="24"/>
          <w:szCs w:val="24"/>
        </w:rPr>
        <w:t>Energy efficiency codes and building regulations in Nigeria.</w:t>
      </w:r>
      <w:r w:rsidRPr="00267BE4">
        <w:rPr>
          <w:rFonts w:asciiTheme="majorBidi" w:hAnsiTheme="majorBidi" w:cstheme="majorBidi"/>
          <w:sz w:val="24"/>
          <w:szCs w:val="24"/>
        </w:rPr>
        <w:t xml:space="preserve"> Environmental Law Review, 21(4), 239-254.</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Oyedepo, S. O. (2014). </w:t>
      </w:r>
      <w:r w:rsidRPr="006877DD">
        <w:rPr>
          <w:rFonts w:asciiTheme="majorBidi" w:hAnsiTheme="majorBidi" w:cstheme="majorBidi"/>
          <w:i/>
          <w:iCs/>
          <w:sz w:val="24"/>
          <w:szCs w:val="24"/>
        </w:rPr>
        <w:t>Towards achieving energy for sustainable development in Nigeria</w:t>
      </w:r>
      <w:r w:rsidRPr="00267BE4">
        <w:rPr>
          <w:rFonts w:asciiTheme="majorBidi" w:hAnsiTheme="majorBidi" w:cstheme="majorBidi"/>
          <w:sz w:val="24"/>
          <w:szCs w:val="24"/>
        </w:rPr>
        <w:t>. Renewable and Sustainable Energy Reviews, 34, 255–272.</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Oyedepo, S. O. (2018). </w:t>
      </w:r>
      <w:r w:rsidRPr="006877DD">
        <w:rPr>
          <w:rFonts w:asciiTheme="majorBidi" w:hAnsiTheme="majorBidi" w:cstheme="majorBidi"/>
          <w:i/>
          <w:iCs/>
          <w:sz w:val="24"/>
          <w:szCs w:val="24"/>
        </w:rPr>
        <w:t>Barriers to sustainable energy development in Nigeria</w:t>
      </w:r>
      <w:r w:rsidRPr="00267BE4">
        <w:rPr>
          <w:rFonts w:asciiTheme="majorBidi" w:hAnsiTheme="majorBidi" w:cstheme="majorBidi"/>
          <w:sz w:val="24"/>
          <w:szCs w:val="24"/>
        </w:rPr>
        <w:t>. Energy Policy, 123, 470–477.</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Pan, W., </w:t>
      </w:r>
      <w:proofErr w:type="spellStart"/>
      <w:r w:rsidRPr="00267BE4">
        <w:rPr>
          <w:rFonts w:asciiTheme="majorBidi" w:hAnsiTheme="majorBidi" w:cstheme="majorBidi"/>
          <w:sz w:val="24"/>
          <w:szCs w:val="24"/>
        </w:rPr>
        <w:t>Garmston</w:t>
      </w:r>
      <w:proofErr w:type="spellEnd"/>
      <w:r w:rsidRPr="00267BE4">
        <w:rPr>
          <w:rFonts w:asciiTheme="majorBidi" w:hAnsiTheme="majorBidi" w:cstheme="majorBidi"/>
          <w:sz w:val="24"/>
          <w:szCs w:val="24"/>
        </w:rPr>
        <w:t xml:space="preserve">, H., &amp; Shahrestani, M. (2021). </w:t>
      </w:r>
      <w:r w:rsidRPr="00817A8F">
        <w:rPr>
          <w:rFonts w:asciiTheme="majorBidi" w:hAnsiTheme="majorBidi" w:cstheme="majorBidi"/>
          <w:i/>
          <w:iCs/>
          <w:sz w:val="24"/>
          <w:szCs w:val="24"/>
        </w:rPr>
        <w:t xml:space="preserve">Advances in energy-efficient building materials and design. </w:t>
      </w:r>
      <w:r w:rsidRPr="00267BE4">
        <w:rPr>
          <w:rFonts w:asciiTheme="majorBidi" w:hAnsiTheme="majorBidi" w:cstheme="majorBidi"/>
          <w:sz w:val="24"/>
          <w:szCs w:val="24"/>
        </w:rPr>
        <w:t>Construction and Building Materials, 271, 121559.</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Perez-Lombard, L., Ortiz, J., &amp; Pout, C. (2019). </w:t>
      </w:r>
      <w:r w:rsidRPr="006877DD">
        <w:rPr>
          <w:rFonts w:asciiTheme="majorBidi" w:hAnsiTheme="majorBidi" w:cstheme="majorBidi"/>
          <w:i/>
          <w:iCs/>
          <w:sz w:val="24"/>
          <w:szCs w:val="24"/>
        </w:rPr>
        <w:t xml:space="preserve">Indoor environmental quality and its impacts on occupants. </w:t>
      </w:r>
      <w:r w:rsidRPr="00267BE4">
        <w:rPr>
          <w:rFonts w:asciiTheme="majorBidi" w:hAnsiTheme="majorBidi" w:cstheme="majorBidi"/>
          <w:sz w:val="24"/>
          <w:szCs w:val="24"/>
        </w:rPr>
        <w:t>Energy and Buildings, 49, 70-79.</w:t>
      </w:r>
    </w:p>
    <w:p w:rsidR="002A65DC" w:rsidRPr="00817A8F" w:rsidRDefault="002A65DC" w:rsidP="002A65DC">
      <w:pPr>
        <w:spacing w:after="0" w:line="480" w:lineRule="auto"/>
        <w:ind w:left="450" w:hanging="450"/>
        <w:jc w:val="both"/>
        <w:rPr>
          <w:rFonts w:asciiTheme="majorBidi" w:hAnsiTheme="majorBidi" w:cstheme="majorBidi"/>
          <w:i/>
          <w:iCs/>
          <w:sz w:val="24"/>
          <w:szCs w:val="24"/>
        </w:rPr>
      </w:pPr>
      <w:proofErr w:type="spellStart"/>
      <w:r w:rsidRPr="00267BE4">
        <w:rPr>
          <w:rFonts w:asciiTheme="majorBidi" w:hAnsiTheme="majorBidi" w:cstheme="majorBidi"/>
          <w:sz w:val="24"/>
          <w:szCs w:val="24"/>
        </w:rPr>
        <w:t>SEforALL</w:t>
      </w:r>
      <w:proofErr w:type="spellEnd"/>
      <w:r w:rsidRPr="00267BE4">
        <w:rPr>
          <w:rFonts w:asciiTheme="majorBidi" w:hAnsiTheme="majorBidi" w:cstheme="majorBidi"/>
          <w:sz w:val="24"/>
          <w:szCs w:val="24"/>
        </w:rPr>
        <w:t xml:space="preserve"> (2021). </w:t>
      </w:r>
      <w:r w:rsidRPr="00817A8F">
        <w:rPr>
          <w:rFonts w:asciiTheme="majorBidi" w:hAnsiTheme="majorBidi" w:cstheme="majorBidi"/>
          <w:i/>
          <w:iCs/>
          <w:sz w:val="24"/>
          <w:szCs w:val="24"/>
        </w:rPr>
        <w:t>Nigeria Energy Transition Plan Overview. Sustainable Energy for All.</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lastRenderedPageBreak/>
        <w:t>Seto, K. C., Davis, S. J., Mitchell, R. B., Stokes, E. C., Unruh, G., &amp; Ürge-</w:t>
      </w:r>
      <w:proofErr w:type="spellStart"/>
      <w:r w:rsidRPr="00267BE4">
        <w:rPr>
          <w:rFonts w:asciiTheme="majorBidi" w:hAnsiTheme="majorBidi" w:cstheme="majorBidi"/>
          <w:sz w:val="24"/>
          <w:szCs w:val="24"/>
        </w:rPr>
        <w:t>Vorsatz</w:t>
      </w:r>
      <w:proofErr w:type="spellEnd"/>
      <w:r w:rsidRPr="00267BE4">
        <w:rPr>
          <w:rFonts w:asciiTheme="majorBidi" w:hAnsiTheme="majorBidi" w:cstheme="majorBidi"/>
          <w:sz w:val="24"/>
          <w:szCs w:val="24"/>
        </w:rPr>
        <w:t xml:space="preserve">, D. (2016). </w:t>
      </w:r>
      <w:r w:rsidRPr="00817A8F">
        <w:rPr>
          <w:rFonts w:asciiTheme="majorBidi" w:hAnsiTheme="majorBidi" w:cstheme="majorBidi"/>
          <w:i/>
          <w:iCs/>
          <w:sz w:val="24"/>
          <w:szCs w:val="24"/>
        </w:rPr>
        <w:t>Carbon lock-in: Types, causes, and policy implications.</w:t>
      </w:r>
      <w:r w:rsidRPr="00267BE4">
        <w:rPr>
          <w:rFonts w:asciiTheme="majorBidi" w:hAnsiTheme="majorBidi" w:cstheme="majorBidi"/>
          <w:sz w:val="24"/>
          <w:szCs w:val="24"/>
        </w:rPr>
        <w:t xml:space="preserve"> Annual Review of Environment and Resources, 41, 425–452.</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Smith, R. E. (2020). </w:t>
      </w:r>
      <w:r w:rsidRPr="00817A8F">
        <w:rPr>
          <w:rFonts w:asciiTheme="majorBidi" w:hAnsiTheme="majorBidi" w:cstheme="majorBidi"/>
          <w:i/>
          <w:iCs/>
          <w:sz w:val="24"/>
          <w:szCs w:val="24"/>
        </w:rPr>
        <w:t>Prefab Architecture: A Guide to Modular Design and Construction. Wiley.</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Umar, M., Hassan, A., &amp; Goni, S. (2021). </w:t>
      </w:r>
      <w:r w:rsidRPr="006877DD">
        <w:rPr>
          <w:rFonts w:asciiTheme="majorBidi" w:hAnsiTheme="majorBidi" w:cstheme="majorBidi"/>
          <w:i/>
          <w:iCs/>
          <w:sz w:val="24"/>
          <w:szCs w:val="24"/>
        </w:rPr>
        <w:t>Socio-economic benefits of renewable energy adoption in rural Nigeria.</w:t>
      </w:r>
      <w:r w:rsidRPr="00267BE4">
        <w:rPr>
          <w:rFonts w:asciiTheme="majorBidi" w:hAnsiTheme="majorBidi" w:cstheme="majorBidi"/>
          <w:sz w:val="24"/>
          <w:szCs w:val="24"/>
        </w:rPr>
        <w:t xml:space="preserve"> Renewable Energy Journal, 169, 1412–1423.</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Umar, T., </w:t>
      </w:r>
      <w:proofErr w:type="spellStart"/>
      <w:r w:rsidRPr="00267BE4">
        <w:rPr>
          <w:rFonts w:asciiTheme="majorBidi" w:hAnsiTheme="majorBidi" w:cstheme="majorBidi"/>
          <w:sz w:val="24"/>
          <w:szCs w:val="24"/>
        </w:rPr>
        <w:t>Egbu</w:t>
      </w:r>
      <w:proofErr w:type="spellEnd"/>
      <w:r w:rsidRPr="00267BE4">
        <w:rPr>
          <w:rFonts w:asciiTheme="majorBidi" w:hAnsiTheme="majorBidi" w:cstheme="majorBidi"/>
          <w:sz w:val="24"/>
          <w:szCs w:val="24"/>
        </w:rPr>
        <w:t xml:space="preserve">, C., &amp; Saidani, M. (2020). </w:t>
      </w:r>
      <w:r w:rsidRPr="006877DD">
        <w:rPr>
          <w:rFonts w:asciiTheme="majorBidi" w:hAnsiTheme="majorBidi" w:cstheme="majorBidi"/>
          <w:i/>
          <w:iCs/>
          <w:sz w:val="24"/>
          <w:szCs w:val="24"/>
        </w:rPr>
        <w:t>A review of the economic benefits of green buildings in developing countries</w:t>
      </w:r>
      <w:r w:rsidRPr="00267BE4">
        <w:rPr>
          <w:rFonts w:asciiTheme="majorBidi" w:hAnsiTheme="majorBidi" w:cstheme="majorBidi"/>
          <w:sz w:val="24"/>
          <w:szCs w:val="24"/>
        </w:rPr>
        <w:t>. Sustainability, 12(3), 1025.</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UNEP (2020). </w:t>
      </w:r>
      <w:r w:rsidRPr="006877DD">
        <w:rPr>
          <w:rFonts w:asciiTheme="majorBidi" w:hAnsiTheme="majorBidi" w:cstheme="majorBidi"/>
          <w:i/>
          <w:iCs/>
          <w:sz w:val="24"/>
          <w:szCs w:val="24"/>
        </w:rPr>
        <w:t>Climate Finance for Sustainable Development</w:t>
      </w:r>
      <w:r w:rsidRPr="00267BE4">
        <w:rPr>
          <w:rFonts w:asciiTheme="majorBidi" w:hAnsiTheme="majorBidi" w:cstheme="majorBidi"/>
          <w:sz w:val="24"/>
          <w:szCs w:val="24"/>
        </w:rPr>
        <w:t>. United Nations Environment Programme.</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UN-Habitat. (2021</w:t>
      </w:r>
      <w:r w:rsidRPr="006877DD">
        <w:rPr>
          <w:rFonts w:asciiTheme="majorBidi" w:hAnsiTheme="majorBidi" w:cstheme="majorBidi"/>
          <w:i/>
          <w:iCs/>
          <w:sz w:val="24"/>
          <w:szCs w:val="24"/>
        </w:rPr>
        <w:t>). SDG Progress Report 2021: Tracking cities and human settlements.</w:t>
      </w:r>
      <w:r w:rsidRPr="00267BE4">
        <w:rPr>
          <w:rFonts w:asciiTheme="majorBidi" w:hAnsiTheme="majorBidi" w:cstheme="majorBidi"/>
          <w:sz w:val="24"/>
          <w:szCs w:val="24"/>
        </w:rPr>
        <w:t xml:space="preserve"> United Nations.</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Wang, H., &amp; Li, X. (2018)</w:t>
      </w:r>
      <w:r w:rsidRPr="006877DD">
        <w:rPr>
          <w:rFonts w:asciiTheme="majorBidi" w:hAnsiTheme="majorBidi" w:cstheme="majorBidi"/>
          <w:i/>
          <w:iCs/>
          <w:sz w:val="24"/>
          <w:szCs w:val="24"/>
        </w:rPr>
        <w:t xml:space="preserve">. Renewable energy certificates and market mechanisms. </w:t>
      </w:r>
      <w:r w:rsidRPr="00267BE4">
        <w:rPr>
          <w:rFonts w:asciiTheme="majorBidi" w:hAnsiTheme="majorBidi" w:cstheme="majorBidi"/>
          <w:sz w:val="24"/>
          <w:szCs w:val="24"/>
        </w:rPr>
        <w:t>Journal of Cleaner Production, 192, 245-255.</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Wang, J., Shen, G. Q., &amp; Wang, S. (2017). </w:t>
      </w:r>
      <w:r w:rsidRPr="006877DD">
        <w:rPr>
          <w:rFonts w:asciiTheme="majorBidi" w:hAnsiTheme="majorBidi" w:cstheme="majorBidi"/>
          <w:i/>
          <w:iCs/>
          <w:sz w:val="24"/>
          <w:szCs w:val="24"/>
        </w:rPr>
        <w:t xml:space="preserve">Waste reduction and sustainability in green building construction. </w:t>
      </w:r>
      <w:r w:rsidRPr="00267BE4">
        <w:rPr>
          <w:rFonts w:asciiTheme="majorBidi" w:hAnsiTheme="majorBidi" w:cstheme="majorBidi"/>
          <w:sz w:val="24"/>
          <w:szCs w:val="24"/>
        </w:rPr>
        <w:t>Resources, Conservation and Recycling, 125, 1-10.</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Zakeri, B., &amp; Syri, S. (2019). </w:t>
      </w:r>
      <w:r w:rsidRPr="00817A8F">
        <w:rPr>
          <w:rFonts w:asciiTheme="majorBidi" w:hAnsiTheme="majorBidi" w:cstheme="majorBidi"/>
          <w:i/>
          <w:iCs/>
          <w:sz w:val="24"/>
          <w:szCs w:val="24"/>
        </w:rPr>
        <w:t>Electrical energy storage systems: A comparative life cycle cost analysis.</w:t>
      </w:r>
      <w:r w:rsidRPr="00267BE4">
        <w:rPr>
          <w:rFonts w:asciiTheme="majorBidi" w:hAnsiTheme="majorBidi" w:cstheme="majorBidi"/>
          <w:sz w:val="24"/>
          <w:szCs w:val="24"/>
        </w:rPr>
        <w:t xml:space="preserve"> Renewable and Sustainable Energy Reviews, 42, 569–596.</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Zhao, J., Thirumaran, K., &amp; Wu, J. (2018). </w:t>
      </w:r>
      <w:r w:rsidRPr="006877DD">
        <w:rPr>
          <w:rFonts w:asciiTheme="majorBidi" w:hAnsiTheme="majorBidi" w:cstheme="majorBidi"/>
          <w:i/>
          <w:iCs/>
          <w:sz w:val="24"/>
          <w:szCs w:val="24"/>
        </w:rPr>
        <w:t xml:space="preserve">Payback analysis of renewable technologies in emerging economies. </w:t>
      </w:r>
      <w:r w:rsidRPr="00267BE4">
        <w:rPr>
          <w:rFonts w:asciiTheme="majorBidi" w:hAnsiTheme="majorBidi" w:cstheme="majorBidi"/>
          <w:sz w:val="24"/>
          <w:szCs w:val="24"/>
        </w:rPr>
        <w:t>Energy and Buildings, 165, 236–245.</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lastRenderedPageBreak/>
        <w:t xml:space="preserve">Zhou, K., Yang, S., &amp; Shao, Z. (2019). </w:t>
      </w:r>
      <w:r w:rsidRPr="00817A8F">
        <w:rPr>
          <w:rFonts w:asciiTheme="majorBidi" w:hAnsiTheme="majorBidi" w:cstheme="majorBidi"/>
          <w:i/>
          <w:iCs/>
          <w:sz w:val="24"/>
          <w:szCs w:val="24"/>
        </w:rPr>
        <w:t>Energy consumption prediction of buildi</w:t>
      </w:r>
      <w:r w:rsidR="003C3685">
        <w:rPr>
          <w:rFonts w:asciiTheme="majorBidi" w:hAnsiTheme="majorBidi" w:cstheme="majorBidi"/>
          <w:i/>
          <w:iCs/>
          <w:sz w:val="24"/>
          <w:szCs w:val="24"/>
        </w:rPr>
        <w:t>n</w:t>
      </w:r>
      <w:r w:rsidRPr="00817A8F">
        <w:rPr>
          <w:rFonts w:asciiTheme="majorBidi" w:hAnsiTheme="majorBidi" w:cstheme="majorBidi"/>
          <w:i/>
          <w:iCs/>
          <w:sz w:val="24"/>
          <w:szCs w:val="24"/>
        </w:rPr>
        <w:t xml:space="preserve">g systems using deep learning models. </w:t>
      </w:r>
      <w:r w:rsidRPr="00267BE4">
        <w:rPr>
          <w:rFonts w:asciiTheme="majorBidi" w:hAnsiTheme="majorBidi" w:cstheme="majorBidi"/>
          <w:sz w:val="24"/>
          <w:szCs w:val="24"/>
        </w:rPr>
        <w:t>Energy and Buildings, 183, 310–320.</w:t>
      </w:r>
    </w:p>
    <w:p w:rsidR="002A65DC" w:rsidRPr="00267BE4" w:rsidRDefault="002A65DC" w:rsidP="002A65DC">
      <w:pPr>
        <w:spacing w:after="0" w:line="480" w:lineRule="auto"/>
        <w:ind w:left="450" w:hanging="450"/>
        <w:jc w:val="both"/>
        <w:rPr>
          <w:rFonts w:asciiTheme="majorBidi" w:hAnsiTheme="majorBidi" w:cstheme="majorBidi"/>
          <w:sz w:val="24"/>
          <w:szCs w:val="24"/>
        </w:rPr>
      </w:pPr>
      <w:r w:rsidRPr="00267BE4">
        <w:rPr>
          <w:rFonts w:asciiTheme="majorBidi" w:hAnsiTheme="majorBidi" w:cstheme="majorBidi"/>
          <w:sz w:val="24"/>
          <w:szCs w:val="24"/>
        </w:rPr>
        <w:t xml:space="preserve">Zhou, X., Xu, W., &amp; Chen, X. (2019). </w:t>
      </w:r>
      <w:r w:rsidRPr="006877DD">
        <w:rPr>
          <w:rFonts w:asciiTheme="majorBidi" w:hAnsiTheme="majorBidi" w:cstheme="majorBidi"/>
          <w:i/>
          <w:iCs/>
          <w:sz w:val="24"/>
          <w:szCs w:val="24"/>
        </w:rPr>
        <w:t>Energy performance of green buildings:</w:t>
      </w:r>
      <w:r w:rsidRPr="00267BE4">
        <w:rPr>
          <w:rFonts w:asciiTheme="majorBidi" w:hAnsiTheme="majorBidi" w:cstheme="majorBidi"/>
          <w:sz w:val="24"/>
          <w:szCs w:val="24"/>
        </w:rPr>
        <w:t xml:space="preserve"> A review. Energy and Buildings, 199, 12–32.</w:t>
      </w:r>
    </w:p>
    <w:p w:rsidR="006D149C" w:rsidRPr="002A65DC" w:rsidRDefault="002A65DC" w:rsidP="003C3685">
      <w:pPr>
        <w:spacing w:after="0" w:line="480" w:lineRule="auto"/>
        <w:ind w:left="450" w:hanging="450"/>
        <w:jc w:val="both"/>
        <w:rPr>
          <w:rFonts w:ascii="Times New Roman" w:hAnsi="Times New Roman"/>
          <w:sz w:val="24"/>
          <w:szCs w:val="24"/>
        </w:rPr>
      </w:pPr>
      <w:r w:rsidRPr="00267BE4">
        <w:rPr>
          <w:rFonts w:asciiTheme="majorBidi" w:hAnsiTheme="majorBidi" w:cstheme="majorBidi"/>
          <w:sz w:val="24"/>
          <w:szCs w:val="24"/>
        </w:rPr>
        <w:t xml:space="preserve">Zuo, J., &amp; Zhao, Z. Y. (2018). </w:t>
      </w:r>
      <w:r w:rsidRPr="006877DD">
        <w:rPr>
          <w:rFonts w:asciiTheme="majorBidi" w:hAnsiTheme="majorBidi" w:cstheme="majorBidi"/>
          <w:i/>
          <w:iCs/>
          <w:sz w:val="24"/>
          <w:szCs w:val="24"/>
        </w:rPr>
        <w:t xml:space="preserve">Green building research–current status and future agenda: A review. </w:t>
      </w:r>
      <w:r w:rsidRPr="00267BE4">
        <w:rPr>
          <w:rFonts w:asciiTheme="majorBidi" w:hAnsiTheme="majorBidi" w:cstheme="majorBidi"/>
          <w:sz w:val="24"/>
          <w:szCs w:val="24"/>
        </w:rPr>
        <w:t>Renewable and Sustainable Energy Reviews, 50, 72-81.</w:t>
      </w:r>
    </w:p>
    <w:sectPr w:rsidR="006D149C" w:rsidRPr="002A65DC" w:rsidSect="0006069C">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84307" w:rsidRDefault="00A84307" w:rsidP="00855217">
      <w:pPr>
        <w:spacing w:after="0" w:line="240" w:lineRule="auto"/>
      </w:pPr>
      <w:r>
        <w:separator/>
      </w:r>
    </w:p>
  </w:endnote>
  <w:endnote w:type="continuationSeparator" w:id="0">
    <w:p w:rsidR="00A84307" w:rsidRDefault="00A84307" w:rsidP="00855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5751578"/>
      <w:docPartObj>
        <w:docPartGallery w:val="Page Numbers (Bottom of Page)"/>
        <w:docPartUnique/>
      </w:docPartObj>
    </w:sdtPr>
    <w:sdtEndPr>
      <w:rPr>
        <w:noProof/>
      </w:rPr>
    </w:sdtEndPr>
    <w:sdtContent>
      <w:p w:rsidR="00855217" w:rsidRDefault="008552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55217" w:rsidRDefault="008552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84307" w:rsidRDefault="00A84307" w:rsidP="00855217">
      <w:pPr>
        <w:spacing w:after="0" w:line="240" w:lineRule="auto"/>
      </w:pPr>
      <w:r>
        <w:separator/>
      </w:r>
    </w:p>
  </w:footnote>
  <w:footnote w:type="continuationSeparator" w:id="0">
    <w:p w:rsidR="00A84307" w:rsidRDefault="00A84307" w:rsidP="008552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14F6A6A"/>
    <w:multiLevelType w:val="hybridMultilevel"/>
    <w:tmpl w:val="080283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9061714">
    <w:abstractNumId w:val="0"/>
  </w:num>
  <w:num w:numId="2" w16cid:durableId="893346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49C"/>
    <w:rsid w:val="000125BD"/>
    <w:rsid w:val="0005266F"/>
    <w:rsid w:val="00055B63"/>
    <w:rsid w:val="0006069C"/>
    <w:rsid w:val="00094EBB"/>
    <w:rsid w:val="000A07D3"/>
    <w:rsid w:val="000B09FF"/>
    <w:rsid w:val="000B2CDF"/>
    <w:rsid w:val="000B4538"/>
    <w:rsid w:val="001A658F"/>
    <w:rsid w:val="001D3D41"/>
    <w:rsid w:val="002366F5"/>
    <w:rsid w:val="00241C4E"/>
    <w:rsid w:val="002800D5"/>
    <w:rsid w:val="002916AB"/>
    <w:rsid w:val="002A65DC"/>
    <w:rsid w:val="002B6C80"/>
    <w:rsid w:val="002D688C"/>
    <w:rsid w:val="002E50EE"/>
    <w:rsid w:val="002F4A01"/>
    <w:rsid w:val="00373180"/>
    <w:rsid w:val="003733A4"/>
    <w:rsid w:val="003C3685"/>
    <w:rsid w:val="004A572F"/>
    <w:rsid w:val="004B6564"/>
    <w:rsid w:val="004D08EE"/>
    <w:rsid w:val="004F2D66"/>
    <w:rsid w:val="0050767F"/>
    <w:rsid w:val="0056792E"/>
    <w:rsid w:val="0057175C"/>
    <w:rsid w:val="005B51F2"/>
    <w:rsid w:val="00652026"/>
    <w:rsid w:val="006C058A"/>
    <w:rsid w:val="006D149C"/>
    <w:rsid w:val="00742564"/>
    <w:rsid w:val="00785D75"/>
    <w:rsid w:val="007D3029"/>
    <w:rsid w:val="00811583"/>
    <w:rsid w:val="00855217"/>
    <w:rsid w:val="008649CC"/>
    <w:rsid w:val="0088092E"/>
    <w:rsid w:val="00915F4F"/>
    <w:rsid w:val="009464D6"/>
    <w:rsid w:val="009E1340"/>
    <w:rsid w:val="00A35011"/>
    <w:rsid w:val="00A63464"/>
    <w:rsid w:val="00A84307"/>
    <w:rsid w:val="00A91BB8"/>
    <w:rsid w:val="00B051ED"/>
    <w:rsid w:val="00B12E25"/>
    <w:rsid w:val="00B17C82"/>
    <w:rsid w:val="00B600EC"/>
    <w:rsid w:val="00B76002"/>
    <w:rsid w:val="00B91FFA"/>
    <w:rsid w:val="00D70D7B"/>
    <w:rsid w:val="00D76180"/>
    <w:rsid w:val="00DB2F12"/>
    <w:rsid w:val="00DC4EA5"/>
    <w:rsid w:val="00E03CFB"/>
    <w:rsid w:val="00EB27E3"/>
    <w:rsid w:val="00F357B9"/>
    <w:rsid w:val="00F364F0"/>
    <w:rsid w:val="00F74439"/>
    <w:rsid w:val="00FA412D"/>
    <w:rsid w:val="00FE68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AC2E9C"/>
  <w15:docId w15:val="{B52BFB28-ADC1-41D3-AA05-357B11A9F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customStyle="1" w:styleId="BodyText7">
    <w:name w:val="&quot;Body Text7&quot;"/>
    <w:basedOn w:val="Normal"/>
    <w:pPr>
      <w:shd w:val="clear" w:color="FFFFFF" w:fill="FFFFFF"/>
      <w:spacing w:before="240" w:after="0" w:line="216" w:lineRule="exact"/>
      <w:ind w:hanging="400"/>
      <w:jc w:val="center"/>
    </w:pPr>
    <w:rPr>
      <w:rFonts w:ascii="Times New Roman" w:eastAsia="Times New Roman" w:hAnsi="Times New Roman"/>
      <w:color w:val="000000"/>
      <w:sz w:val="18"/>
      <w:szCs w:val="18"/>
    </w:rPr>
  </w:style>
  <w:style w:type="paragraph" w:styleId="Footer">
    <w:name w:val="footer"/>
    <w:basedOn w:val="Normal"/>
    <w:link w:val="FooterChar"/>
    <w:uiPriority w:val="99"/>
    <w:pPr>
      <w:tabs>
        <w:tab w:val="center" w:pos="4680"/>
        <w:tab w:val="right" w:pos="9360"/>
      </w:tabs>
      <w:spacing w:after="0" w:line="240" w:lineRule="auto"/>
    </w:pPr>
    <w:rPr>
      <w:rFonts w:ascii="Times New Roman" w:hAnsi="Times New Roman"/>
      <w:sz w:val="21"/>
    </w:rPr>
  </w:style>
  <w:style w:type="paragraph" w:customStyle="1" w:styleId="BodyText8">
    <w:name w:val="&quot;Body Text8&quot;"/>
    <w:basedOn w:val="Normal"/>
    <w:pPr>
      <w:shd w:val="clear" w:color="FFFFFF" w:fill="FFFFFF"/>
      <w:spacing w:before="420" w:after="0" w:line="398" w:lineRule="exact"/>
      <w:ind w:hanging="360"/>
    </w:pPr>
    <w:rPr>
      <w:rFonts w:eastAsia="Calibri" w:cs="Calibri"/>
      <w:sz w:val="21"/>
      <w:szCs w:val="21"/>
      <w:lang w:val="en-GB"/>
    </w:rPr>
  </w:style>
  <w:style w:type="paragraph" w:styleId="NormalWeb">
    <w:name w:val="Normal (Web)"/>
    <w:basedOn w:val="Normal"/>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pPr>
      <w:tabs>
        <w:tab w:val="center" w:pos="4680"/>
        <w:tab w:val="right" w:pos="9360"/>
      </w:tabs>
      <w:spacing w:after="0" w:line="240" w:lineRule="auto"/>
    </w:pPr>
    <w:rPr>
      <w:rFonts w:ascii="Times New Roman" w:hAnsi="Times New Roman"/>
      <w:sz w:val="21"/>
    </w:rPr>
  </w:style>
  <w:style w:type="paragraph" w:customStyle="1" w:styleId="Default">
    <w:name w:val="&quot;Default&quot;"/>
    <w:pPr>
      <w:autoSpaceDE w:val="0"/>
      <w:autoSpaceDN w:val="0"/>
      <w:adjustRightInd w:val="0"/>
    </w:pPr>
    <w:rPr>
      <w:rFonts w:ascii="Times New Roman" w:hAnsi="Times New Roman"/>
      <w:color w:val="000000"/>
      <w:sz w:val="24"/>
      <w:szCs w:val="24"/>
    </w:rPr>
  </w:style>
  <w:style w:type="paragraph" w:customStyle="1" w:styleId="para">
    <w:name w:val="&quot;para&quot;"/>
    <w:basedOn w:val="Normal"/>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rPr>
      <w:rFonts w:ascii="Times New Roman" w:eastAsia="SimSun" w:hAnsi="Times New Roman" w:cs="Times New Roman"/>
      <w:color w:val="0563C1"/>
      <w:sz w:val="21"/>
      <w:u w:val="single"/>
    </w:rPr>
  </w:style>
  <w:style w:type="paragraph" w:styleId="ListParagraph">
    <w:name w:val="List Paragraph"/>
    <w:basedOn w:val="Normal"/>
    <w:uiPriority w:val="34"/>
    <w:qFormat/>
    <w:pPr>
      <w:ind w:left="720"/>
    </w:pPr>
    <w:rPr>
      <w:rFonts w:eastAsia="Calibri"/>
      <w:sz w:val="21"/>
    </w:rPr>
  </w:style>
  <w:style w:type="paragraph" w:customStyle="1" w:styleId="BodyText70">
    <w:name w:val="&quot;Body Text7&quot;"/>
    <w:basedOn w:val="Normal"/>
    <w:pPr>
      <w:shd w:val="clear" w:color="FFFFFF" w:fill="FFFFFF"/>
      <w:spacing w:before="240" w:after="0" w:line="216" w:lineRule="exact"/>
      <w:ind w:hanging="400"/>
      <w:jc w:val="center"/>
    </w:pPr>
    <w:rPr>
      <w:rFonts w:ascii="Times New Roman" w:eastAsia="Times New Roman" w:hAnsi="Times New Roman"/>
      <w:color w:val="000000"/>
      <w:sz w:val="18"/>
      <w:szCs w:val="18"/>
    </w:rPr>
  </w:style>
  <w:style w:type="paragraph" w:customStyle="1" w:styleId="BodyText80">
    <w:name w:val="&quot;Body Text8&quot;"/>
    <w:basedOn w:val="Normal"/>
    <w:pPr>
      <w:shd w:val="clear" w:color="FFFFFF" w:fill="FFFFFF"/>
      <w:spacing w:before="420" w:after="0" w:line="398" w:lineRule="exact"/>
      <w:ind w:hanging="360"/>
    </w:pPr>
    <w:rPr>
      <w:rFonts w:eastAsia="Calibri" w:cs="Calibri"/>
      <w:sz w:val="21"/>
      <w:szCs w:val="21"/>
      <w:lang w:val="en-GB"/>
    </w:rPr>
  </w:style>
  <w:style w:type="paragraph" w:customStyle="1" w:styleId="Default0">
    <w:name w:val="&quot;Default&quot;"/>
    <w:pPr>
      <w:autoSpaceDE w:val="0"/>
      <w:autoSpaceDN w:val="0"/>
      <w:adjustRightInd w:val="0"/>
    </w:pPr>
    <w:rPr>
      <w:rFonts w:ascii="Times New Roman" w:hAnsi="Times New Roman"/>
      <w:color w:val="000000"/>
      <w:sz w:val="24"/>
      <w:szCs w:val="24"/>
    </w:rPr>
  </w:style>
  <w:style w:type="paragraph" w:customStyle="1" w:styleId="para0">
    <w:name w:val="&quot;para&quot;"/>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BodyText71">
    <w:name w:val="&quot;Body Text7&quot;"/>
    <w:basedOn w:val="Normal"/>
    <w:pPr>
      <w:shd w:val="clear" w:color="FFFFFF" w:fill="FFFFFF"/>
      <w:spacing w:before="240" w:after="0" w:line="216" w:lineRule="exact"/>
      <w:ind w:hanging="400"/>
      <w:jc w:val="center"/>
    </w:pPr>
    <w:rPr>
      <w:rFonts w:ascii="Times New Roman" w:eastAsia="Times New Roman" w:hAnsi="Times New Roman"/>
      <w:color w:val="000000"/>
      <w:sz w:val="18"/>
      <w:szCs w:val="18"/>
    </w:rPr>
  </w:style>
  <w:style w:type="paragraph" w:customStyle="1" w:styleId="BodyText81">
    <w:name w:val="&quot;Body Text8&quot;"/>
    <w:basedOn w:val="Normal"/>
    <w:pPr>
      <w:shd w:val="clear" w:color="FFFFFF" w:fill="FFFFFF"/>
      <w:spacing w:before="420" w:after="0" w:line="398" w:lineRule="exact"/>
      <w:ind w:hanging="360"/>
    </w:pPr>
    <w:rPr>
      <w:rFonts w:eastAsia="Calibri" w:cs="Calibri"/>
      <w:sz w:val="21"/>
      <w:szCs w:val="21"/>
      <w:lang w:val="en-GB"/>
    </w:rPr>
  </w:style>
  <w:style w:type="paragraph" w:customStyle="1" w:styleId="Default1">
    <w:name w:val="&quot;Default&quot;"/>
    <w:pPr>
      <w:autoSpaceDE w:val="0"/>
      <w:autoSpaceDN w:val="0"/>
      <w:adjustRightInd w:val="0"/>
    </w:pPr>
    <w:rPr>
      <w:rFonts w:ascii="Times New Roman" w:hAnsi="Times New Roman"/>
      <w:color w:val="000000"/>
      <w:sz w:val="24"/>
      <w:szCs w:val="24"/>
    </w:rPr>
  </w:style>
  <w:style w:type="paragraph" w:customStyle="1" w:styleId="para1">
    <w:name w:val="&quot;para&quot;"/>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BodyText72">
    <w:name w:val="&quot;Body Text7&quot;"/>
    <w:basedOn w:val="Normal"/>
    <w:pPr>
      <w:shd w:val="clear" w:color="FFFFFF" w:fill="FFFFFF"/>
      <w:spacing w:before="240" w:after="0" w:line="216" w:lineRule="exact"/>
      <w:ind w:hanging="400"/>
      <w:jc w:val="center"/>
    </w:pPr>
    <w:rPr>
      <w:rFonts w:ascii="Times New Roman" w:eastAsia="Times New Roman" w:hAnsi="Times New Roman"/>
      <w:color w:val="000000"/>
      <w:sz w:val="18"/>
      <w:szCs w:val="18"/>
    </w:rPr>
  </w:style>
  <w:style w:type="paragraph" w:customStyle="1" w:styleId="BodyText82">
    <w:name w:val="&quot;Body Text8&quot;"/>
    <w:basedOn w:val="Normal"/>
    <w:pPr>
      <w:shd w:val="clear" w:color="FFFFFF" w:fill="FFFFFF"/>
      <w:spacing w:before="420" w:after="0" w:line="398" w:lineRule="exact"/>
      <w:ind w:hanging="360"/>
    </w:pPr>
    <w:rPr>
      <w:rFonts w:eastAsia="Calibri" w:cs="Calibri"/>
      <w:sz w:val="21"/>
      <w:szCs w:val="21"/>
      <w:lang w:val="en-GB"/>
    </w:rPr>
  </w:style>
  <w:style w:type="paragraph" w:customStyle="1" w:styleId="Default2">
    <w:name w:val="&quot;Default&quot;"/>
    <w:pPr>
      <w:autoSpaceDE w:val="0"/>
      <w:autoSpaceDN w:val="0"/>
      <w:adjustRightInd w:val="0"/>
    </w:pPr>
    <w:rPr>
      <w:rFonts w:ascii="Times New Roman" w:hAnsi="Times New Roman"/>
      <w:color w:val="000000"/>
      <w:sz w:val="24"/>
      <w:szCs w:val="24"/>
    </w:rPr>
  </w:style>
  <w:style w:type="paragraph" w:customStyle="1" w:styleId="para2">
    <w:name w:val="&quot;para&quot;"/>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BodyText73">
    <w:name w:val="&quot;Body Text7&quot;"/>
    <w:basedOn w:val="Normal"/>
    <w:pPr>
      <w:shd w:val="clear" w:color="FFFFFF" w:fill="FFFFFF"/>
      <w:spacing w:before="240" w:after="0" w:line="216" w:lineRule="exact"/>
      <w:ind w:hanging="400"/>
      <w:jc w:val="center"/>
    </w:pPr>
    <w:rPr>
      <w:rFonts w:ascii="Times New Roman" w:eastAsia="Times New Roman" w:hAnsi="Times New Roman"/>
      <w:color w:val="000000"/>
      <w:sz w:val="18"/>
      <w:szCs w:val="18"/>
    </w:rPr>
  </w:style>
  <w:style w:type="paragraph" w:customStyle="1" w:styleId="BodyText83">
    <w:name w:val="&quot;Body Text8&quot;"/>
    <w:basedOn w:val="Normal"/>
    <w:pPr>
      <w:shd w:val="clear" w:color="FFFFFF" w:fill="FFFFFF"/>
      <w:spacing w:before="420" w:after="0" w:line="398" w:lineRule="exact"/>
      <w:ind w:hanging="360"/>
    </w:pPr>
    <w:rPr>
      <w:rFonts w:eastAsia="Calibri" w:cs="Calibri"/>
      <w:sz w:val="21"/>
      <w:szCs w:val="21"/>
      <w:lang w:val="en-GB"/>
    </w:rPr>
  </w:style>
  <w:style w:type="paragraph" w:customStyle="1" w:styleId="Default3">
    <w:name w:val="&quot;Default&quot;"/>
    <w:pPr>
      <w:autoSpaceDE w:val="0"/>
      <w:autoSpaceDN w:val="0"/>
      <w:adjustRightInd w:val="0"/>
    </w:pPr>
    <w:rPr>
      <w:rFonts w:ascii="Times New Roman" w:hAnsi="Times New Roman"/>
      <w:color w:val="000000"/>
      <w:sz w:val="24"/>
      <w:szCs w:val="24"/>
    </w:rPr>
  </w:style>
  <w:style w:type="paragraph" w:customStyle="1" w:styleId="para3">
    <w:name w:val="&quot;para&quot;"/>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BodyText74">
    <w:name w:val="&quot;Body Text7&quot;"/>
    <w:basedOn w:val="Normal"/>
    <w:pPr>
      <w:shd w:val="clear" w:color="FFFFFF" w:fill="FFFFFF"/>
      <w:spacing w:before="240" w:after="0" w:line="216" w:lineRule="exact"/>
      <w:ind w:hanging="400"/>
      <w:jc w:val="center"/>
    </w:pPr>
    <w:rPr>
      <w:rFonts w:ascii="Times New Roman" w:eastAsia="Times New Roman" w:hAnsi="Times New Roman"/>
      <w:color w:val="000000"/>
      <w:sz w:val="18"/>
      <w:szCs w:val="18"/>
    </w:rPr>
  </w:style>
  <w:style w:type="paragraph" w:customStyle="1" w:styleId="BodyText84">
    <w:name w:val="&quot;Body Text8&quot;"/>
    <w:basedOn w:val="Normal"/>
    <w:pPr>
      <w:shd w:val="clear" w:color="FFFFFF" w:fill="FFFFFF"/>
      <w:spacing w:before="420" w:after="0" w:line="398" w:lineRule="exact"/>
      <w:ind w:hanging="360"/>
    </w:pPr>
    <w:rPr>
      <w:rFonts w:eastAsia="Calibri" w:cs="Calibri"/>
      <w:sz w:val="21"/>
      <w:szCs w:val="21"/>
      <w:lang w:val="en-GB"/>
    </w:rPr>
  </w:style>
  <w:style w:type="paragraph" w:customStyle="1" w:styleId="Default4">
    <w:name w:val="&quot;Default&quot;"/>
    <w:pPr>
      <w:autoSpaceDE w:val="0"/>
      <w:autoSpaceDN w:val="0"/>
      <w:adjustRightInd w:val="0"/>
    </w:pPr>
    <w:rPr>
      <w:rFonts w:ascii="Times New Roman" w:hAnsi="Times New Roman"/>
      <w:color w:val="000000"/>
      <w:sz w:val="24"/>
      <w:szCs w:val="24"/>
    </w:rPr>
  </w:style>
  <w:style w:type="paragraph" w:customStyle="1" w:styleId="para4">
    <w:name w:val="&quot;para&quot;"/>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BodyText75">
    <w:name w:val="&quot;Body Text7&quot;"/>
    <w:basedOn w:val="Normal"/>
    <w:pPr>
      <w:shd w:val="clear" w:color="FFFFFF" w:fill="FFFFFF"/>
      <w:spacing w:before="240" w:after="0" w:line="216" w:lineRule="exact"/>
      <w:ind w:hanging="400"/>
      <w:jc w:val="center"/>
    </w:pPr>
    <w:rPr>
      <w:rFonts w:ascii="Times New Roman" w:eastAsia="Times New Roman" w:hAnsi="Times New Roman"/>
      <w:color w:val="000000"/>
      <w:sz w:val="18"/>
      <w:szCs w:val="18"/>
    </w:rPr>
  </w:style>
  <w:style w:type="paragraph" w:customStyle="1" w:styleId="BodyText85">
    <w:name w:val="&quot;Body Text8&quot;"/>
    <w:basedOn w:val="Normal"/>
    <w:pPr>
      <w:shd w:val="clear" w:color="FFFFFF" w:fill="FFFFFF"/>
      <w:spacing w:before="420" w:after="0" w:line="398" w:lineRule="exact"/>
      <w:ind w:hanging="360"/>
    </w:pPr>
    <w:rPr>
      <w:rFonts w:eastAsia="Calibri" w:cs="Calibri"/>
      <w:sz w:val="21"/>
      <w:szCs w:val="21"/>
      <w:lang w:val="en-GB"/>
    </w:rPr>
  </w:style>
  <w:style w:type="paragraph" w:customStyle="1" w:styleId="Default5">
    <w:name w:val="&quot;Default&quot;"/>
    <w:pPr>
      <w:autoSpaceDE w:val="0"/>
      <w:autoSpaceDN w:val="0"/>
      <w:adjustRightInd w:val="0"/>
    </w:pPr>
    <w:rPr>
      <w:rFonts w:ascii="Times New Roman" w:hAnsi="Times New Roman"/>
      <w:color w:val="000000"/>
      <w:sz w:val="24"/>
      <w:szCs w:val="24"/>
    </w:rPr>
  </w:style>
  <w:style w:type="paragraph" w:customStyle="1" w:styleId="para5">
    <w:name w:val="&quot;para&quot;"/>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Default6">
    <w:name w:val="&quot;Default&quot;"/>
    <w:pPr>
      <w:autoSpaceDE w:val="0"/>
      <w:autoSpaceDN w:val="0"/>
      <w:adjustRightInd w:val="0"/>
    </w:pPr>
    <w:rPr>
      <w:rFonts w:ascii="Times New Roman" w:hAnsi="Times New Roman"/>
      <w:color w:val="000000"/>
      <w:sz w:val="24"/>
      <w:szCs w:val="24"/>
    </w:rPr>
  </w:style>
  <w:style w:type="paragraph" w:customStyle="1" w:styleId="Default7">
    <w:name w:val="&quot;Default&quot;"/>
    <w:pPr>
      <w:autoSpaceDE w:val="0"/>
      <w:autoSpaceDN w:val="0"/>
      <w:adjustRightInd w:val="0"/>
    </w:pPr>
    <w:rPr>
      <w:rFonts w:ascii="Times New Roman" w:hAnsi="Times New Roman"/>
      <w:color w:val="000000"/>
      <w:sz w:val="24"/>
      <w:szCs w:val="24"/>
    </w:rPr>
  </w:style>
  <w:style w:type="character" w:customStyle="1" w:styleId="FooterChar">
    <w:name w:val="Footer Char"/>
    <w:basedOn w:val="DefaultParagraphFont"/>
    <w:link w:val="Footer"/>
    <w:uiPriority w:val="99"/>
    <w:rsid w:val="00855217"/>
    <w:rPr>
      <w:rFonts w:ascii="Times New Roman" w:hAnsi="Times New Roman"/>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3DE-47FA-9FB3-6A8D310DD39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3DE-47FA-9FB3-6A8D310DD39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3DE-47FA-9FB3-6A8D310DD39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3DE-47FA-9FB3-6A8D310DD39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Male</c:v>
                </c:pt>
                <c:pt idx="1">
                  <c:v>Female</c:v>
                </c:pt>
              </c:strCache>
            </c:strRef>
          </c:cat>
          <c:val>
            <c:numRef>
              <c:f>Sheet1!$B$2:$B$5</c:f>
              <c:numCache>
                <c:formatCode>General</c:formatCode>
                <c:ptCount val="4"/>
                <c:pt idx="0">
                  <c:v>62</c:v>
                </c:pt>
                <c:pt idx="1">
                  <c:v>38</c:v>
                </c:pt>
              </c:numCache>
            </c:numRef>
          </c:val>
          <c:extLst>
            <c:ext xmlns:c16="http://schemas.microsoft.com/office/drawing/2014/chart" uri="{C3380CC4-5D6E-409C-BE32-E72D297353CC}">
              <c16:uniqueId val="{00000008-B3DE-47FA-9FB3-6A8D310DD39A}"/>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AGE RANGE</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9EA-499D-B368-62440E4ABE9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9EA-499D-B368-62440E4ABE9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9EA-499D-B368-62440E4ABE9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9EA-499D-B368-62440E4ABE9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18 - 25</c:v>
                </c:pt>
                <c:pt idx="1">
                  <c:v>26 - 35</c:v>
                </c:pt>
                <c:pt idx="2">
                  <c:v>36 - 45</c:v>
                </c:pt>
                <c:pt idx="3">
                  <c:v>46 &amp; Above</c:v>
                </c:pt>
              </c:strCache>
            </c:strRef>
          </c:cat>
          <c:val>
            <c:numRef>
              <c:f>Sheet1!$B$2:$B$5</c:f>
              <c:numCache>
                <c:formatCode>General</c:formatCode>
                <c:ptCount val="4"/>
                <c:pt idx="0">
                  <c:v>15.8</c:v>
                </c:pt>
                <c:pt idx="1">
                  <c:v>35</c:v>
                </c:pt>
                <c:pt idx="2">
                  <c:v>24.2</c:v>
                </c:pt>
                <c:pt idx="3">
                  <c:v>25</c:v>
                </c:pt>
              </c:numCache>
            </c:numRef>
          </c:val>
          <c:extLst>
            <c:ext xmlns:c16="http://schemas.microsoft.com/office/drawing/2014/chart" uri="{C3380CC4-5D6E-409C-BE32-E72D297353CC}">
              <c16:uniqueId val="{00000008-B9EA-499D-B368-62440E4ABE96}"/>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EDUCATIONAL QUALIFICATION</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389-4DA4-854D-733F8805747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389-4DA4-854D-733F8805747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389-4DA4-854D-733F8805747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389-4DA4-854D-733F8805747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OND</c:v>
                </c:pt>
                <c:pt idx="1">
                  <c:v>HND/B.SC</c:v>
                </c:pt>
                <c:pt idx="2">
                  <c:v>M.TECH/MSC</c:v>
                </c:pt>
                <c:pt idx="3">
                  <c:v>PH.D</c:v>
                </c:pt>
              </c:strCache>
            </c:strRef>
          </c:cat>
          <c:val>
            <c:numRef>
              <c:f>Sheet1!$B$2:$B$5</c:f>
              <c:numCache>
                <c:formatCode>General</c:formatCode>
                <c:ptCount val="4"/>
                <c:pt idx="0">
                  <c:v>18.3</c:v>
                </c:pt>
                <c:pt idx="1">
                  <c:v>33.299999999999997</c:v>
                </c:pt>
                <c:pt idx="2">
                  <c:v>40</c:v>
                </c:pt>
                <c:pt idx="3">
                  <c:v>8.4</c:v>
                </c:pt>
              </c:numCache>
            </c:numRef>
          </c:val>
          <c:extLst>
            <c:ext xmlns:c16="http://schemas.microsoft.com/office/drawing/2014/chart" uri="{C3380CC4-5D6E-409C-BE32-E72D297353CC}">
              <c16:uniqueId val="{00000008-9389-4DA4-854D-733F88057474}"/>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PROFESSIONAL QUALIFICATION</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PROFESSION</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E14-4C6C-9394-F5A60B82039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E14-4C6C-9394-F5A60B82039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E14-4C6C-9394-F5A60B82039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E14-4C6C-9394-F5A60B82039D}"/>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1AEF-4FC4-8033-4309939D4236}"/>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1AEF-4FC4-8033-4309939D423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QUANTITY SURVEYOR</c:v>
                </c:pt>
                <c:pt idx="1">
                  <c:v>ARCHITECT</c:v>
                </c:pt>
                <c:pt idx="2">
                  <c:v>PROJECT MANAGER</c:v>
                </c:pt>
                <c:pt idx="3">
                  <c:v>BUILDER</c:v>
                </c:pt>
                <c:pt idx="4">
                  <c:v>ENGINEER</c:v>
                </c:pt>
                <c:pt idx="5">
                  <c:v>OTHERS</c:v>
                </c:pt>
              </c:strCache>
            </c:strRef>
          </c:cat>
          <c:val>
            <c:numRef>
              <c:f>Sheet1!$B$2:$B$7</c:f>
              <c:numCache>
                <c:formatCode>General</c:formatCode>
                <c:ptCount val="6"/>
                <c:pt idx="0">
                  <c:v>24.2</c:v>
                </c:pt>
                <c:pt idx="1">
                  <c:v>11.7</c:v>
                </c:pt>
                <c:pt idx="2">
                  <c:v>13</c:v>
                </c:pt>
                <c:pt idx="3">
                  <c:v>19</c:v>
                </c:pt>
                <c:pt idx="4">
                  <c:v>25</c:v>
                </c:pt>
                <c:pt idx="5">
                  <c:v>6.7</c:v>
                </c:pt>
              </c:numCache>
            </c:numRef>
          </c:val>
          <c:extLst>
            <c:ext xmlns:c16="http://schemas.microsoft.com/office/drawing/2014/chart" uri="{C3380CC4-5D6E-409C-BE32-E72D297353CC}">
              <c16:uniqueId val="{00000008-4E14-4C6C-9394-F5A60B82039D}"/>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years of working experience</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69A-4CB7-9A78-03B89F9D3AA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69A-4CB7-9A78-03B89F9D3AA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69A-4CB7-9A78-03B89F9D3AAE}"/>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69A-4CB7-9A78-03B89F9D3AA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Below 5Yrs</c:v>
                </c:pt>
                <c:pt idx="1">
                  <c:v>5 - 10 Yrs</c:v>
                </c:pt>
                <c:pt idx="2">
                  <c:v>11 - 15 Yrs</c:v>
                </c:pt>
                <c:pt idx="3">
                  <c:v>Above 15Yrs</c:v>
                </c:pt>
              </c:strCache>
            </c:strRef>
          </c:cat>
          <c:val>
            <c:numRef>
              <c:f>Sheet1!$B$2:$B$5</c:f>
              <c:numCache>
                <c:formatCode>General</c:formatCode>
                <c:ptCount val="4"/>
                <c:pt idx="0">
                  <c:v>12.5</c:v>
                </c:pt>
                <c:pt idx="1">
                  <c:v>33.299999999999997</c:v>
                </c:pt>
                <c:pt idx="2">
                  <c:v>35.799999999999997</c:v>
                </c:pt>
                <c:pt idx="3">
                  <c:v>18.399999999999999</c:v>
                </c:pt>
              </c:numCache>
            </c:numRef>
          </c:val>
          <c:extLst>
            <c:ext xmlns:c16="http://schemas.microsoft.com/office/drawing/2014/chart" uri="{C3380CC4-5D6E-409C-BE32-E72D297353CC}">
              <c16:uniqueId val="{00000008-D69A-4CB7-9A78-03B89F9D3AAE}"/>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b="1" i="0" u="none" strike="noStrike" cap="all" baseline="0">
                <a:effectLst/>
              </a:rPr>
              <a:t>Experience with Sustainable energy Technologies </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169-4A78-B675-56FB63E5CB1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169-4A78-B675-56FB63E5CB1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169-4A78-B675-56FB63E5CB1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169-4A78-B675-56FB63E5CB1A}"/>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2CF-4A96-99CC-0EF708A6A0BD}"/>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32CF-4A96-99CC-0EF708A6A0B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Energy-Efficient HVAC Systems</c:v>
                </c:pt>
                <c:pt idx="1">
                  <c:v>Solar Photovoltaic (PV) Panels</c:v>
                </c:pt>
                <c:pt idx="2">
                  <c:v>Solar Water Heating Systems</c:v>
                </c:pt>
                <c:pt idx="3">
                  <c:v>Wind Turbines</c:v>
                </c:pt>
                <c:pt idx="4">
                  <c:v>Smart Energy meters</c:v>
                </c:pt>
                <c:pt idx="5">
                  <c:v>Others</c:v>
                </c:pt>
              </c:strCache>
            </c:strRef>
          </c:cat>
          <c:val>
            <c:numRef>
              <c:f>Sheet1!$B$2:$B$7</c:f>
              <c:numCache>
                <c:formatCode>General</c:formatCode>
                <c:ptCount val="6"/>
                <c:pt idx="0">
                  <c:v>18.3</c:v>
                </c:pt>
                <c:pt idx="1">
                  <c:v>38.299999999999997</c:v>
                </c:pt>
                <c:pt idx="2">
                  <c:v>23.3</c:v>
                </c:pt>
                <c:pt idx="3">
                  <c:v>5.8</c:v>
                </c:pt>
                <c:pt idx="4">
                  <c:v>9.1999999999999993</c:v>
                </c:pt>
                <c:pt idx="5">
                  <c:v>5</c:v>
                </c:pt>
              </c:numCache>
            </c:numRef>
          </c:val>
          <c:extLst>
            <c:ext xmlns:c16="http://schemas.microsoft.com/office/drawing/2014/chart" uri="{C3380CC4-5D6E-409C-BE32-E72D297353CC}">
              <c16:uniqueId val="{00000008-A169-4A78-B675-56FB63E5CB1A}"/>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E656D-99F8-4135-8D0C-9D5EAA965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14897</Words>
  <Characters>84916</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2409BRN2CA</dc:creator>
  <cp:lastModifiedBy>yusuf raheem</cp:lastModifiedBy>
  <cp:revision>2</cp:revision>
  <cp:lastPrinted>2025-07-20T18:37:00Z</cp:lastPrinted>
  <dcterms:created xsi:type="dcterms:W3CDTF">2025-08-08T15:10:00Z</dcterms:created>
  <dcterms:modified xsi:type="dcterms:W3CDTF">2025-08-08T15:10:00Z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4ef4ee403d2a4100b5d0168bb63cb719</vt:lpwstr>
  </property>
</Properties>
</file>