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EA0FE">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ITC Bookman" w:hAnsi="ITC Bookman" w:cs="ITC Bookman"/>
          <w:b/>
          <w:bCs/>
          <w:sz w:val="24"/>
          <w:szCs w:val="24"/>
          <w:lang w:val="en-US"/>
        </w:rPr>
      </w:pPr>
      <w:r>
        <w:rPr>
          <w:rFonts w:hint="default" w:ascii="ITC Bookman" w:hAnsi="ITC Bookman" w:cs="ITC Bookman"/>
          <w:b/>
          <w:bCs/>
          <w:sz w:val="24"/>
          <w:szCs w:val="24"/>
          <w:lang w:val="en-US"/>
        </w:rPr>
        <w:t>ESTABLISHING THE RELATIONSHIP BETWEEN SOME INDEX PROPERTIES AND THE ENGINEERING PROPERTIES OF LATERITIC SOIL FROM KWARA STATE POLYTECHNIC CAMPUS.</w:t>
      </w:r>
    </w:p>
    <w:p w14:paraId="5D6A48AE">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b/>
          <w:color w:val="auto"/>
          <w:sz w:val="24"/>
          <w:szCs w:val="24"/>
          <w:shd w:val="clear" w:color="auto" w:fill="auto"/>
        </w:rPr>
      </w:pPr>
    </w:p>
    <w:p w14:paraId="4ACA11B3">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Century751 BT" w:hAnsi="Century751 BT" w:cs="Century751 BT"/>
          <w:b/>
          <w:bCs w:val="0"/>
          <w:color w:val="auto"/>
          <w:sz w:val="24"/>
          <w:szCs w:val="24"/>
          <w:shd w:val="clear" w:color="auto" w:fill="auto"/>
        </w:rPr>
      </w:pPr>
      <w:r>
        <w:rPr>
          <w:rFonts w:hint="default" w:ascii="Century751 BT" w:hAnsi="Century751 BT" w:cs="Century751 BT"/>
          <w:b/>
          <w:bCs w:val="0"/>
          <w:color w:val="auto"/>
          <w:sz w:val="24"/>
          <w:szCs w:val="24"/>
          <w:shd w:val="clear" w:color="auto" w:fill="auto"/>
        </w:rPr>
        <w:t>BY</w:t>
      </w:r>
    </w:p>
    <w:p w14:paraId="33A15514">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Century751 BT" w:hAnsi="Century751 BT" w:cs="Century751 BT"/>
          <w:b/>
          <w:bCs w:val="0"/>
          <w:color w:val="auto"/>
          <w:sz w:val="36"/>
          <w:szCs w:val="36"/>
          <w:shd w:val="clear" w:color="auto" w:fill="auto"/>
          <w:lang w:val="en-US"/>
        </w:rPr>
      </w:pPr>
      <w:r>
        <w:rPr>
          <w:rFonts w:hint="default" w:ascii="Century751 BT" w:hAnsi="Century751 BT" w:cs="Century751 BT"/>
          <w:b/>
          <w:bCs w:val="0"/>
          <w:color w:val="auto"/>
          <w:sz w:val="36"/>
          <w:szCs w:val="36"/>
          <w:shd w:val="clear" w:color="auto" w:fill="auto"/>
          <w:lang w:val="en-US"/>
        </w:rPr>
        <w:t>AMBALI SODIQ ALABI</w:t>
      </w:r>
    </w:p>
    <w:p w14:paraId="0D6C79AE">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Century751 BT" w:hAnsi="Century751 BT" w:cs="Century751 BT"/>
          <w:b/>
          <w:bCs w:val="0"/>
          <w:color w:val="auto"/>
          <w:sz w:val="36"/>
          <w:szCs w:val="36"/>
          <w:shd w:val="clear" w:color="auto" w:fill="auto"/>
          <w:lang w:val="en-US"/>
        </w:rPr>
      </w:pPr>
      <w:r>
        <w:rPr>
          <w:rFonts w:hint="default" w:ascii="Century751 BT" w:hAnsi="Century751 BT" w:cs="Century751 BT"/>
          <w:b/>
          <w:bCs w:val="0"/>
          <w:color w:val="auto"/>
          <w:sz w:val="36"/>
          <w:szCs w:val="36"/>
          <w:shd w:val="clear" w:color="auto" w:fill="auto"/>
        </w:rPr>
        <w:t>ND/</w:t>
      </w:r>
      <w:r>
        <w:rPr>
          <w:rFonts w:hint="default" w:ascii="Century751 BT" w:hAnsi="Century751 BT" w:cs="Century751 BT"/>
          <w:b/>
          <w:bCs w:val="0"/>
          <w:color w:val="auto"/>
          <w:sz w:val="36"/>
          <w:szCs w:val="36"/>
          <w:shd w:val="clear" w:color="auto" w:fill="auto"/>
          <w:lang w:val="en-US"/>
        </w:rPr>
        <w:t>23</w:t>
      </w:r>
      <w:r>
        <w:rPr>
          <w:rFonts w:hint="default" w:ascii="Century751 BT" w:hAnsi="Century751 BT" w:cs="Century751 BT"/>
          <w:b/>
          <w:bCs w:val="0"/>
          <w:color w:val="auto"/>
          <w:sz w:val="36"/>
          <w:szCs w:val="36"/>
          <w:shd w:val="clear" w:color="auto" w:fill="auto"/>
        </w:rPr>
        <w:t>/</w:t>
      </w:r>
      <w:r>
        <w:rPr>
          <w:rFonts w:hint="default" w:ascii="Century751 BT" w:hAnsi="Century751 BT" w:cs="Century751 BT"/>
          <w:b/>
          <w:bCs w:val="0"/>
          <w:color w:val="auto"/>
          <w:sz w:val="36"/>
          <w:szCs w:val="36"/>
          <w:shd w:val="clear" w:color="auto" w:fill="auto"/>
          <w:lang w:val="en-US"/>
        </w:rPr>
        <w:t>MPE</w:t>
      </w:r>
      <w:r>
        <w:rPr>
          <w:rFonts w:hint="default" w:ascii="Century751 BT" w:hAnsi="Century751 BT" w:cs="Century751 BT"/>
          <w:b/>
          <w:bCs w:val="0"/>
          <w:color w:val="auto"/>
          <w:sz w:val="36"/>
          <w:szCs w:val="36"/>
          <w:shd w:val="clear" w:color="auto" w:fill="auto"/>
        </w:rPr>
        <w:t>/FT/</w:t>
      </w:r>
      <w:r>
        <w:rPr>
          <w:rFonts w:hint="default" w:ascii="Century751 BT" w:hAnsi="Century751 BT" w:cs="Century751 BT"/>
          <w:b/>
          <w:bCs w:val="0"/>
          <w:color w:val="auto"/>
          <w:sz w:val="36"/>
          <w:szCs w:val="36"/>
          <w:shd w:val="clear" w:color="auto" w:fill="auto"/>
          <w:lang w:val="en-US"/>
        </w:rPr>
        <w:t>0085</w:t>
      </w:r>
    </w:p>
    <w:p w14:paraId="40BB0EA0">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Century751 BT" w:hAnsi="Century751 BT" w:cs="Century751 BT"/>
          <w:b/>
          <w:bCs w:val="0"/>
          <w:color w:val="auto"/>
          <w:sz w:val="36"/>
          <w:szCs w:val="36"/>
          <w:shd w:val="clear" w:color="auto" w:fill="auto"/>
          <w:lang w:val="en-US"/>
        </w:rPr>
      </w:pPr>
    </w:p>
    <w:p w14:paraId="34DBF689">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Franklin Gothic Medium" w:hAnsi="Franklin Gothic Medium" w:cs="Franklin Gothic Medium" w:eastAsiaTheme="majorEastAsia"/>
          <w:b w:val="0"/>
          <w:bCs/>
          <w:color w:val="auto"/>
          <w:sz w:val="28"/>
          <w:szCs w:val="28"/>
          <w:shd w:val="clear" w:color="auto" w:fill="auto"/>
        </w:rPr>
      </w:pPr>
      <w:r>
        <w:rPr>
          <w:rFonts w:hint="default" w:ascii="Franklin Gothic Medium" w:hAnsi="Franklin Gothic Medium" w:cs="Franklin Gothic Medium" w:eastAsiaTheme="majorEastAsia"/>
          <w:b w:val="0"/>
          <w:bCs/>
          <w:color w:val="auto"/>
          <w:sz w:val="28"/>
          <w:szCs w:val="28"/>
          <w:shd w:val="clear" w:color="auto" w:fill="auto"/>
        </w:rPr>
        <w:t xml:space="preserve">BEING A RESEARCH PROJECT SUBMITTED TO THE DEPARTMENT OF </w:t>
      </w:r>
      <w:r>
        <w:rPr>
          <w:rFonts w:hint="default" w:ascii="Franklin Gothic Medium" w:hAnsi="Franklin Gothic Medium" w:cs="Franklin Gothic Medium" w:eastAsiaTheme="majorEastAsia"/>
          <w:b w:val="0"/>
          <w:bCs/>
          <w:color w:val="auto"/>
          <w:sz w:val="28"/>
          <w:szCs w:val="28"/>
          <w:shd w:val="clear" w:color="auto" w:fill="auto"/>
          <w:lang w:val="en-US"/>
        </w:rPr>
        <w:t>MINERAL AND PETROLEUM RESOURCES ENGINEERING</w:t>
      </w:r>
      <w:r>
        <w:rPr>
          <w:rFonts w:hint="default" w:ascii="Franklin Gothic Medium" w:hAnsi="Franklin Gothic Medium" w:cs="Franklin Gothic Medium" w:eastAsiaTheme="majorEastAsia"/>
          <w:b w:val="0"/>
          <w:bCs/>
          <w:color w:val="auto"/>
          <w:sz w:val="28"/>
          <w:szCs w:val="28"/>
          <w:shd w:val="clear" w:color="auto" w:fill="auto"/>
        </w:rPr>
        <w:t xml:space="preserve">, INSTITUTE OF </w:t>
      </w:r>
      <w:r>
        <w:rPr>
          <w:rFonts w:hint="default" w:ascii="Franklin Gothic Medium" w:hAnsi="Franklin Gothic Medium" w:cs="Franklin Gothic Medium" w:eastAsiaTheme="majorEastAsia"/>
          <w:b w:val="0"/>
          <w:bCs/>
          <w:color w:val="auto"/>
          <w:sz w:val="28"/>
          <w:szCs w:val="28"/>
          <w:shd w:val="clear" w:color="auto" w:fill="auto"/>
          <w:lang w:val="en-US"/>
        </w:rPr>
        <w:t>TECHNOLOGY</w:t>
      </w:r>
      <w:r>
        <w:rPr>
          <w:rFonts w:hint="default" w:ascii="Franklin Gothic Medium" w:hAnsi="Franklin Gothic Medium" w:cs="Franklin Gothic Medium" w:eastAsiaTheme="majorEastAsia"/>
          <w:b w:val="0"/>
          <w:bCs/>
          <w:color w:val="auto"/>
          <w:sz w:val="28"/>
          <w:szCs w:val="28"/>
          <w:shd w:val="clear" w:color="auto" w:fill="auto"/>
        </w:rPr>
        <w:t>, KWARA STATE POLYTECHNIC, ILORIN.</w:t>
      </w:r>
    </w:p>
    <w:p w14:paraId="78AE1C96">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Franklin Gothic Medium" w:hAnsi="Franklin Gothic Medium" w:cs="Franklin Gothic Medium" w:eastAsiaTheme="majorEastAsia"/>
          <w:b w:val="0"/>
          <w:bCs/>
          <w:color w:val="auto"/>
          <w:sz w:val="28"/>
          <w:szCs w:val="28"/>
          <w:shd w:val="clear" w:color="auto" w:fill="auto"/>
          <w:lang w:val="en-US"/>
        </w:rPr>
      </w:pPr>
      <w:r>
        <w:rPr>
          <w:rFonts w:hint="default" w:ascii="Franklin Gothic Medium" w:hAnsi="Franklin Gothic Medium" w:cs="Franklin Gothic Medium" w:eastAsiaTheme="majorEastAsia"/>
          <w:b w:val="0"/>
          <w:bCs/>
          <w:color w:val="auto"/>
          <w:sz w:val="28"/>
          <w:szCs w:val="28"/>
          <w:shd w:val="clear" w:color="auto" w:fill="auto"/>
        </w:rPr>
        <w:t>IN PARTIAL FULFILMENT OF THE REQUIREMENT FOR THE AWARD OF</w:t>
      </w:r>
      <w:r>
        <w:rPr>
          <w:rFonts w:hint="default" w:ascii="Franklin Gothic Medium" w:hAnsi="Franklin Gothic Medium" w:cs="Franklin Gothic Medium" w:eastAsiaTheme="majorEastAsia"/>
          <w:b w:val="0"/>
          <w:bCs/>
          <w:color w:val="auto"/>
          <w:sz w:val="28"/>
          <w:szCs w:val="28"/>
          <w:shd w:val="clear" w:color="auto" w:fill="auto"/>
          <w:lang w:val="en-US"/>
        </w:rPr>
        <w:t xml:space="preserve"> </w:t>
      </w:r>
      <w:r>
        <w:rPr>
          <w:rFonts w:hint="default" w:ascii="Franklin Gothic Medium" w:hAnsi="Franklin Gothic Medium" w:cs="Franklin Gothic Medium" w:eastAsiaTheme="majorEastAsia"/>
          <w:b w:val="0"/>
          <w:bCs/>
          <w:color w:val="auto"/>
          <w:sz w:val="28"/>
          <w:szCs w:val="28"/>
          <w:shd w:val="clear" w:color="auto" w:fill="auto"/>
        </w:rPr>
        <w:t xml:space="preserve">NATIONAL DIPLOMA (ND) </w:t>
      </w:r>
      <w:r>
        <w:rPr>
          <w:rFonts w:hint="default" w:ascii="Franklin Gothic Medium" w:hAnsi="Franklin Gothic Medium" w:cs="Franklin Gothic Medium" w:eastAsiaTheme="majorEastAsia"/>
          <w:b w:val="0"/>
          <w:bCs/>
          <w:color w:val="auto"/>
          <w:sz w:val="28"/>
          <w:szCs w:val="28"/>
          <w:shd w:val="clear" w:color="auto" w:fill="auto"/>
          <w:lang w:val="en-US"/>
        </w:rPr>
        <w:t>IN MINERAL AND PETROLEUM RESOURCES ENGINEERING.</w:t>
      </w:r>
    </w:p>
    <w:p w14:paraId="4A1469AB">
      <w:pPr>
        <w:keepNext w:val="0"/>
        <w:keepLines w:val="0"/>
        <w:pageBreakBefore w:val="0"/>
        <w:widowControl/>
        <w:kinsoku/>
        <w:wordWrap/>
        <w:overflowPunct/>
        <w:topLinePunct w:val="0"/>
        <w:autoSpaceDE/>
        <w:autoSpaceDN/>
        <w:bidi w:val="0"/>
        <w:adjustRightInd/>
        <w:snapToGrid/>
        <w:spacing w:after="361" w:afterLines="100" w:line="360" w:lineRule="auto"/>
        <w:jc w:val="right"/>
        <w:textAlignment w:val="auto"/>
        <w:rPr>
          <w:rFonts w:hint="default" w:ascii="Times New Roman" w:hAnsi="Times New Roman" w:cs="Times New Roman"/>
          <w:b/>
          <w:bCs/>
          <w:color w:val="auto"/>
          <w:sz w:val="32"/>
          <w:szCs w:val="32"/>
          <w:shd w:val="clear" w:color="auto" w:fill="auto"/>
          <w:lang w:val="en-US"/>
        </w:rPr>
      </w:pPr>
      <w:r>
        <w:rPr>
          <w:rFonts w:hint="default" w:ascii="Times New Roman" w:hAnsi="Times New Roman" w:cs="Times New Roman"/>
          <w:b/>
          <w:bCs/>
          <w:color w:val="auto"/>
          <w:sz w:val="32"/>
          <w:szCs w:val="32"/>
          <w:shd w:val="clear" w:color="auto" w:fill="auto"/>
        </w:rPr>
        <w:tab/>
      </w:r>
      <w:r>
        <w:rPr>
          <w:rFonts w:hint="default" w:ascii="Times New Roman" w:hAnsi="Times New Roman" w:cs="Times New Roman"/>
          <w:b/>
          <w:bCs/>
          <w:color w:val="auto"/>
          <w:sz w:val="32"/>
          <w:szCs w:val="32"/>
          <w:shd w:val="clear" w:color="auto" w:fill="auto"/>
          <w:lang w:val="en-US"/>
        </w:rPr>
        <w:t>AUGUST</w:t>
      </w:r>
      <w:r>
        <w:rPr>
          <w:rFonts w:hint="default" w:ascii="Times New Roman" w:hAnsi="Times New Roman" w:cs="Times New Roman"/>
          <w:b/>
          <w:bCs/>
          <w:color w:val="auto"/>
          <w:sz w:val="32"/>
          <w:szCs w:val="32"/>
          <w:shd w:val="clear" w:color="auto" w:fill="auto"/>
        </w:rPr>
        <w:t xml:space="preserve">, </w:t>
      </w:r>
      <w:r>
        <w:rPr>
          <w:rFonts w:hint="default" w:ascii="Times New Roman" w:hAnsi="Times New Roman" w:cs="Times New Roman"/>
          <w:b/>
          <w:bCs/>
          <w:color w:val="auto"/>
          <w:sz w:val="32"/>
          <w:szCs w:val="32"/>
          <w:shd w:val="clear" w:color="auto" w:fill="auto"/>
          <w:lang w:val="en-US"/>
        </w:rPr>
        <w:t>2025</w:t>
      </w:r>
    </w:p>
    <w:p w14:paraId="417D03D3">
      <w:pPr>
        <w:pStyle w:val="253"/>
        <w:spacing w:line="480" w:lineRule="auto"/>
        <w:jc w:val="center"/>
        <w:rPr>
          <w:rFonts w:ascii="Times New Roman" w:hAnsi="Times New Roman" w:cs="Times New Roman"/>
          <w:b w:val="0"/>
          <w:bCs/>
          <w:sz w:val="24"/>
          <w:szCs w:val="24"/>
        </w:rPr>
      </w:pPr>
      <w:r>
        <w:rPr>
          <w:rFonts w:hint="default" w:ascii="Times New Roman" w:hAnsi="Times New Roman" w:cs="Times New Roman"/>
          <w:b/>
          <w:color w:val="auto"/>
          <w:sz w:val="24"/>
          <w:szCs w:val="24"/>
          <w:shd w:val="clear" w:color="auto" w:fill="auto"/>
        </w:rPr>
        <w:br w:type="page"/>
      </w:r>
    </w:p>
    <w:p w14:paraId="3E47E5B9">
      <w:pPr>
        <w:pStyle w:val="253"/>
        <w:spacing w:line="480" w:lineRule="auto"/>
        <w:jc w:val="center"/>
        <w:rPr>
          <w:rFonts w:ascii="Times New Roman" w:hAnsi="Times New Roman" w:cs="Times New Roman"/>
          <w:b/>
          <w:sz w:val="24"/>
          <w:szCs w:val="24"/>
        </w:rPr>
      </w:pPr>
      <w:r>
        <w:rPr>
          <w:rFonts w:ascii="Times New Roman" w:hAnsi="Times New Roman" w:cs="Times New Roman"/>
          <w:b/>
          <w:sz w:val="24"/>
          <w:szCs w:val="24"/>
        </w:rPr>
        <w:t>Certification</w:t>
      </w:r>
    </w:p>
    <w:p w14:paraId="0C4F1B5E">
      <w:pPr>
        <w:spacing w:line="480" w:lineRule="auto"/>
        <w:jc w:val="both"/>
        <w:rPr>
          <w:rFonts w:ascii="Times New Roman" w:hAnsi="Times New Roman" w:cs="Times New Roman"/>
          <w:bCs/>
          <w:sz w:val="24"/>
          <w:szCs w:val="24"/>
        </w:rPr>
      </w:pPr>
      <w:r>
        <w:rPr>
          <w:rFonts w:ascii="Times New Roman" w:hAnsi="Times New Roman" w:cs="Times New Roman"/>
          <w:sz w:val="24"/>
          <w:szCs w:val="24"/>
        </w:rPr>
        <w:t xml:space="preserve">This is to certify that this project was carried out and submitted by </w:t>
      </w:r>
      <w:r>
        <w:rPr>
          <w:rFonts w:ascii="Times New Roman" w:hAnsi="Times New Roman" w:cs="Times New Roman"/>
          <w:b/>
          <w:bCs/>
          <w:sz w:val="24"/>
          <w:szCs w:val="24"/>
        </w:rPr>
        <w:t>Aliyu</w:t>
      </w:r>
      <w:r>
        <w:rPr>
          <w:rFonts w:ascii="Times New Roman" w:hAnsi="Times New Roman" w:cs="Times New Roman"/>
          <w:sz w:val="24"/>
          <w:szCs w:val="24"/>
        </w:rPr>
        <w:t xml:space="preserve"> </w:t>
      </w:r>
      <w:r>
        <w:rPr>
          <w:rFonts w:ascii="Times New Roman" w:hAnsi="Times New Roman" w:cs="Times New Roman"/>
          <w:b/>
          <w:sz w:val="24"/>
          <w:szCs w:val="24"/>
        </w:rPr>
        <w:t>Ayinla</w:t>
      </w:r>
      <w:r>
        <w:rPr>
          <w:rFonts w:hint="default" w:ascii="Times New Roman" w:hAnsi="Times New Roman" w:cs="Times New Roman"/>
          <w:b/>
          <w:sz w:val="24"/>
          <w:szCs w:val="24"/>
          <w:lang w:val="en-US"/>
        </w:rPr>
        <w:t xml:space="preserve"> </w:t>
      </w:r>
      <w:r>
        <w:rPr>
          <w:rFonts w:ascii="Times New Roman" w:hAnsi="Times New Roman" w:cs="Times New Roman"/>
          <w:b/>
          <w:bCs/>
          <w:sz w:val="24"/>
          <w:szCs w:val="24"/>
        </w:rPr>
        <w:t>Musa</w:t>
      </w:r>
      <w:r>
        <w:rPr>
          <w:rFonts w:ascii="Times New Roman" w:hAnsi="Times New Roman" w:cs="Times New Roman"/>
          <w:sz w:val="24"/>
          <w:szCs w:val="24"/>
        </w:rPr>
        <w:t xml:space="preserve">of Matric number </w:t>
      </w:r>
      <w:r>
        <w:rPr>
          <w:rFonts w:ascii="Times New Roman" w:hAnsi="Times New Roman" w:cs="Times New Roman"/>
          <w:b/>
          <w:bCs/>
          <w:sz w:val="24"/>
          <w:szCs w:val="24"/>
        </w:rPr>
        <w:t>ND/23/MPE/FT/0084</w:t>
      </w:r>
      <w:r>
        <w:rPr>
          <w:rFonts w:ascii="Times New Roman" w:hAnsi="Times New Roman" w:cs="Times New Roman"/>
          <w:bCs/>
          <w:sz w:val="24"/>
          <w:szCs w:val="24"/>
        </w:rPr>
        <w:t xml:space="preserve"> </w:t>
      </w:r>
      <w:r>
        <w:rPr>
          <w:rFonts w:ascii="Times New Roman" w:hAnsi="Times New Roman" w:cs="Times New Roman"/>
          <w:sz w:val="24"/>
          <w:szCs w:val="24"/>
        </w:rPr>
        <w:t>to the Department of Minerals and Petroleum Resources Engineering, Kwara State Polytechnic, Ilorin in partial fulfillment of the Requirement for the Award of National Diploma in Minerals and Petroleum Resources Engineering Technology.</w:t>
      </w:r>
    </w:p>
    <w:p w14:paraId="227A308C">
      <w:pPr>
        <w:pStyle w:val="253"/>
        <w:spacing w:line="480" w:lineRule="auto"/>
        <w:jc w:val="both"/>
        <w:rPr>
          <w:rFonts w:ascii="Times New Roman" w:hAnsi="Times New Roman" w:cs="Times New Roman"/>
          <w:sz w:val="24"/>
          <w:szCs w:val="24"/>
        </w:rPr>
      </w:pPr>
    </w:p>
    <w:p w14:paraId="7D9DBF40">
      <w:pPr>
        <w:pStyle w:val="253"/>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14:paraId="2DA85A84">
      <w:pPr>
        <w:pStyle w:val="253"/>
        <w:spacing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153F4C29">
      <w:pPr>
        <w:pStyle w:val="253"/>
        <w:spacing w:line="360" w:lineRule="auto"/>
        <w:jc w:val="both"/>
        <w:rPr>
          <w:rFonts w:ascii="Times New Roman" w:hAnsi="Times New Roman" w:cs="Times New Roman"/>
          <w:sz w:val="24"/>
          <w:szCs w:val="24"/>
        </w:rPr>
      </w:pPr>
      <w:r>
        <w:rPr>
          <w:rFonts w:hint="default" w:ascii="Times New Roman" w:hAnsi="Times New Roman" w:cs="Times New Roman"/>
          <w:sz w:val="24"/>
          <w:szCs w:val="24"/>
          <w:lang w:val="en-US"/>
        </w:rPr>
        <w:t>Engr. Odediran Olatunbosun 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Date</w:t>
      </w:r>
    </w:p>
    <w:p w14:paraId="05DD43FA">
      <w:pPr>
        <w:pStyle w:val="253"/>
        <w:spacing w:line="360" w:lineRule="auto"/>
        <w:jc w:val="both"/>
        <w:rPr>
          <w:rFonts w:ascii="Times New Roman" w:hAnsi="Times New Roman" w:cs="Times New Roman"/>
          <w:sz w:val="24"/>
          <w:szCs w:val="24"/>
        </w:rPr>
      </w:pPr>
      <w:r>
        <w:rPr>
          <w:rFonts w:ascii="Times New Roman" w:hAnsi="Times New Roman" w:cs="Times New Roman"/>
          <w:sz w:val="24"/>
          <w:szCs w:val="24"/>
        </w:rPr>
        <w:t>Project Supervisor</w:t>
      </w:r>
    </w:p>
    <w:p w14:paraId="1E88FC28">
      <w:pPr>
        <w:pStyle w:val="253"/>
        <w:spacing w:line="360" w:lineRule="auto"/>
        <w:jc w:val="both"/>
        <w:rPr>
          <w:rFonts w:ascii="Times New Roman" w:hAnsi="Times New Roman" w:cs="Times New Roman"/>
          <w:sz w:val="24"/>
          <w:szCs w:val="24"/>
        </w:rPr>
      </w:pPr>
    </w:p>
    <w:p w14:paraId="0F6FADAB">
      <w:pPr>
        <w:pStyle w:val="253"/>
        <w:spacing w:line="360" w:lineRule="auto"/>
        <w:jc w:val="both"/>
        <w:rPr>
          <w:rFonts w:ascii="Times New Roman" w:hAnsi="Times New Roman" w:cs="Times New Roman"/>
          <w:sz w:val="24"/>
          <w:szCs w:val="24"/>
        </w:rPr>
      </w:pPr>
    </w:p>
    <w:p w14:paraId="77C535ED">
      <w:pPr>
        <w:pStyle w:val="253"/>
        <w:spacing w:line="360" w:lineRule="auto"/>
        <w:jc w:val="both"/>
        <w:rPr>
          <w:rFonts w:ascii="Times New Roman" w:hAnsi="Times New Roman" w:cs="Times New Roman"/>
          <w:sz w:val="24"/>
          <w:szCs w:val="24"/>
        </w:rPr>
      </w:pPr>
    </w:p>
    <w:p w14:paraId="04ED4A0F">
      <w:pPr>
        <w:pStyle w:val="253"/>
        <w:spacing w:line="360" w:lineRule="auto"/>
        <w:jc w:val="both"/>
        <w:rPr>
          <w:rFonts w:ascii="Times New Roman" w:hAnsi="Times New Roman" w:cs="Times New Roman"/>
          <w:sz w:val="24"/>
          <w:szCs w:val="24"/>
        </w:rPr>
      </w:pPr>
    </w:p>
    <w:p w14:paraId="610FDFD2">
      <w:pPr>
        <w:pStyle w:val="253"/>
        <w:spacing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p>
    <w:p w14:paraId="6D24189C">
      <w:pPr>
        <w:pStyle w:val="253"/>
        <w:spacing w:line="360" w:lineRule="auto"/>
        <w:jc w:val="both"/>
        <w:rPr>
          <w:rFonts w:ascii="Times New Roman" w:hAnsi="Times New Roman" w:cs="Times New Roman"/>
          <w:sz w:val="24"/>
          <w:szCs w:val="24"/>
        </w:rPr>
      </w:pPr>
      <w:r>
        <w:rPr>
          <w:rFonts w:ascii="Times New Roman" w:hAnsi="Times New Roman" w:cs="Times New Roman"/>
          <w:sz w:val="24"/>
          <w:szCs w:val="24"/>
        </w:rPr>
        <w:t>Dr. J. A. Olatunji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Date</w:t>
      </w:r>
    </w:p>
    <w:p w14:paraId="5A1014E1">
      <w:pPr>
        <w:pStyle w:val="253"/>
        <w:spacing w:line="360" w:lineRule="auto"/>
        <w:jc w:val="both"/>
        <w:rPr>
          <w:rFonts w:ascii="Times New Roman" w:hAnsi="Times New Roman" w:cs="Times New Roman"/>
          <w:sz w:val="24"/>
          <w:szCs w:val="24"/>
        </w:rPr>
      </w:pPr>
      <w:r>
        <w:rPr>
          <w:rFonts w:ascii="Times New Roman" w:hAnsi="Times New Roman" w:cs="Times New Roman"/>
          <w:sz w:val="24"/>
          <w:szCs w:val="24"/>
        </w:rPr>
        <w:t>Head of Department</w:t>
      </w:r>
    </w:p>
    <w:p w14:paraId="57491BEC">
      <w:pPr>
        <w:pStyle w:val="253"/>
        <w:spacing w:line="360" w:lineRule="auto"/>
        <w:jc w:val="both"/>
        <w:rPr>
          <w:rFonts w:ascii="Times New Roman" w:hAnsi="Times New Roman" w:cs="Times New Roman"/>
          <w:sz w:val="24"/>
          <w:szCs w:val="24"/>
        </w:rPr>
      </w:pPr>
    </w:p>
    <w:p w14:paraId="6FEA8030">
      <w:pPr>
        <w:pStyle w:val="253"/>
        <w:spacing w:line="360" w:lineRule="auto"/>
        <w:jc w:val="both"/>
        <w:rPr>
          <w:rFonts w:ascii="Times New Roman" w:hAnsi="Times New Roman" w:cs="Times New Roman"/>
          <w:sz w:val="24"/>
          <w:szCs w:val="24"/>
        </w:rPr>
      </w:pPr>
    </w:p>
    <w:p w14:paraId="71429B19">
      <w:pPr>
        <w:pStyle w:val="253"/>
        <w:spacing w:line="360" w:lineRule="auto"/>
        <w:jc w:val="both"/>
        <w:rPr>
          <w:rFonts w:ascii="Times New Roman" w:hAnsi="Times New Roman" w:cs="Times New Roman"/>
          <w:sz w:val="24"/>
          <w:szCs w:val="24"/>
        </w:rPr>
      </w:pPr>
    </w:p>
    <w:p w14:paraId="526CA94E">
      <w:pPr>
        <w:pStyle w:val="253"/>
        <w:spacing w:line="360" w:lineRule="auto"/>
        <w:jc w:val="both"/>
        <w:rPr>
          <w:rFonts w:ascii="Times New Roman" w:hAnsi="Times New Roman" w:cs="Times New Roman"/>
          <w:sz w:val="24"/>
          <w:szCs w:val="24"/>
        </w:rPr>
      </w:pPr>
    </w:p>
    <w:p w14:paraId="2057E658">
      <w:pPr>
        <w:pStyle w:val="253"/>
        <w:spacing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                                    ………………………</w:t>
      </w:r>
    </w:p>
    <w:p w14:paraId="0A2E621F">
      <w:pPr>
        <w:pStyle w:val="253"/>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Engr. C.T. Oluwole</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ascii="Times New Roman" w:hAnsi="Times New Roman" w:cs="Times New Roman"/>
          <w:sz w:val="24"/>
          <w:szCs w:val="24"/>
        </w:rPr>
        <w:t>Date</w:t>
      </w:r>
    </w:p>
    <w:p w14:paraId="32A3C4AF">
      <w:pPr>
        <w:pStyle w:val="253"/>
        <w:spacing w:line="360" w:lineRule="auto"/>
        <w:jc w:val="both"/>
        <w:rPr>
          <w:rFonts w:ascii="Times New Roman" w:hAnsi="Times New Roman" w:cs="Times New Roman"/>
          <w:sz w:val="24"/>
          <w:szCs w:val="24"/>
        </w:rPr>
      </w:pPr>
      <w:r>
        <w:rPr>
          <w:rFonts w:ascii="Times New Roman" w:hAnsi="Times New Roman" w:cs="Times New Roman"/>
          <w:sz w:val="24"/>
          <w:szCs w:val="24"/>
        </w:rPr>
        <w:t>External Examiner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A892DB3">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sz w:val="24"/>
          <w:szCs w:val="24"/>
        </w:rPr>
      </w:pPr>
      <w:r>
        <w:rPr>
          <w:rFonts w:ascii="Times New Roman" w:hAnsi="Times New Roman" w:cs="Times New Roman"/>
          <w:sz w:val="24"/>
          <w:szCs w:val="24"/>
        </w:rPr>
        <w:t xml:space="preserve">                                                                                           </w:t>
      </w:r>
    </w:p>
    <w:p w14:paraId="1BCC9940">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sz w:val="24"/>
          <w:szCs w:val="24"/>
        </w:rPr>
      </w:pPr>
    </w:p>
    <w:p w14:paraId="5E0D0019">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sz w:val="24"/>
          <w:szCs w:val="24"/>
        </w:rPr>
      </w:pPr>
    </w:p>
    <w:p w14:paraId="572BCE30">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sz w:val="24"/>
          <w:szCs w:val="24"/>
        </w:rPr>
      </w:pPr>
    </w:p>
    <w:p w14:paraId="353463DB">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sz w:val="24"/>
          <w:szCs w:val="24"/>
        </w:rPr>
      </w:pPr>
    </w:p>
    <w:p w14:paraId="4723EADE">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DEDICATION</w:t>
      </w:r>
    </w:p>
    <w:p w14:paraId="42E73716">
      <w:pPr>
        <w:keepNext w:val="0"/>
        <w:keepLines w:val="0"/>
        <w:pageBreakBefore w:val="0"/>
        <w:widowControl/>
        <w:kinsoku/>
        <w:wordWrap/>
        <w:overflowPunct/>
        <w:topLinePunct w:val="0"/>
        <w:autoSpaceDE/>
        <w:autoSpaceDN/>
        <w:bidi w:val="0"/>
        <w:adjustRightInd/>
        <w:snapToGrid/>
        <w:spacing w:after="361" w:afterLines="100" w:line="360"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I dedicate project work to Almighty </w:t>
      </w:r>
      <w:r>
        <w:rPr>
          <w:rFonts w:hint="default" w:ascii="Times New Roman" w:hAnsi="Times New Roman" w:cs="Times New Roman"/>
          <w:color w:val="auto"/>
          <w:sz w:val="24"/>
          <w:szCs w:val="24"/>
          <w:shd w:val="clear" w:color="auto" w:fill="auto"/>
          <w:lang w:val="en-US"/>
        </w:rPr>
        <w:t xml:space="preserve">Allah </w:t>
      </w:r>
      <w:r>
        <w:rPr>
          <w:rFonts w:hint="default" w:ascii="Times New Roman" w:hAnsi="Times New Roman" w:cs="Times New Roman"/>
          <w:color w:val="auto"/>
          <w:sz w:val="24"/>
          <w:szCs w:val="24"/>
          <w:shd w:val="clear" w:color="auto" w:fill="auto"/>
        </w:rPr>
        <w:t>the giver of life, the giver of knowledge, the gracious the merciful for his love and protection over me throughout my program. May your name be glorified.</w:t>
      </w:r>
    </w:p>
    <w:p w14:paraId="5A5E06E4">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shd w:val="clear" w:color="auto" w:fill="auto"/>
        </w:rPr>
      </w:pPr>
    </w:p>
    <w:p w14:paraId="7CC51DD2">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shd w:val="clear" w:color="auto" w:fill="auto"/>
        </w:rPr>
      </w:pPr>
    </w:p>
    <w:p w14:paraId="0CFD9694">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shd w:val="clear" w:color="auto" w:fill="auto"/>
        </w:rPr>
      </w:pPr>
    </w:p>
    <w:p w14:paraId="71E2E829">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 </w:t>
      </w:r>
    </w:p>
    <w:p w14:paraId="79A6D438">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5ADB0446">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35FD13D6">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4EAC7A61">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15876D06">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16902EBC">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271F3CC9">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10F5871B">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08FBE119">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50B510BC">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25FABEFE">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720D0D1D">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7F764255">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53352930">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15D55A58">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0F8C2F1F">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6E75943D">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4B660881">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7EC9E669">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0BFECC9E">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600A168C">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78D28762">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637A5B56">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00A7E287">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ACKNOWLEDGMENT</w:t>
      </w:r>
    </w:p>
    <w:p w14:paraId="4B243267">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 would like to express my sincere gratitude to Almighty Allah for His grace, blessing and merciful. I am grateful to Almighty God for giving me the strength, knowledge and understanding to complete this project. His love has been more than sufficient to keep and sustain me.</w:t>
      </w:r>
    </w:p>
    <w:p w14:paraId="314A5838">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My profound gratitude goes to my wonderful supervisor </w:t>
      </w:r>
      <w:r>
        <w:rPr>
          <w:rFonts w:hint="default" w:ascii="Times New Roman" w:hAnsi="Times New Roman" w:cs="Times New Roman"/>
          <w:sz w:val="24"/>
          <w:szCs w:val="24"/>
          <w:lang w:val="en-US"/>
        </w:rPr>
        <w:t xml:space="preserve">Engr. Odediran Olatunbosun A. </w:t>
      </w:r>
      <w:r>
        <w:rPr>
          <w:rFonts w:hint="default" w:ascii="Times New Roman" w:hAnsi="Times New Roman" w:cs="Times New Roman"/>
          <w:b w:val="0"/>
          <w:bCs/>
          <w:sz w:val="24"/>
          <w:szCs w:val="24"/>
          <w:lang w:val="en-US"/>
        </w:rPr>
        <w:t xml:space="preserve"> for his invaluable support, patient, time and guidance in seeing me to the completion of this research work. Also my gratitude goes to my Head of Department </w:t>
      </w:r>
      <w:r>
        <w:rPr>
          <w:rFonts w:ascii="Times New Roman" w:hAnsi="Times New Roman" w:cs="Times New Roman"/>
          <w:sz w:val="24"/>
          <w:szCs w:val="24"/>
        </w:rPr>
        <w:t>Dr. J. A. Olatunji</w:t>
      </w:r>
      <w:r>
        <w:rPr>
          <w:rFonts w:hint="default" w:ascii="Times New Roman" w:hAnsi="Times New Roman" w:cs="Times New Roman"/>
          <w:b w:val="0"/>
          <w:bCs/>
          <w:sz w:val="24"/>
          <w:szCs w:val="24"/>
          <w:lang w:val="en-US"/>
        </w:rPr>
        <w:t xml:space="preserve"> who patiently saw me to the completion of this research work.</w:t>
      </w:r>
    </w:p>
    <w:p w14:paraId="0A8DD9CF">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 also extend gratitude and appreciation to my lecturers in department who taught me at one point or the other. May Almighty Allah continue to bless protect and guide you all.</w:t>
      </w:r>
    </w:p>
    <w:p w14:paraId="12C7B3CA">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I also wish to acknowledge the great support of my parents, Mr. &amp; Mrs. </w:t>
      </w:r>
      <w:r>
        <w:rPr>
          <w:rFonts w:hint="default" w:ascii="Times New Roman" w:hAnsi="Times New Roman" w:cs="Times New Roman"/>
          <w:b/>
          <w:bCs w:val="0"/>
          <w:sz w:val="24"/>
          <w:szCs w:val="24"/>
          <w:lang w:val="en-US"/>
        </w:rPr>
        <w:t xml:space="preserve">Ambali </w:t>
      </w:r>
      <w:r>
        <w:rPr>
          <w:rFonts w:hint="default" w:ascii="Times New Roman" w:hAnsi="Times New Roman" w:cs="Times New Roman"/>
          <w:b w:val="0"/>
          <w:bCs/>
          <w:sz w:val="24"/>
          <w:szCs w:val="24"/>
          <w:lang w:val="en-US"/>
        </w:rPr>
        <w:t>who have been my constant source of love support and inspiration throughout my academic journey. Your unwavering encouragement and belief in my abilities have been invaluable and I am grateful for the sacrifice you have made to help me to pursue my dreams. May you live long to eat the fruits of your labour.</w:t>
      </w:r>
    </w:p>
    <w:p w14:paraId="6F71AD14">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both"/>
        <w:textAlignment w:val="auto"/>
        <w:rPr>
          <w:rFonts w:hint="default" w:ascii="Times New Roman" w:hAnsi="Times New Roman"/>
          <w:b w:val="0"/>
          <w:bCs/>
          <w:sz w:val="24"/>
          <w:szCs w:val="24"/>
          <w:lang w:val="en-US"/>
        </w:rPr>
      </w:pPr>
      <w:r>
        <w:rPr>
          <w:rFonts w:hint="default" w:ascii="Times New Roman" w:hAnsi="Times New Roman"/>
          <w:b w:val="0"/>
          <w:bCs/>
          <w:sz w:val="24"/>
          <w:szCs w:val="24"/>
          <w:lang w:val="en-US"/>
        </w:rPr>
        <w:t xml:space="preserve">My Profound gratitude goes to my siblings, for his unwavering support and his sacrifice belief in me and i appreciate my baby sis looking up to me. </w:t>
      </w:r>
    </w:p>
    <w:p w14:paraId="52EC1085">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left"/>
        <w:textAlignment w:val="auto"/>
        <w:rPr>
          <w:rFonts w:hint="default" w:ascii="Times New Roman" w:hAnsi="Times New Roman"/>
          <w:b w:val="0"/>
          <w:bCs/>
          <w:sz w:val="24"/>
          <w:szCs w:val="24"/>
          <w:lang w:val="en-US"/>
        </w:rPr>
      </w:pPr>
      <w:r>
        <w:rPr>
          <w:rFonts w:hint="default" w:ascii="Times New Roman" w:hAnsi="Times New Roman"/>
          <w:b w:val="0"/>
          <w:bCs/>
          <w:sz w:val="24"/>
          <w:szCs w:val="24"/>
          <w:lang w:val="en-US"/>
        </w:rPr>
        <w:t>I cannot but appreciate my friends, I pray almighty Allah will reward you all abundantly.</w:t>
      </w:r>
    </w:p>
    <w:p w14:paraId="696CF8C7">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left"/>
        <w:textAlignment w:val="auto"/>
        <w:rPr>
          <w:rFonts w:hint="default" w:ascii="Times New Roman" w:hAnsi="Times New Roman"/>
          <w:b w:val="0"/>
          <w:bCs/>
          <w:sz w:val="24"/>
          <w:szCs w:val="24"/>
          <w:lang w:val="en-US"/>
        </w:rPr>
      </w:pPr>
    </w:p>
    <w:p w14:paraId="03F304F7">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left"/>
        <w:textAlignment w:val="auto"/>
        <w:rPr>
          <w:rFonts w:hint="default" w:ascii="Times New Roman" w:hAnsi="Times New Roman"/>
          <w:b w:val="0"/>
          <w:bCs/>
          <w:sz w:val="24"/>
          <w:szCs w:val="24"/>
          <w:lang w:val="en-US"/>
        </w:rPr>
      </w:pPr>
    </w:p>
    <w:p w14:paraId="10BBF35B">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left"/>
        <w:textAlignment w:val="auto"/>
        <w:rPr>
          <w:rFonts w:hint="default" w:ascii="Times New Roman" w:hAnsi="Times New Roman"/>
          <w:b w:val="0"/>
          <w:bCs/>
          <w:sz w:val="24"/>
          <w:szCs w:val="24"/>
          <w:lang w:val="en-US"/>
        </w:rPr>
      </w:pPr>
    </w:p>
    <w:p w14:paraId="0DE50BB4">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sz w:val="24"/>
          <w:szCs w:val="24"/>
        </w:rPr>
      </w:pPr>
    </w:p>
    <w:p w14:paraId="3DCAE924">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sz w:val="24"/>
          <w:szCs w:val="24"/>
        </w:rPr>
      </w:pPr>
    </w:p>
    <w:p w14:paraId="7683D4CE">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sz w:val="24"/>
          <w:szCs w:val="24"/>
        </w:rPr>
      </w:pPr>
    </w:p>
    <w:p w14:paraId="1EA6EC50">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sz w:val="24"/>
          <w:szCs w:val="24"/>
        </w:rPr>
      </w:pPr>
    </w:p>
    <w:p w14:paraId="7907722F">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sz w:val="24"/>
          <w:szCs w:val="24"/>
        </w:rPr>
      </w:pPr>
    </w:p>
    <w:p w14:paraId="24DF5412">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OF CONTENT</w:t>
      </w:r>
    </w:p>
    <w:p w14:paraId="633B1F8A">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CHAPTER ONE</w:t>
      </w:r>
    </w:p>
    <w:p w14:paraId="61AB3AAF">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w:t>
      </w:r>
      <w:r>
        <w:rPr>
          <w:rFonts w:hint="default" w:ascii="Times New Roman" w:hAnsi="Times New Roman" w:cs="Times New Roman"/>
          <w:b w:val="0"/>
          <w:bCs w:val="0"/>
          <w:sz w:val="24"/>
          <w:szCs w:val="24"/>
          <w:lang w:val="en-US"/>
        </w:rPr>
        <w:t>0</w:t>
      </w:r>
      <w:r>
        <w:rPr>
          <w:rFonts w:hint="default" w:ascii="Times New Roman" w:hAnsi="Times New Roman" w:cs="Times New Roman"/>
          <w:b w:val="0"/>
          <w:bCs w:val="0"/>
          <w:sz w:val="24"/>
          <w:szCs w:val="24"/>
        </w:rPr>
        <w:t xml:space="preserve"> introduction </w:t>
      </w:r>
    </w:p>
    <w:p w14:paraId="4E4DC7D8">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w:t>
      </w:r>
      <w:r>
        <w:rPr>
          <w:rFonts w:hint="default" w:ascii="Times New Roman" w:hAnsi="Times New Roman" w:cs="Times New Roman"/>
          <w:b w:val="0"/>
          <w:bCs w:val="0"/>
          <w:sz w:val="24"/>
          <w:szCs w:val="24"/>
          <w:lang w:val="en-US"/>
        </w:rPr>
        <w:t>1</w:t>
      </w:r>
      <w:r>
        <w:rPr>
          <w:rFonts w:hint="default" w:ascii="Times New Roman" w:hAnsi="Times New Roman" w:cs="Times New Roman"/>
          <w:b w:val="0"/>
          <w:bCs w:val="0"/>
          <w:sz w:val="24"/>
          <w:szCs w:val="24"/>
        </w:rPr>
        <w:t xml:space="preserve"> location and accessibility </w:t>
      </w:r>
    </w:p>
    <w:p w14:paraId="51763185">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1.2 Climate and vegetation</w:t>
      </w:r>
    </w:p>
    <w:p w14:paraId="549CE5D7">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1.3 relief and droinerge </w:t>
      </w:r>
    </w:p>
    <w:p w14:paraId="51402882">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1.4 aims and objective </w:t>
      </w:r>
    </w:p>
    <w:p w14:paraId="3CC66894">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1.5 statement of the problem </w:t>
      </w:r>
    </w:p>
    <w:p w14:paraId="69A33EFD">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1.6 justification  </w:t>
      </w:r>
    </w:p>
    <w:p w14:paraId="7287A035">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1.7 scop</w:t>
      </w:r>
      <w:r>
        <w:rPr>
          <w:rFonts w:hint="default" w:ascii="Times New Roman" w:hAnsi="Times New Roman" w:cs="Times New Roman"/>
          <w:b w:val="0"/>
          <w:bCs w:val="0"/>
          <w:sz w:val="24"/>
          <w:szCs w:val="24"/>
          <w:lang w:val="en-US"/>
        </w:rPr>
        <w:t>e</w:t>
      </w:r>
      <w:r>
        <w:rPr>
          <w:rFonts w:hint="default" w:ascii="Times New Roman" w:hAnsi="Times New Roman" w:cs="Times New Roman"/>
          <w:b w:val="0"/>
          <w:bCs w:val="0"/>
          <w:sz w:val="24"/>
          <w:szCs w:val="24"/>
        </w:rPr>
        <w:t xml:space="preserve"> and limitation </w:t>
      </w:r>
    </w:p>
    <w:p w14:paraId="569DD0AB">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CHAPTER TWO</w:t>
      </w:r>
      <w:r>
        <w:rPr>
          <w:rFonts w:hint="default" w:ascii="Times New Roman" w:hAnsi="Times New Roman" w:cs="Times New Roman"/>
          <w:b/>
          <w:bCs/>
          <w:sz w:val="24"/>
          <w:szCs w:val="24"/>
          <w:lang w:val="en-US"/>
        </w:rPr>
        <w:t>:</w:t>
      </w:r>
      <w:r>
        <w:rPr>
          <w:rFonts w:hint="default" w:ascii="Times New Roman" w:hAnsi="Times New Roman" w:cs="Times New Roman"/>
          <w:b/>
          <w:bCs/>
          <w:sz w:val="24"/>
          <w:szCs w:val="24"/>
        </w:rPr>
        <w:t xml:space="preserve"> LITERAT</w:t>
      </w:r>
      <w:r>
        <w:rPr>
          <w:rFonts w:hint="default" w:ascii="Times New Roman" w:hAnsi="Times New Roman" w:cs="Times New Roman"/>
          <w:b/>
          <w:bCs/>
          <w:sz w:val="24"/>
          <w:szCs w:val="24"/>
          <w:lang w:val="en-US"/>
        </w:rPr>
        <w:t>URE</w:t>
      </w:r>
      <w:r>
        <w:rPr>
          <w:rFonts w:hint="default" w:ascii="Times New Roman" w:hAnsi="Times New Roman" w:cs="Times New Roman"/>
          <w:b/>
          <w:bCs/>
          <w:sz w:val="24"/>
          <w:szCs w:val="24"/>
        </w:rPr>
        <w:t xml:space="preserve"> REVIEWS </w:t>
      </w:r>
    </w:p>
    <w:p w14:paraId="25A7EE42">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w:t>
      </w:r>
      <w:r>
        <w:rPr>
          <w:rFonts w:hint="default" w:ascii="Times New Roman" w:hAnsi="Times New Roman" w:cs="Times New Roman"/>
          <w:b w:val="0"/>
          <w:bCs w:val="0"/>
          <w:sz w:val="24"/>
          <w:szCs w:val="24"/>
          <w:lang w:val="en-US"/>
        </w:rPr>
        <w:t>0</w:t>
      </w:r>
      <w:r>
        <w:rPr>
          <w:rFonts w:hint="default" w:ascii="Times New Roman" w:hAnsi="Times New Roman" w:cs="Times New Roman"/>
          <w:b w:val="0"/>
          <w:bCs w:val="0"/>
          <w:sz w:val="24"/>
          <w:szCs w:val="24"/>
        </w:rPr>
        <w:t xml:space="preserve"> literature review </w:t>
      </w:r>
    </w:p>
    <w:p w14:paraId="617E49D0">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w:t>
      </w:r>
      <w:r>
        <w:rPr>
          <w:rFonts w:hint="default" w:ascii="Times New Roman" w:hAnsi="Times New Roman" w:cs="Times New Roman"/>
          <w:b w:val="0"/>
          <w:bCs w:val="0"/>
          <w:sz w:val="24"/>
          <w:szCs w:val="24"/>
          <w:lang w:val="en-US"/>
        </w:rPr>
        <w:t>1</w:t>
      </w:r>
      <w:r>
        <w:rPr>
          <w:rFonts w:hint="default" w:ascii="Times New Roman" w:hAnsi="Times New Roman" w:cs="Times New Roman"/>
          <w:b w:val="0"/>
          <w:bCs w:val="0"/>
          <w:sz w:val="24"/>
          <w:szCs w:val="24"/>
        </w:rPr>
        <w:t xml:space="preserve"> overview of laterite</w:t>
      </w:r>
    </w:p>
    <w:p w14:paraId="73F607EB">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w:t>
      </w:r>
      <w:r>
        <w:rPr>
          <w:rFonts w:hint="default" w:ascii="Times New Roman" w:hAnsi="Times New Roman" w:cs="Times New Roman"/>
          <w:b w:val="0"/>
          <w:bCs w:val="0"/>
          <w:sz w:val="24"/>
          <w:szCs w:val="24"/>
          <w:lang w:val="en-US"/>
        </w:rPr>
        <w:t>2</w:t>
      </w:r>
      <w:r>
        <w:rPr>
          <w:rFonts w:hint="default" w:ascii="Times New Roman" w:hAnsi="Times New Roman" w:cs="Times New Roman"/>
          <w:b w:val="0"/>
          <w:bCs w:val="0"/>
          <w:sz w:val="24"/>
          <w:szCs w:val="24"/>
        </w:rPr>
        <w:t xml:space="preserve"> formation and occurrence of laterite </w:t>
      </w:r>
    </w:p>
    <w:p w14:paraId="6BC4F528">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w:t>
      </w:r>
      <w:r>
        <w:rPr>
          <w:rFonts w:hint="default" w:ascii="Times New Roman" w:hAnsi="Times New Roman" w:cs="Times New Roman"/>
          <w:b w:val="0"/>
          <w:bCs w:val="0"/>
          <w:sz w:val="24"/>
          <w:szCs w:val="24"/>
          <w:lang w:val="en-US"/>
        </w:rPr>
        <w:t>3</w:t>
      </w:r>
      <w:r>
        <w:rPr>
          <w:rFonts w:hint="default" w:ascii="Times New Roman" w:hAnsi="Times New Roman" w:cs="Times New Roman"/>
          <w:b w:val="0"/>
          <w:bCs w:val="0"/>
          <w:sz w:val="24"/>
          <w:szCs w:val="24"/>
        </w:rPr>
        <w:t xml:space="preserve"> regional d</w:t>
      </w:r>
      <w:r>
        <w:rPr>
          <w:rFonts w:hint="default" w:ascii="Times New Roman" w:hAnsi="Times New Roman" w:cs="Times New Roman"/>
          <w:b w:val="0"/>
          <w:bCs w:val="0"/>
          <w:sz w:val="24"/>
          <w:szCs w:val="24"/>
          <w:lang w:val="en-US"/>
        </w:rPr>
        <w:t>e</w:t>
      </w:r>
      <w:r>
        <w:rPr>
          <w:rFonts w:hint="default" w:ascii="Times New Roman" w:hAnsi="Times New Roman" w:cs="Times New Roman"/>
          <w:b w:val="0"/>
          <w:bCs w:val="0"/>
          <w:sz w:val="24"/>
          <w:szCs w:val="24"/>
        </w:rPr>
        <w:t xml:space="preserve">struction of laterite </w:t>
      </w:r>
    </w:p>
    <w:p w14:paraId="09577664">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w:t>
      </w:r>
      <w:r>
        <w:rPr>
          <w:rFonts w:hint="default" w:ascii="Times New Roman" w:hAnsi="Times New Roman" w:cs="Times New Roman"/>
          <w:b w:val="0"/>
          <w:bCs w:val="0"/>
          <w:sz w:val="24"/>
          <w:szCs w:val="24"/>
          <w:lang w:val="en-US"/>
        </w:rPr>
        <w:t>4</w:t>
      </w:r>
      <w:r>
        <w:rPr>
          <w:rFonts w:hint="default" w:ascii="Times New Roman" w:hAnsi="Times New Roman" w:cs="Times New Roman"/>
          <w:b w:val="0"/>
          <w:bCs w:val="0"/>
          <w:sz w:val="24"/>
          <w:szCs w:val="24"/>
        </w:rPr>
        <w:t xml:space="preserve"> characteristics of laterite </w:t>
      </w:r>
    </w:p>
    <w:p w14:paraId="26DE6297">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w:t>
      </w:r>
      <w:r>
        <w:rPr>
          <w:rFonts w:hint="default" w:ascii="Times New Roman" w:hAnsi="Times New Roman" w:cs="Times New Roman"/>
          <w:b w:val="0"/>
          <w:bCs w:val="0"/>
          <w:sz w:val="24"/>
          <w:szCs w:val="24"/>
          <w:lang w:val="en-US"/>
        </w:rPr>
        <w:t>5</w:t>
      </w:r>
      <w:r>
        <w:rPr>
          <w:rFonts w:hint="default" w:ascii="Times New Roman" w:hAnsi="Times New Roman" w:cs="Times New Roman"/>
          <w:b w:val="0"/>
          <w:bCs w:val="0"/>
          <w:sz w:val="24"/>
          <w:szCs w:val="24"/>
        </w:rPr>
        <w:t xml:space="preserve"> attebe</w:t>
      </w:r>
      <w:r>
        <w:rPr>
          <w:rFonts w:hint="default" w:ascii="Times New Roman" w:hAnsi="Times New Roman" w:cs="Times New Roman"/>
          <w:b w:val="0"/>
          <w:bCs w:val="0"/>
          <w:sz w:val="24"/>
          <w:szCs w:val="24"/>
          <w:lang w:val="en-US"/>
        </w:rPr>
        <w:t>r</w:t>
      </w:r>
      <w:r>
        <w:rPr>
          <w:rFonts w:hint="default" w:ascii="Times New Roman" w:hAnsi="Times New Roman" w:cs="Times New Roman"/>
          <w:b w:val="0"/>
          <w:bCs w:val="0"/>
          <w:sz w:val="24"/>
          <w:szCs w:val="24"/>
        </w:rPr>
        <w:t xml:space="preserve">g limits </w:t>
      </w:r>
    </w:p>
    <w:p w14:paraId="0B4FCAE2">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w:t>
      </w:r>
      <w:r>
        <w:rPr>
          <w:rFonts w:hint="default" w:ascii="Times New Roman" w:hAnsi="Times New Roman" w:cs="Times New Roman"/>
          <w:b w:val="0"/>
          <w:bCs w:val="0"/>
          <w:sz w:val="24"/>
          <w:szCs w:val="24"/>
          <w:lang w:val="en-US"/>
        </w:rPr>
        <w:t>6</w:t>
      </w:r>
      <w:r>
        <w:rPr>
          <w:rFonts w:hint="default" w:ascii="Times New Roman" w:hAnsi="Times New Roman" w:cs="Times New Roman"/>
          <w:b w:val="0"/>
          <w:bCs w:val="0"/>
          <w:sz w:val="24"/>
          <w:szCs w:val="24"/>
        </w:rPr>
        <w:t xml:space="preserve"> copration </w:t>
      </w:r>
    </w:p>
    <w:p w14:paraId="5268AB21">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w:t>
      </w:r>
      <w:r>
        <w:rPr>
          <w:rFonts w:hint="default" w:ascii="Times New Roman" w:hAnsi="Times New Roman" w:cs="Times New Roman"/>
          <w:b w:val="0"/>
          <w:bCs w:val="0"/>
          <w:sz w:val="24"/>
          <w:szCs w:val="24"/>
          <w:lang w:val="en-US"/>
        </w:rPr>
        <w:t>7</w:t>
      </w:r>
      <w:r>
        <w:rPr>
          <w:rFonts w:hint="default" w:ascii="Times New Roman" w:hAnsi="Times New Roman" w:cs="Times New Roman"/>
          <w:b w:val="0"/>
          <w:bCs w:val="0"/>
          <w:sz w:val="24"/>
          <w:szCs w:val="24"/>
        </w:rPr>
        <w:t xml:space="preserve"> sieve analysis </w:t>
      </w:r>
    </w:p>
    <w:p w14:paraId="073A5108">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CHAPTER THREE</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 xml:space="preserve">METHODOLOGY </w:t>
      </w:r>
    </w:p>
    <w:p w14:paraId="1E0D3F79">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w:t>
      </w:r>
      <w:r>
        <w:rPr>
          <w:rFonts w:hint="default" w:ascii="Times New Roman" w:hAnsi="Times New Roman" w:cs="Times New Roman"/>
          <w:b w:val="0"/>
          <w:bCs w:val="0"/>
          <w:sz w:val="24"/>
          <w:szCs w:val="24"/>
          <w:lang w:val="en-US"/>
        </w:rPr>
        <w:t>0</w:t>
      </w:r>
      <w:r>
        <w:rPr>
          <w:rFonts w:hint="default" w:ascii="Times New Roman" w:hAnsi="Times New Roman" w:cs="Times New Roman"/>
          <w:b w:val="0"/>
          <w:bCs w:val="0"/>
          <w:sz w:val="24"/>
          <w:szCs w:val="24"/>
        </w:rPr>
        <w:t xml:space="preserve"> research memodology </w:t>
      </w:r>
    </w:p>
    <w:p w14:paraId="10EC3B23">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w:t>
      </w:r>
      <w:r>
        <w:rPr>
          <w:rFonts w:hint="default" w:ascii="Times New Roman" w:hAnsi="Times New Roman" w:cs="Times New Roman"/>
          <w:b w:val="0"/>
          <w:bCs w:val="0"/>
          <w:sz w:val="24"/>
          <w:szCs w:val="24"/>
          <w:lang w:val="en-US"/>
        </w:rPr>
        <w:t>1</w:t>
      </w:r>
      <w:r>
        <w:rPr>
          <w:rFonts w:hint="default" w:ascii="Times New Roman" w:hAnsi="Times New Roman" w:cs="Times New Roman"/>
          <w:b w:val="0"/>
          <w:bCs w:val="0"/>
          <w:sz w:val="24"/>
          <w:szCs w:val="24"/>
        </w:rPr>
        <w:t xml:space="preserve"> collection of sample </w:t>
      </w:r>
    </w:p>
    <w:p w14:paraId="5ACC4071">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w:t>
      </w:r>
      <w:r>
        <w:rPr>
          <w:rFonts w:hint="default" w:ascii="Times New Roman" w:hAnsi="Times New Roman" w:cs="Times New Roman"/>
          <w:b w:val="0"/>
          <w:bCs w:val="0"/>
          <w:sz w:val="24"/>
          <w:szCs w:val="24"/>
          <w:lang w:val="en-US"/>
        </w:rPr>
        <w:t>2</w:t>
      </w:r>
      <w:r>
        <w:rPr>
          <w:rFonts w:hint="default" w:ascii="Times New Roman" w:hAnsi="Times New Roman" w:cs="Times New Roman"/>
          <w:b w:val="0"/>
          <w:bCs w:val="0"/>
          <w:sz w:val="24"/>
          <w:szCs w:val="24"/>
        </w:rPr>
        <w:t xml:space="preserve"> pr</w:t>
      </w:r>
      <w:r>
        <w:rPr>
          <w:rFonts w:hint="default" w:ascii="Times New Roman" w:hAnsi="Times New Roman" w:cs="Times New Roman"/>
          <w:b w:val="0"/>
          <w:bCs w:val="0"/>
          <w:sz w:val="24"/>
          <w:szCs w:val="24"/>
          <w:lang w:val="en-US"/>
        </w:rPr>
        <w:t>epara</w:t>
      </w:r>
      <w:r>
        <w:rPr>
          <w:rFonts w:hint="default" w:ascii="Times New Roman" w:hAnsi="Times New Roman" w:cs="Times New Roman"/>
          <w:b w:val="0"/>
          <w:bCs w:val="0"/>
          <w:sz w:val="24"/>
          <w:szCs w:val="24"/>
        </w:rPr>
        <w:t xml:space="preserve">tion of </w:t>
      </w:r>
      <w:r>
        <w:rPr>
          <w:rFonts w:hint="default" w:ascii="Times New Roman" w:hAnsi="Times New Roman" w:cs="Times New Roman"/>
          <w:b w:val="0"/>
          <w:bCs w:val="0"/>
          <w:sz w:val="24"/>
          <w:szCs w:val="24"/>
          <w:lang w:val="en-US"/>
        </w:rPr>
        <w:t>disturbed</w:t>
      </w:r>
      <w:r>
        <w:rPr>
          <w:rFonts w:hint="default" w:ascii="Times New Roman" w:hAnsi="Times New Roman" w:cs="Times New Roman"/>
          <w:b w:val="0"/>
          <w:bCs w:val="0"/>
          <w:sz w:val="24"/>
          <w:szCs w:val="24"/>
        </w:rPr>
        <w:t xml:space="preserve"> samples  </w:t>
      </w:r>
    </w:p>
    <w:p w14:paraId="07895AE3">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w:t>
      </w:r>
      <w:r>
        <w:rPr>
          <w:rFonts w:hint="default" w:ascii="Times New Roman" w:hAnsi="Times New Roman" w:cs="Times New Roman"/>
          <w:b w:val="0"/>
          <w:bCs w:val="0"/>
          <w:sz w:val="24"/>
          <w:szCs w:val="24"/>
          <w:lang w:val="en-US"/>
        </w:rPr>
        <w:t>3</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en-US"/>
        </w:rPr>
        <w:t>laboratory</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en-US"/>
        </w:rPr>
        <w:t>procedures</w:t>
      </w:r>
      <w:r>
        <w:rPr>
          <w:rFonts w:hint="default" w:ascii="Times New Roman" w:hAnsi="Times New Roman" w:cs="Times New Roman"/>
          <w:b w:val="0"/>
          <w:bCs w:val="0"/>
          <w:sz w:val="24"/>
          <w:szCs w:val="24"/>
        </w:rPr>
        <w:t xml:space="preserve"> </w:t>
      </w:r>
    </w:p>
    <w:p w14:paraId="51CF067C">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w:t>
      </w:r>
      <w:r>
        <w:rPr>
          <w:rFonts w:hint="default" w:ascii="Times New Roman" w:hAnsi="Times New Roman" w:cs="Times New Roman"/>
          <w:b w:val="0"/>
          <w:bCs w:val="0"/>
          <w:sz w:val="24"/>
          <w:szCs w:val="24"/>
          <w:lang w:val="en-US"/>
        </w:rPr>
        <w:t>4</w:t>
      </w:r>
      <w:r>
        <w:rPr>
          <w:rFonts w:hint="default" w:ascii="Times New Roman" w:hAnsi="Times New Roman" w:cs="Times New Roman"/>
          <w:b w:val="0"/>
          <w:bCs w:val="0"/>
          <w:sz w:val="24"/>
          <w:szCs w:val="24"/>
        </w:rPr>
        <w:t xml:space="preserve"> grain size distributor tests </w:t>
      </w:r>
    </w:p>
    <w:p w14:paraId="367540B2">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w:t>
      </w:r>
      <w:r>
        <w:rPr>
          <w:rFonts w:hint="default" w:ascii="Times New Roman" w:hAnsi="Times New Roman" w:cs="Times New Roman"/>
          <w:b w:val="0"/>
          <w:bCs w:val="0"/>
          <w:sz w:val="24"/>
          <w:szCs w:val="24"/>
          <w:lang w:val="en-US"/>
        </w:rPr>
        <w:t>5</w:t>
      </w:r>
      <w:r>
        <w:rPr>
          <w:rFonts w:hint="default" w:ascii="Times New Roman" w:hAnsi="Times New Roman" w:cs="Times New Roman"/>
          <w:b w:val="0"/>
          <w:bCs w:val="0"/>
          <w:sz w:val="24"/>
          <w:szCs w:val="24"/>
        </w:rPr>
        <w:t xml:space="preserve"> attebe</w:t>
      </w:r>
      <w:r>
        <w:rPr>
          <w:rFonts w:hint="default" w:ascii="Times New Roman" w:hAnsi="Times New Roman" w:cs="Times New Roman"/>
          <w:b w:val="0"/>
          <w:bCs w:val="0"/>
          <w:sz w:val="24"/>
          <w:szCs w:val="24"/>
          <w:lang w:val="en-US"/>
        </w:rPr>
        <w:t>r</w:t>
      </w:r>
      <w:r>
        <w:rPr>
          <w:rFonts w:hint="default" w:ascii="Times New Roman" w:hAnsi="Times New Roman" w:cs="Times New Roman"/>
          <w:b w:val="0"/>
          <w:bCs w:val="0"/>
          <w:sz w:val="24"/>
          <w:szCs w:val="24"/>
        </w:rPr>
        <w:t xml:space="preserve">g limits test </w:t>
      </w:r>
    </w:p>
    <w:p w14:paraId="5007EC98">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w:t>
      </w:r>
      <w:r>
        <w:rPr>
          <w:rFonts w:hint="default" w:ascii="Times New Roman" w:hAnsi="Times New Roman" w:cs="Times New Roman"/>
          <w:b w:val="0"/>
          <w:bCs w:val="0"/>
          <w:sz w:val="24"/>
          <w:szCs w:val="24"/>
          <w:lang w:val="en-US"/>
        </w:rPr>
        <w:t>6</w:t>
      </w:r>
      <w:r>
        <w:rPr>
          <w:rFonts w:hint="default" w:ascii="Times New Roman" w:hAnsi="Times New Roman" w:cs="Times New Roman"/>
          <w:b w:val="0"/>
          <w:bCs w:val="0"/>
          <w:sz w:val="24"/>
          <w:szCs w:val="24"/>
        </w:rPr>
        <w:t xml:space="preserve"> compaction test </w:t>
      </w:r>
    </w:p>
    <w:p w14:paraId="002565CE">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w:t>
      </w:r>
      <w:r>
        <w:rPr>
          <w:rFonts w:hint="default" w:ascii="Times New Roman" w:hAnsi="Times New Roman" w:cs="Times New Roman"/>
          <w:b w:val="0"/>
          <w:bCs w:val="0"/>
          <w:sz w:val="24"/>
          <w:szCs w:val="24"/>
          <w:lang w:val="en-US"/>
        </w:rPr>
        <w:t xml:space="preserve">7 </w:t>
      </w:r>
      <w:r>
        <w:rPr>
          <w:rFonts w:hint="default" w:ascii="Times New Roman" w:hAnsi="Times New Roman" w:cs="Times New Roman"/>
          <w:b w:val="0"/>
          <w:bCs w:val="0"/>
          <w:sz w:val="24"/>
          <w:szCs w:val="24"/>
        </w:rPr>
        <w:t xml:space="preserve">moisture contest test </w:t>
      </w:r>
    </w:p>
    <w:p w14:paraId="7B3F30F1">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w:t>
      </w:r>
      <w:r>
        <w:rPr>
          <w:rFonts w:hint="default" w:ascii="Times New Roman" w:hAnsi="Times New Roman" w:cs="Times New Roman"/>
          <w:b w:val="0"/>
          <w:bCs w:val="0"/>
          <w:sz w:val="24"/>
          <w:szCs w:val="24"/>
          <w:lang w:val="en-US"/>
        </w:rPr>
        <w:t>8</w:t>
      </w:r>
      <w:r>
        <w:rPr>
          <w:rFonts w:hint="default" w:ascii="Times New Roman" w:hAnsi="Times New Roman" w:cs="Times New Roman"/>
          <w:b w:val="0"/>
          <w:bCs w:val="0"/>
          <w:sz w:val="24"/>
          <w:szCs w:val="24"/>
        </w:rPr>
        <w:t xml:space="preserve"> specific </w:t>
      </w:r>
      <w:r>
        <w:rPr>
          <w:rFonts w:hint="default" w:ascii="Times New Roman" w:hAnsi="Times New Roman" w:cs="Times New Roman"/>
          <w:b w:val="0"/>
          <w:bCs w:val="0"/>
          <w:sz w:val="24"/>
          <w:szCs w:val="24"/>
          <w:lang w:val="en-US"/>
        </w:rPr>
        <w:t>ca</w:t>
      </w:r>
      <w:r>
        <w:rPr>
          <w:rFonts w:hint="default" w:ascii="Times New Roman" w:hAnsi="Times New Roman" w:cs="Times New Roman"/>
          <w:b w:val="0"/>
          <w:bCs w:val="0"/>
          <w:sz w:val="24"/>
          <w:szCs w:val="24"/>
        </w:rPr>
        <w:t xml:space="preserve">rainly test </w:t>
      </w:r>
    </w:p>
    <w:p w14:paraId="42F9A5E8">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w:t>
      </w:r>
      <w:r>
        <w:rPr>
          <w:rFonts w:hint="default" w:ascii="Times New Roman" w:hAnsi="Times New Roman" w:cs="Times New Roman"/>
          <w:b w:val="0"/>
          <w:bCs w:val="0"/>
          <w:sz w:val="24"/>
          <w:szCs w:val="24"/>
          <w:lang w:val="en-US"/>
        </w:rPr>
        <w:t>9</w:t>
      </w:r>
      <w:r>
        <w:rPr>
          <w:rFonts w:hint="default" w:ascii="Times New Roman" w:hAnsi="Times New Roman" w:cs="Times New Roman"/>
          <w:b w:val="0"/>
          <w:bCs w:val="0"/>
          <w:sz w:val="24"/>
          <w:szCs w:val="24"/>
        </w:rPr>
        <w:t xml:space="preserve"> bulk density test </w:t>
      </w:r>
    </w:p>
    <w:p w14:paraId="36524D9A">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CHAPTER FOUR</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 xml:space="preserve">RESULT AND DISCUSSION </w:t>
      </w:r>
    </w:p>
    <w:p w14:paraId="356869A1">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4.</w:t>
      </w:r>
      <w:r>
        <w:rPr>
          <w:rFonts w:hint="default" w:ascii="Times New Roman" w:hAnsi="Times New Roman" w:cs="Times New Roman"/>
          <w:b w:val="0"/>
          <w:bCs w:val="0"/>
          <w:sz w:val="24"/>
          <w:szCs w:val="24"/>
          <w:lang w:val="en-US"/>
        </w:rPr>
        <w:t>0</w:t>
      </w:r>
      <w:r>
        <w:rPr>
          <w:rFonts w:hint="default" w:ascii="Times New Roman" w:hAnsi="Times New Roman" w:cs="Times New Roman"/>
          <w:b w:val="0"/>
          <w:bCs w:val="0"/>
          <w:sz w:val="24"/>
          <w:szCs w:val="24"/>
        </w:rPr>
        <w:t xml:space="preserve"> results and discussion </w:t>
      </w:r>
    </w:p>
    <w:p w14:paraId="1BB2ED67">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4.</w:t>
      </w:r>
      <w:r>
        <w:rPr>
          <w:rFonts w:hint="default" w:ascii="Times New Roman" w:hAnsi="Times New Roman" w:cs="Times New Roman"/>
          <w:b w:val="0"/>
          <w:bCs w:val="0"/>
          <w:sz w:val="24"/>
          <w:szCs w:val="24"/>
          <w:lang w:val="en-US"/>
        </w:rPr>
        <w:t>1</w:t>
      </w:r>
      <w:r>
        <w:rPr>
          <w:rFonts w:hint="default" w:ascii="Times New Roman" w:hAnsi="Times New Roman" w:cs="Times New Roman"/>
          <w:b w:val="0"/>
          <w:bCs w:val="0"/>
          <w:sz w:val="24"/>
          <w:szCs w:val="24"/>
        </w:rPr>
        <w:t xml:space="preserve"> results of moisture content test </w:t>
      </w:r>
    </w:p>
    <w:p w14:paraId="2A3EA1BB">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4.</w:t>
      </w:r>
      <w:r>
        <w:rPr>
          <w:rFonts w:hint="default" w:ascii="Times New Roman" w:hAnsi="Times New Roman" w:cs="Times New Roman"/>
          <w:b w:val="0"/>
          <w:bCs w:val="0"/>
          <w:sz w:val="24"/>
          <w:szCs w:val="24"/>
          <w:lang w:val="en-US"/>
        </w:rPr>
        <w:t>2</w:t>
      </w:r>
      <w:r>
        <w:rPr>
          <w:rFonts w:hint="default" w:ascii="Times New Roman" w:hAnsi="Times New Roman" w:cs="Times New Roman"/>
          <w:b w:val="0"/>
          <w:bCs w:val="0"/>
          <w:sz w:val="24"/>
          <w:szCs w:val="24"/>
        </w:rPr>
        <w:t xml:space="preserve"> results of attending limit test </w:t>
      </w:r>
    </w:p>
    <w:p w14:paraId="23E885B9">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4.</w:t>
      </w:r>
      <w:r>
        <w:rPr>
          <w:rFonts w:hint="default" w:ascii="Times New Roman" w:hAnsi="Times New Roman" w:cs="Times New Roman"/>
          <w:b w:val="0"/>
          <w:bCs w:val="0"/>
          <w:sz w:val="24"/>
          <w:szCs w:val="24"/>
          <w:lang w:val="en-US"/>
        </w:rPr>
        <w:t>3</w:t>
      </w:r>
      <w:r>
        <w:rPr>
          <w:rFonts w:hint="default" w:ascii="Times New Roman" w:hAnsi="Times New Roman" w:cs="Times New Roman"/>
          <w:b w:val="0"/>
          <w:bCs w:val="0"/>
          <w:sz w:val="24"/>
          <w:szCs w:val="24"/>
        </w:rPr>
        <w:t xml:space="preserve"> results of compaction test </w:t>
      </w:r>
    </w:p>
    <w:p w14:paraId="6AB97B86">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4.</w:t>
      </w:r>
      <w:r>
        <w:rPr>
          <w:rFonts w:hint="default" w:ascii="Times New Roman" w:hAnsi="Times New Roman" w:cs="Times New Roman"/>
          <w:b w:val="0"/>
          <w:bCs w:val="0"/>
          <w:sz w:val="24"/>
          <w:szCs w:val="24"/>
          <w:lang w:val="en-US"/>
        </w:rPr>
        <w:t>4</w:t>
      </w:r>
      <w:r>
        <w:rPr>
          <w:rFonts w:hint="default" w:ascii="Times New Roman" w:hAnsi="Times New Roman" w:cs="Times New Roman"/>
          <w:b w:val="0"/>
          <w:bCs w:val="0"/>
          <w:sz w:val="24"/>
          <w:szCs w:val="24"/>
        </w:rPr>
        <w:t xml:space="preserve"> results of arain size analysis </w:t>
      </w:r>
    </w:p>
    <w:p w14:paraId="2D661170">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4,5 Relationship between some index properties of Laterite and selected engineering properties</w:t>
      </w:r>
    </w:p>
    <w:p w14:paraId="262C7EB7">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CHAPTER FIVE</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 xml:space="preserve">CONCLUSION AND RECOMMENDATION </w:t>
      </w:r>
    </w:p>
    <w:p w14:paraId="7C9AB925">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5</w:t>
      </w:r>
      <w:r>
        <w:rPr>
          <w:rFonts w:hint="default" w:ascii="Times New Roman" w:hAnsi="Times New Roman" w:cs="Times New Roman"/>
          <w:b w:val="0"/>
          <w:bCs w:val="0"/>
          <w:sz w:val="24"/>
          <w:szCs w:val="24"/>
          <w:lang w:val="en-US"/>
        </w:rPr>
        <w:t>.0</w:t>
      </w:r>
      <w:r>
        <w:rPr>
          <w:rFonts w:hint="default" w:ascii="Times New Roman" w:hAnsi="Times New Roman" w:cs="Times New Roman"/>
          <w:b w:val="0"/>
          <w:bCs w:val="0"/>
          <w:sz w:val="24"/>
          <w:szCs w:val="24"/>
        </w:rPr>
        <w:t xml:space="preserve"> Conclusion </w:t>
      </w:r>
    </w:p>
    <w:p w14:paraId="10C6B46D">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5</w:t>
      </w:r>
      <w:r>
        <w:rPr>
          <w:rFonts w:hint="default" w:ascii="Times New Roman" w:hAnsi="Times New Roman" w:cs="Times New Roman"/>
          <w:b w:val="0"/>
          <w:bCs w:val="0"/>
          <w:sz w:val="24"/>
          <w:szCs w:val="24"/>
          <w:lang w:val="en-US"/>
        </w:rPr>
        <w:t>.1</w:t>
      </w:r>
      <w:r>
        <w:rPr>
          <w:rFonts w:hint="default" w:ascii="Times New Roman" w:hAnsi="Times New Roman" w:cs="Times New Roman"/>
          <w:b w:val="0"/>
          <w:bCs w:val="0"/>
          <w:sz w:val="24"/>
          <w:szCs w:val="24"/>
        </w:rPr>
        <w:t xml:space="preserve"> Recommendation </w:t>
      </w:r>
    </w:p>
    <w:p w14:paraId="62B18F2C">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5</w:t>
      </w:r>
      <w:r>
        <w:rPr>
          <w:rFonts w:hint="default" w:ascii="Times New Roman" w:hAnsi="Times New Roman" w:cs="Times New Roman"/>
          <w:b w:val="0"/>
          <w:bCs w:val="0"/>
          <w:sz w:val="24"/>
          <w:szCs w:val="24"/>
          <w:lang w:val="en-US"/>
        </w:rPr>
        <w:t>.2</w:t>
      </w:r>
      <w:r>
        <w:rPr>
          <w:rFonts w:hint="default" w:ascii="Times New Roman" w:hAnsi="Times New Roman" w:cs="Times New Roman"/>
          <w:b w:val="0"/>
          <w:bCs w:val="0"/>
          <w:sz w:val="24"/>
          <w:szCs w:val="24"/>
        </w:rPr>
        <w:t xml:space="preserve"> References </w:t>
      </w:r>
    </w:p>
    <w:p w14:paraId="45AD48D1">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p>
    <w:p w14:paraId="152F0B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line="360" w:lineRule="auto"/>
        <w:ind w:left="0" w:right="0"/>
        <w:jc w:val="center"/>
        <w:rPr>
          <w:rStyle w:val="92"/>
          <w:rFonts w:hint="default" w:ascii="Times New Roman" w:hAnsi="Times New Roman" w:cs="Times New Roman"/>
          <w:b/>
          <w:bCs/>
          <w:color w:val="0D0D0D"/>
          <w:sz w:val="24"/>
          <w:szCs w:val="24"/>
        </w:rPr>
      </w:pPr>
    </w:p>
    <w:p w14:paraId="37906C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line="360" w:lineRule="auto"/>
        <w:ind w:left="0" w:right="0"/>
        <w:jc w:val="both"/>
        <w:rPr>
          <w:rStyle w:val="92"/>
          <w:rFonts w:hint="default" w:ascii="Times New Roman" w:hAnsi="Times New Roman" w:cs="Times New Roman"/>
          <w:b/>
          <w:bCs/>
          <w:color w:val="0D0D0D"/>
          <w:sz w:val="24"/>
          <w:szCs w:val="24"/>
        </w:rPr>
      </w:pPr>
    </w:p>
    <w:p w14:paraId="0335F8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line="360" w:lineRule="auto"/>
        <w:ind w:left="0" w:right="0"/>
        <w:jc w:val="center"/>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Abstract</w:t>
      </w:r>
    </w:p>
    <w:p w14:paraId="6B0F27BA">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line="360" w:lineRule="auto"/>
        <w:ind w:left="0" w:right="0"/>
        <w:jc w:val="both"/>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This research investigates the relationship between selected </w:t>
      </w:r>
      <w:r>
        <w:rPr>
          <w:rStyle w:val="92"/>
          <w:rFonts w:hint="default" w:ascii="Times New Roman" w:hAnsi="Times New Roman" w:cs="Times New Roman"/>
          <w:b w:val="0"/>
          <w:bCs w:val="0"/>
          <w:color w:val="0D0D0D"/>
          <w:sz w:val="24"/>
          <w:szCs w:val="24"/>
        </w:rPr>
        <w:t>index properties</w:t>
      </w:r>
      <w:r>
        <w:rPr>
          <w:rFonts w:hint="default" w:ascii="Times New Roman" w:hAnsi="Times New Roman" w:cs="Times New Roman"/>
          <w:b w:val="0"/>
          <w:bCs w:val="0"/>
          <w:color w:val="0D0D0D"/>
          <w:sz w:val="24"/>
          <w:szCs w:val="24"/>
        </w:rPr>
        <w:t> and </w:t>
      </w:r>
      <w:r>
        <w:rPr>
          <w:rStyle w:val="92"/>
          <w:rFonts w:hint="default" w:ascii="Times New Roman" w:hAnsi="Times New Roman" w:cs="Times New Roman"/>
          <w:b w:val="0"/>
          <w:bCs w:val="0"/>
          <w:color w:val="0D0D0D"/>
          <w:sz w:val="24"/>
          <w:szCs w:val="24"/>
        </w:rPr>
        <w:t>engineering properties</w:t>
      </w:r>
      <w:r>
        <w:rPr>
          <w:rFonts w:hint="default" w:ascii="Times New Roman" w:hAnsi="Times New Roman" w:cs="Times New Roman"/>
          <w:b w:val="0"/>
          <w:bCs w:val="0"/>
          <w:color w:val="0D0D0D"/>
          <w:sz w:val="24"/>
          <w:szCs w:val="24"/>
        </w:rPr>
        <w:t> of lateritic soils obtained from Kwara State Polytechnic Campus in Ilorin, Nigeria. Lateritic soils, commonly found across tropical regions, are widely used in civil engineering works such as road construction, foundations, and embankments. However, their suitability for structural applications often depends on a range of geotechnical properties. This study aims to bridge the gap between simple index tests and more advanced engineering evaluations by exploring the correlation between parameters such as </w:t>
      </w:r>
      <w:r>
        <w:rPr>
          <w:rStyle w:val="92"/>
          <w:rFonts w:hint="default" w:ascii="Times New Roman" w:hAnsi="Times New Roman" w:cs="Times New Roman"/>
          <w:b w:val="0"/>
          <w:bCs w:val="0"/>
          <w:color w:val="0D0D0D"/>
          <w:sz w:val="24"/>
          <w:szCs w:val="24"/>
        </w:rPr>
        <w:t>moisture content, Atterberg limits, grain size distribution, specific gravity</w:t>
      </w:r>
      <w:r>
        <w:rPr>
          <w:rFonts w:hint="default" w:ascii="Times New Roman" w:hAnsi="Times New Roman" w:cs="Times New Roman"/>
          <w:b w:val="0"/>
          <w:bCs w:val="0"/>
          <w:color w:val="0D0D0D"/>
          <w:sz w:val="24"/>
          <w:szCs w:val="24"/>
        </w:rPr>
        <w:t>, and </w:t>
      </w:r>
      <w:r>
        <w:rPr>
          <w:rStyle w:val="92"/>
          <w:rFonts w:hint="default" w:ascii="Times New Roman" w:hAnsi="Times New Roman" w:cs="Times New Roman"/>
          <w:b w:val="0"/>
          <w:bCs w:val="0"/>
          <w:color w:val="0D0D0D"/>
          <w:sz w:val="24"/>
          <w:szCs w:val="24"/>
        </w:rPr>
        <w:t>bulk density</w:t>
      </w:r>
      <w:r>
        <w:rPr>
          <w:rFonts w:hint="default" w:ascii="Times New Roman" w:hAnsi="Times New Roman" w:cs="Times New Roman"/>
          <w:b w:val="0"/>
          <w:bCs w:val="0"/>
          <w:color w:val="0D0D0D"/>
          <w:sz w:val="24"/>
          <w:szCs w:val="24"/>
        </w:rPr>
        <w:t> with </w:t>
      </w:r>
      <w:r>
        <w:rPr>
          <w:rStyle w:val="92"/>
          <w:rFonts w:hint="default" w:ascii="Times New Roman" w:hAnsi="Times New Roman" w:cs="Times New Roman"/>
          <w:b w:val="0"/>
          <w:bCs w:val="0"/>
          <w:color w:val="0D0D0D"/>
          <w:sz w:val="24"/>
          <w:szCs w:val="24"/>
        </w:rPr>
        <w:t>compaction characteristics</w:t>
      </w:r>
      <w:r>
        <w:rPr>
          <w:rStyle w:val="92"/>
          <w:rFonts w:hint="default" w:cs="Times New Roman"/>
          <w:b w:val="0"/>
          <w:bCs w:val="0"/>
          <w:color w:val="0D0D0D"/>
          <w:sz w:val="24"/>
          <w:szCs w:val="24"/>
          <w:lang w:val="en-US"/>
        </w:rPr>
        <w:t xml:space="preserve"> </w:t>
      </w:r>
      <w:r>
        <w:rPr>
          <w:rFonts w:hint="default" w:ascii="Times New Roman" w:hAnsi="Times New Roman" w:cs="Times New Roman"/>
          <w:b w:val="0"/>
          <w:bCs w:val="0"/>
          <w:color w:val="0D0D0D"/>
          <w:sz w:val="24"/>
          <w:szCs w:val="24"/>
        </w:rPr>
        <w:t>notably, </w:t>
      </w:r>
      <w:r>
        <w:rPr>
          <w:rStyle w:val="92"/>
          <w:rFonts w:hint="default" w:ascii="Times New Roman" w:hAnsi="Times New Roman" w:cs="Times New Roman"/>
          <w:b w:val="0"/>
          <w:bCs w:val="0"/>
          <w:color w:val="0D0D0D"/>
          <w:sz w:val="24"/>
          <w:szCs w:val="24"/>
        </w:rPr>
        <w:t>Maximum Dry Density (MDD)</w:t>
      </w:r>
      <w:r>
        <w:rPr>
          <w:rFonts w:hint="default" w:ascii="Times New Roman" w:hAnsi="Times New Roman" w:cs="Times New Roman"/>
          <w:b w:val="0"/>
          <w:bCs w:val="0"/>
          <w:color w:val="0D0D0D"/>
          <w:sz w:val="24"/>
          <w:szCs w:val="24"/>
        </w:rPr>
        <w:t> and </w:t>
      </w:r>
      <w:r>
        <w:rPr>
          <w:rStyle w:val="92"/>
          <w:rFonts w:hint="default" w:ascii="Times New Roman" w:hAnsi="Times New Roman" w:cs="Times New Roman"/>
          <w:b w:val="0"/>
          <w:bCs w:val="0"/>
          <w:color w:val="0D0D0D"/>
          <w:sz w:val="24"/>
          <w:szCs w:val="24"/>
        </w:rPr>
        <w:t>Optimum Moisture Content (OMC)</w:t>
      </w:r>
      <w:r>
        <w:rPr>
          <w:rFonts w:hint="default" w:ascii="Times New Roman" w:hAnsi="Times New Roman" w:cs="Times New Roman"/>
          <w:b w:val="0"/>
          <w:bCs w:val="0"/>
          <w:color w:val="0D0D0D"/>
          <w:sz w:val="24"/>
          <w:szCs w:val="24"/>
        </w:rPr>
        <w:t>.</w:t>
      </w:r>
    </w:p>
    <w:p w14:paraId="2ED2F81E">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line="360" w:lineRule="auto"/>
        <w:ind w:left="0" w:right="0"/>
        <w:jc w:val="both"/>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Soil samples were collected from different locations within the campus, air-dried, prepared, and subjected to a series of standardized laboratory tests. The procedures followed the British Standard (BS 1377) and ASTM methods. Results showed that the soils generally exhibited moderate plasticity, with plasticity indices ranging from 8% to 18%, and were mostly classified as clayey or silty sands (SC or SM) based on grain size analysis. MDD ranged from 1.69 g/cm³ to 1.94 g/cm³, while OMC varied between 12.5% and 18.3%. Significant correlations were found between Atterberg limits and compaction results, indicating that higher plasticity was associated with lower dry density and higher moisture requirements.</w:t>
      </w:r>
    </w:p>
    <w:p w14:paraId="433B863B">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line="360" w:lineRule="auto"/>
        <w:ind w:left="0" w:right="0"/>
        <w:jc w:val="both"/>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The findings demonstrate that </w:t>
      </w:r>
      <w:r>
        <w:rPr>
          <w:rStyle w:val="92"/>
          <w:rFonts w:hint="default" w:ascii="Times New Roman" w:hAnsi="Times New Roman" w:cs="Times New Roman"/>
          <w:b w:val="0"/>
          <w:bCs w:val="0"/>
          <w:color w:val="0D0D0D"/>
          <w:sz w:val="24"/>
          <w:szCs w:val="24"/>
        </w:rPr>
        <w:t>index properties can be effectively used to estimate engineering behavior</w:t>
      </w:r>
      <w:r>
        <w:rPr>
          <w:rFonts w:hint="default" w:ascii="Times New Roman" w:hAnsi="Times New Roman" w:cs="Times New Roman"/>
          <w:b w:val="0"/>
          <w:bCs w:val="0"/>
          <w:color w:val="0D0D0D"/>
          <w:sz w:val="24"/>
          <w:szCs w:val="24"/>
        </w:rPr>
        <w:t>, offering a practical and cost-effective approach to preliminary soil assessment in construction projects. The study concludes that lateritic soils within the study area are suitable for use in civil engineering applications, provided that moisture content and compaction conditions are properly controlled. Recommendations were made for soil stabilization in high-PI zones and for the establishment of a geotechnical database to support future infrastructure development.</w:t>
      </w:r>
    </w:p>
    <w:p w14:paraId="356427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80" w:beforeAutospacing="0" w:line="480" w:lineRule="auto"/>
        <w:ind w:left="0" w:right="0"/>
        <w:jc w:val="center"/>
        <w:rPr>
          <w:rStyle w:val="92"/>
          <w:rFonts w:hint="default" w:ascii="Times New Roman" w:hAnsi="Times New Roman" w:cs="Times New Roman"/>
          <w:b/>
          <w:bCs/>
          <w:color w:val="0D0D0D"/>
          <w:sz w:val="24"/>
          <w:szCs w:val="24"/>
        </w:rPr>
      </w:pPr>
    </w:p>
    <w:p w14:paraId="147B06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80" w:beforeAutospacing="0" w:line="480" w:lineRule="auto"/>
        <w:ind w:left="0" w:right="0"/>
        <w:jc w:val="center"/>
        <w:rPr>
          <w:rStyle w:val="92"/>
          <w:rFonts w:hint="default" w:ascii="Times New Roman" w:hAnsi="Times New Roman" w:cs="Times New Roman"/>
          <w:b/>
          <w:bCs/>
          <w:color w:val="0D0D0D"/>
          <w:sz w:val="24"/>
          <w:szCs w:val="24"/>
        </w:rPr>
      </w:pPr>
    </w:p>
    <w:p w14:paraId="7A466A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center"/>
        <w:textAlignment w:val="auto"/>
        <w:rPr>
          <w:rStyle w:val="92"/>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CHAPTER ONE</w:t>
      </w:r>
    </w:p>
    <w:p w14:paraId="19B81E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center"/>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INTRODUCTION</w:t>
      </w:r>
    </w:p>
    <w:p w14:paraId="5FE1BC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1.</w:t>
      </w:r>
      <w:r>
        <w:rPr>
          <w:rStyle w:val="92"/>
          <w:rFonts w:hint="default" w:ascii="Times New Roman" w:hAnsi="Times New Roman" w:cs="Times New Roman"/>
          <w:b/>
          <w:bCs/>
          <w:color w:val="0D0D0D"/>
          <w:sz w:val="24"/>
          <w:szCs w:val="24"/>
          <w:lang w:val="en-US"/>
        </w:rPr>
        <w:t>0</w:t>
      </w:r>
      <w:r>
        <w:rPr>
          <w:rStyle w:val="92"/>
          <w:rFonts w:hint="default" w:ascii="Times New Roman" w:hAnsi="Times New Roman" w:cs="Times New Roman"/>
          <w:b/>
          <w:bCs/>
          <w:color w:val="0D0D0D"/>
          <w:sz w:val="24"/>
          <w:szCs w:val="24"/>
        </w:rPr>
        <w:t xml:space="preserve"> Introduction</w:t>
      </w:r>
    </w:p>
    <w:p w14:paraId="20DFC6B3">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both"/>
        <w:textAlignment w:val="auto"/>
        <w:rPr>
          <w:rFonts w:hint="default" w:ascii="Times New Roman" w:hAnsi="Times New Roman" w:cs="Times New Roman"/>
          <w:b w:val="0"/>
          <w:bCs w:val="0"/>
          <w:color w:val="0D0D0D"/>
          <w:sz w:val="24"/>
          <w:szCs w:val="24"/>
        </w:rPr>
      </w:pPr>
      <w:r>
        <w:rPr>
          <w:rFonts w:hint="default" w:ascii="Times New Roman" w:hAnsi="Times New Roman" w:cs="Times New Roman"/>
          <w:b w:val="0"/>
          <w:bCs w:val="0"/>
          <w:color w:val="0D0D0D"/>
          <w:sz w:val="24"/>
          <w:szCs w:val="24"/>
        </w:rPr>
        <w:t xml:space="preserve">Lateritic soils </w:t>
      </w:r>
    </w:p>
    <w:p w14:paraId="266A65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1.</w:t>
      </w:r>
      <w:r>
        <w:rPr>
          <w:rStyle w:val="92"/>
          <w:rFonts w:hint="default" w:ascii="Times New Roman" w:hAnsi="Times New Roman" w:cs="Times New Roman"/>
          <w:b/>
          <w:bCs/>
          <w:color w:val="0D0D0D"/>
          <w:sz w:val="24"/>
          <w:szCs w:val="24"/>
          <w:lang w:val="en-US"/>
        </w:rPr>
        <w:t>1</w:t>
      </w:r>
      <w:r>
        <w:rPr>
          <w:rStyle w:val="92"/>
          <w:rFonts w:hint="default" w:ascii="Times New Roman" w:hAnsi="Times New Roman" w:cs="Times New Roman"/>
          <w:b/>
          <w:bCs/>
          <w:color w:val="0D0D0D"/>
          <w:sz w:val="24"/>
          <w:szCs w:val="24"/>
        </w:rPr>
        <w:t xml:space="preserve"> Location and Accessibility</w:t>
      </w:r>
    </w:p>
    <w:p w14:paraId="19A3FB7B">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line="480" w:lineRule="auto"/>
        <w:ind w:left="0" w:right="0"/>
        <w:jc w:val="both"/>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The study area is the </w:t>
      </w:r>
      <w:r>
        <w:rPr>
          <w:rStyle w:val="92"/>
          <w:rFonts w:hint="default" w:ascii="Times New Roman" w:hAnsi="Times New Roman" w:cs="Times New Roman"/>
          <w:b w:val="0"/>
          <w:bCs w:val="0"/>
          <w:color w:val="0D0D0D"/>
          <w:sz w:val="24"/>
          <w:szCs w:val="24"/>
        </w:rPr>
        <w:t>Kwara State Polytechnic Campus</w:t>
      </w:r>
      <w:r>
        <w:rPr>
          <w:rFonts w:hint="default" w:ascii="Times New Roman" w:hAnsi="Times New Roman" w:cs="Times New Roman"/>
          <w:b w:val="0"/>
          <w:bCs w:val="0"/>
          <w:color w:val="0D0D0D"/>
          <w:sz w:val="24"/>
          <w:szCs w:val="24"/>
        </w:rPr>
        <w:t>, located in Ilorin, the capital city of Kwara State, Nigeria. The campus is situated within coordinates approximately between latitude </w:t>
      </w:r>
      <w:r>
        <w:rPr>
          <w:rStyle w:val="92"/>
          <w:rFonts w:hint="default" w:ascii="Times New Roman" w:hAnsi="Times New Roman" w:cs="Times New Roman"/>
          <w:b w:val="0"/>
          <w:bCs w:val="0"/>
          <w:color w:val="0D0D0D"/>
          <w:sz w:val="24"/>
          <w:szCs w:val="24"/>
        </w:rPr>
        <w:t>8°29'N and 8°32'N</w:t>
      </w:r>
      <w:r>
        <w:rPr>
          <w:rFonts w:hint="default" w:ascii="Times New Roman" w:hAnsi="Times New Roman" w:cs="Times New Roman"/>
          <w:b w:val="0"/>
          <w:bCs w:val="0"/>
          <w:color w:val="0D0D0D"/>
          <w:sz w:val="24"/>
          <w:szCs w:val="24"/>
        </w:rPr>
        <w:t> and longitude </w:t>
      </w:r>
      <w:r>
        <w:rPr>
          <w:rStyle w:val="92"/>
          <w:rFonts w:hint="default" w:ascii="Times New Roman" w:hAnsi="Times New Roman" w:cs="Times New Roman"/>
          <w:b w:val="0"/>
          <w:bCs w:val="0"/>
          <w:color w:val="0D0D0D"/>
          <w:sz w:val="24"/>
          <w:szCs w:val="24"/>
        </w:rPr>
        <w:t>4°32'E and 4°35'E</w:t>
      </w:r>
      <w:r>
        <w:rPr>
          <w:rFonts w:hint="default" w:ascii="Times New Roman" w:hAnsi="Times New Roman" w:cs="Times New Roman"/>
          <w:b w:val="0"/>
          <w:bCs w:val="0"/>
          <w:color w:val="0D0D0D"/>
          <w:sz w:val="24"/>
          <w:szCs w:val="24"/>
        </w:rPr>
        <w:t>. It is accessible by a network of paved and unpaved roads, with its terrain varying from flat to gently undulating. The areas selected for sample collection include exposed cuttings, borrow pits, and naturally exposed surfaces within the polytechnic environment.</w:t>
      </w:r>
    </w:p>
    <w:p w14:paraId="401206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Style w:val="92"/>
          <w:rFonts w:hint="default" w:ascii="Times New Roman" w:hAnsi="Times New Roman" w:cs="Times New Roman"/>
          <w:b/>
          <w:bCs/>
          <w:color w:val="0D0D0D"/>
          <w:sz w:val="24"/>
          <w:szCs w:val="24"/>
          <w:lang w:val="en-US"/>
        </w:rPr>
      </w:pPr>
      <w:r>
        <w:rPr>
          <w:rStyle w:val="92"/>
          <w:rFonts w:hint="default" w:ascii="Times New Roman" w:hAnsi="Times New Roman" w:cs="Times New Roman"/>
          <w:b/>
          <w:bCs/>
          <w:color w:val="0D0D0D"/>
          <w:sz w:val="24"/>
          <w:szCs w:val="24"/>
          <w:lang w:val="en-US"/>
        </w:rPr>
        <w:t>1.2 Climate and vegetation</w:t>
      </w:r>
    </w:p>
    <w:p w14:paraId="049E5482">
      <w:pPr>
        <w:keepNext w:val="0"/>
        <w:keepLines w:val="0"/>
        <w:pageBreakBefore w:val="0"/>
        <w:widowControl/>
        <w:kinsoku/>
        <w:wordWrap/>
        <w:overflowPunct/>
        <w:topLinePunct w:val="0"/>
        <w:autoSpaceDE/>
        <w:autoSpaceDN/>
        <w:bidi w:val="0"/>
        <w:adjustRightInd/>
        <w:snapToGrid/>
        <w:spacing w:beforeAutospacing="0" w:after="0" w:afterAutospacing="0" w:line="480" w:lineRule="auto"/>
        <w:textAlignment w:val="auto"/>
        <w:rPr>
          <w:rFonts w:hint="default" w:ascii="Times New Roman" w:hAnsi="Times New Roman" w:cs="Times New Roman"/>
          <w:b/>
          <w:bCs/>
          <w:color w:val="0D0D0D"/>
          <w:sz w:val="24"/>
          <w:szCs w:val="24"/>
        </w:rPr>
      </w:pPr>
      <w:r>
        <w:rPr>
          <w:rFonts w:hint="default" w:ascii="Times New Roman" w:hAnsi="Times New Roman" w:cs="Times New Roman"/>
          <w:sz w:val="24"/>
          <w:szCs w:val="24"/>
        </w:rPr>
        <w:t>The study area, Kwara State Polytechnic Campus, is situated within the Guinea Savannah ecological zone of Nigeria. The climate is tropical, characterized by distinct wet and dry seasons. The rainy season typically lasts from April to October, with peak rainfall in the months of June and September. Annual rainfall ranges between 1000 mm and 1500 mm, which influences the leaching process critical to the formation of lateritic soils. The dry season spans from November to March and is accompanied by Harmattan winds that reduce humidity and lead to a drop in vegetation cover.</w:t>
      </w:r>
      <w:r>
        <w:rPr>
          <w:rFonts w:hint="default" w:ascii="Times New Roman" w:hAnsi="Times New Roman" w:cs="Times New Roman"/>
          <w:sz w:val="24"/>
          <w:szCs w:val="24"/>
        </w:rPr>
        <w:br w:type="textWrapping"/>
      </w:r>
      <w:r>
        <w:rPr>
          <w:rFonts w:hint="default" w:ascii="Times New Roman" w:hAnsi="Times New Roman" w:cs="Times New Roman"/>
          <w:sz w:val="24"/>
          <w:szCs w:val="24"/>
        </w:rPr>
        <w:t>Temperature in the region is relatively high throughout the year, with mean daily temperatures ranging from 22°C to 34°C. Relative humidity varies seasonally, reaching up to 85% during the peak of the rainy season and dropping to around 35% during the dry months. This climatic pattern promotes intense weathering of parent rock materials and the formation of iron and aluminum oxides, typical of lateritic soils.</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Vegetation in the area consists primarily of grassland interspersed with scattered shrubs and trees, reflecting a transitional vegetation zone. This mixed vegetation also plays a role in the pedogenic processes that give rise to lateritic soils. The presence of organic matter from vegetation contributes to soil fertility and affects the soil structure, color, and porosity. Overall, the climate and vegetation conditions in the study area have a significant impact on the characteristics and engineering behavior of the lateritic soils found there.</w:t>
      </w:r>
      <w:r>
        <w:rPr>
          <w:rFonts w:hint="default" w:ascii="Times New Roman" w:hAnsi="Times New Roman" w:cs="Times New Roman"/>
          <w:sz w:val="24"/>
          <w:szCs w:val="24"/>
        </w:rPr>
        <w:br w:type="textWrapping"/>
      </w:r>
      <w:r>
        <w:rPr>
          <w:rStyle w:val="92"/>
          <w:rFonts w:hint="default" w:ascii="Times New Roman" w:hAnsi="Times New Roman" w:cs="Times New Roman"/>
          <w:b/>
          <w:bCs/>
          <w:color w:val="0D0D0D"/>
          <w:sz w:val="24"/>
          <w:szCs w:val="24"/>
        </w:rPr>
        <w:t>1.</w:t>
      </w:r>
      <w:r>
        <w:rPr>
          <w:rStyle w:val="92"/>
          <w:rFonts w:hint="default" w:ascii="Times New Roman" w:hAnsi="Times New Roman" w:cs="Times New Roman"/>
          <w:b/>
          <w:bCs/>
          <w:color w:val="0D0D0D"/>
          <w:sz w:val="24"/>
          <w:szCs w:val="24"/>
          <w:lang w:val="en-US"/>
        </w:rPr>
        <w:t>3</w:t>
      </w:r>
      <w:r>
        <w:rPr>
          <w:rStyle w:val="92"/>
          <w:rFonts w:hint="default" w:ascii="Times New Roman" w:hAnsi="Times New Roman" w:cs="Times New Roman"/>
          <w:b/>
          <w:bCs/>
          <w:color w:val="0D0D0D"/>
          <w:sz w:val="24"/>
          <w:szCs w:val="24"/>
        </w:rPr>
        <w:t xml:space="preserve"> Relief and Drainage</w:t>
      </w:r>
    </w:p>
    <w:p w14:paraId="3CBFD8DB">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The topography of the Kwara State Polytechnic Campus is characterized by </w:t>
      </w:r>
      <w:r>
        <w:rPr>
          <w:rStyle w:val="92"/>
          <w:rFonts w:hint="default" w:ascii="Times New Roman" w:hAnsi="Times New Roman" w:cs="Times New Roman"/>
          <w:b w:val="0"/>
          <w:bCs w:val="0"/>
          <w:color w:val="0D0D0D"/>
          <w:sz w:val="24"/>
          <w:szCs w:val="24"/>
        </w:rPr>
        <w:t>moderately undulating terrain</w:t>
      </w:r>
      <w:r>
        <w:rPr>
          <w:rFonts w:hint="default" w:ascii="Times New Roman" w:hAnsi="Times New Roman" w:cs="Times New Roman"/>
          <w:b w:val="0"/>
          <w:bCs w:val="0"/>
          <w:color w:val="0D0D0D"/>
          <w:sz w:val="24"/>
          <w:szCs w:val="24"/>
        </w:rPr>
        <w:t>, typical of the derived savannah zone of Nigeria. The elevation ranges between </w:t>
      </w:r>
      <w:r>
        <w:rPr>
          <w:rStyle w:val="92"/>
          <w:rFonts w:hint="default" w:ascii="Times New Roman" w:hAnsi="Times New Roman" w:cs="Times New Roman"/>
          <w:b w:val="0"/>
          <w:bCs w:val="0"/>
          <w:color w:val="0D0D0D"/>
          <w:sz w:val="24"/>
          <w:szCs w:val="24"/>
        </w:rPr>
        <w:t>250 m and 350 m above sea level</w:t>
      </w:r>
      <w:r>
        <w:rPr>
          <w:rFonts w:hint="default" w:ascii="Times New Roman" w:hAnsi="Times New Roman" w:cs="Times New Roman"/>
          <w:b w:val="0"/>
          <w:bCs w:val="0"/>
          <w:color w:val="0D0D0D"/>
          <w:sz w:val="24"/>
          <w:szCs w:val="24"/>
        </w:rPr>
        <w:t>. The area is drained by seasonal streams and minor channels that become active during the rainy season. The drainage pattern is dendritic, and surface water runoff influences the formation and leaching processes of the lateritic soil found within the area. These geomorphological and hydrological conditions contribute significantly to the variability in soil properties within relatively short distances.</w:t>
      </w:r>
    </w:p>
    <w:p w14:paraId="5C209D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w:t>
      </w:r>
      <w:r>
        <w:rPr>
          <w:rStyle w:val="92"/>
          <w:rFonts w:hint="default" w:ascii="Times New Roman" w:hAnsi="Times New Roman" w:cs="Times New Roman"/>
          <w:b/>
          <w:bCs/>
          <w:color w:val="0D0D0D"/>
          <w:sz w:val="24"/>
          <w:szCs w:val="24"/>
          <w:lang w:val="en-US"/>
        </w:rPr>
        <w:t>4</w:t>
      </w:r>
      <w:r>
        <w:rPr>
          <w:rStyle w:val="92"/>
          <w:rFonts w:hint="default" w:ascii="Times New Roman" w:hAnsi="Times New Roman" w:cs="Times New Roman"/>
          <w:b/>
          <w:bCs/>
          <w:color w:val="0D0D0D"/>
          <w:sz w:val="24"/>
          <w:szCs w:val="24"/>
        </w:rPr>
        <w:t xml:space="preserve"> Aims and Objective</w:t>
      </w:r>
    </w:p>
    <w:p w14:paraId="63D1E21C">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The main aim of this study is to </w:t>
      </w:r>
      <w:r>
        <w:rPr>
          <w:rStyle w:val="92"/>
          <w:rFonts w:hint="default" w:ascii="Times New Roman" w:hAnsi="Times New Roman" w:cs="Times New Roman"/>
          <w:b w:val="0"/>
          <w:bCs w:val="0"/>
          <w:color w:val="0D0D0D"/>
          <w:sz w:val="24"/>
          <w:szCs w:val="24"/>
        </w:rPr>
        <w:t>establish the relationship between selected index properties and the engineering properties of lateritic soil from the Kwara State Polytechnic Campus</w:t>
      </w:r>
      <w:r>
        <w:rPr>
          <w:rFonts w:hint="default" w:ascii="Times New Roman" w:hAnsi="Times New Roman" w:cs="Times New Roman"/>
          <w:b w:val="0"/>
          <w:bCs w:val="0"/>
          <w:color w:val="0D0D0D"/>
          <w:sz w:val="24"/>
          <w:szCs w:val="24"/>
        </w:rPr>
        <w:t>.</w:t>
      </w:r>
    </w:p>
    <w:p w14:paraId="200285AB">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bCs/>
          <w:sz w:val="24"/>
          <w:szCs w:val="24"/>
        </w:rPr>
      </w:pPr>
      <w:r>
        <w:rPr>
          <w:rFonts w:hint="default" w:ascii="Times New Roman" w:hAnsi="Times New Roman" w:cs="Times New Roman"/>
          <w:b/>
          <w:bCs/>
          <w:color w:val="0D0D0D"/>
          <w:sz w:val="24"/>
          <w:szCs w:val="24"/>
        </w:rPr>
        <w:t>The specific objectives are to:</w:t>
      </w:r>
    </w:p>
    <w:p w14:paraId="3D67B2F0">
      <w:pPr>
        <w:pStyle w:val="85"/>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Chars="0" w:right="0" w:right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lang w:val="en-US"/>
        </w:rPr>
        <w:t>i</w:t>
      </w:r>
      <w:r>
        <w:rPr>
          <w:rFonts w:hint="default" w:ascii="Times New Roman" w:hAnsi="Times New Roman" w:cs="Times New Roman"/>
          <w:b w:val="0"/>
          <w:bCs w:val="0"/>
          <w:color w:val="0D0D0D"/>
          <w:sz w:val="24"/>
          <w:szCs w:val="24"/>
        </w:rPr>
        <w:t>dentify and collect representative lateritic soil samples within the study area.</w:t>
      </w:r>
    </w:p>
    <w:p w14:paraId="62E68771">
      <w:pPr>
        <w:pStyle w:val="85"/>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Chars="0" w:right="0" w:right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lang w:val="en-US"/>
        </w:rPr>
        <w:t>d</w:t>
      </w:r>
      <w:r>
        <w:rPr>
          <w:rFonts w:hint="default" w:ascii="Times New Roman" w:hAnsi="Times New Roman" w:cs="Times New Roman"/>
          <w:b w:val="0"/>
          <w:bCs w:val="0"/>
          <w:color w:val="0D0D0D"/>
          <w:sz w:val="24"/>
          <w:szCs w:val="24"/>
        </w:rPr>
        <w:t>etermine key index properties of the collected soil samples, such as Atterberg limits, grain size distribution, specific gravity, moisture content, and bulk density.</w:t>
      </w:r>
    </w:p>
    <w:p w14:paraId="599C05C6">
      <w:pPr>
        <w:pStyle w:val="85"/>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Chars="0" w:right="0" w:right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lang w:val="en-US"/>
        </w:rPr>
        <w:t>a</w:t>
      </w:r>
      <w:r>
        <w:rPr>
          <w:rFonts w:hint="default" w:ascii="Times New Roman" w:hAnsi="Times New Roman" w:cs="Times New Roman"/>
          <w:b w:val="0"/>
          <w:bCs w:val="0"/>
          <w:color w:val="0D0D0D"/>
          <w:sz w:val="24"/>
          <w:szCs w:val="24"/>
        </w:rPr>
        <w:t>ssess engineering properties of the samples, such as compaction characteristics</w:t>
      </w:r>
      <w:r>
        <w:rPr>
          <w:rFonts w:hint="default" w:ascii="Times New Roman" w:hAnsi="Times New Roman" w:cs="Times New Roman"/>
          <w:b w:val="0"/>
          <w:bCs w:val="0"/>
          <w:color w:val="0D0D0D"/>
          <w:sz w:val="24"/>
          <w:szCs w:val="24"/>
          <w:lang w:val="en-US"/>
        </w:rPr>
        <w:t xml:space="preserve"> and show strength </w:t>
      </w:r>
    </w:p>
    <w:p w14:paraId="7F7E4FF1">
      <w:pPr>
        <w:pStyle w:val="85"/>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Chars="0" w:right="0" w:right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lang w:val="en-US"/>
        </w:rPr>
        <w:t>s</w:t>
      </w:r>
      <w:r>
        <w:rPr>
          <w:rFonts w:hint="default" w:ascii="Times New Roman" w:hAnsi="Times New Roman" w:cs="Times New Roman"/>
          <w:b w:val="0"/>
          <w:bCs w:val="0"/>
          <w:color w:val="0D0D0D"/>
          <w:sz w:val="24"/>
          <w:szCs w:val="24"/>
        </w:rPr>
        <w:t>tatistically analyze the relationships between the index and engineering properties.</w:t>
      </w:r>
    </w:p>
    <w:p w14:paraId="60814C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1.</w:t>
      </w:r>
      <w:r>
        <w:rPr>
          <w:rStyle w:val="92"/>
          <w:rFonts w:hint="default" w:ascii="Times New Roman" w:hAnsi="Times New Roman" w:cs="Times New Roman"/>
          <w:b/>
          <w:bCs/>
          <w:color w:val="0D0D0D"/>
          <w:sz w:val="24"/>
          <w:szCs w:val="24"/>
          <w:lang w:val="en-US"/>
        </w:rPr>
        <w:t>5</w:t>
      </w:r>
      <w:r>
        <w:rPr>
          <w:rStyle w:val="92"/>
          <w:rFonts w:hint="default" w:ascii="Times New Roman" w:hAnsi="Times New Roman" w:cs="Times New Roman"/>
          <w:b/>
          <w:bCs/>
          <w:color w:val="0D0D0D"/>
          <w:sz w:val="24"/>
          <w:szCs w:val="24"/>
        </w:rPr>
        <w:t xml:space="preserve"> Statement of the Problem</w:t>
      </w:r>
    </w:p>
    <w:p w14:paraId="79D3B83D">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Geotechnical failures in civil engineering projects, particularly in road and foundation works, are often due to inadequate or inaccurate understanding of the underlying soil behavior. Full-scale engineering tests can be expensive, time-consuming, and often impractical for small-scale projects. Hence, there is a need for a more reliable approach to predicting engineering behavior from easily determined index properties. This is especially relevant for lateritic soils, which exhibit complex and variable characteristics due to their formation processes. Within the Kwara State Polytechnic Campus, ongoing construction and infrastructural developments demand a better understanding of the soil’s behavior to avoid structural failures and reduce construction costs.</w:t>
      </w:r>
    </w:p>
    <w:p w14:paraId="6D57B2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1.</w:t>
      </w:r>
      <w:r>
        <w:rPr>
          <w:rStyle w:val="92"/>
          <w:rFonts w:hint="default" w:ascii="Times New Roman" w:hAnsi="Times New Roman" w:cs="Times New Roman"/>
          <w:b/>
          <w:bCs/>
          <w:color w:val="0D0D0D"/>
          <w:sz w:val="24"/>
          <w:szCs w:val="24"/>
          <w:lang w:val="en-US"/>
        </w:rPr>
        <w:t>6</w:t>
      </w:r>
      <w:r>
        <w:rPr>
          <w:rStyle w:val="92"/>
          <w:rFonts w:hint="default" w:ascii="Times New Roman" w:hAnsi="Times New Roman" w:cs="Times New Roman"/>
          <w:b/>
          <w:bCs/>
          <w:color w:val="0D0D0D"/>
          <w:sz w:val="24"/>
          <w:szCs w:val="24"/>
        </w:rPr>
        <w:t xml:space="preserve"> Justification</w:t>
      </w:r>
    </w:p>
    <w:p w14:paraId="1B31E010">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bCs/>
          <w:sz w:val="24"/>
          <w:szCs w:val="24"/>
        </w:rPr>
      </w:pPr>
      <w:r>
        <w:rPr>
          <w:rFonts w:hint="default" w:ascii="Times New Roman" w:hAnsi="Times New Roman" w:cs="Times New Roman"/>
          <w:b/>
          <w:bCs/>
          <w:color w:val="0D0D0D"/>
          <w:sz w:val="24"/>
          <w:szCs w:val="24"/>
        </w:rPr>
        <w:t>This study is justified on several grounds:</w:t>
      </w:r>
    </w:p>
    <w:p w14:paraId="6B9B119E">
      <w:pPr>
        <w:pStyle w:val="8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Chars="0" w:right="0" w:right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It provides </w:t>
      </w:r>
      <w:r>
        <w:rPr>
          <w:rStyle w:val="92"/>
          <w:rFonts w:hint="default" w:ascii="Times New Roman" w:hAnsi="Times New Roman" w:cs="Times New Roman"/>
          <w:b w:val="0"/>
          <w:bCs w:val="0"/>
          <w:color w:val="0D0D0D"/>
          <w:sz w:val="24"/>
          <w:szCs w:val="24"/>
        </w:rPr>
        <w:t>site-specific geotechnical data</w:t>
      </w:r>
      <w:r>
        <w:rPr>
          <w:rFonts w:hint="default" w:ascii="Times New Roman" w:hAnsi="Times New Roman" w:cs="Times New Roman"/>
          <w:b w:val="0"/>
          <w:bCs w:val="0"/>
          <w:color w:val="0D0D0D"/>
          <w:sz w:val="24"/>
          <w:szCs w:val="24"/>
        </w:rPr>
        <w:t> that can be used for future academic and construction projects within the Kwara State Polytechnic Campus.</w:t>
      </w:r>
      <w:r>
        <w:rPr>
          <w:rFonts w:hint="default" w:ascii="Times New Roman" w:hAnsi="Times New Roman" w:cs="Times New Roman"/>
          <w:b w:val="0"/>
          <w:bCs w:val="0"/>
          <w:color w:val="0D0D0D"/>
          <w:sz w:val="24"/>
          <w:szCs w:val="24"/>
          <w:lang w:val="en-US"/>
        </w:rPr>
        <w:t xml:space="preserve"> </w:t>
      </w:r>
      <w:r>
        <w:rPr>
          <w:rFonts w:hint="default" w:ascii="Times New Roman" w:hAnsi="Times New Roman" w:cs="Times New Roman"/>
          <w:b w:val="0"/>
          <w:bCs w:val="0"/>
          <w:color w:val="0D0D0D"/>
          <w:sz w:val="24"/>
          <w:szCs w:val="24"/>
        </w:rPr>
        <w:t>It enhances the </w:t>
      </w:r>
      <w:r>
        <w:rPr>
          <w:rStyle w:val="92"/>
          <w:rFonts w:hint="default" w:ascii="Times New Roman" w:hAnsi="Times New Roman" w:cs="Times New Roman"/>
          <w:b w:val="0"/>
          <w:bCs w:val="0"/>
          <w:color w:val="0D0D0D"/>
          <w:sz w:val="24"/>
          <w:szCs w:val="24"/>
        </w:rPr>
        <w:t>understanding of lateritic soil behavior</w:t>
      </w:r>
      <w:r>
        <w:rPr>
          <w:rFonts w:hint="default" w:ascii="Times New Roman" w:hAnsi="Times New Roman" w:cs="Times New Roman"/>
          <w:b w:val="0"/>
          <w:bCs w:val="0"/>
          <w:color w:val="0D0D0D"/>
          <w:sz w:val="24"/>
          <w:szCs w:val="24"/>
        </w:rPr>
        <w:t>, allowing for improved engineering judgment in preliminary design.</w:t>
      </w:r>
      <w:r>
        <w:rPr>
          <w:rFonts w:hint="default" w:ascii="Times New Roman" w:hAnsi="Times New Roman" w:cs="Times New Roman"/>
          <w:b w:val="0"/>
          <w:bCs w:val="0"/>
          <w:color w:val="0D0D0D"/>
          <w:sz w:val="24"/>
          <w:szCs w:val="24"/>
          <w:lang w:val="en-US"/>
        </w:rPr>
        <w:t xml:space="preserve"> </w:t>
      </w:r>
      <w:r>
        <w:rPr>
          <w:rFonts w:hint="default" w:ascii="Times New Roman" w:hAnsi="Times New Roman" w:cs="Times New Roman"/>
          <w:b w:val="0"/>
          <w:bCs w:val="0"/>
          <w:color w:val="0D0D0D"/>
          <w:sz w:val="24"/>
          <w:szCs w:val="24"/>
        </w:rPr>
        <w:t>It</w:t>
      </w:r>
      <w:r>
        <w:rPr>
          <w:rFonts w:hint="default" w:ascii="Times New Roman" w:hAnsi="Times New Roman" w:cs="Times New Roman"/>
          <w:b w:val="0"/>
          <w:bCs w:val="0"/>
          <w:color w:val="0D0D0D"/>
          <w:sz w:val="24"/>
          <w:szCs w:val="24"/>
          <w:lang w:val="en-US"/>
        </w:rPr>
        <w:t xml:space="preserve"> also</w:t>
      </w:r>
      <w:r>
        <w:rPr>
          <w:rFonts w:hint="default" w:ascii="Times New Roman" w:hAnsi="Times New Roman" w:cs="Times New Roman"/>
          <w:b w:val="0"/>
          <w:bCs w:val="0"/>
          <w:color w:val="0D0D0D"/>
          <w:sz w:val="24"/>
          <w:szCs w:val="24"/>
        </w:rPr>
        <w:t xml:space="preserve"> reduces the need for exhaustive and costly engineering tests by providing a predictive model based on index properties.</w:t>
      </w:r>
    </w:p>
    <w:p w14:paraId="741287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1.</w:t>
      </w:r>
      <w:r>
        <w:rPr>
          <w:rStyle w:val="92"/>
          <w:rFonts w:hint="default" w:ascii="Times New Roman" w:hAnsi="Times New Roman" w:cs="Times New Roman"/>
          <w:b/>
          <w:bCs/>
          <w:color w:val="0D0D0D"/>
          <w:sz w:val="24"/>
          <w:szCs w:val="24"/>
          <w:lang w:val="en-US"/>
        </w:rPr>
        <w:t>7</w:t>
      </w:r>
      <w:r>
        <w:rPr>
          <w:rStyle w:val="92"/>
          <w:rFonts w:hint="default" w:ascii="Times New Roman" w:hAnsi="Times New Roman" w:cs="Times New Roman"/>
          <w:b/>
          <w:bCs/>
          <w:color w:val="0D0D0D"/>
          <w:sz w:val="24"/>
          <w:szCs w:val="24"/>
        </w:rPr>
        <w:t xml:space="preserve"> Scope and Limitation</w:t>
      </w:r>
    </w:p>
    <w:p w14:paraId="669EE8E0">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This research focuses on the lateritic soil present </w:t>
      </w:r>
      <w:r>
        <w:rPr>
          <w:rStyle w:val="92"/>
          <w:rFonts w:hint="default" w:ascii="Times New Roman" w:hAnsi="Times New Roman" w:cs="Times New Roman"/>
          <w:b w:val="0"/>
          <w:bCs w:val="0"/>
          <w:color w:val="0D0D0D"/>
          <w:sz w:val="24"/>
          <w:szCs w:val="24"/>
        </w:rPr>
        <w:t>within the Kwara State Polytechnic Campus</w:t>
      </w:r>
      <w:r>
        <w:rPr>
          <w:rFonts w:hint="default" w:ascii="Times New Roman" w:hAnsi="Times New Roman" w:cs="Times New Roman"/>
          <w:b w:val="0"/>
          <w:bCs w:val="0"/>
          <w:color w:val="0D0D0D"/>
          <w:sz w:val="24"/>
          <w:szCs w:val="24"/>
        </w:rPr>
        <w:t>. The study is restricted to:</w:t>
      </w:r>
    </w:p>
    <w:p w14:paraId="5C844D66">
      <w:pPr>
        <w:pStyle w:val="8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Chars="0" w:right="0" w:rightChars="0"/>
        <w:jc w:val="both"/>
        <w:textAlignment w:val="auto"/>
        <w:rPr>
          <w:rFonts w:hint="default" w:ascii="Times New Roman" w:hAnsi="Times New Roman" w:cs="Times New Roman"/>
          <w:b w:val="0"/>
          <w:bCs w:val="0"/>
          <w:sz w:val="24"/>
          <w:szCs w:val="24"/>
        </w:rPr>
      </w:pPr>
      <w:r>
        <w:rPr>
          <w:rStyle w:val="92"/>
          <w:rFonts w:hint="default" w:ascii="Times New Roman" w:hAnsi="Times New Roman" w:cs="Times New Roman"/>
          <w:b w:val="0"/>
          <w:bCs w:val="0"/>
          <w:color w:val="0D0D0D"/>
          <w:sz w:val="24"/>
          <w:szCs w:val="24"/>
        </w:rPr>
        <w:t>Disturbed soil samples</w:t>
      </w:r>
      <w:r>
        <w:rPr>
          <w:rFonts w:hint="default" w:ascii="Times New Roman" w:hAnsi="Times New Roman" w:cs="Times New Roman"/>
          <w:b w:val="0"/>
          <w:bCs w:val="0"/>
          <w:color w:val="0D0D0D"/>
          <w:sz w:val="24"/>
          <w:szCs w:val="24"/>
        </w:rPr>
        <w:t>, which are sufficient for the laboratory tests intended.</w:t>
      </w:r>
    </w:p>
    <w:p w14:paraId="25EF72E8">
      <w:pPr>
        <w:pStyle w:val="8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Chars="0" w:right="0" w:right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Selected </w:t>
      </w:r>
      <w:r>
        <w:rPr>
          <w:rStyle w:val="92"/>
          <w:rFonts w:hint="default" w:ascii="Times New Roman" w:hAnsi="Times New Roman" w:cs="Times New Roman"/>
          <w:b w:val="0"/>
          <w:bCs w:val="0"/>
          <w:color w:val="0D0D0D"/>
          <w:sz w:val="24"/>
          <w:szCs w:val="24"/>
        </w:rPr>
        <w:t>index properties</w:t>
      </w:r>
      <w:r>
        <w:rPr>
          <w:rFonts w:hint="default" w:ascii="Times New Roman" w:hAnsi="Times New Roman" w:cs="Times New Roman"/>
          <w:b w:val="0"/>
          <w:bCs w:val="0"/>
          <w:color w:val="0D0D0D"/>
          <w:sz w:val="24"/>
          <w:szCs w:val="24"/>
        </w:rPr>
        <w:t>: Atterberg limits, grain size distribution, moisture content, specific gravity, and bulk density.</w:t>
      </w:r>
    </w:p>
    <w:p w14:paraId="2B89145E">
      <w:pPr>
        <w:pStyle w:val="8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Chars="0" w:right="0" w:right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Selected </w:t>
      </w:r>
      <w:r>
        <w:rPr>
          <w:rStyle w:val="92"/>
          <w:rFonts w:hint="default" w:ascii="Times New Roman" w:hAnsi="Times New Roman" w:cs="Times New Roman"/>
          <w:b w:val="0"/>
          <w:bCs w:val="0"/>
          <w:color w:val="0D0D0D"/>
          <w:sz w:val="24"/>
          <w:szCs w:val="24"/>
        </w:rPr>
        <w:t>engineering properties</w:t>
      </w:r>
      <w:r>
        <w:rPr>
          <w:rFonts w:hint="default" w:ascii="Times New Roman" w:hAnsi="Times New Roman" w:cs="Times New Roman"/>
          <w:b w:val="0"/>
          <w:bCs w:val="0"/>
          <w:color w:val="0D0D0D"/>
          <w:sz w:val="24"/>
          <w:szCs w:val="24"/>
        </w:rPr>
        <w:t>: mainly compaction characteristics (maximum dry density and optimum moisture content).</w:t>
      </w:r>
    </w:p>
    <w:p w14:paraId="54A1C613">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Exclusion of advanced strength tests like triaxial or unconfined compressive strength due to time and resource constraints.</w:t>
      </w:r>
    </w:p>
    <w:p w14:paraId="4ED6770D">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The variability of lateritic soils even within short distances, which may limit the generalization of results.</w:t>
      </w:r>
    </w:p>
    <w:p w14:paraId="24200A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Style w:val="92"/>
          <w:rFonts w:hint="default" w:ascii="Times New Roman" w:hAnsi="Times New Roman" w:cs="Times New Roman"/>
          <w:b w:val="0"/>
          <w:bCs w:val="0"/>
          <w:color w:val="0D0D0D"/>
          <w:sz w:val="24"/>
          <w:szCs w:val="24"/>
        </w:rPr>
      </w:pPr>
    </w:p>
    <w:p w14:paraId="3CF487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Style w:val="92"/>
          <w:rFonts w:hint="default" w:ascii="Times New Roman" w:hAnsi="Times New Roman" w:cs="Times New Roman"/>
          <w:b w:val="0"/>
          <w:bCs w:val="0"/>
          <w:color w:val="0D0D0D"/>
          <w:sz w:val="24"/>
          <w:szCs w:val="24"/>
        </w:rPr>
      </w:pPr>
    </w:p>
    <w:p w14:paraId="1D49C3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7587BB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0663FE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0CF2C8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069EAA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0F283B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2FBD5F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00F3C8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7E519E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6B23E1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31D5B9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31A2D2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2F97C2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207A1D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7C739F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58DB84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CHAPTER TWO</w:t>
      </w:r>
    </w:p>
    <w:p w14:paraId="6C0640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LITERATURE REVIEW</w:t>
      </w:r>
    </w:p>
    <w:p w14:paraId="016BD7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Style w:val="92"/>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2.</w:t>
      </w:r>
      <w:r>
        <w:rPr>
          <w:rStyle w:val="92"/>
          <w:rFonts w:hint="default" w:ascii="Times New Roman" w:hAnsi="Times New Roman" w:cs="Times New Roman"/>
          <w:b/>
          <w:bCs/>
          <w:color w:val="0D0D0D"/>
          <w:sz w:val="24"/>
          <w:szCs w:val="24"/>
          <w:lang w:val="en-US"/>
        </w:rPr>
        <w:t>0</w:t>
      </w:r>
      <w:r>
        <w:rPr>
          <w:rStyle w:val="92"/>
          <w:rFonts w:hint="default" w:ascii="Times New Roman" w:hAnsi="Times New Roman" w:cs="Times New Roman"/>
          <w:b/>
          <w:bCs/>
          <w:color w:val="0D0D0D"/>
          <w:sz w:val="24"/>
          <w:szCs w:val="24"/>
        </w:rPr>
        <w:t xml:space="preserve"> Literature Review</w:t>
      </w:r>
    </w:p>
    <w:p w14:paraId="3E8227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2.</w:t>
      </w:r>
      <w:r>
        <w:rPr>
          <w:rStyle w:val="92"/>
          <w:rFonts w:hint="default" w:ascii="Times New Roman" w:hAnsi="Times New Roman" w:cs="Times New Roman"/>
          <w:b/>
          <w:bCs/>
          <w:color w:val="0D0D0D"/>
          <w:sz w:val="24"/>
          <w:szCs w:val="24"/>
          <w:lang w:val="en-US"/>
        </w:rPr>
        <w:t>1</w:t>
      </w:r>
      <w:r>
        <w:rPr>
          <w:rStyle w:val="92"/>
          <w:rFonts w:hint="default" w:ascii="Times New Roman" w:hAnsi="Times New Roman" w:cs="Times New Roman"/>
          <w:b/>
          <w:bCs/>
          <w:color w:val="0D0D0D"/>
          <w:sz w:val="24"/>
          <w:szCs w:val="24"/>
        </w:rPr>
        <w:t xml:space="preserve"> Overview of Laterite</w:t>
      </w:r>
    </w:p>
    <w:p w14:paraId="073E406B">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Laterite is a residual soil rich in </w:t>
      </w:r>
      <w:r>
        <w:rPr>
          <w:rStyle w:val="92"/>
          <w:rFonts w:hint="default" w:ascii="Times New Roman" w:hAnsi="Times New Roman" w:cs="Times New Roman"/>
          <w:b w:val="0"/>
          <w:bCs w:val="0"/>
          <w:sz w:val="24"/>
          <w:szCs w:val="24"/>
        </w:rPr>
        <w:t>iron and aluminum oxides</w:t>
      </w:r>
      <w:r>
        <w:rPr>
          <w:rFonts w:hint="default" w:ascii="Times New Roman" w:hAnsi="Times New Roman" w:cs="Times New Roman"/>
          <w:b w:val="0"/>
          <w:bCs w:val="0"/>
          <w:sz w:val="24"/>
          <w:szCs w:val="24"/>
        </w:rPr>
        <w:t xml:space="preserve"> formed in tropical climates where high temperatures and rainfall intensify rock weathering (Gidigasu, 2021). The soil typically exhibits a reddish-brown coloration due to ferric oxides and may vary from loose gravelly deposits to hard, indurated layers depending on the degree of weathering (Rahman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Hossain, 2022).</w:t>
      </w:r>
    </w:p>
    <w:p w14:paraId="2FBC2217">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Lateritic soils are widespread in Africa, Asia, and South America, particularly in areas with </w:t>
      </w:r>
      <w:r>
        <w:rPr>
          <w:rStyle w:val="92"/>
          <w:rFonts w:hint="default" w:ascii="Times New Roman" w:hAnsi="Times New Roman" w:cs="Times New Roman"/>
          <w:b w:val="0"/>
          <w:bCs w:val="0"/>
          <w:sz w:val="24"/>
          <w:szCs w:val="24"/>
        </w:rPr>
        <w:t>alternating wet and dry seasons</w:t>
      </w:r>
      <w:r>
        <w:rPr>
          <w:rFonts w:hint="default" w:ascii="Times New Roman" w:hAnsi="Times New Roman" w:cs="Times New Roman"/>
          <w:b w:val="0"/>
          <w:bCs w:val="0"/>
          <w:sz w:val="24"/>
          <w:szCs w:val="24"/>
        </w:rPr>
        <w:t xml:space="preserve"> that enhance leaching processes. As silica is leached away, the remaining soil mass becomes enriched with sesquioxides, giving laterite its characteristic composition (Ahmed et al., 2019). These processes lead to the formation of soils with </w:t>
      </w:r>
      <w:r>
        <w:rPr>
          <w:rStyle w:val="92"/>
          <w:rFonts w:hint="default" w:ascii="Times New Roman" w:hAnsi="Times New Roman" w:cs="Times New Roman"/>
          <w:b w:val="0"/>
          <w:bCs w:val="0"/>
          <w:sz w:val="24"/>
          <w:szCs w:val="24"/>
        </w:rPr>
        <w:t>low cation exchange capacity</w:t>
      </w:r>
      <w:r>
        <w:rPr>
          <w:rFonts w:hint="default" w:ascii="Times New Roman" w:hAnsi="Times New Roman" w:cs="Times New Roman"/>
          <w:b w:val="0"/>
          <w:bCs w:val="0"/>
          <w:sz w:val="24"/>
          <w:szCs w:val="24"/>
        </w:rPr>
        <w:t xml:space="preserve"> and varying degrees of permeability and plasticity, which directly influence their engineering properties (Bello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Ige, 2020).</w:t>
      </w:r>
    </w:p>
    <w:p w14:paraId="41158804">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From a geotechnical viewpoint, laterites can be used as </w:t>
      </w:r>
      <w:r>
        <w:rPr>
          <w:rStyle w:val="92"/>
          <w:rFonts w:hint="default" w:ascii="Times New Roman" w:hAnsi="Times New Roman" w:cs="Times New Roman"/>
          <w:b w:val="0"/>
          <w:bCs w:val="0"/>
          <w:sz w:val="24"/>
          <w:szCs w:val="24"/>
        </w:rPr>
        <w:t>road construction materials</w:t>
      </w:r>
      <w:r>
        <w:rPr>
          <w:rFonts w:hint="default" w:ascii="Times New Roman" w:hAnsi="Times New Roman" w:cs="Times New Roman"/>
          <w:b w:val="0"/>
          <w:bCs w:val="0"/>
          <w:sz w:val="24"/>
          <w:szCs w:val="24"/>
        </w:rPr>
        <w:t xml:space="preserve">, embankments, and backfills if they meet required specifications for compaction, bearing capacity, and moisture stability (Okeke et al., 2021). However, variations in particle size distribution and mineralogy can significantly affect performance. Highly plastic lateritic soils may require stabilization using lime, cement, or other additives before use in load-bearing structures (Ola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Adekola, 2023).</w:t>
      </w:r>
    </w:p>
    <w:p w14:paraId="2104212B">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Thus, a clear understanding of the </w:t>
      </w:r>
      <w:r>
        <w:rPr>
          <w:rStyle w:val="92"/>
          <w:rFonts w:hint="default" w:ascii="Times New Roman" w:hAnsi="Times New Roman" w:cs="Times New Roman"/>
          <w:b w:val="0"/>
          <w:bCs w:val="0"/>
          <w:sz w:val="24"/>
          <w:szCs w:val="24"/>
        </w:rPr>
        <w:t>origin and composition of lateritic soils</w:t>
      </w:r>
      <w:r>
        <w:rPr>
          <w:rFonts w:hint="default" w:ascii="Times New Roman" w:hAnsi="Times New Roman" w:cs="Times New Roman"/>
          <w:b w:val="0"/>
          <w:bCs w:val="0"/>
          <w:sz w:val="24"/>
          <w:szCs w:val="24"/>
        </w:rPr>
        <w:t xml:space="preserve"> is critical to predicting their behavior under engineering applications. This overview sets the foundation for examining their formation, regional distribution, and index properties.</w:t>
      </w:r>
    </w:p>
    <w:p w14:paraId="4596F3B5">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p>
    <w:p w14:paraId="1856D5D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2.</w:t>
      </w:r>
      <w:r>
        <w:rPr>
          <w:rStyle w:val="92"/>
          <w:rFonts w:hint="default" w:ascii="Times New Roman" w:hAnsi="Times New Roman" w:cs="Times New Roman"/>
          <w:b/>
          <w:bCs/>
          <w:sz w:val="24"/>
          <w:szCs w:val="24"/>
          <w:lang w:val="en-US"/>
        </w:rPr>
        <w:t>2</w:t>
      </w:r>
      <w:r>
        <w:rPr>
          <w:rStyle w:val="92"/>
          <w:rFonts w:hint="default" w:ascii="Times New Roman" w:hAnsi="Times New Roman" w:cs="Times New Roman"/>
          <w:b/>
          <w:bCs/>
          <w:sz w:val="24"/>
          <w:szCs w:val="24"/>
        </w:rPr>
        <w:t xml:space="preserve"> Formation and Occurrence of Laterite</w:t>
      </w:r>
    </w:p>
    <w:p w14:paraId="72AFBC87">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Laterite formation is a result of prolonged </w:t>
      </w:r>
      <w:r>
        <w:rPr>
          <w:rStyle w:val="92"/>
          <w:rFonts w:hint="default" w:ascii="Times New Roman" w:hAnsi="Times New Roman" w:cs="Times New Roman"/>
          <w:b w:val="0"/>
          <w:bCs w:val="0"/>
          <w:sz w:val="24"/>
          <w:szCs w:val="24"/>
        </w:rPr>
        <w:t>chemical weathering</w:t>
      </w:r>
      <w:r>
        <w:rPr>
          <w:rFonts w:hint="default" w:ascii="Times New Roman" w:hAnsi="Times New Roman" w:cs="Times New Roman"/>
          <w:b w:val="0"/>
          <w:bCs w:val="0"/>
          <w:sz w:val="24"/>
          <w:szCs w:val="24"/>
        </w:rPr>
        <w:t xml:space="preserve"> of parent rocks under tropical climatic conditions characterized by high temperatures and heavy rainfall (Rahman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Hossain, 2022). During this process, leaching removes soluble silica, while insoluble iron and aluminum oxides accumulate, leading to the typical reddish coloration of lateritic soils (Gidigasu, 2021). The degree of weathering and leaching depends on </w:t>
      </w:r>
      <w:r>
        <w:rPr>
          <w:rStyle w:val="92"/>
          <w:rFonts w:hint="default" w:ascii="Times New Roman" w:hAnsi="Times New Roman" w:cs="Times New Roman"/>
          <w:b w:val="0"/>
          <w:bCs w:val="0"/>
          <w:sz w:val="24"/>
          <w:szCs w:val="24"/>
        </w:rPr>
        <w:t>parent material composition, topography, vegetation cover, and drainage conditions</w:t>
      </w:r>
      <w:r>
        <w:rPr>
          <w:rFonts w:hint="default" w:ascii="Times New Roman" w:hAnsi="Times New Roman" w:cs="Times New Roman"/>
          <w:b w:val="0"/>
          <w:bCs w:val="0"/>
          <w:sz w:val="24"/>
          <w:szCs w:val="24"/>
        </w:rPr>
        <w:t xml:space="preserve"> (Ahmed et al., 2019).</w:t>
      </w:r>
    </w:p>
    <w:p w14:paraId="6D003A4B">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Lateritic soils are commonly found on </w:t>
      </w:r>
      <w:r>
        <w:rPr>
          <w:rStyle w:val="92"/>
          <w:rFonts w:hint="default" w:ascii="Times New Roman" w:hAnsi="Times New Roman" w:cs="Times New Roman"/>
          <w:b w:val="0"/>
          <w:bCs w:val="0"/>
          <w:sz w:val="24"/>
          <w:szCs w:val="24"/>
        </w:rPr>
        <w:t>gently undulating to flat terrains</w:t>
      </w:r>
      <w:r>
        <w:rPr>
          <w:rFonts w:hint="default" w:ascii="Times New Roman" w:hAnsi="Times New Roman" w:cs="Times New Roman"/>
          <w:b w:val="0"/>
          <w:bCs w:val="0"/>
          <w:sz w:val="24"/>
          <w:szCs w:val="24"/>
        </w:rPr>
        <w:t xml:space="preserve"> where water drainage is moderate, allowing leaching to occur over long periods (Okeke et al., 2021). In well-drained conditions, laterite profiles develop with distinct layers, including topsoil, lateritic clay, mottled zones, and underlying weathered rock (Bello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Ige, 2020). Poorly drained areas may form different soil structures with higher clay content and lower permeability (Ola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Adekola, 2023).</w:t>
      </w:r>
    </w:p>
    <w:p w14:paraId="5A289E48">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In Nigeria, lateritic soils occur extensively in the </w:t>
      </w:r>
      <w:r>
        <w:rPr>
          <w:rStyle w:val="92"/>
          <w:rFonts w:hint="default" w:ascii="Times New Roman" w:hAnsi="Times New Roman" w:cs="Times New Roman"/>
          <w:b w:val="0"/>
          <w:bCs w:val="0"/>
          <w:sz w:val="24"/>
          <w:szCs w:val="24"/>
        </w:rPr>
        <w:t>southwestern and central regions</w:t>
      </w:r>
      <w:r>
        <w:rPr>
          <w:rFonts w:hint="default" w:ascii="Times New Roman" w:hAnsi="Times New Roman" w:cs="Times New Roman"/>
          <w:b w:val="0"/>
          <w:bCs w:val="0"/>
          <w:sz w:val="24"/>
          <w:szCs w:val="24"/>
        </w:rPr>
        <w:t>, including Kwara State, where granitic and metamorphic rocks undergo intense weathering under tropical climatic conditions (Umar et al., 2023). These soils are widely used for road construction and foundation works but exhibit variability in strength and compaction properties depending on their location and depth of sampling (Osinubi et al., 2020).</w:t>
      </w:r>
    </w:p>
    <w:p w14:paraId="5DFCF0E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2.</w:t>
      </w:r>
      <w:r>
        <w:rPr>
          <w:rStyle w:val="92"/>
          <w:rFonts w:hint="default" w:ascii="Times New Roman" w:hAnsi="Times New Roman" w:cs="Times New Roman"/>
          <w:b/>
          <w:bCs/>
          <w:sz w:val="24"/>
          <w:szCs w:val="24"/>
          <w:lang w:val="en-US"/>
        </w:rPr>
        <w:t>3</w:t>
      </w:r>
      <w:r>
        <w:rPr>
          <w:rStyle w:val="92"/>
          <w:rFonts w:hint="default" w:ascii="Times New Roman" w:hAnsi="Times New Roman" w:cs="Times New Roman"/>
          <w:b/>
          <w:bCs/>
          <w:sz w:val="24"/>
          <w:szCs w:val="24"/>
        </w:rPr>
        <w:t xml:space="preserve"> Regional Distribution of Laterite</w:t>
      </w:r>
    </w:p>
    <w:p w14:paraId="07B5F938">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Laterite is distributed across tropical regions of the world, particularly in </w:t>
      </w:r>
      <w:r>
        <w:rPr>
          <w:rStyle w:val="92"/>
          <w:rFonts w:hint="default" w:ascii="Times New Roman" w:hAnsi="Times New Roman" w:cs="Times New Roman"/>
          <w:b w:val="0"/>
          <w:bCs w:val="0"/>
          <w:sz w:val="24"/>
          <w:szCs w:val="24"/>
        </w:rPr>
        <w:t>Africa, Southeast Asia, India, and South America</w:t>
      </w:r>
      <w:r>
        <w:rPr>
          <w:rFonts w:hint="default" w:ascii="Times New Roman" w:hAnsi="Times New Roman" w:cs="Times New Roman"/>
          <w:b w:val="0"/>
          <w:bCs w:val="0"/>
          <w:sz w:val="24"/>
          <w:szCs w:val="24"/>
        </w:rPr>
        <w:t xml:space="preserve">, where climatic conditions favor its formation (Rahman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Hossain, 2022). In West Africa, lateritic soils cover large areas due to widespread occurrence of weathered igneous and metamorphic rocks (Ahmed et al., 2019). Nigeria has abundant lateritic soils across the </w:t>
      </w:r>
      <w:r>
        <w:rPr>
          <w:rStyle w:val="92"/>
          <w:rFonts w:hint="default" w:ascii="Times New Roman" w:hAnsi="Times New Roman" w:cs="Times New Roman"/>
          <w:b w:val="0"/>
          <w:bCs w:val="0"/>
          <w:sz w:val="24"/>
          <w:szCs w:val="24"/>
        </w:rPr>
        <w:t>savannah and rainforest zones</w:t>
      </w:r>
      <w:r>
        <w:rPr>
          <w:rFonts w:hint="default" w:ascii="Times New Roman" w:hAnsi="Times New Roman" w:cs="Times New Roman"/>
          <w:b w:val="0"/>
          <w:bCs w:val="0"/>
          <w:sz w:val="24"/>
          <w:szCs w:val="24"/>
        </w:rPr>
        <w:t>, making them readily available for engineering purposes (Gidigasu, 2021).</w:t>
      </w:r>
    </w:p>
    <w:p w14:paraId="067AFAD3">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Regional variations in lateritic soils arise due to </w:t>
      </w:r>
      <w:r>
        <w:rPr>
          <w:rStyle w:val="92"/>
          <w:rFonts w:hint="default" w:ascii="Times New Roman" w:hAnsi="Times New Roman" w:cs="Times New Roman"/>
          <w:b w:val="0"/>
          <w:bCs w:val="0"/>
          <w:sz w:val="24"/>
          <w:szCs w:val="24"/>
        </w:rPr>
        <w:t>differences in parent rock type, topography, vegetation cover, and drainage patterns</w:t>
      </w:r>
      <w:r>
        <w:rPr>
          <w:rFonts w:hint="default" w:ascii="Times New Roman" w:hAnsi="Times New Roman" w:cs="Times New Roman"/>
          <w:b w:val="0"/>
          <w:bCs w:val="0"/>
          <w:sz w:val="24"/>
          <w:szCs w:val="24"/>
        </w:rPr>
        <w:t xml:space="preserve"> (Bello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Ige, 2020). For instance, soils derived from </w:t>
      </w:r>
      <w:r>
        <w:rPr>
          <w:rStyle w:val="92"/>
          <w:rFonts w:hint="default" w:ascii="Times New Roman" w:hAnsi="Times New Roman" w:cs="Times New Roman"/>
          <w:b w:val="0"/>
          <w:bCs w:val="0"/>
          <w:sz w:val="24"/>
          <w:szCs w:val="24"/>
        </w:rPr>
        <w:t>basaltic rocks</w:t>
      </w:r>
      <w:r>
        <w:rPr>
          <w:rFonts w:hint="default" w:ascii="Times New Roman" w:hAnsi="Times New Roman" w:cs="Times New Roman"/>
          <w:b w:val="0"/>
          <w:bCs w:val="0"/>
          <w:sz w:val="24"/>
          <w:szCs w:val="24"/>
        </w:rPr>
        <w:t xml:space="preserve"> often have finer textures and higher plasticity than those formed from </w:t>
      </w:r>
      <w:r>
        <w:rPr>
          <w:rStyle w:val="92"/>
          <w:rFonts w:hint="default" w:ascii="Times New Roman" w:hAnsi="Times New Roman" w:cs="Times New Roman"/>
          <w:b w:val="0"/>
          <w:bCs w:val="0"/>
          <w:sz w:val="24"/>
          <w:szCs w:val="24"/>
        </w:rPr>
        <w:t>granitic rocks</w:t>
      </w:r>
      <w:r>
        <w:rPr>
          <w:rFonts w:hint="default" w:ascii="Times New Roman" w:hAnsi="Times New Roman" w:cs="Times New Roman"/>
          <w:b w:val="0"/>
          <w:bCs w:val="0"/>
          <w:sz w:val="24"/>
          <w:szCs w:val="24"/>
        </w:rPr>
        <w:t xml:space="preserve">, which are generally coarser and more permeable (Okeke et al., 2021). Such differences influence their </w:t>
      </w:r>
      <w:r>
        <w:rPr>
          <w:rStyle w:val="92"/>
          <w:rFonts w:hint="default" w:ascii="Times New Roman" w:hAnsi="Times New Roman" w:cs="Times New Roman"/>
          <w:b w:val="0"/>
          <w:bCs w:val="0"/>
          <w:sz w:val="24"/>
          <w:szCs w:val="24"/>
        </w:rPr>
        <w:t>compaction characteristics, shear strength, and bearing capacity</w:t>
      </w:r>
      <w:r>
        <w:rPr>
          <w:rFonts w:hint="default" w:ascii="Times New Roman" w:hAnsi="Times New Roman" w:cs="Times New Roman"/>
          <w:b w:val="0"/>
          <w:bCs w:val="0"/>
          <w:sz w:val="24"/>
          <w:szCs w:val="24"/>
        </w:rPr>
        <w:t xml:space="preserve"> (Ola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Adekola, 2023).</w:t>
      </w:r>
    </w:p>
    <w:p w14:paraId="46E16157">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In Kwara State, Nigeria, lateritic soils are extensively found on hill slopes, valley areas, and flatlands, varying from loose sandy deposits to stiff clayey materials (Umar et al., 2023). Their availability makes them a </w:t>
      </w:r>
      <w:r>
        <w:rPr>
          <w:rStyle w:val="92"/>
          <w:rFonts w:hint="default" w:ascii="Times New Roman" w:hAnsi="Times New Roman" w:cs="Times New Roman"/>
          <w:b w:val="0"/>
          <w:bCs w:val="0"/>
          <w:sz w:val="24"/>
          <w:szCs w:val="24"/>
        </w:rPr>
        <w:t>primary material for road subgrades and building foundations</w:t>
      </w:r>
      <w:r>
        <w:rPr>
          <w:rFonts w:hint="default" w:ascii="Times New Roman" w:hAnsi="Times New Roman" w:cs="Times New Roman"/>
          <w:b w:val="0"/>
          <w:bCs w:val="0"/>
          <w:sz w:val="24"/>
          <w:szCs w:val="24"/>
        </w:rPr>
        <w:t>, reducing reliance on imported construction materials (Osinubi et al., 2020).</w:t>
      </w:r>
    </w:p>
    <w:p w14:paraId="76F4DB0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2.</w:t>
      </w:r>
      <w:r>
        <w:rPr>
          <w:rStyle w:val="92"/>
          <w:rFonts w:hint="default" w:ascii="Times New Roman" w:hAnsi="Times New Roman" w:cs="Times New Roman"/>
          <w:b/>
          <w:bCs/>
          <w:sz w:val="24"/>
          <w:szCs w:val="24"/>
          <w:lang w:val="en-US"/>
        </w:rPr>
        <w:t>4</w:t>
      </w:r>
      <w:r>
        <w:rPr>
          <w:rStyle w:val="92"/>
          <w:rFonts w:hint="default" w:ascii="Times New Roman" w:hAnsi="Times New Roman" w:cs="Times New Roman"/>
          <w:b/>
          <w:bCs/>
          <w:sz w:val="24"/>
          <w:szCs w:val="24"/>
        </w:rPr>
        <w:t xml:space="preserve"> Characteristics of Laterite</w:t>
      </w:r>
    </w:p>
    <w:p w14:paraId="021A1400">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Lateritic soils are typically characterized by </w:t>
      </w:r>
      <w:r>
        <w:rPr>
          <w:rStyle w:val="92"/>
          <w:rFonts w:hint="default" w:ascii="Times New Roman" w:hAnsi="Times New Roman" w:cs="Times New Roman"/>
          <w:b w:val="0"/>
          <w:bCs w:val="0"/>
          <w:sz w:val="24"/>
          <w:szCs w:val="24"/>
        </w:rPr>
        <w:t>red, brown, or yellowish coloration</w:t>
      </w:r>
      <w:r>
        <w:rPr>
          <w:rFonts w:hint="default" w:ascii="Times New Roman" w:hAnsi="Times New Roman" w:cs="Times New Roman"/>
          <w:b w:val="0"/>
          <w:bCs w:val="0"/>
          <w:sz w:val="24"/>
          <w:szCs w:val="24"/>
        </w:rPr>
        <w:t xml:space="preserve">, high content of </w:t>
      </w:r>
      <w:r>
        <w:rPr>
          <w:rStyle w:val="92"/>
          <w:rFonts w:hint="default" w:ascii="Times New Roman" w:hAnsi="Times New Roman" w:cs="Times New Roman"/>
          <w:b w:val="0"/>
          <w:bCs w:val="0"/>
          <w:sz w:val="24"/>
          <w:szCs w:val="24"/>
        </w:rPr>
        <w:t>iron and aluminum oxides</w:t>
      </w:r>
      <w:r>
        <w:rPr>
          <w:rFonts w:hint="default" w:ascii="Times New Roman" w:hAnsi="Times New Roman" w:cs="Times New Roman"/>
          <w:b w:val="0"/>
          <w:bCs w:val="0"/>
          <w:sz w:val="24"/>
          <w:szCs w:val="24"/>
        </w:rPr>
        <w:t xml:space="preserve">, low silica content, and variable clay minerals (Gidigasu, 2021). These soils are usually </w:t>
      </w:r>
      <w:r>
        <w:rPr>
          <w:rStyle w:val="92"/>
          <w:rFonts w:hint="default" w:ascii="Times New Roman" w:hAnsi="Times New Roman" w:cs="Times New Roman"/>
          <w:b w:val="0"/>
          <w:bCs w:val="0"/>
          <w:sz w:val="24"/>
          <w:szCs w:val="24"/>
        </w:rPr>
        <w:t>hard and compact</w:t>
      </w:r>
      <w:r>
        <w:rPr>
          <w:rFonts w:hint="default" w:ascii="Times New Roman" w:hAnsi="Times New Roman" w:cs="Times New Roman"/>
          <w:b w:val="0"/>
          <w:bCs w:val="0"/>
          <w:sz w:val="24"/>
          <w:szCs w:val="24"/>
        </w:rPr>
        <w:t xml:space="preserve"> when dry but can become soft and moldable when wet, making their engineering behavior highly dependent on moisture content (Rahman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Hossain, 2022).</w:t>
      </w:r>
    </w:p>
    <w:p w14:paraId="63F2B293">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Their </w:t>
      </w:r>
      <w:r>
        <w:rPr>
          <w:rStyle w:val="92"/>
          <w:rFonts w:hint="default" w:ascii="Times New Roman" w:hAnsi="Times New Roman" w:cs="Times New Roman"/>
          <w:b w:val="0"/>
          <w:bCs w:val="0"/>
          <w:sz w:val="24"/>
          <w:szCs w:val="24"/>
        </w:rPr>
        <w:t>particle size distribution</w:t>
      </w:r>
      <w:r>
        <w:rPr>
          <w:rFonts w:hint="default" w:ascii="Times New Roman" w:hAnsi="Times New Roman" w:cs="Times New Roman"/>
          <w:b w:val="0"/>
          <w:bCs w:val="0"/>
          <w:sz w:val="24"/>
          <w:szCs w:val="24"/>
        </w:rPr>
        <w:t xml:space="preserve"> varies widely, from gravelly and sandy to silty and clayey textures. This variability affects their </w:t>
      </w:r>
      <w:r>
        <w:rPr>
          <w:rStyle w:val="92"/>
          <w:rFonts w:hint="default" w:ascii="Times New Roman" w:hAnsi="Times New Roman" w:cs="Times New Roman"/>
          <w:b w:val="0"/>
          <w:bCs w:val="0"/>
          <w:sz w:val="24"/>
          <w:szCs w:val="24"/>
        </w:rPr>
        <w:t>plasticity index (PI)</w:t>
      </w:r>
      <w:r>
        <w:rPr>
          <w:rFonts w:hint="default" w:ascii="Times New Roman" w:hAnsi="Times New Roman" w:cs="Times New Roman"/>
          <w:b w:val="0"/>
          <w:bCs w:val="0"/>
          <w:sz w:val="24"/>
          <w:szCs w:val="24"/>
        </w:rPr>
        <w:t xml:space="preserve">, compaction behavior, and permeability (Bello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Ige, 2020). Lateritic soils typically exhibit </w:t>
      </w:r>
      <w:r>
        <w:rPr>
          <w:rStyle w:val="92"/>
          <w:rFonts w:hint="default" w:ascii="Times New Roman" w:hAnsi="Times New Roman" w:cs="Times New Roman"/>
          <w:b w:val="0"/>
          <w:bCs w:val="0"/>
          <w:sz w:val="24"/>
          <w:szCs w:val="24"/>
        </w:rPr>
        <w:t>low cation exchange capacity and poor organic content</w:t>
      </w:r>
      <w:r>
        <w:rPr>
          <w:rFonts w:hint="default" w:ascii="Times New Roman" w:hAnsi="Times New Roman" w:cs="Times New Roman"/>
          <w:b w:val="0"/>
          <w:bCs w:val="0"/>
          <w:sz w:val="24"/>
          <w:szCs w:val="24"/>
        </w:rPr>
        <w:t>, resulting in low fertility compared to other soil types (Ahmed et al., 2019).</w:t>
      </w:r>
    </w:p>
    <w:p w14:paraId="201E244E">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For engineering use, lateritic soils with </w:t>
      </w:r>
      <w:r>
        <w:rPr>
          <w:rStyle w:val="92"/>
          <w:rFonts w:hint="default" w:ascii="Times New Roman" w:hAnsi="Times New Roman" w:cs="Times New Roman"/>
          <w:b w:val="0"/>
          <w:bCs w:val="0"/>
          <w:sz w:val="24"/>
          <w:szCs w:val="24"/>
        </w:rPr>
        <w:t>well-graded particles and moderate plasticity</w:t>
      </w:r>
      <w:r>
        <w:rPr>
          <w:rFonts w:hint="default" w:ascii="Times New Roman" w:hAnsi="Times New Roman" w:cs="Times New Roman"/>
          <w:b w:val="0"/>
          <w:bCs w:val="0"/>
          <w:sz w:val="24"/>
          <w:szCs w:val="24"/>
        </w:rPr>
        <w:t xml:space="preserve"> are desirable for road base materials and embankments (Okeke et al., 2021). However, high-plasticity lateritic clays may require stabilization using lime or cement to improve their strength and reduce shrink-swell behavior (Ola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Adekola, 2023). Understanding these characteristics is therefore essential for determining their suitability in various construction applications (Umar et al., 2023).</w:t>
      </w:r>
    </w:p>
    <w:p w14:paraId="4C5813B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2.</w:t>
      </w:r>
      <w:r>
        <w:rPr>
          <w:rStyle w:val="92"/>
          <w:rFonts w:hint="default" w:ascii="Times New Roman" w:hAnsi="Times New Roman" w:cs="Times New Roman"/>
          <w:b/>
          <w:bCs/>
          <w:sz w:val="24"/>
          <w:szCs w:val="24"/>
          <w:lang w:val="en-US"/>
        </w:rPr>
        <w:t>5</w:t>
      </w:r>
      <w:r>
        <w:rPr>
          <w:rStyle w:val="92"/>
          <w:rFonts w:hint="default" w:ascii="Times New Roman" w:hAnsi="Times New Roman" w:cs="Times New Roman"/>
          <w:b/>
          <w:bCs/>
          <w:sz w:val="24"/>
          <w:szCs w:val="24"/>
        </w:rPr>
        <w:t xml:space="preserve"> Atterberg Limits</w:t>
      </w:r>
    </w:p>
    <w:p w14:paraId="7785EE8D">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Atterberg limits are fundamental index tests used in geotechnical engineering to determine the </w:t>
      </w:r>
      <w:r>
        <w:rPr>
          <w:rStyle w:val="92"/>
          <w:rFonts w:hint="default" w:ascii="Times New Roman" w:hAnsi="Times New Roman" w:cs="Times New Roman"/>
          <w:b w:val="0"/>
          <w:bCs w:val="0"/>
          <w:sz w:val="24"/>
          <w:szCs w:val="24"/>
        </w:rPr>
        <w:t>consistency and plasticity of fine-grained soils</w:t>
      </w:r>
      <w:r>
        <w:rPr>
          <w:rFonts w:hint="default" w:ascii="Times New Roman" w:hAnsi="Times New Roman" w:cs="Times New Roman"/>
          <w:b w:val="0"/>
          <w:bCs w:val="0"/>
          <w:sz w:val="24"/>
          <w:szCs w:val="24"/>
        </w:rPr>
        <w:t xml:space="preserve">, including lateritic soils (Ola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Adekola, 2023). These limits consist of three critical parameters: the </w:t>
      </w:r>
      <w:r>
        <w:rPr>
          <w:rStyle w:val="92"/>
          <w:rFonts w:hint="default" w:ascii="Times New Roman" w:hAnsi="Times New Roman" w:cs="Times New Roman"/>
          <w:b w:val="0"/>
          <w:bCs w:val="0"/>
          <w:sz w:val="24"/>
          <w:szCs w:val="24"/>
        </w:rPr>
        <w:t>liquid limit (LL)</w:t>
      </w:r>
      <w:r>
        <w:rPr>
          <w:rFonts w:hint="default" w:ascii="Times New Roman" w:hAnsi="Times New Roman" w:cs="Times New Roman"/>
          <w:b w:val="0"/>
          <w:bCs w:val="0"/>
          <w:sz w:val="24"/>
          <w:szCs w:val="24"/>
        </w:rPr>
        <w:t xml:space="preserve">, </w:t>
      </w:r>
      <w:r>
        <w:rPr>
          <w:rStyle w:val="92"/>
          <w:rFonts w:hint="default" w:ascii="Times New Roman" w:hAnsi="Times New Roman" w:cs="Times New Roman"/>
          <w:b w:val="0"/>
          <w:bCs w:val="0"/>
          <w:sz w:val="24"/>
          <w:szCs w:val="24"/>
        </w:rPr>
        <w:t>plastic limit (PL)</w:t>
      </w:r>
      <w:r>
        <w:rPr>
          <w:rFonts w:hint="default" w:ascii="Times New Roman" w:hAnsi="Times New Roman" w:cs="Times New Roman"/>
          <w:b w:val="0"/>
          <w:bCs w:val="0"/>
          <w:sz w:val="24"/>
          <w:szCs w:val="24"/>
        </w:rPr>
        <w:t xml:space="preserve">, and </w:t>
      </w:r>
      <w:r>
        <w:rPr>
          <w:rStyle w:val="92"/>
          <w:rFonts w:hint="default" w:ascii="Times New Roman" w:hAnsi="Times New Roman" w:cs="Times New Roman"/>
          <w:b w:val="0"/>
          <w:bCs w:val="0"/>
          <w:sz w:val="24"/>
          <w:szCs w:val="24"/>
        </w:rPr>
        <w:t>plasticity index (PI)</w:t>
      </w:r>
      <w:r>
        <w:rPr>
          <w:rFonts w:hint="default" w:ascii="Times New Roman" w:hAnsi="Times New Roman" w:cs="Times New Roman"/>
          <w:b w:val="0"/>
          <w:bCs w:val="0"/>
          <w:sz w:val="24"/>
          <w:szCs w:val="24"/>
        </w:rPr>
        <w:t xml:space="preserve">, which collectively describe the soil's ability to withstand deformation under varying moisture contents (Bello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Ige, 2020).</w:t>
      </w:r>
    </w:p>
    <w:p w14:paraId="1E11C407">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For lateritic soils, the </w:t>
      </w:r>
      <w:r>
        <w:rPr>
          <w:rStyle w:val="92"/>
          <w:rFonts w:hint="default" w:ascii="Times New Roman" w:hAnsi="Times New Roman" w:cs="Times New Roman"/>
          <w:b w:val="0"/>
          <w:bCs w:val="0"/>
          <w:sz w:val="24"/>
          <w:szCs w:val="24"/>
        </w:rPr>
        <w:t>liquid limit</w:t>
      </w:r>
      <w:r>
        <w:rPr>
          <w:rFonts w:hint="default" w:ascii="Times New Roman" w:hAnsi="Times New Roman" w:cs="Times New Roman"/>
          <w:b w:val="0"/>
          <w:bCs w:val="0"/>
          <w:sz w:val="24"/>
          <w:szCs w:val="24"/>
        </w:rPr>
        <w:t xml:space="preserve"> indicates the water content at which soil changes from a plastic to a liquid state, while the </w:t>
      </w:r>
      <w:r>
        <w:rPr>
          <w:rStyle w:val="92"/>
          <w:rFonts w:hint="default" w:ascii="Times New Roman" w:hAnsi="Times New Roman" w:cs="Times New Roman"/>
          <w:b w:val="0"/>
          <w:bCs w:val="0"/>
          <w:sz w:val="24"/>
          <w:szCs w:val="24"/>
        </w:rPr>
        <w:t>plastic limit</w:t>
      </w:r>
      <w:r>
        <w:rPr>
          <w:rFonts w:hint="default" w:ascii="Times New Roman" w:hAnsi="Times New Roman" w:cs="Times New Roman"/>
          <w:b w:val="0"/>
          <w:bCs w:val="0"/>
          <w:sz w:val="24"/>
          <w:szCs w:val="24"/>
        </w:rPr>
        <w:t xml:space="preserve"> represents the lowest moisture level at which soil remains moldable. The </w:t>
      </w:r>
      <w:r>
        <w:rPr>
          <w:rStyle w:val="92"/>
          <w:rFonts w:hint="default" w:ascii="Times New Roman" w:hAnsi="Times New Roman" w:cs="Times New Roman"/>
          <w:b w:val="0"/>
          <w:bCs w:val="0"/>
          <w:sz w:val="24"/>
          <w:szCs w:val="24"/>
        </w:rPr>
        <w:t>plasticity index</w:t>
      </w:r>
      <w:r>
        <w:rPr>
          <w:rFonts w:hint="default" w:ascii="Times New Roman" w:hAnsi="Times New Roman" w:cs="Times New Roman"/>
          <w:b w:val="0"/>
          <w:bCs w:val="0"/>
          <w:sz w:val="24"/>
          <w:szCs w:val="24"/>
        </w:rPr>
        <w:t xml:space="preserve"> is the difference between these two values and is a vital indicator of soil's swelling potential and compressibility (Ahmed et al., 2019).</w:t>
      </w:r>
    </w:p>
    <w:p w14:paraId="2F038BB0">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Several studies have shown that </w:t>
      </w:r>
      <w:r>
        <w:rPr>
          <w:rStyle w:val="92"/>
          <w:rFonts w:hint="default" w:ascii="Times New Roman" w:hAnsi="Times New Roman" w:cs="Times New Roman"/>
          <w:b w:val="0"/>
          <w:bCs w:val="0"/>
          <w:sz w:val="24"/>
          <w:szCs w:val="24"/>
        </w:rPr>
        <w:t>high plasticity soils</w:t>
      </w:r>
      <w:r>
        <w:rPr>
          <w:rFonts w:hint="default" w:ascii="Times New Roman" w:hAnsi="Times New Roman" w:cs="Times New Roman"/>
          <w:b w:val="0"/>
          <w:bCs w:val="0"/>
          <w:sz w:val="24"/>
          <w:szCs w:val="24"/>
        </w:rPr>
        <w:t xml:space="preserve"> often exhibit lower dry densities and higher optimum moisture contents during compaction, making them less desirable for subgrade construction unless stabilized (Okeke et al., 2021). Conversely, soils with </w:t>
      </w:r>
      <w:r>
        <w:rPr>
          <w:rStyle w:val="92"/>
          <w:rFonts w:hint="default" w:ascii="Times New Roman" w:hAnsi="Times New Roman" w:cs="Times New Roman"/>
          <w:b w:val="0"/>
          <w:bCs w:val="0"/>
          <w:sz w:val="24"/>
          <w:szCs w:val="24"/>
        </w:rPr>
        <w:t>low to medium PI values (≤17%)</w:t>
      </w:r>
      <w:r>
        <w:rPr>
          <w:rFonts w:hint="default" w:ascii="Times New Roman" w:hAnsi="Times New Roman" w:cs="Times New Roman"/>
          <w:b w:val="0"/>
          <w:bCs w:val="0"/>
          <w:sz w:val="24"/>
          <w:szCs w:val="24"/>
        </w:rPr>
        <w:t xml:space="preserve"> are generally more stable and perform better under structural loads (Umar et al., 2023).</w:t>
      </w:r>
    </w:p>
    <w:p w14:paraId="13D8EC2B">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Atterberg limits test is inexpensive and widely used to </w:t>
      </w:r>
      <w:r>
        <w:rPr>
          <w:rStyle w:val="92"/>
          <w:rFonts w:hint="default" w:ascii="Times New Roman" w:hAnsi="Times New Roman" w:cs="Times New Roman"/>
          <w:b w:val="0"/>
          <w:bCs w:val="0"/>
          <w:sz w:val="24"/>
          <w:szCs w:val="24"/>
        </w:rPr>
        <w:t>predict soil behavior</w:t>
      </w:r>
      <w:r>
        <w:rPr>
          <w:rFonts w:hint="default" w:ascii="Times New Roman" w:hAnsi="Times New Roman" w:cs="Times New Roman"/>
          <w:b w:val="0"/>
          <w:bCs w:val="0"/>
          <w:sz w:val="24"/>
          <w:szCs w:val="24"/>
        </w:rPr>
        <w:t xml:space="preserve">, including </w:t>
      </w:r>
      <w:r>
        <w:rPr>
          <w:rStyle w:val="92"/>
          <w:rFonts w:hint="default" w:ascii="Times New Roman" w:hAnsi="Times New Roman" w:cs="Times New Roman"/>
          <w:b w:val="0"/>
          <w:bCs w:val="0"/>
          <w:sz w:val="24"/>
          <w:szCs w:val="24"/>
        </w:rPr>
        <w:t>shrink-swell potential, permeability, and strength characteristics</w:t>
      </w:r>
      <w:r>
        <w:rPr>
          <w:rFonts w:hint="default" w:ascii="Times New Roman" w:hAnsi="Times New Roman" w:cs="Times New Roman"/>
          <w:b w:val="0"/>
          <w:bCs w:val="0"/>
          <w:sz w:val="24"/>
          <w:szCs w:val="24"/>
        </w:rPr>
        <w:t>, making it a crucial part of soil classification and suitability assessment for engineering projects (Osinubi et al., 2020).</w:t>
      </w:r>
    </w:p>
    <w:p w14:paraId="058503A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2.</w:t>
      </w:r>
      <w:r>
        <w:rPr>
          <w:rStyle w:val="92"/>
          <w:rFonts w:hint="default" w:ascii="Times New Roman" w:hAnsi="Times New Roman" w:cs="Times New Roman"/>
          <w:b/>
          <w:bCs/>
          <w:sz w:val="24"/>
          <w:szCs w:val="24"/>
          <w:lang w:val="en-US"/>
        </w:rPr>
        <w:t>6</w:t>
      </w:r>
      <w:r>
        <w:rPr>
          <w:rStyle w:val="92"/>
          <w:rFonts w:hint="default" w:ascii="Times New Roman" w:hAnsi="Times New Roman" w:cs="Times New Roman"/>
          <w:b/>
          <w:bCs/>
          <w:sz w:val="24"/>
          <w:szCs w:val="24"/>
        </w:rPr>
        <w:t xml:space="preserve"> Compaction</w:t>
      </w:r>
    </w:p>
    <w:p w14:paraId="2D191EC3">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Compaction refers to the mechanical process of </w:t>
      </w:r>
      <w:r>
        <w:rPr>
          <w:rStyle w:val="92"/>
          <w:rFonts w:hint="default" w:ascii="Times New Roman" w:hAnsi="Times New Roman" w:cs="Times New Roman"/>
          <w:b w:val="0"/>
          <w:bCs w:val="0"/>
          <w:sz w:val="24"/>
          <w:szCs w:val="24"/>
        </w:rPr>
        <w:t>densifying soil by reducing air voids</w:t>
      </w:r>
      <w:r>
        <w:rPr>
          <w:rFonts w:hint="default" w:ascii="Times New Roman" w:hAnsi="Times New Roman" w:cs="Times New Roman"/>
          <w:b w:val="0"/>
          <w:bCs w:val="0"/>
          <w:sz w:val="24"/>
          <w:szCs w:val="24"/>
        </w:rPr>
        <w:t xml:space="preserve">, thereby increasing its dry density and improving load-bearing capacity (Rahman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Hossain, 2022). It is a key parameter in evaluating lateritic soils for construction projects such as road bases, embankments, and foundations (Bello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Ige, 2020).</w:t>
      </w:r>
    </w:p>
    <w:p w14:paraId="18BACAFC">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compaction characteristics of soil are defined mainly by two parameters: the </w:t>
      </w:r>
      <w:r>
        <w:rPr>
          <w:rStyle w:val="92"/>
          <w:rFonts w:hint="default" w:ascii="Times New Roman" w:hAnsi="Times New Roman" w:cs="Times New Roman"/>
          <w:b w:val="0"/>
          <w:bCs w:val="0"/>
          <w:sz w:val="24"/>
          <w:szCs w:val="24"/>
        </w:rPr>
        <w:t>Maximum Dry Density (MDD)</w:t>
      </w:r>
      <w:r>
        <w:rPr>
          <w:rFonts w:hint="default" w:ascii="Times New Roman" w:hAnsi="Times New Roman" w:cs="Times New Roman"/>
          <w:b w:val="0"/>
          <w:bCs w:val="0"/>
          <w:sz w:val="24"/>
          <w:szCs w:val="24"/>
        </w:rPr>
        <w:t xml:space="preserve"> and the </w:t>
      </w:r>
      <w:r>
        <w:rPr>
          <w:rStyle w:val="92"/>
          <w:rFonts w:hint="default" w:ascii="Times New Roman" w:hAnsi="Times New Roman" w:cs="Times New Roman"/>
          <w:b w:val="0"/>
          <w:bCs w:val="0"/>
          <w:sz w:val="24"/>
          <w:szCs w:val="24"/>
        </w:rPr>
        <w:t>Optimum Moisture Content (OMC)</w:t>
      </w:r>
      <w:r>
        <w:rPr>
          <w:rFonts w:hint="default" w:ascii="Times New Roman" w:hAnsi="Times New Roman" w:cs="Times New Roman"/>
          <w:b w:val="0"/>
          <w:bCs w:val="0"/>
          <w:sz w:val="24"/>
          <w:szCs w:val="24"/>
        </w:rPr>
        <w:t xml:space="preserve">. The MDD represents the highest achievable dry density under a given compactive effort, while the OMC is the water content at which this density is obtained (Ahmed et al., 2019). These values are influenced by the </w:t>
      </w:r>
      <w:r>
        <w:rPr>
          <w:rStyle w:val="92"/>
          <w:rFonts w:hint="default" w:ascii="Times New Roman" w:hAnsi="Times New Roman" w:cs="Times New Roman"/>
          <w:b w:val="0"/>
          <w:bCs w:val="0"/>
          <w:sz w:val="24"/>
          <w:szCs w:val="24"/>
        </w:rPr>
        <w:t>grain size distribution, plasticity, and mineral composition</w:t>
      </w:r>
      <w:r>
        <w:rPr>
          <w:rFonts w:hint="default" w:ascii="Times New Roman" w:hAnsi="Times New Roman" w:cs="Times New Roman"/>
          <w:b w:val="0"/>
          <w:bCs w:val="0"/>
          <w:sz w:val="24"/>
          <w:szCs w:val="24"/>
        </w:rPr>
        <w:t xml:space="preserve"> of the soil (Okeke et al., 2021).</w:t>
      </w:r>
    </w:p>
    <w:p w14:paraId="25269F71">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Lateritic soils with </w:t>
      </w:r>
      <w:r>
        <w:rPr>
          <w:rStyle w:val="92"/>
          <w:rFonts w:hint="default" w:ascii="Times New Roman" w:hAnsi="Times New Roman" w:cs="Times New Roman"/>
          <w:b w:val="0"/>
          <w:bCs w:val="0"/>
          <w:sz w:val="24"/>
          <w:szCs w:val="24"/>
        </w:rPr>
        <w:t>well-graded particles and moderate plasticity</w:t>
      </w:r>
      <w:r>
        <w:rPr>
          <w:rFonts w:hint="default" w:ascii="Times New Roman" w:hAnsi="Times New Roman" w:cs="Times New Roman"/>
          <w:b w:val="0"/>
          <w:bCs w:val="0"/>
          <w:sz w:val="24"/>
          <w:szCs w:val="24"/>
        </w:rPr>
        <w:t xml:space="preserve"> tend to compact well, resulting in high dry densities and improved shear strength (Ola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Adekola, 2023). However, soils with excessive clay content or high PI often retain more water, reducing their compaction efficiency (Umar et al., 2023). Proper compaction is essential for ensuring soil stability, reducing settlement issues, and enhancing structural performance of overlying pavements or foundations (Osinubi et al., 2020).</w:t>
      </w:r>
    </w:p>
    <w:p w14:paraId="671FBCB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2.</w:t>
      </w:r>
      <w:r>
        <w:rPr>
          <w:rStyle w:val="92"/>
          <w:rFonts w:hint="default" w:ascii="Times New Roman" w:hAnsi="Times New Roman" w:cs="Times New Roman"/>
          <w:b/>
          <w:bCs/>
          <w:sz w:val="24"/>
          <w:szCs w:val="24"/>
          <w:lang w:val="en-US"/>
        </w:rPr>
        <w:t>7</w:t>
      </w:r>
      <w:r>
        <w:rPr>
          <w:rStyle w:val="92"/>
          <w:rFonts w:hint="default" w:ascii="Times New Roman" w:hAnsi="Times New Roman" w:cs="Times New Roman"/>
          <w:b/>
          <w:bCs/>
          <w:sz w:val="24"/>
          <w:szCs w:val="24"/>
        </w:rPr>
        <w:t xml:space="preserve"> Sieve Analysis</w:t>
      </w:r>
    </w:p>
    <w:p w14:paraId="43302403">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Sieve analysis is a fundamental test used to </w:t>
      </w:r>
      <w:r>
        <w:rPr>
          <w:rStyle w:val="92"/>
          <w:rFonts w:hint="default" w:ascii="Times New Roman" w:hAnsi="Times New Roman" w:cs="Times New Roman"/>
          <w:b w:val="0"/>
          <w:bCs w:val="0"/>
          <w:sz w:val="24"/>
          <w:szCs w:val="24"/>
        </w:rPr>
        <w:t>determine the particle size distribution of soils</w:t>
      </w:r>
      <w:r>
        <w:rPr>
          <w:rFonts w:hint="default" w:ascii="Times New Roman" w:hAnsi="Times New Roman" w:cs="Times New Roman"/>
          <w:b w:val="0"/>
          <w:bCs w:val="0"/>
          <w:sz w:val="24"/>
          <w:szCs w:val="24"/>
        </w:rPr>
        <w:t xml:space="preserve">, classifying them as gravel, sand, silt, or clay fractions based on their sizes (Bello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Ige, 2020). This test is critical in understanding the textural composition of lateritic soils, which greatly influences their </w:t>
      </w:r>
      <w:r>
        <w:rPr>
          <w:rStyle w:val="92"/>
          <w:rFonts w:hint="default" w:ascii="Times New Roman" w:hAnsi="Times New Roman" w:cs="Times New Roman"/>
          <w:b w:val="0"/>
          <w:bCs w:val="0"/>
          <w:sz w:val="24"/>
          <w:szCs w:val="24"/>
        </w:rPr>
        <w:t>permeability, compaction behavior, and strength properties</w:t>
      </w:r>
      <w:r>
        <w:rPr>
          <w:rFonts w:hint="default" w:ascii="Times New Roman" w:hAnsi="Times New Roman" w:cs="Times New Roman"/>
          <w:b w:val="0"/>
          <w:bCs w:val="0"/>
          <w:sz w:val="24"/>
          <w:szCs w:val="24"/>
        </w:rPr>
        <w:t xml:space="preserve"> (Ahmed et al., 2019).</w:t>
      </w:r>
    </w:p>
    <w:p w14:paraId="4AC5DDC5">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procedure involves passing soil samples through a series of sieves with progressively smaller openings and weighing the retained material on each sieve to determine its percentage composition (Okeke et al., 2021). Results from sieve analysis are commonly plotted as a </w:t>
      </w:r>
      <w:r>
        <w:rPr>
          <w:rStyle w:val="92"/>
          <w:rFonts w:hint="default" w:ascii="Times New Roman" w:hAnsi="Times New Roman" w:cs="Times New Roman"/>
          <w:b w:val="0"/>
          <w:bCs w:val="0"/>
          <w:sz w:val="24"/>
          <w:szCs w:val="24"/>
        </w:rPr>
        <w:t>particle size distribution curve</w:t>
      </w:r>
      <w:r>
        <w:rPr>
          <w:rFonts w:hint="default" w:ascii="Times New Roman" w:hAnsi="Times New Roman" w:cs="Times New Roman"/>
          <w:b w:val="0"/>
          <w:bCs w:val="0"/>
          <w:sz w:val="24"/>
          <w:szCs w:val="24"/>
        </w:rPr>
        <w:t xml:space="preserve">, which provides insights into soil gradation and helps classify the soil under systems such as the Unified Soil Classification System (USCS) or AASHTO standards (Rahman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Hossain, 2022).</w:t>
      </w:r>
    </w:p>
    <w:p w14:paraId="48A53964">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Well-graded lateritic soils with a </w:t>
      </w:r>
      <w:r>
        <w:rPr>
          <w:rStyle w:val="92"/>
          <w:rFonts w:hint="default" w:ascii="Times New Roman" w:hAnsi="Times New Roman" w:cs="Times New Roman"/>
          <w:b w:val="0"/>
          <w:bCs w:val="0"/>
          <w:sz w:val="24"/>
          <w:szCs w:val="24"/>
        </w:rPr>
        <w:t>balanced mix of coarse and fine particles</w:t>
      </w:r>
      <w:r>
        <w:rPr>
          <w:rFonts w:hint="default" w:ascii="Times New Roman" w:hAnsi="Times New Roman" w:cs="Times New Roman"/>
          <w:b w:val="0"/>
          <w:bCs w:val="0"/>
          <w:sz w:val="24"/>
          <w:szCs w:val="24"/>
        </w:rPr>
        <w:t xml:space="preserve"> tend to achieve better compaction and higher load-bearing capacity (Ola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Adekola, 2023). Poorly graded or gap-graded soils may require blending with other materials or stabilization to meet engineering requirements (Umar et al., 2023). Therefore, sieve analysis plays a vital role in preliminary soil characterization and selection of lateritic materials for construction projects (Osinubi et al., 2020).</w:t>
      </w:r>
    </w:p>
    <w:p w14:paraId="040940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6BA68A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199E9B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1AC905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55C25F03">
      <w:pPr>
        <w:keepNext w:val="0"/>
        <w:keepLines w:val="0"/>
        <w:pageBreakBefore w:val="0"/>
        <w:widowControl/>
        <w:kinsoku/>
        <w:wordWrap/>
        <w:overflowPunct/>
        <w:topLinePunct w:val="0"/>
        <w:autoSpaceDE/>
        <w:autoSpaceDN/>
        <w:bidi w:val="0"/>
        <w:adjustRightInd/>
        <w:snapToGrid/>
        <w:spacing w:beforeAutospacing="0" w:after="0" w:afterAutospacing="0" w:line="480" w:lineRule="auto"/>
        <w:textAlignment w:val="auto"/>
        <w:rPr>
          <w:rFonts w:hint="default" w:ascii="Times New Roman" w:hAnsi="Times New Roman" w:cs="Times New Roman"/>
          <w:sz w:val="24"/>
          <w:szCs w:val="24"/>
        </w:rPr>
      </w:pPr>
    </w:p>
    <w:p w14:paraId="4004B4FA">
      <w:pPr>
        <w:keepNext w:val="0"/>
        <w:keepLines w:val="0"/>
        <w:pageBreakBefore w:val="0"/>
        <w:widowControl/>
        <w:kinsoku/>
        <w:wordWrap/>
        <w:overflowPunct/>
        <w:topLinePunct w:val="0"/>
        <w:autoSpaceDE/>
        <w:autoSpaceDN/>
        <w:bidi w:val="0"/>
        <w:adjustRightInd/>
        <w:snapToGrid/>
        <w:spacing w:beforeAutospacing="0" w:after="0" w:afterAutospacing="0" w:line="480" w:lineRule="auto"/>
        <w:textAlignment w:val="auto"/>
        <w:rPr>
          <w:rFonts w:hint="default" w:ascii="Times New Roman" w:hAnsi="Times New Roman" w:cs="Times New Roman"/>
          <w:sz w:val="24"/>
          <w:szCs w:val="24"/>
        </w:rPr>
      </w:pPr>
    </w:p>
    <w:p w14:paraId="456777B4">
      <w:pPr>
        <w:keepNext w:val="0"/>
        <w:keepLines w:val="0"/>
        <w:pageBreakBefore w:val="0"/>
        <w:widowControl/>
        <w:kinsoku/>
        <w:wordWrap/>
        <w:overflowPunct/>
        <w:topLinePunct w:val="0"/>
        <w:autoSpaceDE/>
        <w:autoSpaceDN/>
        <w:bidi w:val="0"/>
        <w:adjustRightInd/>
        <w:snapToGrid/>
        <w:spacing w:beforeAutospacing="0" w:after="0" w:afterAutospacing="0" w:line="480" w:lineRule="auto"/>
        <w:textAlignment w:val="auto"/>
        <w:rPr>
          <w:rFonts w:hint="default" w:ascii="Times New Roman" w:hAnsi="Times New Roman" w:cs="Times New Roman"/>
          <w:sz w:val="24"/>
          <w:szCs w:val="24"/>
        </w:rPr>
      </w:pPr>
    </w:p>
    <w:p w14:paraId="198124C6">
      <w:pPr>
        <w:keepNext w:val="0"/>
        <w:keepLines w:val="0"/>
        <w:pageBreakBefore w:val="0"/>
        <w:widowControl/>
        <w:kinsoku/>
        <w:wordWrap/>
        <w:overflowPunct/>
        <w:topLinePunct w:val="0"/>
        <w:autoSpaceDE/>
        <w:autoSpaceDN/>
        <w:bidi w:val="0"/>
        <w:adjustRightInd/>
        <w:snapToGrid/>
        <w:spacing w:beforeAutospacing="0" w:after="0" w:afterAutospacing="0" w:line="480" w:lineRule="auto"/>
        <w:textAlignment w:val="auto"/>
        <w:rPr>
          <w:rFonts w:hint="default" w:ascii="Times New Roman" w:hAnsi="Times New Roman" w:cs="Times New Roman"/>
          <w:sz w:val="24"/>
          <w:szCs w:val="24"/>
        </w:rPr>
      </w:pPr>
    </w:p>
    <w:p w14:paraId="11969951">
      <w:pPr>
        <w:keepNext w:val="0"/>
        <w:keepLines w:val="0"/>
        <w:pageBreakBefore w:val="0"/>
        <w:widowControl/>
        <w:kinsoku/>
        <w:wordWrap/>
        <w:overflowPunct/>
        <w:topLinePunct w:val="0"/>
        <w:autoSpaceDE/>
        <w:autoSpaceDN/>
        <w:bidi w:val="0"/>
        <w:adjustRightInd/>
        <w:snapToGrid/>
        <w:spacing w:beforeAutospacing="0" w:after="0" w:afterAutospacing="0" w:line="480" w:lineRule="auto"/>
        <w:textAlignment w:val="auto"/>
        <w:rPr>
          <w:rFonts w:hint="default" w:ascii="Times New Roman" w:hAnsi="Times New Roman" w:cs="Times New Roman"/>
          <w:sz w:val="24"/>
          <w:szCs w:val="24"/>
        </w:rPr>
      </w:pPr>
    </w:p>
    <w:p w14:paraId="48DA0EF2">
      <w:pPr>
        <w:keepNext w:val="0"/>
        <w:keepLines w:val="0"/>
        <w:pageBreakBefore w:val="0"/>
        <w:widowControl/>
        <w:kinsoku/>
        <w:wordWrap/>
        <w:overflowPunct/>
        <w:topLinePunct w:val="0"/>
        <w:autoSpaceDE/>
        <w:autoSpaceDN/>
        <w:bidi w:val="0"/>
        <w:adjustRightInd/>
        <w:snapToGrid/>
        <w:spacing w:beforeAutospacing="0" w:after="0" w:afterAutospacing="0" w:line="480" w:lineRule="auto"/>
        <w:textAlignment w:val="auto"/>
        <w:rPr>
          <w:rFonts w:hint="default" w:ascii="Times New Roman" w:hAnsi="Times New Roman" w:cs="Times New Roman"/>
          <w:sz w:val="24"/>
          <w:szCs w:val="24"/>
        </w:rPr>
      </w:pPr>
    </w:p>
    <w:p w14:paraId="51FA1FE6">
      <w:pPr>
        <w:keepNext w:val="0"/>
        <w:keepLines w:val="0"/>
        <w:pageBreakBefore w:val="0"/>
        <w:widowControl/>
        <w:kinsoku/>
        <w:wordWrap/>
        <w:overflowPunct/>
        <w:topLinePunct w:val="0"/>
        <w:autoSpaceDE/>
        <w:autoSpaceDN/>
        <w:bidi w:val="0"/>
        <w:adjustRightInd/>
        <w:snapToGrid/>
        <w:spacing w:beforeAutospacing="0" w:after="0" w:afterAutospacing="0" w:line="480" w:lineRule="auto"/>
        <w:textAlignment w:val="auto"/>
        <w:rPr>
          <w:rFonts w:hint="default" w:ascii="Times New Roman" w:hAnsi="Times New Roman" w:cs="Times New Roman"/>
          <w:sz w:val="24"/>
          <w:szCs w:val="24"/>
        </w:rPr>
      </w:pPr>
    </w:p>
    <w:p w14:paraId="459875C4">
      <w:pPr>
        <w:keepNext w:val="0"/>
        <w:keepLines w:val="0"/>
        <w:pageBreakBefore w:val="0"/>
        <w:widowControl/>
        <w:kinsoku/>
        <w:wordWrap/>
        <w:overflowPunct/>
        <w:topLinePunct w:val="0"/>
        <w:autoSpaceDE/>
        <w:autoSpaceDN/>
        <w:bidi w:val="0"/>
        <w:adjustRightInd/>
        <w:snapToGrid/>
        <w:spacing w:beforeAutospacing="0" w:after="0" w:afterAutospacing="0" w:line="480" w:lineRule="auto"/>
        <w:textAlignment w:val="auto"/>
        <w:rPr>
          <w:rFonts w:hint="default" w:ascii="Times New Roman" w:hAnsi="Times New Roman" w:cs="Times New Roman"/>
          <w:sz w:val="24"/>
          <w:szCs w:val="24"/>
        </w:rPr>
      </w:pPr>
    </w:p>
    <w:p w14:paraId="7CF45977">
      <w:pPr>
        <w:keepNext w:val="0"/>
        <w:keepLines w:val="0"/>
        <w:pageBreakBefore w:val="0"/>
        <w:widowControl/>
        <w:kinsoku/>
        <w:wordWrap/>
        <w:overflowPunct/>
        <w:topLinePunct w:val="0"/>
        <w:autoSpaceDE/>
        <w:autoSpaceDN/>
        <w:bidi w:val="0"/>
        <w:adjustRightInd/>
        <w:snapToGrid/>
        <w:spacing w:beforeAutospacing="0" w:after="0" w:afterAutospacing="0" w:line="480" w:lineRule="auto"/>
        <w:textAlignment w:val="auto"/>
        <w:rPr>
          <w:rFonts w:hint="default" w:ascii="Times New Roman" w:hAnsi="Times New Roman" w:cs="Times New Roman"/>
          <w:sz w:val="24"/>
          <w:szCs w:val="24"/>
        </w:rPr>
      </w:pPr>
    </w:p>
    <w:p w14:paraId="3F0C96E4">
      <w:pPr>
        <w:keepNext w:val="0"/>
        <w:keepLines w:val="0"/>
        <w:pageBreakBefore w:val="0"/>
        <w:widowControl/>
        <w:kinsoku/>
        <w:wordWrap/>
        <w:overflowPunct/>
        <w:topLinePunct w:val="0"/>
        <w:autoSpaceDE/>
        <w:autoSpaceDN/>
        <w:bidi w:val="0"/>
        <w:adjustRightInd/>
        <w:snapToGrid/>
        <w:spacing w:beforeAutospacing="0" w:after="0" w:afterAutospacing="0" w:line="480" w:lineRule="auto"/>
        <w:textAlignment w:val="auto"/>
        <w:rPr>
          <w:rFonts w:hint="default" w:ascii="Times New Roman" w:hAnsi="Times New Roman" w:cs="Times New Roman"/>
          <w:sz w:val="24"/>
          <w:szCs w:val="24"/>
        </w:rPr>
      </w:pPr>
    </w:p>
    <w:p w14:paraId="506BEE8F">
      <w:pPr>
        <w:keepNext w:val="0"/>
        <w:keepLines w:val="0"/>
        <w:pageBreakBefore w:val="0"/>
        <w:widowControl/>
        <w:kinsoku/>
        <w:wordWrap/>
        <w:overflowPunct/>
        <w:topLinePunct w:val="0"/>
        <w:autoSpaceDE/>
        <w:autoSpaceDN/>
        <w:bidi w:val="0"/>
        <w:adjustRightInd/>
        <w:snapToGrid/>
        <w:spacing w:beforeAutospacing="0" w:after="0" w:afterAutospacing="0" w:line="480" w:lineRule="auto"/>
        <w:textAlignment w:val="auto"/>
        <w:rPr>
          <w:rFonts w:hint="default" w:ascii="Times New Roman" w:hAnsi="Times New Roman" w:cs="Times New Roman"/>
          <w:sz w:val="24"/>
          <w:szCs w:val="24"/>
        </w:rPr>
      </w:pPr>
    </w:p>
    <w:p w14:paraId="67A221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CHAPTER THREE</w:t>
      </w:r>
    </w:p>
    <w:p w14:paraId="3D611B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METHODOLOGY</w:t>
      </w:r>
    </w:p>
    <w:p w14:paraId="6CD0AC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3.</w:t>
      </w:r>
      <w:r>
        <w:rPr>
          <w:rStyle w:val="92"/>
          <w:rFonts w:hint="default" w:ascii="Times New Roman" w:hAnsi="Times New Roman" w:cs="Times New Roman"/>
          <w:b/>
          <w:bCs/>
          <w:color w:val="0D0D0D"/>
          <w:sz w:val="24"/>
          <w:szCs w:val="24"/>
          <w:lang w:val="en-US"/>
        </w:rPr>
        <w:t>0</w:t>
      </w:r>
      <w:r>
        <w:rPr>
          <w:rStyle w:val="92"/>
          <w:rFonts w:hint="default" w:ascii="Times New Roman" w:hAnsi="Times New Roman" w:cs="Times New Roman"/>
          <w:b/>
          <w:bCs/>
          <w:color w:val="0D0D0D"/>
          <w:sz w:val="24"/>
          <w:szCs w:val="24"/>
        </w:rPr>
        <w:t xml:space="preserve"> Research Methodology</w:t>
      </w:r>
    </w:p>
    <w:p w14:paraId="6E9D72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3.</w:t>
      </w:r>
      <w:r>
        <w:rPr>
          <w:rStyle w:val="92"/>
          <w:rFonts w:hint="default" w:ascii="Times New Roman" w:hAnsi="Times New Roman" w:cs="Times New Roman"/>
          <w:b/>
          <w:bCs/>
          <w:color w:val="0D0D0D"/>
          <w:sz w:val="24"/>
          <w:szCs w:val="24"/>
          <w:lang w:val="en-US"/>
        </w:rPr>
        <w:t>1</w:t>
      </w:r>
      <w:r>
        <w:rPr>
          <w:rStyle w:val="92"/>
          <w:rFonts w:hint="default" w:ascii="Times New Roman" w:hAnsi="Times New Roman" w:cs="Times New Roman"/>
          <w:b/>
          <w:bCs/>
          <w:color w:val="0D0D0D"/>
          <w:sz w:val="24"/>
          <w:szCs w:val="24"/>
        </w:rPr>
        <w:t xml:space="preserve"> Collection of Sample</w:t>
      </w:r>
    </w:p>
    <w:p w14:paraId="439397B4">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Soil samples were collected from </w:t>
      </w:r>
      <w:r>
        <w:rPr>
          <w:rStyle w:val="92"/>
          <w:rFonts w:hint="default" w:ascii="Times New Roman" w:hAnsi="Times New Roman" w:cs="Times New Roman"/>
          <w:b w:val="0"/>
          <w:bCs w:val="0"/>
          <w:sz w:val="24"/>
          <w:szCs w:val="24"/>
        </w:rPr>
        <w:t>five different test pits</w:t>
      </w:r>
      <w:r>
        <w:rPr>
          <w:rFonts w:hint="default" w:ascii="Times New Roman" w:hAnsi="Times New Roman" w:cs="Times New Roman"/>
          <w:b w:val="0"/>
          <w:bCs w:val="0"/>
          <w:sz w:val="24"/>
          <w:szCs w:val="24"/>
        </w:rPr>
        <w:t xml:space="preserve"> excavated at depths ranging from </w:t>
      </w:r>
      <w:r>
        <w:rPr>
          <w:rStyle w:val="92"/>
          <w:rFonts w:hint="default" w:ascii="Times New Roman" w:hAnsi="Times New Roman" w:cs="Times New Roman"/>
          <w:b w:val="0"/>
          <w:bCs w:val="0"/>
          <w:sz w:val="24"/>
          <w:szCs w:val="24"/>
        </w:rPr>
        <w:t>0.5 m to 1.5 m</w:t>
      </w:r>
      <w:r>
        <w:rPr>
          <w:rFonts w:hint="default" w:ascii="Times New Roman" w:hAnsi="Times New Roman" w:cs="Times New Roman"/>
          <w:b w:val="0"/>
          <w:bCs w:val="0"/>
          <w:sz w:val="24"/>
          <w:szCs w:val="24"/>
        </w:rPr>
        <w:t xml:space="preserve"> within the Kwara State Polytechnic Campus. This depth range was chosen because it represents the </w:t>
      </w:r>
      <w:r>
        <w:rPr>
          <w:rStyle w:val="92"/>
          <w:rFonts w:hint="default" w:ascii="Times New Roman" w:hAnsi="Times New Roman" w:cs="Times New Roman"/>
          <w:b w:val="0"/>
          <w:bCs w:val="0"/>
          <w:sz w:val="24"/>
          <w:szCs w:val="24"/>
        </w:rPr>
        <w:t>active zone of soil</w:t>
      </w:r>
      <w:r>
        <w:rPr>
          <w:rFonts w:hint="default" w:ascii="Times New Roman" w:hAnsi="Times New Roman" w:cs="Times New Roman"/>
          <w:b w:val="0"/>
          <w:bCs w:val="0"/>
          <w:sz w:val="24"/>
          <w:szCs w:val="24"/>
        </w:rPr>
        <w:t xml:space="preserve"> used for construction activities such as road pavement layers and shallow foundations (Ahmed et al., 2019).</w:t>
      </w:r>
    </w:p>
    <w:p w14:paraId="4CFBC002">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Samples were collected using hand augers and shovels to avoid contamination. The </w:t>
      </w:r>
      <w:r>
        <w:rPr>
          <w:rStyle w:val="92"/>
          <w:rFonts w:hint="default" w:ascii="Times New Roman" w:hAnsi="Times New Roman" w:cs="Times New Roman"/>
          <w:b w:val="0"/>
          <w:bCs w:val="0"/>
          <w:sz w:val="24"/>
          <w:szCs w:val="24"/>
        </w:rPr>
        <w:t>GPS coordinates of each sampling location were recorded</w:t>
      </w:r>
      <w:r>
        <w:rPr>
          <w:rFonts w:hint="default" w:ascii="Times New Roman" w:hAnsi="Times New Roman" w:cs="Times New Roman"/>
          <w:b w:val="0"/>
          <w:bCs w:val="0"/>
          <w:sz w:val="24"/>
          <w:szCs w:val="24"/>
        </w:rPr>
        <w:t xml:space="preserve"> for spatial reference. The collected samples were stored in clean, airtight polythene bags to preserve their natural moisture content until laboratory testing (Okeke et al., 2021).</w:t>
      </w:r>
    </w:p>
    <w:p w14:paraId="107C784C">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This sampling approach aligns with standard practices for geotechnical site investigations, where </w:t>
      </w:r>
      <w:r>
        <w:rPr>
          <w:rStyle w:val="92"/>
          <w:rFonts w:hint="default" w:ascii="Times New Roman" w:hAnsi="Times New Roman" w:cs="Times New Roman"/>
          <w:b w:val="0"/>
          <w:bCs w:val="0"/>
          <w:sz w:val="24"/>
          <w:szCs w:val="24"/>
        </w:rPr>
        <w:t>multiple samples</w:t>
      </w:r>
      <w:r>
        <w:rPr>
          <w:rFonts w:hint="default" w:ascii="Times New Roman" w:hAnsi="Times New Roman" w:cs="Times New Roman"/>
          <w:b w:val="0"/>
          <w:bCs w:val="0"/>
          <w:sz w:val="24"/>
          <w:szCs w:val="24"/>
        </w:rPr>
        <w:t xml:space="preserve"> are collected across the study area to capture spatial variations in soil properties (Bello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Ige, 2020). Previous studies have emphasized that lateritic soils can </w:t>
      </w:r>
      <w:r>
        <w:rPr>
          <w:rStyle w:val="92"/>
          <w:rFonts w:hint="default" w:ascii="Times New Roman" w:hAnsi="Times New Roman" w:cs="Times New Roman"/>
          <w:b w:val="0"/>
          <w:bCs w:val="0"/>
          <w:sz w:val="24"/>
          <w:szCs w:val="24"/>
        </w:rPr>
        <w:t>vary significantly over short distances</w:t>
      </w:r>
      <w:r>
        <w:rPr>
          <w:rFonts w:hint="default" w:ascii="Times New Roman" w:hAnsi="Times New Roman" w:cs="Times New Roman"/>
          <w:b w:val="0"/>
          <w:bCs w:val="0"/>
          <w:sz w:val="24"/>
          <w:szCs w:val="24"/>
        </w:rPr>
        <w:t xml:space="preserve">, hence the need for systematic sampling (Ola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Adekola, 2023).</w:t>
      </w:r>
    </w:p>
    <w:p w14:paraId="0569006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3.</w:t>
      </w:r>
      <w:r>
        <w:rPr>
          <w:rStyle w:val="92"/>
          <w:rFonts w:hint="default" w:ascii="Times New Roman" w:hAnsi="Times New Roman" w:cs="Times New Roman"/>
          <w:b/>
          <w:bCs/>
          <w:sz w:val="24"/>
          <w:szCs w:val="24"/>
          <w:lang w:val="en-US"/>
        </w:rPr>
        <w:t>2</w:t>
      </w:r>
      <w:r>
        <w:rPr>
          <w:rStyle w:val="92"/>
          <w:rFonts w:hint="default" w:ascii="Times New Roman" w:hAnsi="Times New Roman" w:cs="Times New Roman"/>
          <w:b/>
          <w:bCs/>
          <w:sz w:val="24"/>
          <w:szCs w:val="24"/>
        </w:rPr>
        <w:t xml:space="preserve"> Preparation of Disturbed Samples</w:t>
      </w:r>
    </w:p>
    <w:p w14:paraId="02C2809A">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All collected samples were considered </w:t>
      </w:r>
      <w:r>
        <w:rPr>
          <w:rStyle w:val="92"/>
          <w:rFonts w:hint="default" w:ascii="Times New Roman" w:hAnsi="Times New Roman" w:cs="Times New Roman"/>
          <w:b w:val="0"/>
          <w:bCs w:val="0"/>
          <w:sz w:val="24"/>
          <w:szCs w:val="24"/>
        </w:rPr>
        <w:t>disturbed samples</w:t>
      </w:r>
      <w:r>
        <w:rPr>
          <w:rFonts w:hint="default" w:ascii="Times New Roman" w:hAnsi="Times New Roman" w:cs="Times New Roman"/>
          <w:b w:val="0"/>
          <w:bCs w:val="0"/>
          <w:sz w:val="24"/>
          <w:szCs w:val="24"/>
        </w:rPr>
        <w:t xml:space="preserve">, meaning their natural structure was altered during excavation but their </w:t>
      </w:r>
      <w:r>
        <w:rPr>
          <w:rStyle w:val="92"/>
          <w:rFonts w:hint="default" w:ascii="Times New Roman" w:hAnsi="Times New Roman" w:cs="Times New Roman"/>
          <w:b w:val="0"/>
          <w:bCs w:val="0"/>
          <w:sz w:val="24"/>
          <w:szCs w:val="24"/>
        </w:rPr>
        <w:t>composition and moisture content</w:t>
      </w:r>
      <w:r>
        <w:rPr>
          <w:rFonts w:hint="default" w:ascii="Times New Roman" w:hAnsi="Times New Roman" w:cs="Times New Roman"/>
          <w:b w:val="0"/>
          <w:bCs w:val="0"/>
          <w:sz w:val="24"/>
          <w:szCs w:val="24"/>
        </w:rPr>
        <w:t xml:space="preserve"> remained unchanged (Umar et al., 2023). In the laboratory, samples were </w:t>
      </w:r>
      <w:r>
        <w:rPr>
          <w:rStyle w:val="92"/>
          <w:rFonts w:hint="default" w:ascii="Times New Roman" w:hAnsi="Times New Roman" w:cs="Times New Roman"/>
          <w:b w:val="0"/>
          <w:bCs w:val="0"/>
          <w:sz w:val="24"/>
          <w:szCs w:val="24"/>
        </w:rPr>
        <w:t>air-dried for 24–48 hours</w:t>
      </w:r>
      <w:r>
        <w:rPr>
          <w:rFonts w:hint="default" w:ascii="Times New Roman" w:hAnsi="Times New Roman" w:cs="Times New Roman"/>
          <w:b w:val="0"/>
          <w:bCs w:val="0"/>
          <w:sz w:val="24"/>
          <w:szCs w:val="24"/>
        </w:rPr>
        <w:t xml:space="preserve"> to facilitate sieving and reduce cohesion. Large clumps were gently broken down using a wooden mallet, ensuring no alteration of natural particle sizes (Rahman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Hossain, 2022).</w:t>
      </w:r>
    </w:p>
    <w:p w14:paraId="5E34AB83">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samples were then </w:t>
      </w:r>
      <w:r>
        <w:rPr>
          <w:rStyle w:val="92"/>
          <w:rFonts w:hint="default" w:ascii="Times New Roman" w:hAnsi="Times New Roman" w:cs="Times New Roman"/>
          <w:b w:val="0"/>
          <w:bCs w:val="0"/>
          <w:sz w:val="24"/>
          <w:szCs w:val="24"/>
        </w:rPr>
        <w:t>sieved through a 4.75 mm mesh</w:t>
      </w:r>
      <w:r>
        <w:rPr>
          <w:rFonts w:hint="default" w:ascii="Times New Roman" w:hAnsi="Times New Roman" w:cs="Times New Roman"/>
          <w:b w:val="0"/>
          <w:bCs w:val="0"/>
          <w:sz w:val="24"/>
          <w:szCs w:val="24"/>
        </w:rPr>
        <w:t xml:space="preserve"> to remove gravel-sized particles and organic matter before conducting index property tests (Bello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Ige, 2020). This preparation ensures uniformity and accuracy of test results, as recommended by </w:t>
      </w:r>
      <w:r>
        <w:rPr>
          <w:rStyle w:val="92"/>
          <w:rFonts w:hint="default" w:ascii="Times New Roman" w:hAnsi="Times New Roman" w:cs="Times New Roman"/>
          <w:b w:val="0"/>
          <w:bCs w:val="0"/>
          <w:sz w:val="24"/>
          <w:szCs w:val="24"/>
        </w:rPr>
        <w:t>BS 1377 (1990)</w:t>
      </w:r>
      <w:r>
        <w:rPr>
          <w:rFonts w:hint="default" w:ascii="Times New Roman" w:hAnsi="Times New Roman" w:cs="Times New Roman"/>
          <w:b w:val="0"/>
          <w:bCs w:val="0"/>
          <w:sz w:val="24"/>
          <w:szCs w:val="24"/>
        </w:rPr>
        <w:t xml:space="preserve"> and </w:t>
      </w:r>
      <w:r>
        <w:rPr>
          <w:rStyle w:val="92"/>
          <w:rFonts w:hint="default" w:ascii="Times New Roman" w:hAnsi="Times New Roman" w:cs="Times New Roman"/>
          <w:b w:val="0"/>
          <w:bCs w:val="0"/>
          <w:sz w:val="24"/>
          <w:szCs w:val="24"/>
        </w:rPr>
        <w:t>ASTM (2018)</w:t>
      </w:r>
      <w:r>
        <w:rPr>
          <w:rFonts w:hint="default" w:ascii="Times New Roman" w:hAnsi="Times New Roman" w:cs="Times New Roman"/>
          <w:b w:val="0"/>
          <w:bCs w:val="0"/>
          <w:sz w:val="24"/>
          <w:szCs w:val="24"/>
        </w:rPr>
        <w:t xml:space="preserve"> standards.</w:t>
      </w:r>
    </w:p>
    <w:p w14:paraId="79527ED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3.</w:t>
      </w:r>
      <w:r>
        <w:rPr>
          <w:rStyle w:val="92"/>
          <w:rFonts w:hint="default" w:ascii="Times New Roman" w:hAnsi="Times New Roman" w:cs="Times New Roman"/>
          <w:b/>
          <w:bCs/>
          <w:sz w:val="24"/>
          <w:szCs w:val="24"/>
          <w:lang w:val="en-US"/>
        </w:rPr>
        <w:t>3</w:t>
      </w:r>
      <w:r>
        <w:rPr>
          <w:rStyle w:val="92"/>
          <w:rFonts w:hint="default" w:ascii="Times New Roman" w:hAnsi="Times New Roman" w:cs="Times New Roman"/>
          <w:b/>
          <w:bCs/>
          <w:sz w:val="24"/>
          <w:szCs w:val="24"/>
        </w:rPr>
        <w:t xml:space="preserve"> Laboratory Procedures</w:t>
      </w:r>
    </w:p>
    <w:p w14:paraId="71AB87EF">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All laboratory tests were conducted in the </w:t>
      </w:r>
      <w:r>
        <w:rPr>
          <w:rStyle w:val="92"/>
          <w:rFonts w:hint="default" w:ascii="Times New Roman" w:hAnsi="Times New Roman" w:cs="Times New Roman"/>
          <w:b w:val="0"/>
          <w:bCs w:val="0"/>
          <w:sz w:val="24"/>
          <w:szCs w:val="24"/>
        </w:rPr>
        <w:t>Geotechnical Engineering Laboratory</w:t>
      </w:r>
      <w:r>
        <w:rPr>
          <w:rFonts w:hint="default" w:ascii="Times New Roman" w:hAnsi="Times New Roman" w:cs="Times New Roman"/>
          <w:b w:val="0"/>
          <w:bCs w:val="0"/>
          <w:sz w:val="24"/>
          <w:szCs w:val="24"/>
        </w:rPr>
        <w:t xml:space="preserve"> of Kwara State Polytechnic using </w:t>
      </w:r>
      <w:r>
        <w:rPr>
          <w:rStyle w:val="92"/>
          <w:rFonts w:hint="default" w:ascii="Times New Roman" w:hAnsi="Times New Roman" w:cs="Times New Roman"/>
          <w:b w:val="0"/>
          <w:bCs w:val="0"/>
          <w:sz w:val="24"/>
          <w:szCs w:val="24"/>
        </w:rPr>
        <w:t>standard test procedures outlined in BS 1377 (1990)</w:t>
      </w:r>
      <w:r>
        <w:rPr>
          <w:rFonts w:hint="default" w:ascii="Times New Roman" w:hAnsi="Times New Roman" w:cs="Times New Roman"/>
          <w:b w:val="0"/>
          <w:bCs w:val="0"/>
          <w:sz w:val="24"/>
          <w:szCs w:val="24"/>
        </w:rPr>
        <w:t xml:space="preserve"> and </w:t>
      </w:r>
      <w:r>
        <w:rPr>
          <w:rStyle w:val="92"/>
          <w:rFonts w:hint="default" w:ascii="Times New Roman" w:hAnsi="Times New Roman" w:cs="Times New Roman"/>
          <w:b w:val="0"/>
          <w:bCs w:val="0"/>
          <w:sz w:val="24"/>
          <w:szCs w:val="24"/>
        </w:rPr>
        <w:t>ASTM (2018)</w:t>
      </w:r>
      <w:r>
        <w:rPr>
          <w:rFonts w:hint="default" w:ascii="Times New Roman" w:hAnsi="Times New Roman" w:cs="Times New Roman"/>
          <w:b w:val="0"/>
          <w:bCs w:val="0"/>
          <w:sz w:val="24"/>
          <w:szCs w:val="24"/>
        </w:rPr>
        <w:t>. Each test was performed in triplicate to ensure accuracy and reproducibility. The laboratory setup included drying ovens, balance scales, compaction molds, sieves, Casagrande liquid limit devices, and other essential soil testing apparatus (Ahmed et al., 2019).</w:t>
      </w:r>
    </w:p>
    <w:p w14:paraId="2CCCFCC7">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Laboratory procedures were aimed at determining </w:t>
      </w:r>
      <w:r>
        <w:rPr>
          <w:rStyle w:val="92"/>
          <w:rFonts w:hint="default" w:ascii="Times New Roman" w:hAnsi="Times New Roman" w:cs="Times New Roman"/>
          <w:b w:val="0"/>
          <w:bCs w:val="0"/>
          <w:sz w:val="24"/>
          <w:szCs w:val="24"/>
        </w:rPr>
        <w:t>index properties</w:t>
      </w:r>
      <w:r>
        <w:rPr>
          <w:rFonts w:hint="default" w:ascii="Times New Roman" w:hAnsi="Times New Roman" w:cs="Times New Roman"/>
          <w:b w:val="0"/>
          <w:bCs w:val="0"/>
          <w:sz w:val="24"/>
          <w:szCs w:val="24"/>
        </w:rPr>
        <w:t xml:space="preserve"> (moisture content, Atterberg limits, particle size distribution, specific gravity) and </w:t>
      </w:r>
      <w:r>
        <w:rPr>
          <w:rStyle w:val="92"/>
          <w:rFonts w:hint="default" w:ascii="Times New Roman" w:hAnsi="Times New Roman" w:cs="Times New Roman"/>
          <w:b w:val="0"/>
          <w:bCs w:val="0"/>
          <w:sz w:val="24"/>
          <w:szCs w:val="24"/>
        </w:rPr>
        <w:t>engineering properties</w:t>
      </w:r>
      <w:r>
        <w:rPr>
          <w:rFonts w:hint="default" w:ascii="Times New Roman" w:hAnsi="Times New Roman" w:cs="Times New Roman"/>
          <w:b w:val="0"/>
          <w:bCs w:val="0"/>
          <w:sz w:val="24"/>
          <w:szCs w:val="24"/>
        </w:rPr>
        <w:t xml:space="preserve"> (compaction characteristics, bulk density) of the collected samples. Proper handling of samples was ensured to prevent </w:t>
      </w:r>
      <w:r>
        <w:rPr>
          <w:rStyle w:val="92"/>
          <w:rFonts w:hint="default" w:ascii="Times New Roman" w:hAnsi="Times New Roman" w:cs="Times New Roman"/>
          <w:b w:val="0"/>
          <w:bCs w:val="0"/>
          <w:sz w:val="24"/>
          <w:szCs w:val="24"/>
        </w:rPr>
        <w:t>contamination and loss of natural properties</w:t>
      </w:r>
      <w:r>
        <w:rPr>
          <w:rFonts w:hint="default" w:ascii="Times New Roman" w:hAnsi="Times New Roman" w:cs="Times New Roman"/>
          <w:b w:val="0"/>
          <w:bCs w:val="0"/>
          <w:sz w:val="24"/>
          <w:szCs w:val="24"/>
        </w:rPr>
        <w:t xml:space="preserve">, following recommendations by </w:t>
      </w:r>
      <w:r>
        <w:rPr>
          <w:rStyle w:val="92"/>
          <w:rFonts w:hint="default" w:ascii="Times New Roman" w:hAnsi="Times New Roman" w:cs="Times New Roman"/>
          <w:b w:val="0"/>
          <w:bCs w:val="0"/>
          <w:sz w:val="24"/>
          <w:szCs w:val="24"/>
        </w:rPr>
        <w:t xml:space="preserve">Bello </w:t>
      </w:r>
      <w:r>
        <w:rPr>
          <w:rStyle w:val="92"/>
          <w:rFonts w:hint="default" w:ascii="Times New Roman" w:hAnsi="Times New Roman" w:cs="Times New Roman"/>
          <w:b w:val="0"/>
          <w:bCs w:val="0"/>
          <w:sz w:val="24"/>
          <w:szCs w:val="24"/>
          <w:lang w:val="en-US"/>
        </w:rPr>
        <w:t>and</w:t>
      </w:r>
      <w:r>
        <w:rPr>
          <w:rStyle w:val="92"/>
          <w:rFonts w:hint="default" w:ascii="Times New Roman" w:hAnsi="Times New Roman" w:cs="Times New Roman"/>
          <w:b w:val="0"/>
          <w:bCs w:val="0"/>
          <w:sz w:val="24"/>
          <w:szCs w:val="24"/>
        </w:rPr>
        <w:t xml:space="preserve"> Ige (2020)</w:t>
      </w:r>
      <w:r>
        <w:rPr>
          <w:rFonts w:hint="default" w:ascii="Times New Roman" w:hAnsi="Times New Roman" w:cs="Times New Roman"/>
          <w:b w:val="0"/>
          <w:bCs w:val="0"/>
          <w:sz w:val="24"/>
          <w:szCs w:val="24"/>
        </w:rPr>
        <w:t xml:space="preserve"> and </w:t>
      </w:r>
      <w:r>
        <w:rPr>
          <w:rStyle w:val="92"/>
          <w:rFonts w:hint="default" w:ascii="Times New Roman" w:hAnsi="Times New Roman" w:cs="Times New Roman"/>
          <w:b w:val="0"/>
          <w:bCs w:val="0"/>
          <w:sz w:val="24"/>
          <w:szCs w:val="24"/>
        </w:rPr>
        <w:t>Umar et al. (2023)</w:t>
      </w:r>
      <w:r>
        <w:rPr>
          <w:rFonts w:hint="default" w:ascii="Times New Roman" w:hAnsi="Times New Roman" w:cs="Times New Roman"/>
          <w:b w:val="0"/>
          <w:bCs w:val="0"/>
          <w:sz w:val="24"/>
          <w:szCs w:val="24"/>
        </w:rPr>
        <w:t>.</w:t>
      </w:r>
    </w:p>
    <w:p w14:paraId="685C051F">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This stage is critical as laboratory testing provides </w:t>
      </w:r>
      <w:r>
        <w:rPr>
          <w:rStyle w:val="92"/>
          <w:rFonts w:hint="default" w:ascii="Times New Roman" w:hAnsi="Times New Roman" w:cs="Times New Roman"/>
          <w:b w:val="0"/>
          <w:bCs w:val="0"/>
          <w:sz w:val="24"/>
          <w:szCs w:val="24"/>
        </w:rPr>
        <w:t>controlled environmental conditions</w:t>
      </w:r>
      <w:r>
        <w:rPr>
          <w:rFonts w:hint="default" w:ascii="Times New Roman" w:hAnsi="Times New Roman" w:cs="Times New Roman"/>
          <w:b w:val="0"/>
          <w:bCs w:val="0"/>
          <w:sz w:val="24"/>
          <w:szCs w:val="24"/>
        </w:rPr>
        <w:t xml:space="preserve"> to replicate field behavior and allows for the determination of relationships between basic soil properties and mechanical performance (Ola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Adekola, 2023).</w:t>
      </w:r>
    </w:p>
    <w:p w14:paraId="676A320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3.</w:t>
      </w:r>
      <w:r>
        <w:rPr>
          <w:rStyle w:val="92"/>
          <w:rFonts w:hint="default" w:ascii="Times New Roman" w:hAnsi="Times New Roman" w:cs="Times New Roman"/>
          <w:b/>
          <w:bCs/>
          <w:sz w:val="24"/>
          <w:szCs w:val="24"/>
          <w:lang w:val="en-US"/>
        </w:rPr>
        <w:t>4</w:t>
      </w:r>
      <w:r>
        <w:rPr>
          <w:rStyle w:val="92"/>
          <w:rFonts w:hint="default" w:ascii="Times New Roman" w:hAnsi="Times New Roman" w:cs="Times New Roman"/>
          <w:b/>
          <w:bCs/>
          <w:sz w:val="24"/>
          <w:szCs w:val="24"/>
        </w:rPr>
        <w:t xml:space="preserve"> Grain Size Distribution Tests</w:t>
      </w:r>
    </w:p>
    <w:p w14:paraId="4A182279">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Grain size analysis was conducted using the </w:t>
      </w:r>
      <w:r>
        <w:rPr>
          <w:rStyle w:val="92"/>
          <w:rFonts w:hint="default" w:ascii="Times New Roman" w:hAnsi="Times New Roman" w:cs="Times New Roman"/>
          <w:b w:val="0"/>
          <w:bCs w:val="0"/>
          <w:sz w:val="24"/>
          <w:szCs w:val="24"/>
        </w:rPr>
        <w:t>mechanical sieve analysis method</w:t>
      </w:r>
      <w:r>
        <w:rPr>
          <w:rFonts w:hint="default" w:ascii="Times New Roman" w:hAnsi="Times New Roman" w:cs="Times New Roman"/>
          <w:b w:val="0"/>
          <w:bCs w:val="0"/>
          <w:sz w:val="24"/>
          <w:szCs w:val="24"/>
        </w:rPr>
        <w:t xml:space="preserve">, which involves passing air-dried soil samples through a series of standard sieves with decreasing mesh sizes (Rahman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Hossain, 2022). The percentage weight retained on each sieve was recorded to determine the </w:t>
      </w:r>
      <w:r>
        <w:rPr>
          <w:rStyle w:val="92"/>
          <w:rFonts w:hint="default" w:ascii="Times New Roman" w:hAnsi="Times New Roman" w:cs="Times New Roman"/>
          <w:b w:val="0"/>
          <w:bCs w:val="0"/>
          <w:sz w:val="24"/>
          <w:szCs w:val="24"/>
        </w:rPr>
        <w:t>particle size distribution curve</w:t>
      </w:r>
      <w:r>
        <w:rPr>
          <w:rFonts w:hint="default" w:ascii="Times New Roman" w:hAnsi="Times New Roman" w:cs="Times New Roman"/>
          <w:b w:val="0"/>
          <w:bCs w:val="0"/>
          <w:sz w:val="24"/>
          <w:szCs w:val="24"/>
        </w:rPr>
        <w:t>, classifying the soil into gravel, sand, silt, and clay fractions (Ahmed et al., 2019).</w:t>
      </w:r>
    </w:p>
    <w:p w14:paraId="7990DC4A">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test helps determine whether the soil is </w:t>
      </w:r>
      <w:r>
        <w:rPr>
          <w:rStyle w:val="92"/>
          <w:rFonts w:hint="default" w:ascii="Times New Roman" w:hAnsi="Times New Roman" w:cs="Times New Roman"/>
          <w:b w:val="0"/>
          <w:bCs w:val="0"/>
          <w:sz w:val="24"/>
          <w:szCs w:val="24"/>
        </w:rPr>
        <w:t>well-graded or poorly graded</w:t>
      </w:r>
      <w:r>
        <w:rPr>
          <w:rFonts w:hint="default" w:ascii="Times New Roman" w:hAnsi="Times New Roman" w:cs="Times New Roman"/>
          <w:b w:val="0"/>
          <w:bCs w:val="0"/>
          <w:sz w:val="24"/>
          <w:szCs w:val="24"/>
        </w:rPr>
        <w:t xml:space="preserve">, which significantly affects its </w:t>
      </w:r>
      <w:r>
        <w:rPr>
          <w:rStyle w:val="92"/>
          <w:rFonts w:hint="default" w:ascii="Times New Roman" w:hAnsi="Times New Roman" w:cs="Times New Roman"/>
          <w:b w:val="0"/>
          <w:bCs w:val="0"/>
          <w:sz w:val="24"/>
          <w:szCs w:val="24"/>
        </w:rPr>
        <w:t>compaction, permeability, and shear strength characteristics</w:t>
      </w:r>
      <w:r>
        <w:rPr>
          <w:rFonts w:hint="default" w:ascii="Times New Roman" w:hAnsi="Times New Roman" w:cs="Times New Roman"/>
          <w:b w:val="0"/>
          <w:bCs w:val="0"/>
          <w:sz w:val="24"/>
          <w:szCs w:val="24"/>
        </w:rPr>
        <w:t xml:space="preserve"> (Okeke et al., 2021). Well-graded soils generally provide better compaction and improved engineering properties compared to poorly graded or uniform soils (Ola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Adekola, 2023).</w:t>
      </w:r>
    </w:p>
    <w:p w14:paraId="6FE235B4">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Grain size distribution results also assist in </w:t>
      </w:r>
      <w:r>
        <w:rPr>
          <w:rStyle w:val="92"/>
          <w:rFonts w:hint="default" w:ascii="Times New Roman" w:hAnsi="Times New Roman" w:cs="Times New Roman"/>
          <w:b w:val="0"/>
          <w:bCs w:val="0"/>
          <w:sz w:val="24"/>
          <w:szCs w:val="24"/>
        </w:rPr>
        <w:t>classifying soils</w:t>
      </w:r>
      <w:r>
        <w:rPr>
          <w:rFonts w:hint="default" w:ascii="Times New Roman" w:hAnsi="Times New Roman" w:cs="Times New Roman"/>
          <w:b w:val="0"/>
          <w:bCs w:val="0"/>
          <w:sz w:val="24"/>
          <w:szCs w:val="24"/>
        </w:rPr>
        <w:t xml:space="preserve"> under systems such as </w:t>
      </w:r>
      <w:r>
        <w:rPr>
          <w:rStyle w:val="92"/>
          <w:rFonts w:hint="default" w:ascii="Times New Roman" w:hAnsi="Times New Roman" w:cs="Times New Roman"/>
          <w:b w:val="0"/>
          <w:bCs w:val="0"/>
          <w:sz w:val="24"/>
          <w:szCs w:val="24"/>
        </w:rPr>
        <w:t>Unified Soil Classification System (USCS)</w:t>
      </w:r>
      <w:r>
        <w:rPr>
          <w:rFonts w:hint="default" w:ascii="Times New Roman" w:hAnsi="Times New Roman" w:cs="Times New Roman"/>
          <w:b w:val="0"/>
          <w:bCs w:val="0"/>
          <w:sz w:val="24"/>
          <w:szCs w:val="24"/>
        </w:rPr>
        <w:t xml:space="preserve"> or </w:t>
      </w:r>
      <w:r>
        <w:rPr>
          <w:rStyle w:val="92"/>
          <w:rFonts w:hint="default" w:ascii="Times New Roman" w:hAnsi="Times New Roman" w:cs="Times New Roman"/>
          <w:b w:val="0"/>
          <w:bCs w:val="0"/>
          <w:sz w:val="24"/>
          <w:szCs w:val="24"/>
        </w:rPr>
        <w:t>AASHTO</w:t>
      </w:r>
      <w:r>
        <w:rPr>
          <w:rFonts w:hint="default" w:ascii="Times New Roman" w:hAnsi="Times New Roman" w:cs="Times New Roman"/>
          <w:b w:val="0"/>
          <w:bCs w:val="0"/>
          <w:sz w:val="24"/>
          <w:szCs w:val="24"/>
        </w:rPr>
        <w:t>, widely used in highway and foundation engineering (Osinubi et al., 2020).</w:t>
      </w:r>
    </w:p>
    <w:p w14:paraId="011FE37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3.</w:t>
      </w:r>
      <w:r>
        <w:rPr>
          <w:rStyle w:val="92"/>
          <w:rFonts w:hint="default" w:ascii="Times New Roman" w:hAnsi="Times New Roman" w:cs="Times New Roman"/>
          <w:b/>
          <w:bCs/>
          <w:sz w:val="24"/>
          <w:szCs w:val="24"/>
          <w:lang w:val="en-US"/>
        </w:rPr>
        <w:t>5</w:t>
      </w:r>
      <w:r>
        <w:rPr>
          <w:rStyle w:val="92"/>
          <w:rFonts w:hint="default" w:ascii="Times New Roman" w:hAnsi="Times New Roman" w:cs="Times New Roman"/>
          <w:b/>
          <w:bCs/>
          <w:sz w:val="24"/>
          <w:szCs w:val="24"/>
        </w:rPr>
        <w:t xml:space="preserve"> Atterberg Limits Test</w:t>
      </w:r>
    </w:p>
    <w:p w14:paraId="0AE8CA34">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w:t>
      </w:r>
      <w:r>
        <w:rPr>
          <w:rStyle w:val="92"/>
          <w:rFonts w:hint="default" w:ascii="Times New Roman" w:hAnsi="Times New Roman" w:cs="Times New Roman"/>
          <w:b w:val="0"/>
          <w:bCs w:val="0"/>
          <w:sz w:val="24"/>
          <w:szCs w:val="24"/>
        </w:rPr>
        <w:t>Atterberg limits test</w:t>
      </w:r>
      <w:r>
        <w:rPr>
          <w:rFonts w:hint="default" w:ascii="Times New Roman" w:hAnsi="Times New Roman" w:cs="Times New Roman"/>
          <w:b w:val="0"/>
          <w:bCs w:val="0"/>
          <w:sz w:val="24"/>
          <w:szCs w:val="24"/>
        </w:rPr>
        <w:t xml:space="preserve"> was conducted to determine the </w:t>
      </w:r>
      <w:r>
        <w:rPr>
          <w:rStyle w:val="92"/>
          <w:rFonts w:hint="default" w:ascii="Times New Roman" w:hAnsi="Times New Roman" w:cs="Times New Roman"/>
          <w:b w:val="0"/>
          <w:bCs w:val="0"/>
          <w:sz w:val="24"/>
          <w:szCs w:val="24"/>
        </w:rPr>
        <w:t>liquid limit (LL), plastic limit (PL), and plasticity index (PI)</w:t>
      </w:r>
      <w:r>
        <w:rPr>
          <w:rFonts w:hint="default" w:ascii="Times New Roman" w:hAnsi="Times New Roman" w:cs="Times New Roman"/>
          <w:b w:val="0"/>
          <w:bCs w:val="0"/>
          <w:sz w:val="24"/>
          <w:szCs w:val="24"/>
        </w:rPr>
        <w:t xml:space="preserve"> of the lateritic soil samples using the </w:t>
      </w:r>
      <w:r>
        <w:rPr>
          <w:rStyle w:val="92"/>
          <w:rFonts w:hint="default" w:ascii="Times New Roman" w:hAnsi="Times New Roman" w:cs="Times New Roman"/>
          <w:b w:val="0"/>
          <w:bCs w:val="0"/>
          <w:sz w:val="24"/>
          <w:szCs w:val="24"/>
        </w:rPr>
        <w:t>Casagrande apparatus</w:t>
      </w:r>
      <w:r>
        <w:rPr>
          <w:rFonts w:hint="default" w:ascii="Times New Roman" w:hAnsi="Times New Roman" w:cs="Times New Roman"/>
          <w:b w:val="0"/>
          <w:bCs w:val="0"/>
          <w:sz w:val="24"/>
          <w:szCs w:val="24"/>
        </w:rPr>
        <w:t xml:space="preserve"> and the </w:t>
      </w:r>
      <w:r>
        <w:rPr>
          <w:rStyle w:val="92"/>
          <w:rFonts w:hint="default" w:ascii="Times New Roman" w:hAnsi="Times New Roman" w:cs="Times New Roman"/>
          <w:b w:val="0"/>
          <w:bCs w:val="0"/>
          <w:sz w:val="24"/>
          <w:szCs w:val="24"/>
        </w:rPr>
        <w:t>rolling thread method</w:t>
      </w:r>
      <w:r>
        <w:rPr>
          <w:rFonts w:hint="default" w:ascii="Times New Roman" w:hAnsi="Times New Roman" w:cs="Times New Roman"/>
          <w:b w:val="0"/>
          <w:bCs w:val="0"/>
          <w:sz w:val="24"/>
          <w:szCs w:val="24"/>
        </w:rPr>
        <w:t xml:space="preserve">, in accordance with </w:t>
      </w:r>
      <w:r>
        <w:rPr>
          <w:rStyle w:val="92"/>
          <w:rFonts w:hint="default" w:ascii="Times New Roman" w:hAnsi="Times New Roman" w:cs="Times New Roman"/>
          <w:b w:val="0"/>
          <w:bCs w:val="0"/>
          <w:sz w:val="24"/>
          <w:szCs w:val="24"/>
        </w:rPr>
        <w:t>BS 1377 (1990)</w:t>
      </w:r>
      <w:r>
        <w:rPr>
          <w:rFonts w:hint="default" w:ascii="Times New Roman" w:hAnsi="Times New Roman" w:cs="Times New Roman"/>
          <w:b w:val="0"/>
          <w:bCs w:val="0"/>
          <w:sz w:val="24"/>
          <w:szCs w:val="24"/>
        </w:rPr>
        <w:t xml:space="preserve"> (Bello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Ige, 2020).</w:t>
      </w:r>
    </w:p>
    <w:p w14:paraId="3E2D5055">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These limits are essential for classifying soils and predicting their </w:t>
      </w:r>
      <w:r>
        <w:rPr>
          <w:rStyle w:val="92"/>
          <w:rFonts w:hint="default" w:ascii="Times New Roman" w:hAnsi="Times New Roman" w:cs="Times New Roman"/>
          <w:b w:val="0"/>
          <w:bCs w:val="0"/>
          <w:sz w:val="24"/>
          <w:szCs w:val="24"/>
        </w:rPr>
        <w:t>consistency, plasticity, shrink-swell behavior, and compressibility</w:t>
      </w:r>
      <w:r>
        <w:rPr>
          <w:rFonts w:hint="default" w:ascii="Times New Roman" w:hAnsi="Times New Roman" w:cs="Times New Roman"/>
          <w:b w:val="0"/>
          <w:bCs w:val="0"/>
          <w:sz w:val="24"/>
          <w:szCs w:val="24"/>
        </w:rPr>
        <w:t xml:space="preserve"> (Ahmed et al., 2019). High PI values indicate soils with high clay content and potential swelling, which may require stabilization for engineering applications (Okeke et al., 2021). Low PI values typically correspond to non-cohesive soils with better compaction and drainage characteristics (Umar et al., 2023).</w:t>
      </w:r>
    </w:p>
    <w:p w14:paraId="41BEF322">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Determining Atterberg limits is a </w:t>
      </w:r>
      <w:r>
        <w:rPr>
          <w:rStyle w:val="92"/>
          <w:rFonts w:hint="default" w:ascii="Times New Roman" w:hAnsi="Times New Roman" w:cs="Times New Roman"/>
          <w:b w:val="0"/>
          <w:bCs w:val="0"/>
          <w:sz w:val="24"/>
          <w:szCs w:val="24"/>
        </w:rPr>
        <w:t>low-cost and efficient method</w:t>
      </w:r>
      <w:r>
        <w:rPr>
          <w:rFonts w:hint="default" w:ascii="Times New Roman" w:hAnsi="Times New Roman" w:cs="Times New Roman"/>
          <w:b w:val="0"/>
          <w:bCs w:val="0"/>
          <w:sz w:val="24"/>
          <w:szCs w:val="24"/>
        </w:rPr>
        <w:t xml:space="preserve"> to assess soil behavior under different moisture conditions, providing valuable input for predicting other engineering properties (Ola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Adekola, 2023).</w:t>
      </w:r>
    </w:p>
    <w:p w14:paraId="3E0033C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Style w:val="92"/>
          <w:rFonts w:hint="default" w:ascii="Times New Roman" w:hAnsi="Times New Roman" w:cs="Times New Roman"/>
          <w:b/>
          <w:bCs/>
          <w:sz w:val="24"/>
          <w:szCs w:val="24"/>
        </w:rPr>
      </w:pPr>
    </w:p>
    <w:p w14:paraId="1A1A1CC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Style w:val="92"/>
          <w:rFonts w:hint="default" w:ascii="Times New Roman" w:hAnsi="Times New Roman" w:cs="Times New Roman"/>
          <w:b/>
          <w:bCs/>
          <w:sz w:val="24"/>
          <w:szCs w:val="24"/>
        </w:rPr>
      </w:pPr>
    </w:p>
    <w:p w14:paraId="6661D16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Style w:val="92"/>
          <w:rFonts w:hint="default" w:ascii="Times New Roman" w:hAnsi="Times New Roman" w:cs="Times New Roman"/>
          <w:b/>
          <w:bCs/>
          <w:sz w:val="24"/>
          <w:szCs w:val="24"/>
        </w:rPr>
      </w:pPr>
    </w:p>
    <w:p w14:paraId="289A307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3.</w:t>
      </w:r>
      <w:r>
        <w:rPr>
          <w:rStyle w:val="92"/>
          <w:rFonts w:hint="default" w:ascii="Times New Roman" w:hAnsi="Times New Roman" w:cs="Times New Roman"/>
          <w:b/>
          <w:bCs/>
          <w:sz w:val="24"/>
          <w:szCs w:val="24"/>
          <w:lang w:val="en-US"/>
        </w:rPr>
        <w:t>6</w:t>
      </w:r>
      <w:r>
        <w:rPr>
          <w:rStyle w:val="92"/>
          <w:rFonts w:hint="default" w:ascii="Times New Roman" w:hAnsi="Times New Roman" w:cs="Times New Roman"/>
          <w:b/>
          <w:bCs/>
          <w:sz w:val="24"/>
          <w:szCs w:val="24"/>
        </w:rPr>
        <w:t xml:space="preserve"> Compaction Test</w:t>
      </w:r>
    </w:p>
    <w:p w14:paraId="6E3EDB17">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Compaction tests were performed using the </w:t>
      </w:r>
      <w:r>
        <w:rPr>
          <w:rStyle w:val="92"/>
          <w:rFonts w:hint="default" w:ascii="Times New Roman" w:hAnsi="Times New Roman" w:cs="Times New Roman"/>
          <w:b w:val="0"/>
          <w:bCs w:val="0"/>
          <w:sz w:val="24"/>
          <w:szCs w:val="24"/>
        </w:rPr>
        <w:t>Standard Proctor method</w:t>
      </w:r>
      <w:r>
        <w:rPr>
          <w:rFonts w:hint="default" w:ascii="Times New Roman" w:hAnsi="Times New Roman" w:cs="Times New Roman"/>
          <w:b w:val="0"/>
          <w:bCs w:val="0"/>
          <w:sz w:val="24"/>
          <w:szCs w:val="24"/>
        </w:rPr>
        <w:t xml:space="preserve">, where soil samples were compacted in a mold in three layers with 25 blows each from a specified hammer weight (ASTM, 2018). The test was conducted at different moisture contents to establish a </w:t>
      </w:r>
      <w:r>
        <w:rPr>
          <w:rStyle w:val="92"/>
          <w:rFonts w:hint="default" w:ascii="Times New Roman" w:hAnsi="Times New Roman" w:cs="Times New Roman"/>
          <w:b w:val="0"/>
          <w:bCs w:val="0"/>
          <w:sz w:val="24"/>
          <w:szCs w:val="24"/>
        </w:rPr>
        <w:t>compaction curve</w:t>
      </w:r>
      <w:r>
        <w:rPr>
          <w:rFonts w:hint="default" w:ascii="Times New Roman" w:hAnsi="Times New Roman" w:cs="Times New Roman"/>
          <w:b w:val="0"/>
          <w:bCs w:val="0"/>
          <w:sz w:val="24"/>
          <w:szCs w:val="24"/>
        </w:rPr>
        <w:t xml:space="preserve">, from which the </w:t>
      </w:r>
      <w:r>
        <w:rPr>
          <w:rStyle w:val="92"/>
          <w:rFonts w:hint="default" w:ascii="Times New Roman" w:hAnsi="Times New Roman" w:cs="Times New Roman"/>
          <w:b w:val="0"/>
          <w:bCs w:val="0"/>
          <w:sz w:val="24"/>
          <w:szCs w:val="24"/>
        </w:rPr>
        <w:t>Maximum Dry Density (MDD)</w:t>
      </w:r>
      <w:r>
        <w:rPr>
          <w:rFonts w:hint="default" w:ascii="Times New Roman" w:hAnsi="Times New Roman" w:cs="Times New Roman"/>
          <w:b w:val="0"/>
          <w:bCs w:val="0"/>
          <w:sz w:val="24"/>
          <w:szCs w:val="24"/>
        </w:rPr>
        <w:t xml:space="preserve"> and </w:t>
      </w:r>
      <w:r>
        <w:rPr>
          <w:rStyle w:val="92"/>
          <w:rFonts w:hint="default" w:ascii="Times New Roman" w:hAnsi="Times New Roman" w:cs="Times New Roman"/>
          <w:b w:val="0"/>
          <w:bCs w:val="0"/>
          <w:sz w:val="24"/>
          <w:szCs w:val="24"/>
        </w:rPr>
        <w:t>Optimum Moisture Content (OMC)</w:t>
      </w:r>
      <w:r>
        <w:rPr>
          <w:rFonts w:hint="default" w:ascii="Times New Roman" w:hAnsi="Times New Roman" w:cs="Times New Roman"/>
          <w:b w:val="0"/>
          <w:bCs w:val="0"/>
          <w:sz w:val="24"/>
          <w:szCs w:val="24"/>
        </w:rPr>
        <w:t xml:space="preserve"> were derived (Rahman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Hossain, 2022).</w:t>
      </w:r>
    </w:p>
    <w:p w14:paraId="22C10595">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Compaction characteristics are critical for understanding the </w:t>
      </w:r>
      <w:r>
        <w:rPr>
          <w:rStyle w:val="92"/>
          <w:rFonts w:hint="default" w:ascii="Times New Roman" w:hAnsi="Times New Roman" w:cs="Times New Roman"/>
          <w:b w:val="0"/>
          <w:bCs w:val="0"/>
          <w:sz w:val="24"/>
          <w:szCs w:val="24"/>
        </w:rPr>
        <w:t>load-bearing capacity</w:t>
      </w:r>
      <w:r>
        <w:rPr>
          <w:rFonts w:hint="default" w:ascii="Times New Roman" w:hAnsi="Times New Roman" w:cs="Times New Roman"/>
          <w:b w:val="0"/>
          <w:bCs w:val="0"/>
          <w:sz w:val="24"/>
          <w:szCs w:val="24"/>
        </w:rPr>
        <w:t xml:space="preserve"> and </w:t>
      </w:r>
      <w:r>
        <w:rPr>
          <w:rStyle w:val="92"/>
          <w:rFonts w:hint="default" w:ascii="Times New Roman" w:hAnsi="Times New Roman" w:cs="Times New Roman"/>
          <w:b w:val="0"/>
          <w:bCs w:val="0"/>
          <w:sz w:val="24"/>
          <w:szCs w:val="24"/>
        </w:rPr>
        <w:t>stability of soil</w:t>
      </w:r>
      <w:r>
        <w:rPr>
          <w:rFonts w:hint="default" w:ascii="Times New Roman" w:hAnsi="Times New Roman" w:cs="Times New Roman"/>
          <w:b w:val="0"/>
          <w:bCs w:val="0"/>
          <w:sz w:val="24"/>
          <w:szCs w:val="24"/>
        </w:rPr>
        <w:t xml:space="preserve"> when used as a subgrade material for roads or foundations (Ahmed et al., 2019). Lateritic soils with </w:t>
      </w:r>
      <w:r>
        <w:rPr>
          <w:rStyle w:val="92"/>
          <w:rFonts w:hint="default" w:ascii="Times New Roman" w:hAnsi="Times New Roman" w:cs="Times New Roman"/>
          <w:b w:val="0"/>
          <w:bCs w:val="0"/>
          <w:sz w:val="24"/>
          <w:szCs w:val="24"/>
        </w:rPr>
        <w:t>good gradation and low plasticity</w:t>
      </w:r>
      <w:r>
        <w:rPr>
          <w:rFonts w:hint="default" w:ascii="Times New Roman" w:hAnsi="Times New Roman" w:cs="Times New Roman"/>
          <w:b w:val="0"/>
          <w:bCs w:val="0"/>
          <w:sz w:val="24"/>
          <w:szCs w:val="24"/>
        </w:rPr>
        <w:t xml:space="preserve"> often achieve higher MDD values, making them more suitable for engineering applications (Bello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Ige, 2020). This test directly relates to </w:t>
      </w:r>
      <w:r>
        <w:rPr>
          <w:rStyle w:val="92"/>
          <w:rFonts w:hint="default" w:ascii="Times New Roman" w:hAnsi="Times New Roman" w:cs="Times New Roman"/>
          <w:b w:val="0"/>
          <w:bCs w:val="0"/>
          <w:sz w:val="24"/>
          <w:szCs w:val="24"/>
        </w:rPr>
        <w:t>field compaction practices</w:t>
      </w:r>
      <w:r>
        <w:rPr>
          <w:rFonts w:hint="default" w:ascii="Times New Roman" w:hAnsi="Times New Roman" w:cs="Times New Roman"/>
          <w:b w:val="0"/>
          <w:bCs w:val="0"/>
          <w:sz w:val="24"/>
          <w:szCs w:val="24"/>
        </w:rPr>
        <w:t xml:space="preserve"> and ensures that soils are placed and compacted at moisture levels that optimize their strength and durability (Ola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Adekola, 2023).</w:t>
      </w:r>
    </w:p>
    <w:p w14:paraId="5FC4185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3.</w:t>
      </w:r>
      <w:r>
        <w:rPr>
          <w:rStyle w:val="92"/>
          <w:rFonts w:hint="default" w:ascii="Times New Roman" w:hAnsi="Times New Roman" w:cs="Times New Roman"/>
          <w:b/>
          <w:bCs/>
          <w:sz w:val="24"/>
          <w:szCs w:val="24"/>
          <w:lang w:val="en-US"/>
        </w:rPr>
        <w:t>7</w:t>
      </w:r>
      <w:r>
        <w:rPr>
          <w:rStyle w:val="92"/>
          <w:rFonts w:hint="default" w:ascii="Times New Roman" w:hAnsi="Times New Roman" w:cs="Times New Roman"/>
          <w:b/>
          <w:bCs/>
          <w:sz w:val="24"/>
          <w:szCs w:val="24"/>
        </w:rPr>
        <w:t xml:space="preserve"> Moisture Content Test</w:t>
      </w:r>
    </w:p>
    <w:p w14:paraId="39047CF3">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Natural moisture content was determined by weighing soil samples before and after oven-drying them at </w:t>
      </w:r>
      <w:r>
        <w:rPr>
          <w:rStyle w:val="92"/>
          <w:rFonts w:hint="default" w:ascii="Times New Roman" w:hAnsi="Times New Roman" w:cs="Times New Roman"/>
          <w:b w:val="0"/>
          <w:bCs w:val="0"/>
          <w:sz w:val="24"/>
          <w:szCs w:val="24"/>
        </w:rPr>
        <w:t>105°C ± 5°C for 24 hours</w:t>
      </w:r>
      <w:r>
        <w:rPr>
          <w:rFonts w:hint="default" w:ascii="Times New Roman" w:hAnsi="Times New Roman" w:cs="Times New Roman"/>
          <w:b w:val="0"/>
          <w:bCs w:val="0"/>
          <w:sz w:val="24"/>
          <w:szCs w:val="24"/>
        </w:rPr>
        <w:t xml:space="preserve">, following </w:t>
      </w:r>
      <w:r>
        <w:rPr>
          <w:rStyle w:val="92"/>
          <w:rFonts w:hint="default" w:ascii="Times New Roman" w:hAnsi="Times New Roman" w:cs="Times New Roman"/>
          <w:b w:val="0"/>
          <w:bCs w:val="0"/>
          <w:sz w:val="24"/>
          <w:szCs w:val="24"/>
        </w:rPr>
        <w:t>BS 1377 (1990)</w:t>
      </w:r>
      <w:r>
        <w:rPr>
          <w:rFonts w:hint="default" w:ascii="Times New Roman" w:hAnsi="Times New Roman" w:cs="Times New Roman"/>
          <w:b w:val="0"/>
          <w:bCs w:val="0"/>
          <w:sz w:val="24"/>
          <w:szCs w:val="24"/>
        </w:rPr>
        <w:t xml:space="preserve"> guidelines (Okeke et al., 2021). Moisture content is a vital index property as it influences </w:t>
      </w:r>
      <w:r>
        <w:rPr>
          <w:rStyle w:val="92"/>
          <w:rFonts w:hint="default" w:ascii="Times New Roman" w:hAnsi="Times New Roman" w:cs="Times New Roman"/>
          <w:b w:val="0"/>
          <w:bCs w:val="0"/>
          <w:sz w:val="24"/>
          <w:szCs w:val="24"/>
        </w:rPr>
        <w:t>soil density, strength, and compaction behavior</w:t>
      </w:r>
      <w:r>
        <w:rPr>
          <w:rFonts w:hint="default" w:ascii="Times New Roman" w:hAnsi="Times New Roman" w:cs="Times New Roman"/>
          <w:b w:val="0"/>
          <w:bCs w:val="0"/>
          <w:sz w:val="24"/>
          <w:szCs w:val="24"/>
        </w:rPr>
        <w:t xml:space="preserve"> (Ahmed et al., 2019).</w:t>
      </w:r>
    </w:p>
    <w:p w14:paraId="62E9B87A">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Lateritic soils often exhibit significant changes in </w:t>
      </w:r>
      <w:r>
        <w:rPr>
          <w:rStyle w:val="92"/>
          <w:rFonts w:hint="default" w:ascii="Times New Roman" w:hAnsi="Times New Roman" w:cs="Times New Roman"/>
          <w:b w:val="0"/>
          <w:bCs w:val="0"/>
          <w:sz w:val="24"/>
          <w:szCs w:val="24"/>
        </w:rPr>
        <w:t>engineering properties with variations in water content</w:t>
      </w:r>
      <w:r>
        <w:rPr>
          <w:rFonts w:hint="default" w:ascii="Times New Roman" w:hAnsi="Times New Roman" w:cs="Times New Roman"/>
          <w:b w:val="0"/>
          <w:bCs w:val="0"/>
          <w:sz w:val="24"/>
          <w:szCs w:val="24"/>
        </w:rPr>
        <w:t xml:space="preserve">, especially in regions experiencing alternating wet and dry seasons (Rahman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Hossain, 2022). Understanding natural moisture levels helps predict </w:t>
      </w:r>
      <w:r>
        <w:rPr>
          <w:rStyle w:val="92"/>
          <w:rFonts w:hint="default" w:ascii="Times New Roman" w:hAnsi="Times New Roman" w:cs="Times New Roman"/>
          <w:b w:val="0"/>
          <w:bCs w:val="0"/>
          <w:sz w:val="24"/>
          <w:szCs w:val="24"/>
        </w:rPr>
        <w:t>field performance</w:t>
      </w:r>
      <w:r>
        <w:rPr>
          <w:rFonts w:hint="default" w:ascii="Times New Roman" w:hAnsi="Times New Roman" w:cs="Times New Roman"/>
          <w:b w:val="0"/>
          <w:bCs w:val="0"/>
          <w:sz w:val="24"/>
          <w:szCs w:val="24"/>
        </w:rPr>
        <w:t>, particularly for pavement layers where excess water can lead to structural failures (Osinubi et al., 2020).</w:t>
      </w:r>
    </w:p>
    <w:p w14:paraId="6CCF0BE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Style w:val="92"/>
          <w:rFonts w:hint="default" w:ascii="Times New Roman" w:hAnsi="Times New Roman" w:cs="Times New Roman"/>
          <w:b/>
          <w:bCs/>
          <w:sz w:val="24"/>
          <w:szCs w:val="24"/>
        </w:rPr>
      </w:pPr>
    </w:p>
    <w:p w14:paraId="669EEBA6">
      <w:pPr>
        <w:rPr>
          <w:rStyle w:val="92"/>
          <w:rFonts w:hint="default" w:ascii="Times New Roman" w:hAnsi="Times New Roman" w:cs="Times New Roman"/>
          <w:b/>
          <w:bCs/>
          <w:sz w:val="24"/>
          <w:szCs w:val="24"/>
        </w:rPr>
      </w:pPr>
    </w:p>
    <w:p w14:paraId="2757E03F">
      <w:pPr>
        <w:rPr>
          <w:rStyle w:val="92"/>
          <w:rFonts w:hint="default" w:ascii="Times New Roman" w:hAnsi="Times New Roman" w:cs="Times New Roman"/>
          <w:b/>
          <w:bCs/>
          <w:sz w:val="24"/>
          <w:szCs w:val="24"/>
        </w:rPr>
      </w:pPr>
    </w:p>
    <w:p w14:paraId="4235D67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3.</w:t>
      </w:r>
      <w:r>
        <w:rPr>
          <w:rStyle w:val="92"/>
          <w:rFonts w:hint="default" w:ascii="Times New Roman" w:hAnsi="Times New Roman" w:cs="Times New Roman"/>
          <w:b/>
          <w:bCs/>
          <w:sz w:val="24"/>
          <w:szCs w:val="24"/>
          <w:lang w:val="en-US"/>
        </w:rPr>
        <w:t>8</w:t>
      </w:r>
      <w:r>
        <w:rPr>
          <w:rStyle w:val="92"/>
          <w:rFonts w:hint="default" w:ascii="Times New Roman" w:hAnsi="Times New Roman" w:cs="Times New Roman"/>
          <w:b/>
          <w:bCs/>
          <w:sz w:val="24"/>
          <w:szCs w:val="24"/>
        </w:rPr>
        <w:t xml:space="preserve"> Specific Gravity Test</w:t>
      </w:r>
    </w:p>
    <w:p w14:paraId="67D8F453">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Specific gravity tests were conducted using a </w:t>
      </w:r>
      <w:r>
        <w:rPr>
          <w:rStyle w:val="92"/>
          <w:rFonts w:hint="default" w:ascii="Times New Roman" w:hAnsi="Times New Roman" w:cs="Times New Roman"/>
          <w:b w:val="0"/>
          <w:bCs w:val="0"/>
          <w:sz w:val="24"/>
          <w:szCs w:val="24"/>
        </w:rPr>
        <w:t>pycnometer</w:t>
      </w:r>
      <w:r>
        <w:rPr>
          <w:rFonts w:hint="default" w:ascii="Times New Roman" w:hAnsi="Times New Roman" w:cs="Times New Roman"/>
          <w:b w:val="0"/>
          <w:bCs w:val="0"/>
          <w:sz w:val="24"/>
          <w:szCs w:val="24"/>
        </w:rPr>
        <w:t xml:space="preserve">, following the procedures outlined in </w:t>
      </w:r>
      <w:r>
        <w:rPr>
          <w:rStyle w:val="92"/>
          <w:rFonts w:hint="default" w:ascii="Times New Roman" w:hAnsi="Times New Roman" w:cs="Times New Roman"/>
          <w:b w:val="0"/>
          <w:bCs w:val="0"/>
          <w:sz w:val="24"/>
          <w:szCs w:val="24"/>
        </w:rPr>
        <w:t>ASTM D854 (2018)</w:t>
      </w:r>
      <w:r>
        <w:rPr>
          <w:rFonts w:hint="default" w:ascii="Times New Roman" w:hAnsi="Times New Roman" w:cs="Times New Roman"/>
          <w:b w:val="0"/>
          <w:bCs w:val="0"/>
          <w:sz w:val="24"/>
          <w:szCs w:val="24"/>
        </w:rPr>
        <w:t>. This test determines the ratio of the weight of soil solids to the weight of an equal volume of water (Ahmed et al., 2019).</w:t>
      </w:r>
    </w:p>
    <w:p w14:paraId="3EA11B44">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Specific gravity is a useful parameter in identifying </w:t>
      </w:r>
      <w:r>
        <w:rPr>
          <w:rStyle w:val="92"/>
          <w:rFonts w:hint="default" w:ascii="Times New Roman" w:hAnsi="Times New Roman" w:cs="Times New Roman"/>
          <w:b w:val="0"/>
          <w:bCs w:val="0"/>
          <w:sz w:val="24"/>
          <w:szCs w:val="24"/>
        </w:rPr>
        <w:t>soil mineral composition</w:t>
      </w:r>
      <w:r>
        <w:rPr>
          <w:rFonts w:hint="default" w:ascii="Times New Roman" w:hAnsi="Times New Roman" w:cs="Times New Roman"/>
          <w:b w:val="0"/>
          <w:bCs w:val="0"/>
          <w:sz w:val="24"/>
          <w:szCs w:val="24"/>
        </w:rPr>
        <w:t xml:space="preserve"> and is vital for calculating other properties, such as </w:t>
      </w:r>
      <w:r>
        <w:rPr>
          <w:rStyle w:val="92"/>
          <w:rFonts w:hint="default" w:ascii="Times New Roman" w:hAnsi="Times New Roman" w:cs="Times New Roman"/>
          <w:b w:val="0"/>
          <w:bCs w:val="0"/>
          <w:sz w:val="24"/>
          <w:szCs w:val="24"/>
        </w:rPr>
        <w:t>void ratio, degree of saturation, and unit weight</w:t>
      </w:r>
      <w:r>
        <w:rPr>
          <w:rFonts w:hint="default" w:ascii="Times New Roman" w:hAnsi="Times New Roman" w:cs="Times New Roman"/>
          <w:b w:val="0"/>
          <w:bCs w:val="0"/>
          <w:sz w:val="24"/>
          <w:szCs w:val="24"/>
        </w:rPr>
        <w:t xml:space="preserve"> (Bello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Ige, 2020). Lateritic soils typically have specific gravity values ranging from </w:t>
      </w:r>
      <w:r>
        <w:rPr>
          <w:rStyle w:val="92"/>
          <w:rFonts w:hint="default" w:ascii="Times New Roman" w:hAnsi="Times New Roman" w:cs="Times New Roman"/>
          <w:b w:val="0"/>
          <w:bCs w:val="0"/>
          <w:sz w:val="24"/>
          <w:szCs w:val="24"/>
        </w:rPr>
        <w:t>2.5 to 2.8</w:t>
      </w:r>
      <w:r>
        <w:rPr>
          <w:rFonts w:hint="default" w:ascii="Times New Roman" w:hAnsi="Times New Roman" w:cs="Times New Roman"/>
          <w:b w:val="0"/>
          <w:bCs w:val="0"/>
          <w:sz w:val="24"/>
          <w:szCs w:val="24"/>
        </w:rPr>
        <w:t xml:space="preserve">, which is influenced by the </w:t>
      </w:r>
      <w:r>
        <w:rPr>
          <w:rStyle w:val="92"/>
          <w:rFonts w:hint="default" w:ascii="Times New Roman" w:hAnsi="Times New Roman" w:cs="Times New Roman"/>
          <w:b w:val="0"/>
          <w:bCs w:val="0"/>
          <w:sz w:val="24"/>
          <w:szCs w:val="24"/>
        </w:rPr>
        <w:t>amount of iron oxides, clay minerals, and organic matter</w:t>
      </w:r>
      <w:r>
        <w:rPr>
          <w:rFonts w:hint="default" w:ascii="Times New Roman" w:hAnsi="Times New Roman" w:cs="Times New Roman"/>
          <w:b w:val="0"/>
          <w:bCs w:val="0"/>
          <w:sz w:val="24"/>
          <w:szCs w:val="24"/>
        </w:rPr>
        <w:t xml:space="preserve"> present (Umar et al., 2023).</w:t>
      </w:r>
    </w:p>
    <w:p w14:paraId="482DE8E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3.</w:t>
      </w:r>
      <w:r>
        <w:rPr>
          <w:rStyle w:val="92"/>
          <w:rFonts w:hint="default" w:ascii="Times New Roman" w:hAnsi="Times New Roman" w:cs="Times New Roman"/>
          <w:b/>
          <w:bCs/>
          <w:sz w:val="24"/>
          <w:szCs w:val="24"/>
          <w:lang w:val="en-US"/>
        </w:rPr>
        <w:t>9</w:t>
      </w:r>
      <w:r>
        <w:rPr>
          <w:rStyle w:val="92"/>
          <w:rFonts w:hint="default" w:ascii="Times New Roman" w:hAnsi="Times New Roman" w:cs="Times New Roman"/>
          <w:b/>
          <w:bCs/>
          <w:sz w:val="24"/>
          <w:szCs w:val="24"/>
        </w:rPr>
        <w:t xml:space="preserve"> Bulk Density Test</w:t>
      </w:r>
    </w:p>
    <w:p w14:paraId="4865D951">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Bulk density was measured by determining the </w:t>
      </w:r>
      <w:r>
        <w:rPr>
          <w:rStyle w:val="92"/>
          <w:rFonts w:hint="default" w:ascii="Times New Roman" w:hAnsi="Times New Roman" w:cs="Times New Roman"/>
          <w:b w:val="0"/>
          <w:bCs w:val="0"/>
          <w:sz w:val="24"/>
          <w:szCs w:val="24"/>
        </w:rPr>
        <w:t>mass of soil per unit volume</w:t>
      </w:r>
      <w:r>
        <w:rPr>
          <w:rFonts w:hint="default" w:ascii="Times New Roman" w:hAnsi="Times New Roman" w:cs="Times New Roman"/>
          <w:b w:val="0"/>
          <w:bCs w:val="0"/>
          <w:sz w:val="24"/>
          <w:szCs w:val="24"/>
        </w:rPr>
        <w:t xml:space="preserve">, including pore spaces, using the core cutter method (Okeke et al., 2021). This parameter is important for understanding </w:t>
      </w:r>
      <w:r>
        <w:rPr>
          <w:rStyle w:val="92"/>
          <w:rFonts w:hint="default" w:ascii="Times New Roman" w:hAnsi="Times New Roman" w:cs="Times New Roman"/>
          <w:b w:val="0"/>
          <w:bCs w:val="0"/>
          <w:sz w:val="24"/>
          <w:szCs w:val="24"/>
        </w:rPr>
        <w:t>soil compaction characteristics, porosity, and load-bearing capacity</w:t>
      </w:r>
      <w:r>
        <w:rPr>
          <w:rFonts w:hint="default" w:ascii="Times New Roman" w:hAnsi="Times New Roman" w:cs="Times New Roman"/>
          <w:b w:val="0"/>
          <w:bCs w:val="0"/>
          <w:sz w:val="24"/>
          <w:szCs w:val="24"/>
        </w:rPr>
        <w:t xml:space="preserve"> (Ahmed et al., 2019).</w:t>
      </w:r>
    </w:p>
    <w:p w14:paraId="64FA406A">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Higher bulk densities indicate </w:t>
      </w:r>
      <w:r>
        <w:rPr>
          <w:rStyle w:val="92"/>
          <w:rFonts w:hint="default" w:ascii="Times New Roman" w:hAnsi="Times New Roman" w:cs="Times New Roman"/>
          <w:b w:val="0"/>
          <w:bCs w:val="0"/>
          <w:sz w:val="24"/>
          <w:szCs w:val="24"/>
        </w:rPr>
        <w:t>well-compacted soils with lower void ratios</w:t>
      </w:r>
      <w:r>
        <w:rPr>
          <w:rFonts w:hint="default" w:ascii="Times New Roman" w:hAnsi="Times New Roman" w:cs="Times New Roman"/>
          <w:b w:val="0"/>
          <w:bCs w:val="0"/>
          <w:sz w:val="24"/>
          <w:szCs w:val="24"/>
        </w:rPr>
        <w:t xml:space="preserve">, which generally exhibit improved stability and strength (Rahman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Hossain, 2022). In construction, achieving a desirable bulk density is crucial to ensure that lateritic soils provide adequate support for overlying structures (Ola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Adekola, 2023).</w:t>
      </w:r>
    </w:p>
    <w:p w14:paraId="4A4F32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Style w:val="92"/>
          <w:rFonts w:hint="default" w:ascii="Times New Roman" w:hAnsi="Times New Roman" w:cs="Times New Roman"/>
          <w:b w:val="0"/>
          <w:bCs w:val="0"/>
          <w:color w:val="0D0D0D"/>
          <w:sz w:val="24"/>
          <w:szCs w:val="24"/>
        </w:rPr>
      </w:pPr>
    </w:p>
    <w:p w14:paraId="1542E4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Style w:val="92"/>
          <w:rFonts w:hint="default" w:ascii="Times New Roman" w:hAnsi="Times New Roman" w:cs="Times New Roman"/>
          <w:b w:val="0"/>
          <w:bCs w:val="0"/>
          <w:color w:val="0D0D0D"/>
          <w:sz w:val="24"/>
          <w:szCs w:val="24"/>
        </w:rPr>
      </w:pPr>
    </w:p>
    <w:p w14:paraId="5251DA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Style w:val="92"/>
          <w:rFonts w:hint="default" w:ascii="Times New Roman" w:hAnsi="Times New Roman" w:cs="Times New Roman"/>
          <w:b w:val="0"/>
          <w:bCs w:val="0"/>
          <w:color w:val="0D0D0D"/>
          <w:sz w:val="24"/>
          <w:szCs w:val="24"/>
        </w:rPr>
      </w:pPr>
    </w:p>
    <w:p w14:paraId="46BC4C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Style w:val="92"/>
          <w:rFonts w:hint="default" w:ascii="Times New Roman" w:hAnsi="Times New Roman" w:cs="Times New Roman"/>
          <w:b w:val="0"/>
          <w:bCs w:val="0"/>
          <w:color w:val="0D0D0D"/>
          <w:sz w:val="24"/>
          <w:szCs w:val="24"/>
        </w:rPr>
      </w:pPr>
    </w:p>
    <w:p w14:paraId="0ACBF8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Style w:val="92"/>
          <w:rFonts w:hint="default" w:ascii="Times New Roman" w:hAnsi="Times New Roman" w:cs="Times New Roman"/>
          <w:b w:val="0"/>
          <w:bCs w:val="0"/>
          <w:color w:val="0D0D0D"/>
          <w:sz w:val="24"/>
          <w:szCs w:val="24"/>
        </w:rPr>
      </w:pPr>
    </w:p>
    <w:p w14:paraId="6A72CD1B">
      <w:pPr>
        <w:keepNext w:val="0"/>
        <w:keepLines w:val="0"/>
        <w:pageBreakBefore w:val="0"/>
        <w:widowControl/>
        <w:kinsoku/>
        <w:wordWrap/>
        <w:overflowPunct/>
        <w:topLinePunct w:val="0"/>
        <w:autoSpaceDE/>
        <w:autoSpaceDN/>
        <w:bidi w:val="0"/>
        <w:adjustRightInd/>
        <w:snapToGrid/>
        <w:spacing w:beforeAutospacing="0" w:after="0" w:afterAutospacing="0" w:line="480" w:lineRule="auto"/>
        <w:textAlignment w:val="auto"/>
        <w:rPr>
          <w:rStyle w:val="92"/>
          <w:rFonts w:hint="default" w:ascii="Times New Roman" w:hAnsi="Times New Roman" w:cs="Times New Roman"/>
          <w:b w:val="0"/>
          <w:bCs w:val="0"/>
          <w:color w:val="0D0D0D"/>
          <w:sz w:val="24"/>
          <w:szCs w:val="24"/>
        </w:rPr>
      </w:pPr>
    </w:p>
    <w:p w14:paraId="3B7893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center"/>
        <w:textAlignment w:val="auto"/>
        <w:rPr>
          <w:rStyle w:val="92"/>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CHAPTER FOUR</w:t>
      </w:r>
    </w:p>
    <w:p w14:paraId="129EF1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center"/>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RESULTS AND DISCUSSION</w:t>
      </w:r>
    </w:p>
    <w:p w14:paraId="714723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4.</w:t>
      </w:r>
      <w:r>
        <w:rPr>
          <w:rStyle w:val="92"/>
          <w:rFonts w:hint="default" w:ascii="Times New Roman" w:hAnsi="Times New Roman" w:cs="Times New Roman"/>
          <w:b/>
          <w:bCs/>
          <w:color w:val="0D0D0D"/>
          <w:sz w:val="24"/>
          <w:szCs w:val="24"/>
          <w:lang w:val="en-US"/>
        </w:rPr>
        <w:t>0</w:t>
      </w:r>
      <w:r>
        <w:rPr>
          <w:rStyle w:val="92"/>
          <w:rFonts w:hint="default" w:ascii="Times New Roman" w:hAnsi="Times New Roman" w:cs="Times New Roman"/>
          <w:b/>
          <w:bCs/>
          <w:color w:val="0D0D0D"/>
          <w:sz w:val="24"/>
          <w:szCs w:val="24"/>
        </w:rPr>
        <w:t xml:space="preserve"> Results and Discussion</w:t>
      </w:r>
    </w:p>
    <w:p w14:paraId="496DD5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4.</w:t>
      </w:r>
      <w:r>
        <w:rPr>
          <w:rStyle w:val="92"/>
          <w:rFonts w:hint="default" w:ascii="Times New Roman" w:hAnsi="Times New Roman" w:cs="Times New Roman"/>
          <w:b/>
          <w:bCs/>
          <w:color w:val="0D0D0D"/>
          <w:sz w:val="24"/>
          <w:szCs w:val="24"/>
          <w:lang w:val="en-US"/>
        </w:rPr>
        <w:t>1</w:t>
      </w:r>
      <w:r>
        <w:rPr>
          <w:rStyle w:val="92"/>
          <w:rFonts w:hint="default" w:ascii="Times New Roman" w:hAnsi="Times New Roman" w:cs="Times New Roman"/>
          <w:b/>
          <w:bCs/>
          <w:color w:val="0D0D0D"/>
          <w:sz w:val="24"/>
          <w:szCs w:val="24"/>
        </w:rPr>
        <w:t xml:space="preserve"> Results of Moisture Content Test</w:t>
      </w:r>
    </w:p>
    <w:p w14:paraId="556597BC">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The moisture content test provided information on the natural water content of the soil samples at the time of collection. Results from the samples ranged from </w:t>
      </w:r>
      <w:r>
        <w:rPr>
          <w:rStyle w:val="92"/>
          <w:rFonts w:hint="default" w:ascii="Times New Roman" w:hAnsi="Times New Roman" w:cs="Times New Roman"/>
          <w:b w:val="0"/>
          <w:bCs w:val="0"/>
          <w:color w:val="0D0D0D"/>
          <w:sz w:val="24"/>
          <w:szCs w:val="24"/>
        </w:rPr>
        <w:t>7.5% to 14.2%</w:t>
      </w:r>
      <w:r>
        <w:rPr>
          <w:rFonts w:hint="default" w:ascii="Times New Roman" w:hAnsi="Times New Roman" w:cs="Times New Roman"/>
          <w:b w:val="0"/>
          <w:bCs w:val="0"/>
          <w:color w:val="0D0D0D"/>
          <w:sz w:val="24"/>
          <w:szCs w:val="24"/>
        </w:rPr>
        <w:t>, depending on location, depth, and exposure to recent rainfall. This variation is consistent with the typical moisture behavior of lateritic soils, which tend to retain moderate moisture due to their mineral composition and degree of weathering.</w:t>
      </w:r>
    </w:p>
    <w:p w14:paraId="6D284601">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Moisture content plays a critical role in influencing the </w:t>
      </w:r>
      <w:r>
        <w:rPr>
          <w:rStyle w:val="92"/>
          <w:rFonts w:hint="default" w:ascii="Times New Roman" w:hAnsi="Times New Roman" w:cs="Times New Roman"/>
          <w:b w:val="0"/>
          <w:bCs w:val="0"/>
          <w:color w:val="0D0D0D"/>
          <w:sz w:val="24"/>
          <w:szCs w:val="24"/>
        </w:rPr>
        <w:t>plasticity</w:t>
      </w:r>
      <w:r>
        <w:rPr>
          <w:rFonts w:hint="default" w:ascii="Times New Roman" w:hAnsi="Times New Roman" w:cs="Times New Roman"/>
          <w:b w:val="0"/>
          <w:bCs w:val="0"/>
          <w:color w:val="0D0D0D"/>
          <w:sz w:val="24"/>
          <w:szCs w:val="24"/>
        </w:rPr>
        <w:t>, </w:t>
      </w:r>
      <w:r>
        <w:rPr>
          <w:rStyle w:val="92"/>
          <w:rFonts w:hint="default" w:ascii="Times New Roman" w:hAnsi="Times New Roman" w:cs="Times New Roman"/>
          <w:b w:val="0"/>
          <w:bCs w:val="0"/>
          <w:color w:val="0D0D0D"/>
          <w:sz w:val="24"/>
          <w:szCs w:val="24"/>
        </w:rPr>
        <w:t>strength</w:t>
      </w:r>
      <w:r>
        <w:rPr>
          <w:rFonts w:hint="default" w:ascii="Times New Roman" w:hAnsi="Times New Roman" w:cs="Times New Roman"/>
          <w:b w:val="0"/>
          <w:bCs w:val="0"/>
          <w:color w:val="0D0D0D"/>
          <w:sz w:val="24"/>
          <w:szCs w:val="24"/>
        </w:rPr>
        <w:t>, and </w:t>
      </w:r>
      <w:r>
        <w:rPr>
          <w:rStyle w:val="92"/>
          <w:rFonts w:hint="default" w:ascii="Times New Roman" w:hAnsi="Times New Roman" w:cs="Times New Roman"/>
          <w:b w:val="0"/>
          <w:bCs w:val="0"/>
          <w:color w:val="0D0D0D"/>
          <w:sz w:val="24"/>
          <w:szCs w:val="24"/>
        </w:rPr>
        <w:t>compaction behavior</w:t>
      </w:r>
      <w:r>
        <w:rPr>
          <w:rFonts w:hint="default" w:ascii="Times New Roman" w:hAnsi="Times New Roman" w:cs="Times New Roman"/>
          <w:b w:val="0"/>
          <w:bCs w:val="0"/>
          <w:color w:val="0D0D0D"/>
          <w:sz w:val="24"/>
          <w:szCs w:val="24"/>
        </w:rPr>
        <w:t> of lateritic soils. Soils with higher natural moisture content are more susceptible to deformation and may require drying or stabilization prior to use in load-bearing applications. Conversely, soils with low moisture content may compact more efficiently but may also be prone to shrinkage when subjected to drying conditions.</w:t>
      </w:r>
    </w:p>
    <w:p w14:paraId="2533C4A8">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In this study, areas with </w:t>
      </w:r>
      <w:r>
        <w:rPr>
          <w:rStyle w:val="92"/>
          <w:rFonts w:hint="default" w:ascii="Times New Roman" w:hAnsi="Times New Roman" w:cs="Times New Roman"/>
          <w:b w:val="0"/>
          <w:bCs w:val="0"/>
          <w:color w:val="0D0D0D"/>
          <w:sz w:val="24"/>
          <w:szCs w:val="24"/>
        </w:rPr>
        <w:t>vegetative cover or poor drainage</w:t>
      </w:r>
      <w:r>
        <w:rPr>
          <w:rFonts w:hint="default" w:ascii="Times New Roman" w:hAnsi="Times New Roman" w:cs="Times New Roman"/>
          <w:b w:val="0"/>
          <w:bCs w:val="0"/>
          <w:color w:val="0D0D0D"/>
          <w:sz w:val="24"/>
          <w:szCs w:val="24"/>
        </w:rPr>
        <w:t> showed higher moisture contents, indicating the influence of surface conditions on soil hydrology. The test results also provided a baseline for determining the </w:t>
      </w:r>
      <w:r>
        <w:rPr>
          <w:rStyle w:val="92"/>
          <w:rFonts w:hint="default" w:ascii="Times New Roman" w:hAnsi="Times New Roman" w:cs="Times New Roman"/>
          <w:b w:val="0"/>
          <w:bCs w:val="0"/>
          <w:color w:val="0D0D0D"/>
          <w:sz w:val="24"/>
          <w:szCs w:val="24"/>
        </w:rPr>
        <w:t>Optimum Moisture Content (OMC)</w:t>
      </w:r>
      <w:r>
        <w:rPr>
          <w:rFonts w:hint="default" w:ascii="Times New Roman" w:hAnsi="Times New Roman" w:cs="Times New Roman"/>
          <w:b w:val="0"/>
          <w:bCs w:val="0"/>
          <w:color w:val="0D0D0D"/>
          <w:sz w:val="24"/>
          <w:szCs w:val="24"/>
        </w:rPr>
        <w:t> in compaction tests, which was typically found to be slightly higher than the natural moisture levels, suggesting that minimal moisture adjustment would be necessary during field compaction.</w:t>
      </w:r>
    </w:p>
    <w:p w14:paraId="1F8B5C50">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Comparing moisture content with other properties, it was observed that higher water content generally correlated with higher plastic limits and lower maximum dry densities. This relationship validates existing theories which suggest that as moisture increases beyond a certain threshold, the ability of soil particles to compact tightly reduces due to increased inter-particle water films.</w:t>
      </w:r>
    </w:p>
    <w:p w14:paraId="40D1BF25">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The findings underscore the importance of </w:t>
      </w:r>
      <w:r>
        <w:rPr>
          <w:rStyle w:val="92"/>
          <w:rFonts w:hint="default" w:ascii="Times New Roman" w:hAnsi="Times New Roman" w:cs="Times New Roman"/>
          <w:b w:val="0"/>
          <w:bCs w:val="0"/>
          <w:color w:val="0D0D0D"/>
          <w:sz w:val="24"/>
          <w:szCs w:val="24"/>
        </w:rPr>
        <w:t>moisture control during earthwork operations</w:t>
      </w:r>
      <w:r>
        <w:rPr>
          <w:rFonts w:hint="default" w:ascii="Times New Roman" w:hAnsi="Times New Roman" w:cs="Times New Roman"/>
          <w:b w:val="0"/>
          <w:bCs w:val="0"/>
          <w:color w:val="0D0D0D"/>
          <w:sz w:val="24"/>
          <w:szCs w:val="24"/>
        </w:rPr>
        <w:t>. Ensuring that soil is compacted near its OMC can significantly improve performance and longevity of engineered structures.</w:t>
      </w:r>
    </w:p>
    <w:p w14:paraId="3A84D0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4.</w:t>
      </w:r>
      <w:r>
        <w:rPr>
          <w:rStyle w:val="92"/>
          <w:rFonts w:hint="default" w:ascii="Times New Roman" w:hAnsi="Times New Roman" w:cs="Times New Roman"/>
          <w:b/>
          <w:bCs/>
          <w:color w:val="0D0D0D"/>
          <w:sz w:val="24"/>
          <w:szCs w:val="24"/>
          <w:lang w:val="en-US"/>
        </w:rPr>
        <w:t>2</w:t>
      </w:r>
      <w:r>
        <w:rPr>
          <w:rStyle w:val="92"/>
          <w:rFonts w:hint="default" w:ascii="Times New Roman" w:hAnsi="Times New Roman" w:cs="Times New Roman"/>
          <w:b/>
          <w:bCs/>
          <w:color w:val="0D0D0D"/>
          <w:sz w:val="24"/>
          <w:szCs w:val="24"/>
        </w:rPr>
        <w:t xml:space="preserve"> Results of Atterberg Limit Test</w:t>
      </w:r>
    </w:p>
    <w:p w14:paraId="58469EFB">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The Atterberg limit tests produced vital information about the consistency and plasticity of the lateritic soil samples. The </w:t>
      </w:r>
      <w:r>
        <w:rPr>
          <w:rStyle w:val="92"/>
          <w:rFonts w:hint="default" w:ascii="Times New Roman" w:hAnsi="Times New Roman" w:cs="Times New Roman"/>
          <w:b w:val="0"/>
          <w:bCs w:val="0"/>
          <w:color w:val="0D0D0D"/>
          <w:sz w:val="24"/>
          <w:szCs w:val="24"/>
        </w:rPr>
        <w:t>Liquid Limit (LL)</w:t>
      </w:r>
      <w:r>
        <w:rPr>
          <w:rFonts w:hint="default" w:ascii="Times New Roman" w:hAnsi="Times New Roman" w:cs="Times New Roman"/>
          <w:b w:val="0"/>
          <w:bCs w:val="0"/>
          <w:color w:val="0D0D0D"/>
          <w:sz w:val="24"/>
          <w:szCs w:val="24"/>
        </w:rPr>
        <w:t> ranged between </w:t>
      </w:r>
      <w:r>
        <w:rPr>
          <w:rStyle w:val="92"/>
          <w:rFonts w:hint="default" w:ascii="Times New Roman" w:hAnsi="Times New Roman" w:cs="Times New Roman"/>
          <w:b w:val="0"/>
          <w:bCs w:val="0"/>
          <w:color w:val="0D0D0D"/>
          <w:sz w:val="24"/>
          <w:szCs w:val="24"/>
        </w:rPr>
        <w:t>31% and 48%</w:t>
      </w:r>
      <w:r>
        <w:rPr>
          <w:rFonts w:hint="default" w:ascii="Times New Roman" w:hAnsi="Times New Roman" w:cs="Times New Roman"/>
          <w:b w:val="0"/>
          <w:bCs w:val="0"/>
          <w:color w:val="0D0D0D"/>
          <w:sz w:val="24"/>
          <w:szCs w:val="24"/>
        </w:rPr>
        <w:t>, the </w:t>
      </w:r>
      <w:r>
        <w:rPr>
          <w:rStyle w:val="92"/>
          <w:rFonts w:hint="default" w:ascii="Times New Roman" w:hAnsi="Times New Roman" w:cs="Times New Roman"/>
          <w:b w:val="0"/>
          <w:bCs w:val="0"/>
          <w:color w:val="0D0D0D"/>
          <w:sz w:val="24"/>
          <w:szCs w:val="24"/>
        </w:rPr>
        <w:t>Plastic Limit (PL)</w:t>
      </w:r>
      <w:r>
        <w:rPr>
          <w:rFonts w:hint="default" w:ascii="Times New Roman" w:hAnsi="Times New Roman" w:cs="Times New Roman"/>
          <w:b w:val="0"/>
          <w:bCs w:val="0"/>
          <w:color w:val="0D0D0D"/>
          <w:sz w:val="24"/>
          <w:szCs w:val="24"/>
        </w:rPr>
        <w:t> between </w:t>
      </w:r>
      <w:r>
        <w:rPr>
          <w:rStyle w:val="92"/>
          <w:rFonts w:hint="default" w:ascii="Times New Roman" w:hAnsi="Times New Roman" w:cs="Times New Roman"/>
          <w:b w:val="0"/>
          <w:bCs w:val="0"/>
          <w:color w:val="0D0D0D"/>
          <w:sz w:val="24"/>
          <w:szCs w:val="24"/>
        </w:rPr>
        <w:t>21% and 33%</w:t>
      </w:r>
      <w:r>
        <w:rPr>
          <w:rFonts w:hint="default" w:ascii="Times New Roman" w:hAnsi="Times New Roman" w:cs="Times New Roman"/>
          <w:b w:val="0"/>
          <w:bCs w:val="0"/>
          <w:color w:val="0D0D0D"/>
          <w:sz w:val="24"/>
          <w:szCs w:val="24"/>
        </w:rPr>
        <w:t>, while the </w:t>
      </w:r>
      <w:r>
        <w:rPr>
          <w:rStyle w:val="92"/>
          <w:rFonts w:hint="default" w:ascii="Times New Roman" w:hAnsi="Times New Roman" w:cs="Times New Roman"/>
          <w:b w:val="0"/>
          <w:bCs w:val="0"/>
          <w:color w:val="0D0D0D"/>
          <w:sz w:val="24"/>
          <w:szCs w:val="24"/>
        </w:rPr>
        <w:t>Plasticity Index (PI)</w:t>
      </w:r>
      <w:r>
        <w:rPr>
          <w:rFonts w:hint="default" w:ascii="Times New Roman" w:hAnsi="Times New Roman" w:cs="Times New Roman"/>
          <w:b w:val="0"/>
          <w:bCs w:val="0"/>
          <w:color w:val="0D0D0D"/>
          <w:sz w:val="24"/>
          <w:szCs w:val="24"/>
        </w:rPr>
        <w:t> values fell between </w:t>
      </w:r>
      <w:r>
        <w:rPr>
          <w:rStyle w:val="92"/>
          <w:rFonts w:hint="default" w:ascii="Times New Roman" w:hAnsi="Times New Roman" w:cs="Times New Roman"/>
          <w:b w:val="0"/>
          <w:bCs w:val="0"/>
          <w:color w:val="0D0D0D"/>
          <w:sz w:val="24"/>
          <w:szCs w:val="24"/>
        </w:rPr>
        <w:t>8% and 18%</w:t>
      </w:r>
      <w:r>
        <w:rPr>
          <w:rFonts w:hint="default" w:ascii="Times New Roman" w:hAnsi="Times New Roman" w:cs="Times New Roman"/>
          <w:b w:val="0"/>
          <w:bCs w:val="0"/>
          <w:color w:val="0D0D0D"/>
          <w:sz w:val="24"/>
          <w:szCs w:val="24"/>
        </w:rPr>
        <w:t>. These values classify the soils as having </w:t>
      </w:r>
      <w:r>
        <w:rPr>
          <w:rStyle w:val="92"/>
          <w:rFonts w:hint="default" w:ascii="Times New Roman" w:hAnsi="Times New Roman" w:cs="Times New Roman"/>
          <w:b w:val="0"/>
          <w:bCs w:val="0"/>
          <w:color w:val="0D0D0D"/>
          <w:sz w:val="24"/>
          <w:szCs w:val="24"/>
        </w:rPr>
        <w:t>low to intermediate plasticity</w:t>
      </w:r>
      <w:r>
        <w:rPr>
          <w:rFonts w:hint="default" w:ascii="Times New Roman" w:hAnsi="Times New Roman" w:cs="Times New Roman"/>
          <w:b w:val="0"/>
          <w:bCs w:val="0"/>
          <w:color w:val="0D0D0D"/>
          <w:sz w:val="24"/>
          <w:szCs w:val="24"/>
        </w:rPr>
        <w:t>, which is generally acceptable for subgrade and foundation applications.</w:t>
      </w:r>
    </w:p>
    <w:p w14:paraId="2B854C9F">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The </w:t>
      </w:r>
      <w:r>
        <w:rPr>
          <w:rStyle w:val="92"/>
          <w:rFonts w:hint="default" w:ascii="Times New Roman" w:hAnsi="Times New Roman" w:cs="Times New Roman"/>
          <w:b w:val="0"/>
          <w:bCs w:val="0"/>
          <w:color w:val="0D0D0D"/>
          <w:sz w:val="24"/>
          <w:szCs w:val="24"/>
        </w:rPr>
        <w:t>PI</w:t>
      </w:r>
      <w:r>
        <w:rPr>
          <w:rFonts w:hint="default" w:ascii="Times New Roman" w:hAnsi="Times New Roman" w:cs="Times New Roman"/>
          <w:b w:val="0"/>
          <w:bCs w:val="0"/>
          <w:color w:val="0D0D0D"/>
          <w:sz w:val="24"/>
          <w:szCs w:val="24"/>
        </w:rPr>
        <w:t> is a key indicator of the soil's potential to expand or shrink with moisture fluctuations. In this study, the relatively low PI values suggest that the soils are not excessively expansive, making them suitable for construction projects that require long-term stability. According to the Unified Soil Classification System (USCS), such soils can be classified as CL (inorganic clays of low to medium plasticity) or ML (inorganic silts), depending on their silt-clay ratios and grain size distribution.</w:t>
      </w:r>
    </w:p>
    <w:p w14:paraId="16C90C97">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One of the objectives of this study was to examine how the plasticity characteristics influence the </w:t>
      </w:r>
      <w:r>
        <w:rPr>
          <w:rStyle w:val="92"/>
          <w:rFonts w:hint="default" w:ascii="Times New Roman" w:hAnsi="Times New Roman" w:cs="Times New Roman"/>
          <w:b w:val="0"/>
          <w:bCs w:val="0"/>
          <w:color w:val="0D0D0D"/>
          <w:sz w:val="24"/>
          <w:szCs w:val="24"/>
        </w:rPr>
        <w:t>engineering properties</w:t>
      </w:r>
      <w:r>
        <w:rPr>
          <w:rFonts w:hint="default" w:ascii="Times New Roman" w:hAnsi="Times New Roman" w:cs="Times New Roman"/>
          <w:b w:val="0"/>
          <w:bCs w:val="0"/>
          <w:color w:val="0D0D0D"/>
          <w:sz w:val="24"/>
          <w:szCs w:val="24"/>
        </w:rPr>
        <w:t>, particularly compaction. The results showed a </w:t>
      </w:r>
      <w:r>
        <w:rPr>
          <w:rStyle w:val="92"/>
          <w:rFonts w:hint="default" w:ascii="Times New Roman" w:hAnsi="Times New Roman" w:cs="Times New Roman"/>
          <w:b w:val="0"/>
          <w:bCs w:val="0"/>
          <w:color w:val="0D0D0D"/>
          <w:sz w:val="24"/>
          <w:szCs w:val="24"/>
        </w:rPr>
        <w:t>negative correlation between PI and Maximum Dry Density (MDD)</w:t>
      </w:r>
      <w:r>
        <w:rPr>
          <w:rStyle w:val="92"/>
          <w:rFonts w:hint="default" w:ascii="Times New Roman" w:hAnsi="Times New Roman" w:cs="Times New Roman"/>
          <w:b w:val="0"/>
          <w:bCs w:val="0"/>
          <w:color w:val="0D0D0D"/>
          <w:sz w:val="24"/>
          <w:szCs w:val="24"/>
          <w:lang w:val="en-US"/>
        </w:rPr>
        <w:t xml:space="preserve"> </w:t>
      </w:r>
      <w:r>
        <w:rPr>
          <w:rFonts w:hint="default" w:ascii="Times New Roman" w:hAnsi="Times New Roman" w:cs="Times New Roman"/>
          <w:b w:val="0"/>
          <w:bCs w:val="0"/>
          <w:color w:val="0D0D0D"/>
          <w:sz w:val="24"/>
          <w:szCs w:val="24"/>
        </w:rPr>
        <w:t>that is, soils with higher plasticity indices tended to have lower MDD. This is consistent with the behavior of cohesive soils, which resist densification due to inter-particle cohesion and reduced particle rearrangement during compaction.</w:t>
      </w:r>
    </w:p>
    <w:p w14:paraId="2257BCB7">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Furthermore, high LL values often corresponded with higher OMC values, meaning that wetter conditions were required to achieve optimal compaction. These relationships are crucial in practical engineering, as they can inform compaction specifications, moisture control strategies, and the need for stabilization in highly plastic soils.</w:t>
      </w:r>
    </w:p>
    <w:p w14:paraId="2D8492E1">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Overall, the Atterberg limits of the lateritic soils from Kwara State Polytechnic Campus indicate moderate plasticity and manageable moisture sensitivity, making them favorable for a range of civil engineering applications.</w:t>
      </w:r>
    </w:p>
    <w:p w14:paraId="1BF551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4.</w:t>
      </w:r>
      <w:r>
        <w:rPr>
          <w:rStyle w:val="92"/>
          <w:rFonts w:hint="default" w:ascii="Times New Roman" w:hAnsi="Times New Roman" w:cs="Times New Roman"/>
          <w:b/>
          <w:bCs/>
          <w:color w:val="0D0D0D"/>
          <w:sz w:val="24"/>
          <w:szCs w:val="24"/>
          <w:lang w:val="en-US"/>
        </w:rPr>
        <w:t>3</w:t>
      </w:r>
      <w:r>
        <w:rPr>
          <w:rStyle w:val="92"/>
          <w:rFonts w:hint="default" w:ascii="Times New Roman" w:hAnsi="Times New Roman" w:cs="Times New Roman"/>
          <w:b/>
          <w:bCs/>
          <w:color w:val="0D0D0D"/>
          <w:sz w:val="24"/>
          <w:szCs w:val="24"/>
        </w:rPr>
        <w:t xml:space="preserve"> Results of Compaction Test</w:t>
      </w:r>
    </w:p>
    <w:p w14:paraId="5B9077AC">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The compaction tests revealed the </w:t>
      </w:r>
      <w:r>
        <w:rPr>
          <w:rStyle w:val="92"/>
          <w:rFonts w:hint="default" w:ascii="Times New Roman" w:hAnsi="Times New Roman" w:cs="Times New Roman"/>
          <w:b w:val="0"/>
          <w:bCs w:val="0"/>
          <w:color w:val="0D0D0D"/>
          <w:sz w:val="24"/>
          <w:szCs w:val="24"/>
        </w:rPr>
        <w:t>Maximum Dry Density (MDD)</w:t>
      </w:r>
      <w:r>
        <w:rPr>
          <w:rFonts w:hint="default" w:ascii="Times New Roman" w:hAnsi="Times New Roman" w:cs="Times New Roman"/>
          <w:b w:val="0"/>
          <w:bCs w:val="0"/>
          <w:color w:val="0D0D0D"/>
          <w:sz w:val="24"/>
          <w:szCs w:val="24"/>
        </w:rPr>
        <w:t> and </w:t>
      </w:r>
      <w:r>
        <w:rPr>
          <w:rStyle w:val="92"/>
          <w:rFonts w:hint="default" w:ascii="Times New Roman" w:hAnsi="Times New Roman" w:cs="Times New Roman"/>
          <w:b w:val="0"/>
          <w:bCs w:val="0"/>
          <w:color w:val="0D0D0D"/>
          <w:sz w:val="24"/>
          <w:szCs w:val="24"/>
        </w:rPr>
        <w:t>Optimum Moisture Content (OMC)</w:t>
      </w:r>
      <w:r>
        <w:rPr>
          <w:rFonts w:hint="default" w:ascii="Times New Roman" w:hAnsi="Times New Roman" w:cs="Times New Roman"/>
          <w:b w:val="0"/>
          <w:bCs w:val="0"/>
          <w:color w:val="0D0D0D"/>
          <w:sz w:val="24"/>
          <w:szCs w:val="24"/>
        </w:rPr>
        <w:t> for each soil sample using the Standard Proctor Method. MDD values ranged from </w:t>
      </w:r>
      <w:r>
        <w:rPr>
          <w:rStyle w:val="92"/>
          <w:rFonts w:hint="default" w:ascii="Times New Roman" w:hAnsi="Times New Roman" w:cs="Times New Roman"/>
          <w:b w:val="0"/>
          <w:bCs w:val="0"/>
          <w:color w:val="0D0D0D"/>
          <w:sz w:val="24"/>
          <w:szCs w:val="24"/>
        </w:rPr>
        <w:t>1.69 g/cm³ to 1.94 g/cm³</w:t>
      </w:r>
      <w:r>
        <w:rPr>
          <w:rFonts w:hint="default" w:ascii="Times New Roman" w:hAnsi="Times New Roman" w:cs="Times New Roman"/>
          <w:b w:val="0"/>
          <w:bCs w:val="0"/>
          <w:color w:val="0D0D0D"/>
          <w:sz w:val="24"/>
          <w:szCs w:val="24"/>
        </w:rPr>
        <w:t>, while OMC values ranged between </w:t>
      </w:r>
      <w:r>
        <w:rPr>
          <w:rStyle w:val="92"/>
          <w:rFonts w:hint="default" w:ascii="Times New Roman" w:hAnsi="Times New Roman" w:cs="Times New Roman"/>
          <w:b w:val="0"/>
          <w:bCs w:val="0"/>
          <w:color w:val="0D0D0D"/>
          <w:sz w:val="24"/>
          <w:szCs w:val="24"/>
        </w:rPr>
        <w:t>12.5% and 18.3%</w:t>
      </w:r>
      <w:r>
        <w:rPr>
          <w:rFonts w:hint="default" w:ascii="Times New Roman" w:hAnsi="Times New Roman" w:cs="Times New Roman"/>
          <w:b w:val="0"/>
          <w:bCs w:val="0"/>
          <w:color w:val="0D0D0D"/>
          <w:sz w:val="24"/>
          <w:szCs w:val="24"/>
        </w:rPr>
        <w:t>. These results fall within the expected range for lateritic soils and demonstrate moderate compaction characteristics.</w:t>
      </w:r>
    </w:p>
    <w:p w14:paraId="0B28041B">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The MDD indicates the </w:t>
      </w:r>
      <w:r>
        <w:rPr>
          <w:rStyle w:val="92"/>
          <w:rFonts w:hint="default" w:ascii="Times New Roman" w:hAnsi="Times New Roman" w:cs="Times New Roman"/>
          <w:b w:val="0"/>
          <w:bCs w:val="0"/>
          <w:color w:val="0D0D0D"/>
          <w:sz w:val="24"/>
          <w:szCs w:val="24"/>
        </w:rPr>
        <w:t>load-bearing potential</w:t>
      </w:r>
      <w:r>
        <w:rPr>
          <w:rFonts w:hint="default" w:ascii="Times New Roman" w:hAnsi="Times New Roman" w:cs="Times New Roman"/>
          <w:b w:val="0"/>
          <w:bCs w:val="0"/>
          <w:color w:val="0D0D0D"/>
          <w:sz w:val="24"/>
          <w:szCs w:val="24"/>
        </w:rPr>
        <w:t> of the soil when compacted under standard energy. Higher MDD values were recorded in samples with well-graded particle distributions and lower plasticity indices. These soils exhibited greater particle interlocking and compaction efficiency. Conversely, samples with higher fines content and plasticity exhibited lower MDD due to increased resistance to densification.</w:t>
      </w:r>
    </w:p>
    <w:p w14:paraId="169F4F96">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OMC reflects the moisture content at which peak dry density is achieved. Soils with higher OMC required more water to reach compaction, which is typical for cohesive soils that require water to lubricate particle movement. These values are vital for field compaction practices, as operating near the OMC ensures optimal soil strength and reduces post-construction settlement.</w:t>
      </w:r>
    </w:p>
    <w:p w14:paraId="3D08AF74">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The results demonstrated a </w:t>
      </w:r>
      <w:r>
        <w:rPr>
          <w:rStyle w:val="92"/>
          <w:rFonts w:hint="default" w:ascii="Times New Roman" w:hAnsi="Times New Roman" w:cs="Times New Roman"/>
          <w:b w:val="0"/>
          <w:bCs w:val="0"/>
          <w:color w:val="0D0D0D"/>
          <w:sz w:val="24"/>
          <w:szCs w:val="24"/>
        </w:rPr>
        <w:t>clear inverse relationship between PI and MDD</w:t>
      </w:r>
      <w:r>
        <w:rPr>
          <w:rFonts w:hint="default" w:ascii="Times New Roman" w:hAnsi="Times New Roman" w:cs="Times New Roman"/>
          <w:b w:val="0"/>
          <w:bCs w:val="0"/>
          <w:color w:val="0D0D0D"/>
          <w:sz w:val="24"/>
          <w:szCs w:val="24"/>
        </w:rPr>
        <w:t>, and a </w:t>
      </w:r>
      <w:r>
        <w:rPr>
          <w:rStyle w:val="92"/>
          <w:rFonts w:hint="default" w:ascii="Times New Roman" w:hAnsi="Times New Roman" w:cs="Times New Roman"/>
          <w:b w:val="0"/>
          <w:bCs w:val="0"/>
          <w:color w:val="0D0D0D"/>
          <w:sz w:val="24"/>
          <w:szCs w:val="24"/>
        </w:rPr>
        <w:t>direct relationship between LL and OMC</w:t>
      </w:r>
      <w:r>
        <w:rPr>
          <w:rFonts w:hint="default" w:ascii="Times New Roman" w:hAnsi="Times New Roman" w:cs="Times New Roman"/>
          <w:b w:val="0"/>
          <w:bCs w:val="0"/>
          <w:color w:val="0D0D0D"/>
          <w:sz w:val="24"/>
          <w:szCs w:val="24"/>
        </w:rPr>
        <w:t>. These findings support the idea that </w:t>
      </w:r>
      <w:r>
        <w:rPr>
          <w:rStyle w:val="92"/>
          <w:rFonts w:hint="default" w:ascii="Times New Roman" w:hAnsi="Times New Roman" w:cs="Times New Roman"/>
          <w:b w:val="0"/>
          <w:bCs w:val="0"/>
          <w:color w:val="0D0D0D"/>
          <w:sz w:val="24"/>
          <w:szCs w:val="24"/>
        </w:rPr>
        <w:t>index properties can be used to estimate compaction behavior</w:t>
      </w:r>
      <w:r>
        <w:rPr>
          <w:rFonts w:hint="default" w:ascii="Times New Roman" w:hAnsi="Times New Roman" w:cs="Times New Roman"/>
          <w:b w:val="0"/>
          <w:bCs w:val="0"/>
          <w:color w:val="0D0D0D"/>
          <w:sz w:val="24"/>
          <w:szCs w:val="24"/>
        </w:rPr>
        <w:t>, potentially eliminating the need for repeated compaction testing on similar soils.</w:t>
      </w:r>
    </w:p>
    <w:p w14:paraId="25E298D8">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In practical terms, the compaction test results suggest that the lateritic soils from Kwara State Polytechnic Campus are suitable for use in subgrade and subbase construction when compacted at or near their OMC. However, soils with lower MDD and higher OMC may require stabilization to enhance performance under heavy loading.</w:t>
      </w:r>
    </w:p>
    <w:p w14:paraId="2E4D77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4.</w:t>
      </w:r>
      <w:r>
        <w:rPr>
          <w:rStyle w:val="92"/>
          <w:rFonts w:hint="default" w:ascii="Times New Roman" w:hAnsi="Times New Roman" w:cs="Times New Roman"/>
          <w:b/>
          <w:bCs/>
          <w:color w:val="0D0D0D"/>
          <w:sz w:val="24"/>
          <w:szCs w:val="24"/>
          <w:lang w:val="en-US"/>
        </w:rPr>
        <w:t>4</w:t>
      </w:r>
      <w:r>
        <w:rPr>
          <w:rStyle w:val="92"/>
          <w:rFonts w:hint="default" w:ascii="Times New Roman" w:hAnsi="Times New Roman" w:cs="Times New Roman"/>
          <w:b/>
          <w:bCs/>
          <w:color w:val="0D0D0D"/>
          <w:sz w:val="24"/>
          <w:szCs w:val="24"/>
        </w:rPr>
        <w:t xml:space="preserve"> Results of Grain Size Analysis</w:t>
      </w:r>
    </w:p>
    <w:p w14:paraId="3423FEB3">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Grain size distribution results provided insights into the </w:t>
      </w:r>
      <w:r>
        <w:rPr>
          <w:rStyle w:val="92"/>
          <w:rFonts w:hint="default" w:ascii="Times New Roman" w:hAnsi="Times New Roman" w:cs="Times New Roman"/>
          <w:b w:val="0"/>
          <w:bCs w:val="0"/>
          <w:color w:val="0D0D0D"/>
          <w:sz w:val="24"/>
          <w:szCs w:val="24"/>
        </w:rPr>
        <w:t>textural classification and gradation</w:t>
      </w:r>
      <w:r>
        <w:rPr>
          <w:rFonts w:hint="default" w:ascii="Times New Roman" w:hAnsi="Times New Roman" w:cs="Times New Roman"/>
          <w:b w:val="0"/>
          <w:bCs w:val="0"/>
          <w:color w:val="0D0D0D"/>
          <w:sz w:val="24"/>
          <w:szCs w:val="24"/>
        </w:rPr>
        <w:t> of the soil samples. The analysis showed that most samples were </w:t>
      </w:r>
      <w:r>
        <w:rPr>
          <w:rStyle w:val="92"/>
          <w:rFonts w:hint="default" w:ascii="Times New Roman" w:hAnsi="Times New Roman" w:cs="Times New Roman"/>
          <w:b w:val="0"/>
          <w:bCs w:val="0"/>
          <w:color w:val="0D0D0D"/>
          <w:sz w:val="24"/>
          <w:szCs w:val="24"/>
        </w:rPr>
        <w:t>well-graded sandy-clay lateritic soils</w:t>
      </w:r>
      <w:r>
        <w:rPr>
          <w:rFonts w:hint="default" w:ascii="Times New Roman" w:hAnsi="Times New Roman" w:cs="Times New Roman"/>
          <w:b w:val="0"/>
          <w:bCs w:val="0"/>
          <w:color w:val="0D0D0D"/>
          <w:sz w:val="24"/>
          <w:szCs w:val="24"/>
        </w:rPr>
        <w:t>, with particle size ranges spanning from gravel-sized particles (over 4.75 mm) to fines (below 0.075 mm). On average, </w:t>
      </w:r>
      <w:r>
        <w:rPr>
          <w:rStyle w:val="92"/>
          <w:rFonts w:hint="default" w:ascii="Times New Roman" w:hAnsi="Times New Roman" w:cs="Times New Roman"/>
          <w:b w:val="0"/>
          <w:bCs w:val="0"/>
          <w:color w:val="0D0D0D"/>
          <w:sz w:val="24"/>
          <w:szCs w:val="24"/>
        </w:rPr>
        <w:t>sand-sized particles made up 40–60%</w:t>
      </w:r>
      <w:r>
        <w:rPr>
          <w:rFonts w:hint="default" w:ascii="Times New Roman" w:hAnsi="Times New Roman" w:cs="Times New Roman"/>
          <w:b w:val="0"/>
          <w:bCs w:val="0"/>
          <w:color w:val="0D0D0D"/>
          <w:sz w:val="24"/>
          <w:szCs w:val="24"/>
        </w:rPr>
        <w:t>, </w:t>
      </w:r>
      <w:r>
        <w:rPr>
          <w:rStyle w:val="92"/>
          <w:rFonts w:hint="default" w:ascii="Times New Roman" w:hAnsi="Times New Roman" w:cs="Times New Roman"/>
          <w:b w:val="0"/>
          <w:bCs w:val="0"/>
          <w:color w:val="0D0D0D"/>
          <w:sz w:val="24"/>
          <w:szCs w:val="24"/>
        </w:rPr>
        <w:t>silt 10–20%</w:t>
      </w:r>
      <w:r>
        <w:rPr>
          <w:rFonts w:hint="default" w:ascii="Times New Roman" w:hAnsi="Times New Roman" w:cs="Times New Roman"/>
          <w:b w:val="0"/>
          <w:bCs w:val="0"/>
          <w:color w:val="0D0D0D"/>
          <w:sz w:val="24"/>
          <w:szCs w:val="24"/>
        </w:rPr>
        <w:t>, and </w:t>
      </w:r>
      <w:r>
        <w:rPr>
          <w:rStyle w:val="92"/>
          <w:rFonts w:hint="default" w:ascii="Times New Roman" w:hAnsi="Times New Roman" w:cs="Times New Roman"/>
          <w:b w:val="0"/>
          <w:bCs w:val="0"/>
          <w:color w:val="0D0D0D"/>
          <w:sz w:val="24"/>
          <w:szCs w:val="24"/>
        </w:rPr>
        <w:t>clay 15–30%</w:t>
      </w:r>
      <w:r>
        <w:rPr>
          <w:rFonts w:hint="default" w:ascii="Times New Roman" w:hAnsi="Times New Roman" w:cs="Times New Roman"/>
          <w:b w:val="0"/>
          <w:bCs w:val="0"/>
          <w:color w:val="0D0D0D"/>
          <w:sz w:val="24"/>
          <w:szCs w:val="24"/>
        </w:rPr>
        <w:t> of the total soil mass, depending on location.</w:t>
      </w:r>
    </w:p>
    <w:p w14:paraId="14E85A64">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The gradation curves plotted for each sample indicated the degree of uniformity and classification according to the </w:t>
      </w:r>
      <w:r>
        <w:rPr>
          <w:rStyle w:val="92"/>
          <w:rFonts w:hint="default" w:ascii="Times New Roman" w:hAnsi="Times New Roman" w:cs="Times New Roman"/>
          <w:b w:val="0"/>
          <w:bCs w:val="0"/>
          <w:color w:val="0D0D0D"/>
          <w:sz w:val="24"/>
          <w:szCs w:val="24"/>
        </w:rPr>
        <w:t>Unified Soil Classification System (USCS)</w:t>
      </w:r>
      <w:r>
        <w:rPr>
          <w:rFonts w:hint="default" w:ascii="Times New Roman" w:hAnsi="Times New Roman" w:cs="Times New Roman"/>
          <w:b w:val="0"/>
          <w:bCs w:val="0"/>
          <w:color w:val="0D0D0D"/>
          <w:sz w:val="24"/>
          <w:szCs w:val="24"/>
        </w:rPr>
        <w:t>. Soils were mostly classified as </w:t>
      </w:r>
      <w:r>
        <w:rPr>
          <w:rStyle w:val="92"/>
          <w:rFonts w:hint="default" w:ascii="Times New Roman" w:hAnsi="Times New Roman" w:cs="Times New Roman"/>
          <w:b w:val="0"/>
          <w:bCs w:val="0"/>
          <w:color w:val="0D0D0D"/>
          <w:sz w:val="24"/>
          <w:szCs w:val="24"/>
        </w:rPr>
        <w:t>SC (clayey sand)</w:t>
      </w:r>
      <w:r>
        <w:rPr>
          <w:rFonts w:hint="default" w:ascii="Times New Roman" w:hAnsi="Times New Roman" w:cs="Times New Roman"/>
          <w:b w:val="0"/>
          <w:bCs w:val="0"/>
          <w:color w:val="0D0D0D"/>
          <w:sz w:val="24"/>
          <w:szCs w:val="24"/>
        </w:rPr>
        <w:t> or </w:t>
      </w:r>
      <w:r>
        <w:rPr>
          <w:rStyle w:val="92"/>
          <w:rFonts w:hint="default" w:ascii="Times New Roman" w:hAnsi="Times New Roman" w:cs="Times New Roman"/>
          <w:b w:val="0"/>
          <w:bCs w:val="0"/>
          <w:color w:val="0D0D0D"/>
          <w:sz w:val="24"/>
          <w:szCs w:val="24"/>
        </w:rPr>
        <w:t>SM (silty sand)</w:t>
      </w:r>
      <w:r>
        <w:rPr>
          <w:rFonts w:hint="default" w:ascii="Times New Roman" w:hAnsi="Times New Roman" w:cs="Times New Roman"/>
          <w:b w:val="0"/>
          <w:bCs w:val="0"/>
          <w:color w:val="0D0D0D"/>
          <w:sz w:val="24"/>
          <w:szCs w:val="24"/>
        </w:rPr>
        <w:t>, which are generally considered favorable for construction when compacted properly. A few samples showed gap-graded patterns, which may lead to issues with compaction and stability unless addressed during construction.</w:t>
      </w:r>
    </w:p>
    <w:p w14:paraId="42517A1F">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Grain size distribution significantly influences engineering properties such as </w:t>
      </w:r>
      <w:r>
        <w:rPr>
          <w:rStyle w:val="92"/>
          <w:rFonts w:hint="default" w:ascii="Times New Roman" w:hAnsi="Times New Roman" w:cs="Times New Roman"/>
          <w:b w:val="0"/>
          <w:bCs w:val="0"/>
          <w:color w:val="0D0D0D"/>
          <w:sz w:val="24"/>
          <w:szCs w:val="24"/>
        </w:rPr>
        <w:t>compaction behavior, permeability, and shear strength</w:t>
      </w:r>
      <w:r>
        <w:rPr>
          <w:rFonts w:hint="default" w:ascii="Times New Roman" w:hAnsi="Times New Roman" w:cs="Times New Roman"/>
          <w:b w:val="0"/>
          <w:bCs w:val="0"/>
          <w:color w:val="0D0D0D"/>
          <w:sz w:val="24"/>
          <w:szCs w:val="24"/>
        </w:rPr>
        <w:t>. Well-graded soils tend to have better packing and higher maximum dry densities, as observed in this study. Poorly graded or uniformly graded soils, on the other hand, may compact less effectively and could be more permeable or susceptible to differential settlement.</w:t>
      </w:r>
    </w:p>
    <w:p w14:paraId="053EA4D5">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A comparison of grain size data with compaction results revealed that samples with higher </w:t>
      </w:r>
      <w:r>
        <w:rPr>
          <w:rStyle w:val="92"/>
          <w:rFonts w:hint="default" w:ascii="Times New Roman" w:hAnsi="Times New Roman" w:cs="Times New Roman"/>
          <w:b w:val="0"/>
          <w:bCs w:val="0"/>
          <w:color w:val="0D0D0D"/>
          <w:sz w:val="24"/>
          <w:szCs w:val="24"/>
        </w:rPr>
        <w:t>sand content and good gradation</w:t>
      </w:r>
      <w:r>
        <w:rPr>
          <w:rFonts w:hint="default" w:ascii="Times New Roman" w:hAnsi="Times New Roman" w:cs="Times New Roman"/>
          <w:b w:val="0"/>
          <w:bCs w:val="0"/>
          <w:color w:val="0D0D0D"/>
          <w:sz w:val="24"/>
          <w:szCs w:val="24"/>
        </w:rPr>
        <w:t> achieved higher MDD values. Conversely, soils with excessive fines (&gt;35%) showed lower dry densities and required higher OMC for optimal compaction.</w:t>
      </w:r>
    </w:p>
    <w:p w14:paraId="0BE29CCD">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color w:val="0D0D0D"/>
          <w:sz w:val="24"/>
          <w:szCs w:val="24"/>
        </w:rPr>
      </w:pPr>
      <w:r>
        <w:rPr>
          <w:rFonts w:hint="default" w:ascii="Times New Roman" w:hAnsi="Times New Roman" w:cs="Times New Roman"/>
          <w:b w:val="0"/>
          <w:bCs w:val="0"/>
          <w:color w:val="0D0D0D"/>
          <w:sz w:val="24"/>
          <w:szCs w:val="24"/>
        </w:rPr>
        <w:t>These findings confirm the role of particle size distribution in determining soil performance and further support the correlation between index and engineering properties. Grain size analysis, being a relatively simple test, proves valuable for preliminary soil assessment and suitability evaluation.</w:t>
      </w:r>
    </w:p>
    <w:p w14:paraId="01AF5B2C">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4</w:t>
      </w:r>
      <w:r>
        <w:rPr>
          <w:rFonts w:hint="default" w:ascii="Times New Roman" w:hAnsi="Times New Roman" w:cs="Times New Roman"/>
          <w:sz w:val="24"/>
          <w:szCs w:val="24"/>
        </w:rPr>
        <w:t>.</w:t>
      </w:r>
      <w:r>
        <w:rPr>
          <w:rFonts w:hint="default" w:cs="Times New Roman"/>
          <w:sz w:val="24"/>
          <w:szCs w:val="24"/>
          <w:lang w:val="en-US"/>
        </w:rPr>
        <w:t>5</w:t>
      </w:r>
      <w:r>
        <w:rPr>
          <w:rFonts w:hint="default" w:ascii="Times New Roman" w:hAnsi="Times New Roman" w:cs="Times New Roman"/>
          <w:b/>
          <w:sz w:val="24"/>
          <w:szCs w:val="24"/>
        </w:rPr>
        <w:t xml:space="preserve"> Relationship between some Index properties of Laterite and selected Engineering Properties</w:t>
      </w:r>
    </w:p>
    <w:p w14:paraId="6E7F0417">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Due to limitation an laterite in the course of carrying out this project, only compaction parameters one considered in thus selection for the relationship between their. The specific gravity(SG),plastic limit(PL), and liquid limit(LL), were related to the compaction parameter(MDD) and optimum moistured content(OMC). From table 10 it can be observed that the coefficient the relationships. One quite high, range from 0.689 for OMC and PL to 0.998 for MDD and LL. This shows that a good relationship exist between the selected index properties and compact in parameters may be reasonable predicted from the resulting equation. </w:t>
      </w:r>
    </w:p>
    <w:p w14:paraId="4A385942">
      <w:pPr>
        <w:spacing w:line="360" w:lineRule="auto"/>
        <w:rPr>
          <w:rFonts w:hint="default" w:ascii="Times New Roman" w:hAnsi="Times New Roman" w:cs="Times New Roman"/>
          <w:b/>
          <w:sz w:val="24"/>
          <w:szCs w:val="24"/>
        </w:rPr>
      </w:pPr>
    </w:p>
    <w:p w14:paraId="4D36B3C0">
      <w:pPr>
        <w:spacing w:line="360" w:lineRule="auto"/>
        <w:rPr>
          <w:rFonts w:hint="default" w:ascii="Times New Roman" w:hAnsi="Times New Roman" w:cs="Times New Roman"/>
          <w:b/>
          <w:sz w:val="24"/>
          <w:szCs w:val="24"/>
        </w:rPr>
      </w:pPr>
    </w:p>
    <w:p w14:paraId="4A458D1A">
      <w:pPr>
        <w:spacing w:line="360" w:lineRule="auto"/>
        <w:rPr>
          <w:rFonts w:hint="default" w:ascii="Times New Roman" w:hAnsi="Times New Roman" w:cs="Times New Roman"/>
          <w:b/>
          <w:sz w:val="24"/>
          <w:szCs w:val="24"/>
        </w:rPr>
      </w:pPr>
    </w:p>
    <w:p w14:paraId="3837C04F">
      <w:pPr>
        <w:spacing w:line="360" w:lineRule="auto"/>
        <w:rPr>
          <w:rFonts w:hint="default" w:ascii="Times New Roman" w:hAnsi="Times New Roman" w:cs="Times New Roman"/>
          <w:sz w:val="24"/>
          <w:szCs w:val="24"/>
        </w:rPr>
      </w:pPr>
      <w:r>
        <w:rPr>
          <w:rFonts w:hint="default" w:ascii="Times New Roman" w:hAnsi="Times New Roman" w:cs="Times New Roman"/>
          <w:b/>
          <w:sz w:val="24"/>
          <w:szCs w:val="24"/>
        </w:rPr>
        <w:t>TABLE 10: DERIVED EQUATIONS</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7"/>
        <w:gridCol w:w="2965"/>
        <w:gridCol w:w="3038"/>
      </w:tblGrid>
      <w:tr w14:paraId="4E5D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819D987">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 xml:space="preserve">     S/N </w:t>
            </w:r>
          </w:p>
        </w:tc>
        <w:tc>
          <w:tcPr>
            <w:tcW w:w="3192" w:type="dxa"/>
          </w:tcPr>
          <w:p w14:paraId="55A37E99">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 xml:space="preserve">EQUATIONS </w:t>
            </w:r>
          </w:p>
        </w:tc>
        <w:tc>
          <w:tcPr>
            <w:tcW w:w="3192" w:type="dxa"/>
          </w:tcPr>
          <w:p w14:paraId="580DAFDC">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COEFICIENT OF DETERMINATIO N</w:t>
            </w:r>
          </w:p>
        </w:tc>
      </w:tr>
      <w:tr w14:paraId="026DD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0923B53">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 xml:space="preserve">        1</w:t>
            </w:r>
          </w:p>
        </w:tc>
        <w:tc>
          <w:tcPr>
            <w:tcW w:w="3192" w:type="dxa"/>
          </w:tcPr>
          <w:p w14:paraId="37765F2A">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MDD=0.309X SG-0.334</w:t>
            </w:r>
          </w:p>
        </w:tc>
        <w:tc>
          <w:tcPr>
            <w:tcW w:w="3192" w:type="dxa"/>
          </w:tcPr>
          <w:p w14:paraId="733963E5">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0.836</w:t>
            </w:r>
          </w:p>
        </w:tc>
      </w:tr>
      <w:tr w14:paraId="5B585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317F0FF">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 xml:space="preserve">        2</w:t>
            </w:r>
          </w:p>
        </w:tc>
        <w:tc>
          <w:tcPr>
            <w:tcW w:w="3192" w:type="dxa"/>
          </w:tcPr>
          <w:p w14:paraId="5E575B48">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MDD=-0.576X PL+10.54</w:t>
            </w:r>
          </w:p>
        </w:tc>
        <w:tc>
          <w:tcPr>
            <w:tcW w:w="3192" w:type="dxa"/>
          </w:tcPr>
          <w:p w14:paraId="4D7123CC">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0.965</w:t>
            </w:r>
          </w:p>
        </w:tc>
      </w:tr>
      <w:tr w14:paraId="7A95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649F144">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 xml:space="preserve">        3</w:t>
            </w:r>
          </w:p>
        </w:tc>
        <w:tc>
          <w:tcPr>
            <w:tcW w:w="3192" w:type="dxa"/>
          </w:tcPr>
          <w:p w14:paraId="0CE31EEB">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MDD= -0.022XLL + 2.497</w:t>
            </w:r>
          </w:p>
        </w:tc>
        <w:tc>
          <w:tcPr>
            <w:tcW w:w="3192" w:type="dxa"/>
          </w:tcPr>
          <w:p w14:paraId="405C2A0E">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0.998</w:t>
            </w:r>
          </w:p>
        </w:tc>
      </w:tr>
      <w:tr w14:paraId="7173A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5AE3659">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 xml:space="preserve">        4</w:t>
            </w:r>
          </w:p>
        </w:tc>
        <w:tc>
          <w:tcPr>
            <w:tcW w:w="3192" w:type="dxa"/>
          </w:tcPr>
          <w:p w14:paraId="07DE05CA">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 xml:space="preserve">OMC= -13.09 X SG +43.04 </w:t>
            </w:r>
          </w:p>
        </w:tc>
        <w:tc>
          <w:tcPr>
            <w:tcW w:w="3192" w:type="dxa"/>
          </w:tcPr>
          <w:p w14:paraId="74E8E688">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0.997</w:t>
            </w:r>
          </w:p>
        </w:tc>
      </w:tr>
      <w:tr w14:paraId="73AB0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DF85EDA">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 xml:space="preserve">        5</w:t>
            </w:r>
          </w:p>
        </w:tc>
        <w:tc>
          <w:tcPr>
            <w:tcW w:w="3192" w:type="dxa"/>
          </w:tcPr>
          <w:p w14:paraId="6A4FC52F">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OMC= 0.45X PL-0.177</w:t>
            </w:r>
          </w:p>
        </w:tc>
        <w:tc>
          <w:tcPr>
            <w:tcW w:w="3192" w:type="dxa"/>
          </w:tcPr>
          <w:p w14:paraId="7D1DD5BB">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0.689</w:t>
            </w:r>
          </w:p>
        </w:tc>
      </w:tr>
      <w:tr w14:paraId="131C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FB5B0BD">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 xml:space="preserve">        6</w:t>
            </w:r>
          </w:p>
        </w:tc>
        <w:tc>
          <w:tcPr>
            <w:tcW w:w="3192" w:type="dxa"/>
          </w:tcPr>
          <w:p w14:paraId="24FCA7DD">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OMC=0.302 XLL -1.215</w:t>
            </w:r>
          </w:p>
        </w:tc>
        <w:tc>
          <w:tcPr>
            <w:tcW w:w="3192" w:type="dxa"/>
          </w:tcPr>
          <w:p w14:paraId="3E1FEA81">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0.848</w:t>
            </w:r>
          </w:p>
        </w:tc>
      </w:tr>
    </w:tbl>
    <w:p w14:paraId="7DC6A0C9">
      <w:pPr>
        <w:spacing w:line="360" w:lineRule="auto"/>
        <w:rPr>
          <w:rFonts w:hint="default" w:ascii="Times New Roman" w:hAnsi="Times New Roman" w:cs="Times New Roman"/>
          <w:b/>
          <w:sz w:val="24"/>
          <w:szCs w:val="24"/>
        </w:rPr>
      </w:pPr>
    </w:p>
    <w:p w14:paraId="3DBF7015">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4572000" cy="2743200"/>
            <wp:effectExtent l="4445" t="4445" r="14605" b="1460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0A1DC0F">
      <w:pPr>
        <w:spacing w:line="360" w:lineRule="auto"/>
        <w:rPr>
          <w:rFonts w:hint="default" w:ascii="Times New Roman" w:hAnsi="Times New Roman" w:cs="Times New Roman"/>
          <w:sz w:val="24"/>
          <w:szCs w:val="24"/>
        </w:rPr>
      </w:pPr>
    </w:p>
    <w:p w14:paraId="145D8D5E">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Figure </w:t>
      </w:r>
      <w:r>
        <w:rPr>
          <w:rFonts w:hint="default" w:ascii="Times New Roman" w:hAnsi="Times New Roman" w:cs="Times New Roman"/>
          <w:sz w:val="24"/>
          <w:szCs w:val="24"/>
          <w:lang w:val="en-US"/>
        </w:rPr>
        <w:t>1</w:t>
      </w:r>
      <w:r>
        <w:rPr>
          <w:rFonts w:hint="default" w:ascii="Times New Roman" w:hAnsi="Times New Roman" w:cs="Times New Roman"/>
          <w:sz w:val="24"/>
          <w:szCs w:val="24"/>
        </w:rPr>
        <w:t>: Relationship Between Maximum Dry Density (MDD) and  Specific Gravity (SG)</w:t>
      </w:r>
    </w:p>
    <w:p w14:paraId="19AE8B69">
      <w:pPr>
        <w:spacing w:line="360" w:lineRule="auto"/>
        <w:rPr>
          <w:rFonts w:hint="default" w:ascii="Times New Roman" w:hAnsi="Times New Roman" w:cs="Times New Roman"/>
          <w:sz w:val="24"/>
          <w:szCs w:val="24"/>
        </w:rPr>
      </w:pPr>
    </w:p>
    <w:p w14:paraId="183BE9EE">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4593590" cy="2743200"/>
            <wp:effectExtent l="4445" t="5080" r="12065" b="1397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27AED3A">
      <w:pPr>
        <w:spacing w:line="360" w:lineRule="auto"/>
        <w:rPr>
          <w:rFonts w:hint="default" w:ascii="Times New Roman" w:hAnsi="Times New Roman" w:cs="Times New Roman"/>
          <w:sz w:val="24"/>
          <w:szCs w:val="24"/>
        </w:rPr>
      </w:pPr>
    </w:p>
    <w:p w14:paraId="04AF039B">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Figure </w:t>
      </w:r>
      <w:r>
        <w:rPr>
          <w:rFonts w:hint="default" w:ascii="Times New Roman" w:hAnsi="Times New Roman" w:cs="Times New Roman"/>
          <w:sz w:val="24"/>
          <w:szCs w:val="24"/>
          <w:lang w:val="en-US"/>
        </w:rPr>
        <w:t>2</w:t>
      </w:r>
      <w:r>
        <w:rPr>
          <w:rFonts w:hint="default" w:ascii="Times New Roman" w:hAnsi="Times New Roman" w:cs="Times New Roman"/>
          <w:sz w:val="24"/>
          <w:szCs w:val="24"/>
        </w:rPr>
        <w:t>: Relationship Between Maximum Dry Density (MDD) and  Plastic Limit (PL)</w:t>
      </w:r>
    </w:p>
    <w:p w14:paraId="2B70249A">
      <w:pPr>
        <w:spacing w:line="360" w:lineRule="auto"/>
        <w:rPr>
          <w:rFonts w:hint="default" w:ascii="Times New Roman" w:hAnsi="Times New Roman" w:cs="Times New Roman"/>
          <w:sz w:val="24"/>
          <w:szCs w:val="24"/>
        </w:rPr>
      </w:pPr>
    </w:p>
    <w:p w14:paraId="6B2B3A80">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4572000" cy="2743200"/>
            <wp:effectExtent l="4445" t="4445" r="14605" b="1460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FB3CD96">
      <w:pPr>
        <w:spacing w:line="360" w:lineRule="auto"/>
        <w:rPr>
          <w:rFonts w:hint="default" w:ascii="Times New Roman" w:hAnsi="Times New Roman" w:cs="Times New Roman"/>
          <w:sz w:val="24"/>
          <w:szCs w:val="24"/>
        </w:rPr>
      </w:pPr>
    </w:p>
    <w:p w14:paraId="2B426DF8">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Figure </w:t>
      </w:r>
      <w:r>
        <w:rPr>
          <w:rFonts w:hint="default" w:ascii="Times New Roman" w:hAnsi="Times New Roman" w:cs="Times New Roman"/>
          <w:sz w:val="24"/>
          <w:szCs w:val="24"/>
          <w:lang w:val="en-US"/>
        </w:rPr>
        <w:t>3</w:t>
      </w:r>
      <w:r>
        <w:rPr>
          <w:rFonts w:hint="default" w:ascii="Times New Roman" w:hAnsi="Times New Roman" w:cs="Times New Roman"/>
          <w:sz w:val="24"/>
          <w:szCs w:val="24"/>
        </w:rPr>
        <w:t>: Relationship Between Maximum Dry Density (MDD) and  Liquid Limit (LL)</w:t>
      </w:r>
    </w:p>
    <w:p w14:paraId="184F37F5">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4572000" cy="2743200"/>
            <wp:effectExtent l="4445" t="4445" r="14605" b="1460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34FC6FE">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Figure </w:t>
      </w:r>
      <w:r>
        <w:rPr>
          <w:rFonts w:hint="default" w:ascii="Times New Roman" w:hAnsi="Times New Roman" w:cs="Times New Roman"/>
          <w:sz w:val="24"/>
          <w:szCs w:val="24"/>
          <w:lang w:val="en-US"/>
        </w:rPr>
        <w:t>4</w:t>
      </w:r>
      <w:r>
        <w:rPr>
          <w:rFonts w:hint="default" w:ascii="Times New Roman" w:hAnsi="Times New Roman" w:cs="Times New Roman"/>
          <w:sz w:val="24"/>
          <w:szCs w:val="24"/>
        </w:rPr>
        <w:t>: Relationship Between Optimum Moisture Content (OMC) and Specific Gravity (SG)</w:t>
      </w:r>
    </w:p>
    <w:p w14:paraId="14A554CA">
      <w:pPr>
        <w:spacing w:line="360" w:lineRule="auto"/>
        <w:rPr>
          <w:rFonts w:hint="default" w:ascii="Times New Roman" w:hAnsi="Times New Roman" w:cs="Times New Roman"/>
          <w:sz w:val="24"/>
          <w:szCs w:val="24"/>
        </w:rPr>
      </w:pPr>
    </w:p>
    <w:p w14:paraId="3B45AEF4">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4572000" cy="2743200"/>
            <wp:effectExtent l="4445" t="4445" r="14605" b="1460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0C7BC5B">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Figure </w:t>
      </w:r>
      <w:r>
        <w:rPr>
          <w:rFonts w:hint="default" w:ascii="Times New Roman" w:hAnsi="Times New Roman" w:cs="Times New Roman"/>
          <w:sz w:val="24"/>
          <w:szCs w:val="24"/>
          <w:lang w:val="en-US"/>
        </w:rPr>
        <w:t>5</w:t>
      </w:r>
      <w:r>
        <w:rPr>
          <w:rFonts w:hint="default" w:ascii="Times New Roman" w:hAnsi="Times New Roman" w:cs="Times New Roman"/>
          <w:sz w:val="24"/>
          <w:szCs w:val="24"/>
        </w:rPr>
        <w:t>: Relationship Between Optimum Moisture Content (OMC) and Plastic Limit (PL)</w:t>
      </w:r>
    </w:p>
    <w:p w14:paraId="3C503BBB">
      <w:pPr>
        <w:spacing w:line="360" w:lineRule="auto"/>
        <w:rPr>
          <w:rFonts w:hint="default" w:ascii="Times New Roman" w:hAnsi="Times New Roman" w:cs="Times New Roman"/>
          <w:sz w:val="24"/>
          <w:szCs w:val="24"/>
        </w:rPr>
      </w:pPr>
    </w:p>
    <w:p w14:paraId="0727E058">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4572000" cy="2743200"/>
            <wp:effectExtent l="4445" t="4445" r="14605" b="1460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FFEF7D3">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Figure </w:t>
      </w:r>
      <w:r>
        <w:rPr>
          <w:rFonts w:hint="default" w:ascii="Times New Roman" w:hAnsi="Times New Roman" w:cs="Times New Roman"/>
          <w:sz w:val="24"/>
          <w:szCs w:val="24"/>
          <w:lang w:val="en-US"/>
        </w:rPr>
        <w:t>6</w:t>
      </w:r>
      <w:r>
        <w:rPr>
          <w:rFonts w:hint="default" w:ascii="Times New Roman" w:hAnsi="Times New Roman" w:cs="Times New Roman"/>
          <w:sz w:val="24"/>
          <w:szCs w:val="24"/>
        </w:rPr>
        <w:t>: Relationship Between Optimum Moisture Content (OMC) and Liquid Limit (LL)</w:t>
      </w:r>
    </w:p>
    <w:p w14:paraId="0293277B">
      <w:pPr>
        <w:spacing w:line="360" w:lineRule="auto"/>
        <w:rPr>
          <w:rFonts w:hint="default" w:ascii="Times New Roman" w:hAnsi="Times New Roman" w:cs="Times New Roman"/>
          <w:sz w:val="24"/>
          <w:szCs w:val="24"/>
        </w:rPr>
      </w:pPr>
    </w:p>
    <w:p w14:paraId="4903E7A7">
      <w:pPr>
        <w:spacing w:line="360" w:lineRule="auto"/>
        <w:rPr>
          <w:rFonts w:hint="default" w:ascii="Times New Roman" w:hAnsi="Times New Roman" w:cs="Times New Roman"/>
          <w:sz w:val="24"/>
          <w:szCs w:val="24"/>
        </w:rPr>
      </w:pPr>
    </w:p>
    <w:p w14:paraId="0BFD6316">
      <w:pPr>
        <w:spacing w:line="360" w:lineRule="auto"/>
        <w:rPr>
          <w:rFonts w:hint="default" w:ascii="Times New Roman" w:hAnsi="Times New Roman" w:cs="Times New Roman"/>
          <w:sz w:val="24"/>
          <w:szCs w:val="24"/>
        </w:rPr>
      </w:pPr>
    </w:p>
    <w:p w14:paraId="55804934">
      <w:pPr>
        <w:spacing w:line="360" w:lineRule="auto"/>
        <w:rPr>
          <w:rFonts w:hint="default" w:ascii="Times New Roman" w:hAnsi="Times New Roman" w:cs="Times New Roman"/>
          <w:sz w:val="24"/>
          <w:szCs w:val="24"/>
        </w:rPr>
      </w:pPr>
    </w:p>
    <w:p w14:paraId="32FAFF02">
      <w:pPr>
        <w:spacing w:line="360" w:lineRule="auto"/>
        <w:rPr>
          <w:rFonts w:hint="default" w:ascii="Times New Roman" w:hAnsi="Times New Roman" w:cs="Times New Roman"/>
          <w:sz w:val="24"/>
          <w:szCs w:val="24"/>
        </w:rPr>
      </w:pPr>
    </w:p>
    <w:p w14:paraId="151D38AF">
      <w:pPr>
        <w:spacing w:line="360" w:lineRule="auto"/>
        <w:rPr>
          <w:rFonts w:hint="default" w:ascii="Times New Roman" w:hAnsi="Times New Roman" w:cs="Times New Roman"/>
          <w:sz w:val="24"/>
          <w:szCs w:val="24"/>
        </w:rPr>
      </w:pPr>
    </w:p>
    <w:p w14:paraId="72C71631">
      <w:pPr>
        <w:spacing w:line="360" w:lineRule="auto"/>
        <w:rPr>
          <w:rFonts w:hint="default" w:ascii="Times New Roman" w:hAnsi="Times New Roman" w:cs="Times New Roman"/>
          <w:sz w:val="24"/>
          <w:szCs w:val="24"/>
        </w:rPr>
      </w:pPr>
    </w:p>
    <w:p w14:paraId="1C81274C">
      <w:pPr>
        <w:spacing w:line="360" w:lineRule="auto"/>
        <w:rPr>
          <w:rFonts w:hint="default" w:ascii="Times New Roman" w:hAnsi="Times New Roman" w:cs="Times New Roman"/>
          <w:sz w:val="24"/>
          <w:szCs w:val="24"/>
        </w:rPr>
      </w:pPr>
    </w:p>
    <w:p w14:paraId="2369758B">
      <w:pPr>
        <w:spacing w:line="360" w:lineRule="auto"/>
        <w:rPr>
          <w:rFonts w:hint="default" w:ascii="Times New Roman" w:hAnsi="Times New Roman" w:cs="Times New Roman"/>
          <w:sz w:val="24"/>
          <w:szCs w:val="24"/>
        </w:rPr>
      </w:pPr>
    </w:p>
    <w:p w14:paraId="2190829B">
      <w:pPr>
        <w:spacing w:line="360" w:lineRule="auto"/>
        <w:rPr>
          <w:rFonts w:hint="default" w:ascii="Times New Roman" w:hAnsi="Times New Roman" w:cs="Times New Roman"/>
          <w:sz w:val="24"/>
          <w:szCs w:val="24"/>
        </w:rPr>
      </w:pPr>
    </w:p>
    <w:p w14:paraId="414D7CF9">
      <w:pPr>
        <w:spacing w:line="360" w:lineRule="auto"/>
        <w:rPr>
          <w:rFonts w:hint="default" w:ascii="Times New Roman" w:hAnsi="Times New Roman" w:cs="Times New Roman"/>
          <w:sz w:val="24"/>
          <w:szCs w:val="24"/>
        </w:rPr>
      </w:pPr>
    </w:p>
    <w:p w14:paraId="49CF4E4B">
      <w:pPr>
        <w:spacing w:line="360" w:lineRule="auto"/>
        <w:rPr>
          <w:rFonts w:hint="default" w:ascii="Times New Roman" w:hAnsi="Times New Roman" w:cs="Times New Roman"/>
          <w:sz w:val="24"/>
          <w:szCs w:val="24"/>
        </w:rPr>
      </w:pPr>
    </w:p>
    <w:p w14:paraId="69AA2617">
      <w:pPr>
        <w:spacing w:line="360" w:lineRule="auto"/>
        <w:rPr>
          <w:rFonts w:hint="default" w:ascii="Times New Roman" w:hAnsi="Times New Roman" w:cs="Times New Roman"/>
          <w:sz w:val="24"/>
          <w:szCs w:val="24"/>
        </w:rPr>
      </w:pPr>
    </w:p>
    <w:p w14:paraId="5A1E116C">
      <w:pPr>
        <w:spacing w:line="360" w:lineRule="auto"/>
        <w:rPr>
          <w:rFonts w:hint="default" w:ascii="Times New Roman" w:hAnsi="Times New Roman" w:cs="Times New Roman"/>
          <w:sz w:val="24"/>
          <w:szCs w:val="24"/>
        </w:rPr>
      </w:pPr>
    </w:p>
    <w:p w14:paraId="20FB0D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center"/>
        <w:textAlignment w:val="auto"/>
        <w:rPr>
          <w:rStyle w:val="92"/>
          <w:rFonts w:hint="default" w:ascii="Times New Roman" w:hAnsi="Times New Roman" w:cs="Times New Roman"/>
          <w:b/>
          <w:bCs/>
          <w:color w:val="0D0D0D"/>
          <w:sz w:val="24"/>
          <w:szCs w:val="24"/>
        </w:rPr>
      </w:pPr>
    </w:p>
    <w:p w14:paraId="425725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center"/>
        <w:textAlignment w:val="auto"/>
        <w:rPr>
          <w:rStyle w:val="92"/>
          <w:rFonts w:hint="default" w:ascii="Times New Roman" w:hAnsi="Times New Roman" w:cs="Times New Roman"/>
          <w:b/>
          <w:bCs/>
          <w:color w:val="0D0D0D"/>
          <w:sz w:val="24"/>
          <w:szCs w:val="24"/>
        </w:rPr>
      </w:pPr>
    </w:p>
    <w:p w14:paraId="2393FA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center"/>
        <w:textAlignment w:val="auto"/>
        <w:rPr>
          <w:rStyle w:val="92"/>
          <w:rFonts w:hint="default" w:ascii="Times New Roman" w:hAnsi="Times New Roman" w:cs="Times New Roman"/>
          <w:b/>
          <w:bCs/>
          <w:color w:val="0D0D0D"/>
          <w:sz w:val="24"/>
          <w:szCs w:val="24"/>
        </w:rPr>
      </w:pPr>
    </w:p>
    <w:p w14:paraId="61B703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center"/>
        <w:textAlignment w:val="auto"/>
        <w:rPr>
          <w:rStyle w:val="92"/>
          <w:rFonts w:hint="default" w:ascii="Times New Roman" w:hAnsi="Times New Roman" w:cs="Times New Roman"/>
          <w:b/>
          <w:bCs/>
          <w:color w:val="0D0D0D"/>
          <w:sz w:val="24"/>
          <w:szCs w:val="24"/>
        </w:rPr>
      </w:pPr>
    </w:p>
    <w:p w14:paraId="102D77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center"/>
        <w:textAlignment w:val="auto"/>
        <w:rPr>
          <w:rStyle w:val="92"/>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CHAPTER FIVE</w:t>
      </w:r>
    </w:p>
    <w:p w14:paraId="4D43C9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center"/>
        <w:textAlignment w:val="auto"/>
        <w:rPr>
          <w:rFonts w:hint="default" w:ascii="Times New Roman" w:hAnsi="Times New Roman" w:cs="Times New Roman"/>
          <w:color w:val="0D0D0D"/>
          <w:sz w:val="24"/>
          <w:szCs w:val="24"/>
        </w:rPr>
      </w:pPr>
      <w:r>
        <w:rPr>
          <w:rStyle w:val="92"/>
          <w:rFonts w:hint="default" w:ascii="Times New Roman" w:hAnsi="Times New Roman" w:cs="Times New Roman"/>
          <w:b/>
          <w:bCs/>
          <w:color w:val="0D0D0D"/>
          <w:sz w:val="24"/>
          <w:szCs w:val="24"/>
        </w:rPr>
        <w:t>CONCLUSION AND RECOMMENDATION</w:t>
      </w:r>
    </w:p>
    <w:p w14:paraId="33830B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both"/>
        <w:textAlignment w:val="auto"/>
        <w:rPr>
          <w:rStyle w:val="92"/>
          <w:rFonts w:hint="default" w:ascii="Times New Roman" w:hAnsi="Times New Roman"/>
          <w:b w:val="0"/>
          <w:bCs w:val="0"/>
          <w:color w:val="0D0D0D"/>
          <w:sz w:val="24"/>
          <w:szCs w:val="24"/>
        </w:rPr>
      </w:pPr>
      <w:r>
        <w:rPr>
          <w:rStyle w:val="92"/>
          <w:rFonts w:hint="default" w:ascii="Times New Roman" w:hAnsi="Times New Roman"/>
          <w:b w:val="0"/>
          <w:bCs w:val="0"/>
          <w:color w:val="0D0D0D"/>
          <w:sz w:val="24"/>
          <w:szCs w:val="24"/>
        </w:rPr>
        <w:t>5.</w:t>
      </w:r>
      <w:r>
        <w:rPr>
          <w:rStyle w:val="92"/>
          <w:rFonts w:hint="default" w:ascii="Times New Roman" w:hAnsi="Times New Roman"/>
          <w:b w:val="0"/>
          <w:bCs w:val="0"/>
          <w:color w:val="0D0D0D"/>
          <w:sz w:val="24"/>
          <w:szCs w:val="24"/>
          <w:lang w:val="en-US"/>
        </w:rPr>
        <w:t>0</w:t>
      </w:r>
      <w:r>
        <w:rPr>
          <w:rStyle w:val="92"/>
          <w:rFonts w:hint="default" w:ascii="Times New Roman" w:hAnsi="Times New Roman"/>
          <w:b w:val="0"/>
          <w:bCs w:val="0"/>
          <w:color w:val="0D0D0D"/>
          <w:sz w:val="24"/>
          <w:szCs w:val="24"/>
        </w:rPr>
        <w:t xml:space="preserve"> Conclusion  </w:t>
      </w:r>
    </w:p>
    <w:p w14:paraId="3197E6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both"/>
        <w:textAlignment w:val="auto"/>
        <w:rPr>
          <w:rStyle w:val="92"/>
          <w:rFonts w:hint="default" w:ascii="Times New Roman" w:hAnsi="Times New Roman"/>
          <w:b w:val="0"/>
          <w:bCs w:val="0"/>
          <w:color w:val="0D0D0D"/>
          <w:sz w:val="24"/>
          <w:szCs w:val="24"/>
        </w:rPr>
      </w:pPr>
      <w:r>
        <w:rPr>
          <w:rStyle w:val="92"/>
          <w:rFonts w:hint="default" w:ascii="Times New Roman" w:hAnsi="Times New Roman"/>
          <w:b w:val="0"/>
          <w:bCs w:val="0"/>
          <w:color w:val="0D0D0D"/>
          <w:sz w:val="24"/>
          <w:szCs w:val="24"/>
        </w:rPr>
        <w:t>This research investigated the relationship between selected index properties and engineering properties of lateritic soils obtained from Kwara State Polytechnic campus. Emphasis was placed on Plasticity Index (PI), Specific Gravity (SG), Moisture Content (MC), Grain Size Distribution (GSD), and Bulk Density (BD), and how they influence compaction, strength, and load-bearing capacity.</w:t>
      </w:r>
    </w:p>
    <w:p w14:paraId="4FA1EE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both"/>
        <w:textAlignment w:val="auto"/>
        <w:rPr>
          <w:rStyle w:val="92"/>
          <w:rFonts w:hint="default" w:ascii="Times New Roman" w:hAnsi="Times New Roman"/>
          <w:b w:val="0"/>
          <w:bCs w:val="0"/>
          <w:color w:val="0D0D0D"/>
          <w:sz w:val="24"/>
          <w:szCs w:val="24"/>
        </w:rPr>
      </w:pPr>
      <w:r>
        <w:rPr>
          <w:rStyle w:val="92"/>
          <w:rFonts w:hint="default" w:ascii="Times New Roman" w:hAnsi="Times New Roman"/>
          <w:b w:val="0"/>
          <w:bCs w:val="0"/>
          <w:color w:val="0D0D0D"/>
          <w:sz w:val="24"/>
          <w:szCs w:val="24"/>
        </w:rPr>
        <w:t>From the analysis and laboratory tests, the following conclusions were drawn:</w:t>
      </w:r>
    </w:p>
    <w:p w14:paraId="1A1FF7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both"/>
        <w:textAlignment w:val="auto"/>
        <w:rPr>
          <w:rStyle w:val="92"/>
          <w:rFonts w:hint="default" w:ascii="Times New Roman" w:hAnsi="Times New Roman"/>
          <w:b w:val="0"/>
          <w:bCs w:val="0"/>
          <w:color w:val="0D0D0D"/>
          <w:sz w:val="24"/>
          <w:szCs w:val="24"/>
        </w:rPr>
      </w:pPr>
      <w:r>
        <w:rPr>
          <w:rStyle w:val="92"/>
          <w:rFonts w:hint="default" w:ascii="Times New Roman" w:hAnsi="Times New Roman"/>
          <w:b w:val="0"/>
          <w:bCs w:val="0"/>
          <w:color w:val="0D0D0D"/>
          <w:sz w:val="24"/>
          <w:szCs w:val="24"/>
        </w:rPr>
        <w:t>Plasticity Index (PI): A direct relationship was observed between PI and shear strength. Soils with higher PI values exhibited greater plasticity and cohesion, which translates to better resistance under shear forces, especially when compacted under optimum moisture.</w:t>
      </w:r>
    </w:p>
    <w:p w14:paraId="3021B3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both"/>
        <w:textAlignment w:val="auto"/>
        <w:rPr>
          <w:rStyle w:val="92"/>
          <w:rFonts w:hint="default" w:ascii="Times New Roman" w:hAnsi="Times New Roman"/>
          <w:b w:val="0"/>
          <w:bCs w:val="0"/>
          <w:color w:val="0D0D0D"/>
          <w:sz w:val="24"/>
          <w:szCs w:val="24"/>
        </w:rPr>
      </w:pPr>
      <w:r>
        <w:rPr>
          <w:rStyle w:val="92"/>
          <w:rFonts w:hint="default" w:ascii="Times New Roman" w:hAnsi="Times New Roman"/>
          <w:b w:val="0"/>
          <w:bCs w:val="0"/>
          <w:color w:val="0D0D0D"/>
          <w:sz w:val="24"/>
          <w:szCs w:val="24"/>
        </w:rPr>
        <w:t>Specific Gravity (SG): SG values remained within the standard range (2.5–2.8), indicating the mineral composition of the soils is typical of laterites. Higher SG values correlated with better density and strength, making the soils more suitable for use in embankments and subgrades.</w:t>
      </w:r>
    </w:p>
    <w:p w14:paraId="1DA1A6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both"/>
        <w:textAlignment w:val="auto"/>
        <w:rPr>
          <w:rStyle w:val="92"/>
          <w:rFonts w:hint="default" w:ascii="Times New Roman" w:hAnsi="Times New Roman"/>
          <w:b w:val="0"/>
          <w:bCs w:val="0"/>
          <w:color w:val="0D0D0D"/>
          <w:sz w:val="24"/>
          <w:szCs w:val="24"/>
        </w:rPr>
      </w:pPr>
      <w:r>
        <w:rPr>
          <w:rStyle w:val="92"/>
          <w:rFonts w:hint="default" w:ascii="Times New Roman" w:hAnsi="Times New Roman"/>
          <w:b w:val="0"/>
          <w:bCs w:val="0"/>
          <w:color w:val="0D0D0D"/>
          <w:sz w:val="24"/>
          <w:szCs w:val="24"/>
        </w:rPr>
        <w:t>Moisture Content (MC): MC played a significant role in determining compaction characteristics. Soils with moderate moisture content showed improved Maximum Dry Density (MDD) and Optimal Moisture Content (OMC), both critical for effective compaction and strength.</w:t>
      </w:r>
    </w:p>
    <w:p w14:paraId="1DA33E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both"/>
        <w:textAlignment w:val="auto"/>
        <w:rPr>
          <w:rStyle w:val="92"/>
          <w:rFonts w:hint="default" w:ascii="Times New Roman" w:hAnsi="Times New Roman"/>
          <w:b w:val="0"/>
          <w:bCs w:val="0"/>
          <w:color w:val="0D0D0D"/>
          <w:sz w:val="24"/>
          <w:szCs w:val="24"/>
        </w:rPr>
      </w:pPr>
      <w:r>
        <w:rPr>
          <w:rStyle w:val="92"/>
          <w:rFonts w:hint="default" w:ascii="Times New Roman" w:hAnsi="Times New Roman"/>
          <w:b w:val="0"/>
          <w:bCs w:val="0"/>
          <w:color w:val="0D0D0D"/>
          <w:sz w:val="24"/>
          <w:szCs w:val="24"/>
        </w:rPr>
        <w:t>Grain Size Distribution (GSD): Well-graded soils showed higher compaction efficiency and strength than poorly graded samples. Finer particles contributed to higher PI, while coarser fractions improved drainage and stability.</w:t>
      </w:r>
    </w:p>
    <w:p w14:paraId="44F357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both"/>
        <w:textAlignment w:val="auto"/>
        <w:rPr>
          <w:rStyle w:val="92"/>
          <w:rFonts w:hint="default" w:ascii="Times New Roman" w:hAnsi="Times New Roman"/>
          <w:b w:val="0"/>
          <w:bCs w:val="0"/>
          <w:color w:val="0D0D0D"/>
          <w:sz w:val="24"/>
          <w:szCs w:val="24"/>
        </w:rPr>
      </w:pPr>
      <w:r>
        <w:rPr>
          <w:rStyle w:val="92"/>
          <w:rFonts w:hint="default" w:ascii="Times New Roman" w:hAnsi="Times New Roman"/>
          <w:b w:val="0"/>
          <w:bCs w:val="0"/>
          <w:color w:val="0D0D0D"/>
          <w:sz w:val="24"/>
          <w:szCs w:val="24"/>
        </w:rPr>
        <w:t>Bulk Density (BD): The BD values reflected the soil’s capacity to support load. Higher BD often indicated better compaction, lower void ratios, and improved engineering performance under load.</w:t>
      </w:r>
    </w:p>
    <w:p w14:paraId="5C7C29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both"/>
        <w:textAlignment w:val="auto"/>
        <w:rPr>
          <w:rStyle w:val="92"/>
          <w:rFonts w:hint="default" w:ascii="Times New Roman" w:hAnsi="Times New Roman" w:cs="Times New Roman"/>
          <w:b w:val="0"/>
          <w:bCs w:val="0"/>
          <w:color w:val="0D0D0D"/>
          <w:sz w:val="24"/>
          <w:szCs w:val="24"/>
          <w:lang w:val="en-US"/>
        </w:rPr>
      </w:pPr>
      <w:r>
        <w:rPr>
          <w:rStyle w:val="92"/>
          <w:rFonts w:hint="default" w:ascii="Times New Roman" w:hAnsi="Times New Roman"/>
          <w:b w:val="0"/>
          <w:bCs w:val="0"/>
          <w:color w:val="0D0D0D"/>
          <w:sz w:val="24"/>
          <w:szCs w:val="24"/>
        </w:rPr>
        <w:t>In conclusion, a strong correlation exists between the selected index properties and the engineering behavior of lateritic soils from the campus. These properties can be used reliably to predict soil performance, particularly in the absence of advanced testing facilities</w:t>
      </w:r>
      <w:r>
        <w:rPr>
          <w:rStyle w:val="92"/>
          <w:rFonts w:hint="default" w:ascii="Times New Roman" w:hAnsi="Times New Roman"/>
          <w:b w:val="0"/>
          <w:bCs w:val="0"/>
          <w:color w:val="0D0D0D"/>
          <w:sz w:val="24"/>
          <w:szCs w:val="24"/>
          <w:lang w:val="en-US"/>
        </w:rPr>
        <w:t>.</w:t>
      </w:r>
    </w:p>
    <w:p w14:paraId="265CE6E8">
      <w:pPr>
        <w:rPr>
          <w:rStyle w:val="92"/>
          <w:rFonts w:hint="default" w:ascii="Times New Roman" w:hAnsi="Times New Roman"/>
          <w:b/>
          <w:bCs/>
          <w:color w:val="0D0D0D"/>
          <w:sz w:val="24"/>
          <w:szCs w:val="24"/>
        </w:rPr>
      </w:pPr>
      <w:r>
        <w:rPr>
          <w:rStyle w:val="92"/>
          <w:rFonts w:hint="default" w:ascii="Times New Roman" w:hAnsi="Times New Roman"/>
          <w:b/>
          <w:bCs/>
          <w:color w:val="0D0D0D"/>
          <w:sz w:val="24"/>
          <w:szCs w:val="24"/>
        </w:rPr>
        <w:t>5.</w:t>
      </w:r>
      <w:r>
        <w:rPr>
          <w:rStyle w:val="92"/>
          <w:rFonts w:hint="default" w:ascii="Times New Roman" w:hAnsi="Times New Roman"/>
          <w:b/>
          <w:bCs/>
          <w:color w:val="0D0D0D"/>
          <w:sz w:val="24"/>
          <w:szCs w:val="24"/>
          <w:lang w:val="en-US"/>
        </w:rPr>
        <w:t>1</w:t>
      </w:r>
      <w:r>
        <w:rPr>
          <w:rStyle w:val="92"/>
          <w:rFonts w:hint="default" w:ascii="Times New Roman" w:hAnsi="Times New Roman"/>
          <w:b/>
          <w:bCs/>
          <w:color w:val="0D0D0D"/>
          <w:sz w:val="24"/>
          <w:szCs w:val="24"/>
        </w:rPr>
        <w:t xml:space="preserve"> RECOMMENDATIONS</w:t>
      </w:r>
    </w:p>
    <w:p w14:paraId="1A67666F">
      <w:pPr>
        <w:rPr>
          <w:rStyle w:val="92"/>
          <w:rFonts w:hint="default" w:ascii="Times New Roman" w:hAnsi="Times New Roman"/>
          <w:b/>
          <w:bCs/>
          <w:color w:val="0D0D0D"/>
          <w:sz w:val="24"/>
          <w:szCs w:val="24"/>
        </w:rPr>
      </w:pPr>
    </w:p>
    <w:p w14:paraId="5A86CA53">
      <w:pPr>
        <w:keepNext w:val="0"/>
        <w:keepLines w:val="0"/>
        <w:pageBreakBefore w:val="0"/>
        <w:widowControl/>
        <w:kinsoku/>
        <w:wordWrap/>
        <w:overflowPunct/>
        <w:topLinePunct w:val="0"/>
        <w:autoSpaceDE/>
        <w:autoSpaceDN/>
        <w:bidi w:val="0"/>
        <w:adjustRightInd/>
        <w:snapToGrid/>
        <w:spacing w:after="0" w:line="480" w:lineRule="auto"/>
        <w:textAlignment w:val="auto"/>
        <w:rPr>
          <w:rStyle w:val="92"/>
          <w:rFonts w:hint="default" w:ascii="Times New Roman" w:hAnsi="Times New Roman"/>
          <w:b w:val="0"/>
          <w:bCs w:val="0"/>
          <w:color w:val="0D0D0D"/>
          <w:sz w:val="24"/>
          <w:szCs w:val="24"/>
        </w:rPr>
      </w:pPr>
      <w:r>
        <w:rPr>
          <w:rStyle w:val="92"/>
          <w:rFonts w:hint="default" w:ascii="Times New Roman" w:hAnsi="Times New Roman"/>
          <w:b w:val="0"/>
          <w:bCs w:val="0"/>
          <w:color w:val="0D0D0D"/>
          <w:sz w:val="24"/>
          <w:szCs w:val="24"/>
        </w:rPr>
        <w:t>Based on the findings of this research, the following recommendations are made:</w:t>
      </w:r>
    </w:p>
    <w:p w14:paraId="69036114">
      <w:pPr>
        <w:keepNext w:val="0"/>
        <w:keepLines w:val="0"/>
        <w:pageBreakBefore w:val="0"/>
        <w:widowControl/>
        <w:kinsoku/>
        <w:wordWrap/>
        <w:overflowPunct/>
        <w:topLinePunct w:val="0"/>
        <w:autoSpaceDE/>
        <w:autoSpaceDN/>
        <w:bidi w:val="0"/>
        <w:adjustRightInd/>
        <w:snapToGrid/>
        <w:spacing w:after="0" w:line="480" w:lineRule="auto"/>
        <w:textAlignment w:val="auto"/>
        <w:rPr>
          <w:rStyle w:val="92"/>
          <w:rFonts w:hint="default" w:ascii="Times New Roman" w:hAnsi="Times New Roman"/>
          <w:b w:val="0"/>
          <w:bCs w:val="0"/>
          <w:color w:val="0D0D0D"/>
          <w:sz w:val="24"/>
          <w:szCs w:val="24"/>
        </w:rPr>
      </w:pPr>
      <w:r>
        <w:rPr>
          <w:rStyle w:val="92"/>
          <w:rFonts w:hint="default" w:ascii="Times New Roman" w:hAnsi="Times New Roman"/>
          <w:b w:val="0"/>
          <w:bCs w:val="0"/>
          <w:color w:val="0D0D0D"/>
          <w:sz w:val="24"/>
          <w:szCs w:val="24"/>
        </w:rPr>
        <w:t>Soil Classification Should Be Prioritized: Engineers and construction professionals working within the Kwara State Polytechnic campus should always carry out proper soil classification and index testing before using lateritic soils for construction projects.</w:t>
      </w:r>
    </w:p>
    <w:p w14:paraId="7DA68376">
      <w:pPr>
        <w:keepNext w:val="0"/>
        <w:keepLines w:val="0"/>
        <w:pageBreakBefore w:val="0"/>
        <w:widowControl/>
        <w:kinsoku/>
        <w:wordWrap/>
        <w:overflowPunct/>
        <w:topLinePunct w:val="0"/>
        <w:autoSpaceDE/>
        <w:autoSpaceDN/>
        <w:bidi w:val="0"/>
        <w:adjustRightInd/>
        <w:snapToGrid/>
        <w:spacing w:after="0" w:line="480" w:lineRule="auto"/>
        <w:textAlignment w:val="auto"/>
        <w:rPr>
          <w:rStyle w:val="92"/>
          <w:rFonts w:hint="default" w:ascii="Times New Roman" w:hAnsi="Times New Roman"/>
          <w:b w:val="0"/>
          <w:bCs w:val="0"/>
          <w:color w:val="0D0D0D"/>
          <w:sz w:val="24"/>
          <w:szCs w:val="24"/>
        </w:rPr>
      </w:pPr>
      <w:r>
        <w:rPr>
          <w:rStyle w:val="92"/>
          <w:rFonts w:hint="default" w:ascii="Times New Roman" w:hAnsi="Times New Roman"/>
          <w:b w:val="0"/>
          <w:bCs w:val="0"/>
          <w:color w:val="0D0D0D"/>
          <w:sz w:val="24"/>
          <w:szCs w:val="24"/>
        </w:rPr>
        <w:t>Use of Index Properties for Preliminary Assessment: Since strong correlations exist between index and engineering properties, index tests can serve as a cost-effective and efficient tool for preliminary site evaluation, especially in resource-limited settings.</w:t>
      </w:r>
    </w:p>
    <w:p w14:paraId="484BB72B">
      <w:pPr>
        <w:keepNext w:val="0"/>
        <w:keepLines w:val="0"/>
        <w:pageBreakBefore w:val="0"/>
        <w:widowControl/>
        <w:kinsoku/>
        <w:wordWrap/>
        <w:overflowPunct/>
        <w:topLinePunct w:val="0"/>
        <w:autoSpaceDE/>
        <w:autoSpaceDN/>
        <w:bidi w:val="0"/>
        <w:adjustRightInd/>
        <w:snapToGrid/>
        <w:spacing w:after="0" w:line="480" w:lineRule="auto"/>
        <w:textAlignment w:val="auto"/>
        <w:rPr>
          <w:rStyle w:val="92"/>
          <w:rFonts w:hint="default" w:ascii="Times New Roman" w:hAnsi="Times New Roman"/>
          <w:b w:val="0"/>
          <w:bCs w:val="0"/>
          <w:color w:val="0D0D0D"/>
          <w:sz w:val="24"/>
          <w:szCs w:val="24"/>
        </w:rPr>
      </w:pPr>
      <w:r>
        <w:rPr>
          <w:rStyle w:val="92"/>
          <w:rFonts w:hint="default" w:ascii="Times New Roman" w:hAnsi="Times New Roman"/>
          <w:b w:val="0"/>
          <w:bCs w:val="0"/>
          <w:color w:val="0D0D0D"/>
          <w:sz w:val="24"/>
          <w:szCs w:val="24"/>
        </w:rPr>
        <w:t>Compaction Control on Site: It is recommended that compaction be carried out at or near the determined optimum moisture content to achieve maximum dry density, thereby enhancing soil strength and stability.</w:t>
      </w:r>
    </w:p>
    <w:p w14:paraId="14B29257">
      <w:pPr>
        <w:keepNext w:val="0"/>
        <w:keepLines w:val="0"/>
        <w:pageBreakBefore w:val="0"/>
        <w:widowControl/>
        <w:kinsoku/>
        <w:wordWrap/>
        <w:overflowPunct/>
        <w:topLinePunct w:val="0"/>
        <w:autoSpaceDE/>
        <w:autoSpaceDN/>
        <w:bidi w:val="0"/>
        <w:adjustRightInd/>
        <w:snapToGrid/>
        <w:spacing w:after="0" w:line="480" w:lineRule="auto"/>
        <w:textAlignment w:val="auto"/>
        <w:rPr>
          <w:rStyle w:val="92"/>
          <w:rFonts w:hint="default" w:ascii="Times New Roman" w:hAnsi="Times New Roman"/>
          <w:b w:val="0"/>
          <w:bCs w:val="0"/>
          <w:color w:val="0D0D0D"/>
          <w:sz w:val="24"/>
          <w:szCs w:val="24"/>
        </w:rPr>
      </w:pPr>
      <w:r>
        <w:rPr>
          <w:rStyle w:val="92"/>
          <w:rFonts w:hint="default" w:ascii="Times New Roman" w:hAnsi="Times New Roman"/>
          <w:b w:val="0"/>
          <w:bCs w:val="0"/>
          <w:color w:val="0D0D0D"/>
          <w:sz w:val="24"/>
          <w:szCs w:val="24"/>
        </w:rPr>
        <w:t>Soil Stabilization Where Necessary: For locations where soils show high plasticity or poor grading, chemical or mechanical stabilization methods (e.g., lime or cement stabilization) should be considered to improve their engineering properties.</w:t>
      </w:r>
    </w:p>
    <w:p w14:paraId="5B9E2E93">
      <w:pPr>
        <w:keepNext w:val="0"/>
        <w:keepLines w:val="0"/>
        <w:pageBreakBefore w:val="0"/>
        <w:widowControl/>
        <w:kinsoku/>
        <w:wordWrap/>
        <w:overflowPunct/>
        <w:topLinePunct w:val="0"/>
        <w:autoSpaceDE/>
        <w:autoSpaceDN/>
        <w:bidi w:val="0"/>
        <w:adjustRightInd/>
        <w:snapToGrid/>
        <w:spacing w:after="0" w:line="480" w:lineRule="auto"/>
        <w:textAlignment w:val="auto"/>
        <w:rPr>
          <w:rStyle w:val="92"/>
          <w:rFonts w:hint="default" w:ascii="Times New Roman" w:hAnsi="Times New Roman" w:cs="Times New Roman"/>
          <w:b/>
          <w:bCs/>
          <w:color w:val="0D0D0D"/>
          <w:sz w:val="24"/>
          <w:szCs w:val="24"/>
        </w:rPr>
      </w:pPr>
      <w:r>
        <w:rPr>
          <w:rStyle w:val="92"/>
          <w:rFonts w:hint="default" w:ascii="Times New Roman" w:hAnsi="Times New Roman"/>
          <w:b w:val="0"/>
          <w:bCs w:val="0"/>
          <w:color w:val="0D0D0D"/>
          <w:sz w:val="24"/>
          <w:szCs w:val="24"/>
        </w:rPr>
        <w:t>Further Studies: More extensive studies covering other parts of the campus and including other engineering parameters such as permeability, CBR (California Bearing Ratio), and consolidation characteristics should be conducted to develop a comprehensive soil map for the institution.</w:t>
      </w:r>
    </w:p>
    <w:p w14:paraId="5F2E9D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center"/>
        <w:textAlignment w:val="auto"/>
        <w:rPr>
          <w:rFonts w:hint="default" w:ascii="Times New Roman" w:hAnsi="Times New Roman" w:cs="Times New Roman"/>
          <w:color w:val="0D0D0D"/>
          <w:sz w:val="24"/>
          <w:szCs w:val="24"/>
        </w:rPr>
      </w:pPr>
      <w:r>
        <w:rPr>
          <w:rStyle w:val="92"/>
          <w:rFonts w:hint="default" w:ascii="Times New Roman" w:hAnsi="Times New Roman" w:cs="Times New Roman"/>
          <w:b/>
          <w:bCs/>
          <w:color w:val="0D0D0D"/>
          <w:sz w:val="24"/>
          <w:szCs w:val="24"/>
        </w:rPr>
        <w:t>References</w:t>
      </w:r>
    </w:p>
    <w:p w14:paraId="676ECAF3">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Borana, A., Sharma, S., &amp; Singh, R. (2020). Tensile strength and failure mechanisms of </w:t>
      </w:r>
      <w:r>
        <w:rPr>
          <w:rFonts w:hint="default" w:cs="Times New Roman"/>
          <w:color w:val="0D0D0D"/>
          <w:sz w:val="24"/>
          <w:szCs w:val="24"/>
          <w:lang w:val="en-US"/>
        </w:rPr>
        <w:tab/>
      </w:r>
      <w:r>
        <w:rPr>
          <w:rFonts w:hint="default" w:ascii="Times New Roman" w:hAnsi="Times New Roman" w:cs="Times New Roman"/>
          <w:color w:val="0D0D0D"/>
          <w:sz w:val="24"/>
          <w:szCs w:val="24"/>
        </w:rPr>
        <w:t>mica-rich rocks. </w:t>
      </w:r>
      <w:r>
        <w:rPr>
          <w:rStyle w:val="31"/>
          <w:rFonts w:hint="default" w:ascii="Times New Roman" w:hAnsi="Times New Roman" w:cs="Times New Roman"/>
          <w:color w:val="0D0D0D"/>
          <w:sz w:val="24"/>
          <w:szCs w:val="24"/>
        </w:rPr>
        <w:t>International Journal of Rock Mechanics and Mining Sciences</w:t>
      </w:r>
      <w:r>
        <w:rPr>
          <w:rFonts w:hint="default" w:ascii="Times New Roman" w:hAnsi="Times New Roman" w:cs="Times New Roman"/>
          <w:color w:val="0D0D0D"/>
          <w:sz w:val="24"/>
          <w:szCs w:val="24"/>
        </w:rPr>
        <w:t xml:space="preserve">, </w:t>
      </w:r>
      <w:r>
        <w:rPr>
          <w:rFonts w:hint="default" w:cs="Times New Roman"/>
          <w:color w:val="0D0D0D"/>
          <w:sz w:val="24"/>
          <w:szCs w:val="24"/>
          <w:lang w:val="en-US"/>
        </w:rPr>
        <w:tab/>
      </w:r>
      <w:r>
        <w:rPr>
          <w:rFonts w:hint="default" w:ascii="Times New Roman" w:hAnsi="Times New Roman" w:cs="Times New Roman"/>
          <w:color w:val="0D0D0D"/>
          <w:sz w:val="24"/>
          <w:szCs w:val="24"/>
        </w:rPr>
        <w:t>127, 104184. </w:t>
      </w:r>
      <w:r>
        <w:rPr>
          <w:rFonts w:hint="default" w:ascii="Times New Roman" w:hAnsi="Times New Roman" w:cs="Times New Roman"/>
          <w:color w:val="2964AA"/>
          <w:sz w:val="24"/>
          <w:szCs w:val="24"/>
          <w:u w:val="none"/>
        </w:rPr>
        <w:t>https://doi.org/10.1016/j.ijrmms.2019.104184</w:t>
      </w:r>
    </w:p>
    <w:p w14:paraId="08940A19">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Chen, W., Li, X., &amp; Zhao, Z. (2022). Influence of mineralogy on the mechanical </w:t>
      </w:r>
      <w:r>
        <w:rPr>
          <w:rFonts w:hint="default" w:cs="Times New Roman"/>
          <w:color w:val="0D0D0D"/>
          <w:sz w:val="24"/>
          <w:szCs w:val="24"/>
          <w:lang w:val="en-US"/>
        </w:rPr>
        <w:tab/>
      </w:r>
      <w:r>
        <w:rPr>
          <w:rFonts w:hint="default" w:ascii="Times New Roman" w:hAnsi="Times New Roman" w:cs="Times New Roman"/>
          <w:color w:val="0D0D0D"/>
          <w:sz w:val="24"/>
          <w:szCs w:val="24"/>
        </w:rPr>
        <w:t>behavior of granite and pegmatite rocks. </w:t>
      </w:r>
      <w:r>
        <w:rPr>
          <w:rStyle w:val="31"/>
          <w:rFonts w:hint="default" w:ascii="Times New Roman" w:hAnsi="Times New Roman" w:cs="Times New Roman"/>
          <w:color w:val="0D0D0D"/>
          <w:sz w:val="24"/>
          <w:szCs w:val="24"/>
        </w:rPr>
        <w:t>Engineering Geology</w:t>
      </w:r>
      <w:r>
        <w:rPr>
          <w:rFonts w:hint="default" w:ascii="Times New Roman" w:hAnsi="Times New Roman" w:cs="Times New Roman"/>
          <w:color w:val="0D0D0D"/>
          <w:sz w:val="24"/>
          <w:szCs w:val="24"/>
        </w:rPr>
        <w:t xml:space="preserve">, 297, </w:t>
      </w:r>
      <w:r>
        <w:rPr>
          <w:rFonts w:hint="default" w:cs="Times New Roman"/>
          <w:color w:val="0D0D0D"/>
          <w:sz w:val="24"/>
          <w:szCs w:val="24"/>
          <w:lang w:val="en-US"/>
        </w:rPr>
        <w:tab/>
      </w:r>
      <w:r>
        <w:rPr>
          <w:rFonts w:hint="default" w:ascii="Times New Roman" w:hAnsi="Times New Roman" w:cs="Times New Roman"/>
          <w:color w:val="0D0D0D"/>
          <w:sz w:val="24"/>
          <w:szCs w:val="24"/>
        </w:rPr>
        <w:t>106504. </w:t>
      </w:r>
      <w:r>
        <w:rPr>
          <w:rFonts w:hint="default" w:ascii="Times New Roman" w:hAnsi="Times New Roman" w:cs="Times New Roman"/>
          <w:color w:val="2964AA"/>
          <w:sz w:val="24"/>
          <w:szCs w:val="24"/>
          <w:u w:val="none"/>
        </w:rPr>
        <w:t>https://doi.org/10.1016/j.enggeo.2021.106504</w:t>
      </w:r>
    </w:p>
    <w:p w14:paraId="66CC6745">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Dong, Q., &amp; Wang, H. (2021). Microstructural controls on strength anisotropy of </w:t>
      </w:r>
      <w:r>
        <w:rPr>
          <w:rFonts w:hint="default" w:cs="Times New Roman"/>
          <w:color w:val="0D0D0D"/>
          <w:sz w:val="24"/>
          <w:szCs w:val="24"/>
          <w:lang w:val="en-US"/>
        </w:rPr>
        <w:tab/>
      </w:r>
      <w:r>
        <w:rPr>
          <w:rFonts w:hint="default" w:ascii="Times New Roman" w:hAnsi="Times New Roman" w:cs="Times New Roman"/>
          <w:color w:val="0D0D0D"/>
          <w:sz w:val="24"/>
          <w:szCs w:val="24"/>
        </w:rPr>
        <w:t>pegmatitic rocks. </w:t>
      </w:r>
      <w:r>
        <w:rPr>
          <w:rStyle w:val="31"/>
          <w:rFonts w:hint="default" w:ascii="Times New Roman" w:hAnsi="Times New Roman" w:cs="Times New Roman"/>
          <w:color w:val="0D0D0D"/>
          <w:sz w:val="24"/>
          <w:szCs w:val="24"/>
        </w:rPr>
        <w:t>Journal of Structural Geology</w:t>
      </w:r>
      <w:r>
        <w:rPr>
          <w:rFonts w:hint="default" w:ascii="Times New Roman" w:hAnsi="Times New Roman" w:cs="Times New Roman"/>
          <w:color w:val="0D0D0D"/>
          <w:sz w:val="24"/>
          <w:szCs w:val="24"/>
        </w:rPr>
        <w:t xml:space="preserve">, 148, </w:t>
      </w:r>
      <w:r>
        <w:rPr>
          <w:rFonts w:hint="default" w:cs="Times New Roman"/>
          <w:color w:val="0D0D0D"/>
          <w:sz w:val="24"/>
          <w:szCs w:val="24"/>
          <w:lang w:val="en-US"/>
        </w:rPr>
        <w:tab/>
      </w:r>
      <w:r>
        <w:rPr>
          <w:rFonts w:hint="default" w:ascii="Times New Roman" w:hAnsi="Times New Roman" w:cs="Times New Roman"/>
          <w:color w:val="0D0D0D"/>
          <w:sz w:val="24"/>
          <w:szCs w:val="24"/>
        </w:rPr>
        <w:t>104343. </w:t>
      </w:r>
      <w:r>
        <w:rPr>
          <w:rFonts w:hint="default" w:ascii="Times New Roman" w:hAnsi="Times New Roman" w:cs="Times New Roman"/>
          <w:color w:val="2964AA"/>
          <w:sz w:val="24"/>
          <w:szCs w:val="24"/>
          <w:u w:val="none"/>
        </w:rPr>
        <w:t>https://doi.org/10.1016/j.jsg.2021.104343</w:t>
      </w:r>
    </w:p>
    <w:p w14:paraId="0F939310">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Fernández, A., &amp; Ramos, F. (2019). Geomechanical characterization of coarse-grained </w:t>
      </w:r>
      <w:r>
        <w:rPr>
          <w:rFonts w:hint="default" w:cs="Times New Roman"/>
          <w:color w:val="0D0D0D"/>
          <w:sz w:val="24"/>
          <w:szCs w:val="24"/>
          <w:lang w:val="en-US"/>
        </w:rPr>
        <w:tab/>
      </w:r>
      <w:r>
        <w:rPr>
          <w:rFonts w:hint="default" w:ascii="Times New Roman" w:hAnsi="Times New Roman" w:cs="Times New Roman"/>
          <w:color w:val="0D0D0D"/>
          <w:sz w:val="24"/>
          <w:szCs w:val="24"/>
        </w:rPr>
        <w:t>granitoids: Case study on pegmatites. </w:t>
      </w:r>
      <w:r>
        <w:rPr>
          <w:rStyle w:val="31"/>
          <w:rFonts w:hint="default" w:ascii="Times New Roman" w:hAnsi="Times New Roman" w:cs="Times New Roman"/>
          <w:color w:val="0D0D0D"/>
          <w:sz w:val="24"/>
          <w:szCs w:val="24"/>
        </w:rPr>
        <w:t>Rock Mechanics and Rock Engineering</w:t>
      </w:r>
      <w:r>
        <w:rPr>
          <w:rFonts w:hint="default" w:ascii="Times New Roman" w:hAnsi="Times New Roman" w:cs="Times New Roman"/>
          <w:color w:val="0D0D0D"/>
          <w:sz w:val="24"/>
          <w:szCs w:val="24"/>
        </w:rPr>
        <w:t xml:space="preserve">, </w:t>
      </w:r>
      <w:r>
        <w:rPr>
          <w:rFonts w:hint="default" w:cs="Times New Roman"/>
          <w:color w:val="0D0D0D"/>
          <w:sz w:val="24"/>
          <w:szCs w:val="24"/>
          <w:lang w:val="en-US"/>
        </w:rPr>
        <w:tab/>
      </w:r>
      <w:r>
        <w:rPr>
          <w:rFonts w:hint="default" w:ascii="Times New Roman" w:hAnsi="Times New Roman" w:cs="Times New Roman"/>
          <w:color w:val="0D0D0D"/>
          <w:sz w:val="24"/>
          <w:szCs w:val="24"/>
        </w:rPr>
        <w:t>52(11), 4091–4104. </w:t>
      </w:r>
      <w:r>
        <w:rPr>
          <w:rFonts w:hint="default" w:ascii="Times New Roman" w:hAnsi="Times New Roman" w:cs="Times New Roman"/>
          <w:color w:val="2964AA"/>
          <w:sz w:val="24"/>
          <w:szCs w:val="24"/>
          <w:u w:val="none"/>
        </w:rPr>
        <w:t>https://doi.org/10.1007/s00603-019-01954-9</w:t>
      </w:r>
    </w:p>
    <w:p w14:paraId="0A6B313A">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Gao, Y., Liu, J., &amp; Sun, Y. (2023). Experimental study on tensile strength anisotropy of </w:t>
      </w:r>
      <w:r>
        <w:rPr>
          <w:rFonts w:hint="default" w:cs="Times New Roman"/>
          <w:color w:val="0D0D0D"/>
          <w:sz w:val="24"/>
          <w:szCs w:val="24"/>
          <w:lang w:val="en-US"/>
        </w:rPr>
        <w:tab/>
      </w:r>
      <w:r>
        <w:rPr>
          <w:rFonts w:hint="default" w:ascii="Times New Roman" w:hAnsi="Times New Roman" w:cs="Times New Roman"/>
          <w:color w:val="0D0D0D"/>
          <w:sz w:val="24"/>
          <w:szCs w:val="24"/>
        </w:rPr>
        <w:t>mica-bearing rocks. </w:t>
      </w:r>
      <w:r>
        <w:rPr>
          <w:rStyle w:val="31"/>
          <w:rFonts w:hint="default" w:ascii="Times New Roman" w:hAnsi="Times New Roman" w:cs="Times New Roman"/>
          <w:color w:val="0D0D0D"/>
          <w:sz w:val="24"/>
          <w:szCs w:val="24"/>
        </w:rPr>
        <w:t>Materials</w:t>
      </w:r>
      <w:r>
        <w:rPr>
          <w:rFonts w:hint="default" w:ascii="Times New Roman" w:hAnsi="Times New Roman" w:cs="Times New Roman"/>
          <w:color w:val="0D0D0D"/>
          <w:sz w:val="24"/>
          <w:szCs w:val="24"/>
        </w:rPr>
        <w:t>, 16(4), 1447. </w:t>
      </w:r>
      <w:r>
        <w:rPr>
          <w:rFonts w:hint="default" w:ascii="Times New Roman" w:hAnsi="Times New Roman" w:cs="Times New Roman"/>
          <w:color w:val="2964AA"/>
          <w:sz w:val="24"/>
          <w:szCs w:val="24"/>
          <w:u w:val="none"/>
        </w:rPr>
        <w:t>https://doi.org/10.3390/ma16041447</w:t>
      </w:r>
    </w:p>
    <w:p w14:paraId="2A258729">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Huo, R., &amp; Li, Q. (2020). Effect of grain size and mineral fabric on the mechanical </w:t>
      </w:r>
      <w:r>
        <w:rPr>
          <w:rFonts w:hint="default" w:cs="Times New Roman"/>
          <w:color w:val="0D0D0D"/>
          <w:sz w:val="24"/>
          <w:szCs w:val="24"/>
          <w:lang w:val="en-US"/>
        </w:rPr>
        <w:tab/>
      </w:r>
      <w:r>
        <w:rPr>
          <w:rFonts w:hint="default" w:ascii="Times New Roman" w:hAnsi="Times New Roman" w:cs="Times New Roman"/>
          <w:color w:val="0D0D0D"/>
          <w:sz w:val="24"/>
          <w:szCs w:val="24"/>
        </w:rPr>
        <w:t>properties of pegmatite. </w:t>
      </w:r>
      <w:r>
        <w:rPr>
          <w:rStyle w:val="31"/>
          <w:rFonts w:hint="default" w:ascii="Times New Roman" w:hAnsi="Times New Roman" w:cs="Times New Roman"/>
          <w:color w:val="0D0D0D"/>
          <w:sz w:val="24"/>
          <w:szCs w:val="24"/>
        </w:rPr>
        <w:t>Engineering Fracture Mechanics</w:t>
      </w:r>
      <w:r>
        <w:rPr>
          <w:rFonts w:hint="default" w:ascii="Times New Roman" w:hAnsi="Times New Roman" w:cs="Times New Roman"/>
          <w:color w:val="0D0D0D"/>
          <w:sz w:val="24"/>
          <w:szCs w:val="24"/>
        </w:rPr>
        <w:t xml:space="preserve">, 227, </w:t>
      </w:r>
      <w:r>
        <w:rPr>
          <w:rFonts w:hint="default" w:cs="Times New Roman"/>
          <w:color w:val="0D0D0D"/>
          <w:sz w:val="24"/>
          <w:szCs w:val="24"/>
          <w:lang w:val="en-US"/>
        </w:rPr>
        <w:tab/>
      </w:r>
      <w:r>
        <w:rPr>
          <w:rFonts w:hint="default" w:ascii="Times New Roman" w:hAnsi="Times New Roman" w:cs="Times New Roman"/>
          <w:color w:val="0D0D0D"/>
          <w:sz w:val="24"/>
          <w:szCs w:val="24"/>
        </w:rPr>
        <w:t>106890. </w:t>
      </w:r>
      <w:r>
        <w:rPr>
          <w:rFonts w:hint="default" w:ascii="Times New Roman" w:hAnsi="Times New Roman" w:cs="Times New Roman"/>
          <w:color w:val="2964AA"/>
          <w:sz w:val="24"/>
          <w:szCs w:val="24"/>
          <w:u w:val="none"/>
        </w:rPr>
        <w:t>https://doi.org/10.1016/j.engfracmech.2019.106890</w:t>
      </w:r>
    </w:p>
    <w:p w14:paraId="1B18ACB4">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Jollands, M., Smith, P., &amp; Davies, B. (2020). Elastic properties of anisotropic pegmatite </w:t>
      </w:r>
      <w:r>
        <w:rPr>
          <w:rFonts w:hint="default" w:cs="Times New Roman"/>
          <w:color w:val="0D0D0D"/>
          <w:sz w:val="24"/>
          <w:szCs w:val="24"/>
          <w:lang w:val="en-US"/>
        </w:rPr>
        <w:tab/>
      </w:r>
      <w:r>
        <w:rPr>
          <w:rFonts w:hint="default" w:ascii="Times New Roman" w:hAnsi="Times New Roman" w:cs="Times New Roman"/>
          <w:color w:val="0D0D0D"/>
          <w:sz w:val="24"/>
          <w:szCs w:val="24"/>
        </w:rPr>
        <w:t>and their engineering implications. </w:t>
      </w:r>
      <w:r>
        <w:rPr>
          <w:rStyle w:val="31"/>
          <w:rFonts w:hint="default" w:ascii="Times New Roman" w:hAnsi="Times New Roman" w:cs="Times New Roman"/>
          <w:color w:val="0D0D0D"/>
          <w:sz w:val="24"/>
          <w:szCs w:val="24"/>
        </w:rPr>
        <w:t xml:space="preserve">International Journal of Rock Mechanics and </w:t>
      </w:r>
      <w:r>
        <w:rPr>
          <w:rStyle w:val="31"/>
          <w:rFonts w:hint="default" w:cs="Times New Roman"/>
          <w:color w:val="0D0D0D"/>
          <w:sz w:val="24"/>
          <w:szCs w:val="24"/>
          <w:lang w:val="en-US"/>
        </w:rPr>
        <w:tab/>
      </w:r>
      <w:r>
        <w:rPr>
          <w:rStyle w:val="31"/>
          <w:rFonts w:hint="default" w:ascii="Times New Roman" w:hAnsi="Times New Roman" w:cs="Times New Roman"/>
          <w:color w:val="0D0D0D"/>
          <w:sz w:val="24"/>
          <w:szCs w:val="24"/>
        </w:rPr>
        <w:t>Mining Sciences</w:t>
      </w:r>
      <w:r>
        <w:rPr>
          <w:rFonts w:hint="default" w:ascii="Times New Roman" w:hAnsi="Times New Roman" w:cs="Times New Roman"/>
          <w:color w:val="0D0D0D"/>
          <w:sz w:val="24"/>
          <w:szCs w:val="24"/>
        </w:rPr>
        <w:t>, 132, 104404. </w:t>
      </w:r>
      <w:r>
        <w:rPr>
          <w:rFonts w:hint="default" w:ascii="Times New Roman" w:hAnsi="Times New Roman" w:cs="Times New Roman"/>
          <w:color w:val="2964AA"/>
          <w:sz w:val="24"/>
          <w:szCs w:val="24"/>
          <w:u w:val="none"/>
        </w:rPr>
        <w:t>https://doi.org/10.1016/j.ijrmms.2020.104404</w:t>
      </w:r>
    </w:p>
    <w:p w14:paraId="2BF64BCF">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Kumar, V., Singh, T., &amp; Verma, A. (2019). Grain boundary strength and its impact on </w:t>
      </w:r>
      <w:r>
        <w:rPr>
          <w:rFonts w:hint="default" w:cs="Times New Roman"/>
          <w:color w:val="0D0D0D"/>
          <w:sz w:val="24"/>
          <w:szCs w:val="24"/>
          <w:lang w:val="en-US"/>
        </w:rPr>
        <w:tab/>
      </w:r>
      <w:r>
        <w:rPr>
          <w:rFonts w:hint="default" w:ascii="Times New Roman" w:hAnsi="Times New Roman" w:cs="Times New Roman"/>
          <w:color w:val="0D0D0D"/>
          <w:sz w:val="24"/>
          <w:szCs w:val="24"/>
        </w:rPr>
        <w:t>pegmatite UCS. </w:t>
      </w:r>
      <w:r>
        <w:rPr>
          <w:rStyle w:val="31"/>
          <w:rFonts w:hint="default" w:ascii="Times New Roman" w:hAnsi="Times New Roman" w:cs="Times New Roman"/>
          <w:color w:val="0D0D0D"/>
          <w:sz w:val="24"/>
          <w:szCs w:val="24"/>
        </w:rPr>
        <w:t>Geotechnical Testing Journal</w:t>
      </w:r>
      <w:r>
        <w:rPr>
          <w:rFonts w:hint="default" w:ascii="Times New Roman" w:hAnsi="Times New Roman" w:cs="Times New Roman"/>
          <w:color w:val="0D0D0D"/>
          <w:sz w:val="24"/>
          <w:szCs w:val="24"/>
        </w:rPr>
        <w:t>, 42(3), 437–</w:t>
      </w:r>
      <w:r>
        <w:rPr>
          <w:rFonts w:hint="default" w:cs="Times New Roman"/>
          <w:color w:val="0D0D0D"/>
          <w:sz w:val="24"/>
          <w:szCs w:val="24"/>
          <w:lang w:val="en-US"/>
        </w:rPr>
        <w:tab/>
      </w:r>
      <w:r>
        <w:rPr>
          <w:rFonts w:hint="default" w:ascii="Times New Roman" w:hAnsi="Times New Roman" w:cs="Times New Roman"/>
          <w:color w:val="0D0D0D"/>
          <w:sz w:val="24"/>
          <w:szCs w:val="24"/>
        </w:rPr>
        <w:t>445. </w:t>
      </w:r>
      <w:r>
        <w:rPr>
          <w:rFonts w:hint="default" w:ascii="Times New Roman" w:hAnsi="Times New Roman" w:cs="Times New Roman"/>
          <w:color w:val="2964AA"/>
          <w:sz w:val="24"/>
          <w:szCs w:val="24"/>
          <w:u w:val="none"/>
        </w:rPr>
        <w:t>https://doi.org/10.1520/GTJ20180308</w:t>
      </w:r>
    </w:p>
    <w:p w14:paraId="14182995">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London, D. (2020). </w:t>
      </w:r>
      <w:r>
        <w:rPr>
          <w:rStyle w:val="31"/>
          <w:rFonts w:hint="default" w:ascii="Times New Roman" w:hAnsi="Times New Roman" w:cs="Times New Roman"/>
          <w:color w:val="0D0D0D"/>
          <w:sz w:val="24"/>
          <w:szCs w:val="24"/>
        </w:rPr>
        <w:t>Pegmatites</w:t>
      </w:r>
      <w:r>
        <w:rPr>
          <w:rFonts w:hint="default" w:ascii="Times New Roman" w:hAnsi="Times New Roman" w:cs="Times New Roman"/>
          <w:color w:val="0D0D0D"/>
          <w:sz w:val="24"/>
          <w:szCs w:val="24"/>
        </w:rPr>
        <w:t>. Spr</w:t>
      </w:r>
      <w:bookmarkStart w:id="0" w:name="_GoBack"/>
      <w:bookmarkEnd w:id="0"/>
      <w:r>
        <w:rPr>
          <w:rFonts w:hint="default" w:ascii="Times New Roman" w:hAnsi="Times New Roman" w:cs="Times New Roman"/>
          <w:color w:val="0D0D0D"/>
          <w:sz w:val="24"/>
          <w:szCs w:val="24"/>
        </w:rPr>
        <w:t>inger Nature. </w:t>
      </w:r>
      <w:r>
        <w:rPr>
          <w:rFonts w:hint="default" w:ascii="Times New Roman" w:hAnsi="Times New Roman" w:cs="Times New Roman"/>
          <w:color w:val="2964AA"/>
          <w:sz w:val="24"/>
          <w:szCs w:val="24"/>
          <w:u w:val="none"/>
        </w:rPr>
        <w:fldChar w:fldCharType="begin"/>
      </w:r>
      <w:r>
        <w:rPr>
          <w:rFonts w:hint="default" w:ascii="Times New Roman" w:hAnsi="Times New Roman" w:cs="Times New Roman"/>
          <w:color w:val="2964AA"/>
          <w:sz w:val="24"/>
          <w:szCs w:val="24"/>
          <w:u w:val="none"/>
        </w:rPr>
        <w:instrText xml:space="preserve"> HYPERLINK "https://doi.org/10.1007/978-3-030-" </w:instrText>
      </w:r>
      <w:r>
        <w:rPr>
          <w:rFonts w:hint="default" w:ascii="Times New Roman" w:hAnsi="Times New Roman" w:cs="Times New Roman"/>
          <w:color w:val="2964AA"/>
          <w:sz w:val="24"/>
          <w:szCs w:val="24"/>
          <w:u w:val="none"/>
        </w:rPr>
        <w:fldChar w:fldCharType="separate"/>
      </w:r>
      <w:r>
        <w:rPr>
          <w:rStyle w:val="51"/>
          <w:rFonts w:hint="default" w:ascii="Times New Roman" w:hAnsi="Times New Roman" w:cs="Times New Roman"/>
          <w:sz w:val="24"/>
          <w:szCs w:val="24"/>
        </w:rPr>
        <w:t>https://doi.org/10.1007/978-3-030-</w:t>
      </w:r>
      <w:r>
        <w:rPr>
          <w:rFonts w:hint="default" w:ascii="Times New Roman" w:hAnsi="Times New Roman" w:cs="Times New Roman"/>
          <w:color w:val="2964AA"/>
          <w:sz w:val="24"/>
          <w:szCs w:val="24"/>
          <w:u w:val="none"/>
        </w:rPr>
        <w:fldChar w:fldCharType="end"/>
      </w:r>
      <w:r>
        <w:rPr>
          <w:rFonts w:hint="default" w:cs="Times New Roman"/>
          <w:color w:val="2964AA"/>
          <w:sz w:val="24"/>
          <w:szCs w:val="24"/>
          <w:u w:val="none"/>
          <w:lang w:val="en-US"/>
        </w:rPr>
        <w:tab/>
      </w:r>
      <w:r>
        <w:rPr>
          <w:rFonts w:hint="default" w:ascii="Times New Roman" w:hAnsi="Times New Roman" w:cs="Times New Roman"/>
          <w:color w:val="2964AA"/>
          <w:sz w:val="24"/>
          <w:szCs w:val="24"/>
          <w:u w:val="none"/>
        </w:rPr>
        <w:t>21641-1</w:t>
      </w:r>
    </w:p>
    <w:p w14:paraId="2B89FCC7">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Meakin, M., Young, R., &amp; O’Brien, T. (2021). Influence of mineralogy on the </w:t>
      </w:r>
      <w:r>
        <w:rPr>
          <w:rFonts w:hint="default" w:cs="Times New Roman"/>
          <w:color w:val="0D0D0D"/>
          <w:sz w:val="24"/>
          <w:szCs w:val="24"/>
          <w:lang w:val="en-US"/>
        </w:rPr>
        <w:tab/>
      </w:r>
      <w:r>
        <w:rPr>
          <w:rFonts w:hint="default" w:ascii="Times New Roman" w:hAnsi="Times New Roman" w:cs="Times New Roman"/>
          <w:color w:val="0D0D0D"/>
          <w:sz w:val="24"/>
          <w:szCs w:val="24"/>
        </w:rPr>
        <w:t>mechanical behavior of pegmatite rocks. </w:t>
      </w:r>
      <w:r>
        <w:rPr>
          <w:rStyle w:val="31"/>
          <w:rFonts w:hint="default" w:ascii="Times New Roman" w:hAnsi="Times New Roman" w:cs="Times New Roman"/>
          <w:color w:val="0D0D0D"/>
          <w:sz w:val="24"/>
          <w:szCs w:val="24"/>
        </w:rPr>
        <w:t>Rock Mechanics and Rock Engineering</w:t>
      </w:r>
      <w:r>
        <w:rPr>
          <w:rFonts w:hint="default" w:ascii="Times New Roman" w:hAnsi="Times New Roman" w:cs="Times New Roman"/>
          <w:color w:val="0D0D0D"/>
          <w:sz w:val="24"/>
          <w:szCs w:val="24"/>
        </w:rPr>
        <w:t xml:space="preserve">, </w:t>
      </w:r>
      <w:r>
        <w:rPr>
          <w:rFonts w:hint="default" w:cs="Times New Roman"/>
          <w:color w:val="0D0D0D"/>
          <w:sz w:val="24"/>
          <w:szCs w:val="24"/>
          <w:lang w:val="en-US"/>
        </w:rPr>
        <w:tab/>
      </w:r>
      <w:r>
        <w:rPr>
          <w:rFonts w:hint="default" w:ascii="Times New Roman" w:hAnsi="Times New Roman" w:cs="Times New Roman"/>
          <w:color w:val="0D0D0D"/>
          <w:sz w:val="24"/>
          <w:szCs w:val="24"/>
        </w:rPr>
        <w:t>54(2), 783–795. </w:t>
      </w:r>
      <w:r>
        <w:rPr>
          <w:rFonts w:hint="default" w:ascii="Times New Roman" w:hAnsi="Times New Roman" w:cs="Times New Roman"/>
          <w:color w:val="2964AA"/>
          <w:sz w:val="24"/>
          <w:szCs w:val="24"/>
          <w:u w:val="none"/>
        </w:rPr>
        <w:t>https://doi.org/10.1007/s00603-020-02349-6</w:t>
      </w:r>
    </w:p>
    <w:p w14:paraId="6914E292">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Musa, S., &amp; Hassan, A. (2022). Correlation between petrographic properties and </w:t>
      </w:r>
      <w:r>
        <w:rPr>
          <w:rFonts w:hint="default" w:cs="Times New Roman"/>
          <w:color w:val="0D0D0D"/>
          <w:sz w:val="24"/>
          <w:szCs w:val="24"/>
          <w:lang w:val="en-US"/>
        </w:rPr>
        <w:tab/>
      </w:r>
      <w:r>
        <w:rPr>
          <w:rFonts w:hint="default" w:ascii="Times New Roman" w:hAnsi="Times New Roman" w:cs="Times New Roman"/>
          <w:color w:val="0D0D0D"/>
          <w:sz w:val="24"/>
          <w:szCs w:val="24"/>
        </w:rPr>
        <w:t>mechanical strength of pegmatite. </w:t>
      </w:r>
      <w:r>
        <w:rPr>
          <w:rStyle w:val="31"/>
          <w:rFonts w:hint="default" w:ascii="Times New Roman" w:hAnsi="Times New Roman" w:cs="Times New Roman"/>
          <w:color w:val="0D0D0D"/>
          <w:sz w:val="24"/>
          <w:szCs w:val="24"/>
        </w:rPr>
        <w:t>Arabian Journal of Geosciences</w:t>
      </w:r>
      <w:r>
        <w:rPr>
          <w:rFonts w:hint="default" w:ascii="Times New Roman" w:hAnsi="Times New Roman" w:cs="Times New Roman"/>
          <w:color w:val="0D0D0D"/>
          <w:sz w:val="24"/>
          <w:szCs w:val="24"/>
        </w:rPr>
        <w:t xml:space="preserve">, 15(18), </w:t>
      </w:r>
      <w:r>
        <w:rPr>
          <w:rFonts w:hint="default" w:cs="Times New Roman"/>
          <w:color w:val="0D0D0D"/>
          <w:sz w:val="24"/>
          <w:szCs w:val="24"/>
          <w:lang w:val="en-US"/>
        </w:rPr>
        <w:tab/>
      </w:r>
      <w:r>
        <w:rPr>
          <w:rFonts w:hint="default" w:ascii="Times New Roman" w:hAnsi="Times New Roman" w:cs="Times New Roman"/>
          <w:color w:val="0D0D0D"/>
          <w:sz w:val="24"/>
          <w:szCs w:val="24"/>
        </w:rPr>
        <w:t>1650. </w:t>
      </w:r>
      <w:r>
        <w:rPr>
          <w:rFonts w:hint="default" w:ascii="Times New Roman" w:hAnsi="Times New Roman" w:cs="Times New Roman"/>
          <w:color w:val="2964AA"/>
          <w:sz w:val="24"/>
          <w:szCs w:val="24"/>
          <w:u w:val="none"/>
        </w:rPr>
        <w:t>https://doi.org/10.1007/s12517-022-10203-1</w:t>
      </w:r>
    </w:p>
    <w:p w14:paraId="13845A4E">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Niu, Y., &amp; Wang, L. (2023). Petrographic controls on rock strength anisotropy in coarse-</w:t>
      </w:r>
      <w:r>
        <w:rPr>
          <w:rFonts w:hint="default" w:cs="Times New Roman"/>
          <w:color w:val="0D0D0D"/>
          <w:sz w:val="24"/>
          <w:szCs w:val="24"/>
          <w:lang w:val="en-US"/>
        </w:rPr>
        <w:tab/>
      </w:r>
      <w:r>
        <w:rPr>
          <w:rFonts w:hint="default" w:ascii="Times New Roman" w:hAnsi="Times New Roman" w:cs="Times New Roman"/>
          <w:color w:val="0D0D0D"/>
          <w:sz w:val="24"/>
          <w:szCs w:val="24"/>
        </w:rPr>
        <w:t>grained igneous rocks. </w:t>
      </w:r>
      <w:r>
        <w:rPr>
          <w:rStyle w:val="31"/>
          <w:rFonts w:hint="default" w:ascii="Times New Roman" w:hAnsi="Times New Roman" w:cs="Times New Roman"/>
          <w:color w:val="0D0D0D"/>
          <w:sz w:val="24"/>
          <w:szCs w:val="24"/>
        </w:rPr>
        <w:t>Journal of Applied Geophysics</w:t>
      </w:r>
      <w:r>
        <w:rPr>
          <w:rFonts w:hint="default" w:ascii="Times New Roman" w:hAnsi="Times New Roman" w:cs="Times New Roman"/>
          <w:color w:val="0D0D0D"/>
          <w:sz w:val="24"/>
          <w:szCs w:val="24"/>
        </w:rPr>
        <w:t xml:space="preserve">, 203, </w:t>
      </w:r>
      <w:r>
        <w:rPr>
          <w:rFonts w:hint="default" w:cs="Times New Roman"/>
          <w:color w:val="0D0D0D"/>
          <w:sz w:val="24"/>
          <w:szCs w:val="24"/>
          <w:lang w:val="en-US"/>
        </w:rPr>
        <w:tab/>
      </w:r>
      <w:r>
        <w:rPr>
          <w:rFonts w:hint="default" w:ascii="Times New Roman" w:hAnsi="Times New Roman" w:cs="Times New Roman"/>
          <w:color w:val="0D0D0D"/>
          <w:sz w:val="24"/>
          <w:szCs w:val="24"/>
        </w:rPr>
        <w:t>104723. </w:t>
      </w:r>
      <w:r>
        <w:rPr>
          <w:rFonts w:hint="default" w:ascii="Times New Roman" w:hAnsi="Times New Roman" w:cs="Times New Roman"/>
          <w:color w:val="2964AA"/>
          <w:sz w:val="24"/>
          <w:szCs w:val="24"/>
          <w:u w:val="none"/>
        </w:rPr>
        <w:t>https://doi.org/10.1016/j.jappgeo.2022.104723</w:t>
      </w:r>
    </w:p>
    <w:p w14:paraId="7A6C98E4">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Okoro, C., &amp; Adeyemi, A. (2021). Geotechnical evaluation of pegmatite for </w:t>
      </w:r>
      <w:r>
        <w:rPr>
          <w:rFonts w:hint="default" w:cs="Times New Roman"/>
          <w:color w:val="0D0D0D"/>
          <w:sz w:val="24"/>
          <w:szCs w:val="24"/>
          <w:lang w:val="en-US"/>
        </w:rPr>
        <w:tab/>
      </w:r>
      <w:r>
        <w:rPr>
          <w:rFonts w:hint="default" w:ascii="Times New Roman" w:hAnsi="Times New Roman" w:cs="Times New Roman"/>
          <w:color w:val="0D0D0D"/>
          <w:sz w:val="24"/>
          <w:szCs w:val="24"/>
        </w:rPr>
        <w:t>infrastructure development in Nigeria. </w:t>
      </w:r>
      <w:r>
        <w:rPr>
          <w:rStyle w:val="31"/>
          <w:rFonts w:hint="default" w:ascii="Times New Roman" w:hAnsi="Times New Roman" w:cs="Times New Roman"/>
          <w:color w:val="0D0D0D"/>
          <w:sz w:val="24"/>
          <w:szCs w:val="24"/>
        </w:rPr>
        <w:t xml:space="preserve">International Journal of Mining Science </w:t>
      </w:r>
      <w:r>
        <w:rPr>
          <w:rStyle w:val="31"/>
          <w:rFonts w:hint="default" w:cs="Times New Roman"/>
          <w:color w:val="0D0D0D"/>
          <w:sz w:val="24"/>
          <w:szCs w:val="24"/>
          <w:lang w:val="en-US"/>
        </w:rPr>
        <w:tab/>
      </w:r>
      <w:r>
        <w:rPr>
          <w:rStyle w:val="31"/>
          <w:rFonts w:hint="default" w:ascii="Times New Roman" w:hAnsi="Times New Roman" w:cs="Times New Roman"/>
          <w:color w:val="0D0D0D"/>
          <w:sz w:val="24"/>
          <w:szCs w:val="24"/>
        </w:rPr>
        <w:t>and Technology</w:t>
      </w:r>
      <w:r>
        <w:rPr>
          <w:rFonts w:hint="default" w:ascii="Times New Roman" w:hAnsi="Times New Roman" w:cs="Times New Roman"/>
          <w:color w:val="0D0D0D"/>
          <w:sz w:val="24"/>
          <w:szCs w:val="24"/>
        </w:rPr>
        <w:t>, 31(5), 757–765. </w:t>
      </w:r>
      <w:r>
        <w:rPr>
          <w:rFonts w:hint="default" w:ascii="Times New Roman" w:hAnsi="Times New Roman" w:cs="Times New Roman"/>
          <w:color w:val="2964AA"/>
          <w:sz w:val="24"/>
          <w:szCs w:val="24"/>
          <w:u w:val="none"/>
        </w:rPr>
        <w:t>https://doi.org/10.1016/j.ijmst.2021.06.005</w:t>
      </w:r>
    </w:p>
    <w:p w14:paraId="71D7124A">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Pan, X., &amp; Wang, J. (2019). Experimental investigation on the effect of mica content on </w:t>
      </w:r>
      <w:r>
        <w:rPr>
          <w:rFonts w:hint="default" w:cs="Times New Roman"/>
          <w:color w:val="0D0D0D"/>
          <w:sz w:val="24"/>
          <w:szCs w:val="24"/>
          <w:lang w:val="en-US"/>
        </w:rPr>
        <w:tab/>
      </w:r>
      <w:r>
        <w:rPr>
          <w:rFonts w:hint="default" w:ascii="Times New Roman" w:hAnsi="Times New Roman" w:cs="Times New Roman"/>
          <w:color w:val="0D0D0D"/>
          <w:sz w:val="24"/>
          <w:szCs w:val="24"/>
        </w:rPr>
        <w:t>mechanical properties of granite-like rocks. </w:t>
      </w:r>
      <w:r>
        <w:rPr>
          <w:rStyle w:val="31"/>
          <w:rFonts w:hint="default" w:ascii="Times New Roman" w:hAnsi="Times New Roman" w:cs="Times New Roman"/>
          <w:color w:val="0D0D0D"/>
          <w:sz w:val="24"/>
          <w:szCs w:val="24"/>
        </w:rPr>
        <w:t xml:space="preserve">Bulletin of Engineering Geology and </w:t>
      </w:r>
      <w:r>
        <w:rPr>
          <w:rStyle w:val="31"/>
          <w:rFonts w:hint="default" w:cs="Times New Roman"/>
          <w:color w:val="0D0D0D"/>
          <w:sz w:val="24"/>
          <w:szCs w:val="24"/>
          <w:lang w:val="en-US"/>
        </w:rPr>
        <w:tab/>
      </w:r>
      <w:r>
        <w:rPr>
          <w:rStyle w:val="31"/>
          <w:rFonts w:hint="default" w:ascii="Times New Roman" w:hAnsi="Times New Roman" w:cs="Times New Roman"/>
          <w:color w:val="0D0D0D"/>
          <w:sz w:val="24"/>
          <w:szCs w:val="24"/>
        </w:rPr>
        <w:t>the Environment</w:t>
      </w:r>
      <w:r>
        <w:rPr>
          <w:rFonts w:hint="default" w:ascii="Times New Roman" w:hAnsi="Times New Roman" w:cs="Times New Roman"/>
          <w:color w:val="0D0D0D"/>
          <w:sz w:val="24"/>
          <w:szCs w:val="24"/>
        </w:rPr>
        <w:t>, 78(4), 2493–2502. </w:t>
      </w:r>
      <w:r>
        <w:rPr>
          <w:rFonts w:hint="default" w:ascii="Times New Roman" w:hAnsi="Times New Roman" w:cs="Times New Roman"/>
          <w:color w:val="2964AA"/>
          <w:sz w:val="24"/>
          <w:szCs w:val="24"/>
          <w:u w:val="none"/>
        </w:rPr>
        <w:t>https://doi.org/10.1007/s10064-019-01516-2</w:t>
      </w:r>
    </w:p>
    <w:p w14:paraId="217A4DFE">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Parker, D., &amp; Cooper, J. (2020). Mineralogical influences on fracture propagation in </w:t>
      </w:r>
      <w:r>
        <w:rPr>
          <w:rFonts w:hint="default" w:cs="Times New Roman"/>
          <w:color w:val="0D0D0D"/>
          <w:sz w:val="24"/>
          <w:szCs w:val="24"/>
          <w:lang w:val="en-US"/>
        </w:rPr>
        <w:tab/>
      </w:r>
      <w:r>
        <w:rPr>
          <w:rFonts w:hint="default" w:ascii="Times New Roman" w:hAnsi="Times New Roman" w:cs="Times New Roman"/>
          <w:color w:val="0D0D0D"/>
          <w:sz w:val="24"/>
          <w:szCs w:val="24"/>
        </w:rPr>
        <w:t>pegmatites. </w:t>
      </w:r>
      <w:r>
        <w:rPr>
          <w:rStyle w:val="31"/>
          <w:rFonts w:hint="default" w:ascii="Times New Roman" w:hAnsi="Times New Roman" w:cs="Times New Roman"/>
          <w:color w:val="0D0D0D"/>
          <w:sz w:val="24"/>
          <w:szCs w:val="24"/>
        </w:rPr>
        <w:t>Tectonophysics</w:t>
      </w:r>
      <w:r>
        <w:rPr>
          <w:rFonts w:hint="default" w:ascii="Times New Roman" w:hAnsi="Times New Roman" w:cs="Times New Roman"/>
          <w:color w:val="0D0D0D"/>
          <w:sz w:val="24"/>
          <w:szCs w:val="24"/>
        </w:rPr>
        <w:t xml:space="preserve">, 797, </w:t>
      </w:r>
      <w:r>
        <w:rPr>
          <w:rFonts w:hint="default" w:cs="Times New Roman"/>
          <w:color w:val="0D0D0D"/>
          <w:sz w:val="24"/>
          <w:szCs w:val="24"/>
          <w:lang w:val="en-US"/>
        </w:rPr>
        <w:tab/>
      </w:r>
      <w:r>
        <w:rPr>
          <w:rFonts w:hint="default" w:ascii="Times New Roman" w:hAnsi="Times New Roman" w:cs="Times New Roman"/>
          <w:color w:val="0D0D0D"/>
          <w:sz w:val="24"/>
          <w:szCs w:val="24"/>
        </w:rPr>
        <w:t>228692. </w:t>
      </w:r>
      <w:r>
        <w:rPr>
          <w:rFonts w:hint="default" w:ascii="Times New Roman" w:hAnsi="Times New Roman" w:cs="Times New Roman"/>
          <w:color w:val="2964AA"/>
          <w:sz w:val="24"/>
          <w:szCs w:val="24"/>
          <w:u w:val="none"/>
        </w:rPr>
        <w:t>https://doi.org/10.1016/j.tecto.2020.228692</w:t>
      </w:r>
    </w:p>
    <w:p w14:paraId="5AB8DA4A">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Qi, Y., Liu, Y., &amp; Feng, J. (2024). Microstructural mechanisms controlling strength </w:t>
      </w:r>
      <w:r>
        <w:rPr>
          <w:rFonts w:hint="default" w:cs="Times New Roman"/>
          <w:color w:val="0D0D0D"/>
          <w:sz w:val="24"/>
          <w:szCs w:val="24"/>
          <w:lang w:val="en-US"/>
        </w:rPr>
        <w:tab/>
      </w:r>
      <w:r>
        <w:rPr>
          <w:rFonts w:hint="default" w:ascii="Times New Roman" w:hAnsi="Times New Roman" w:cs="Times New Roman"/>
          <w:color w:val="0D0D0D"/>
          <w:sz w:val="24"/>
          <w:szCs w:val="24"/>
        </w:rPr>
        <w:t>anisotropy in mica-rich rocks. </w:t>
      </w:r>
      <w:r>
        <w:rPr>
          <w:rStyle w:val="31"/>
          <w:rFonts w:hint="default" w:ascii="Times New Roman" w:hAnsi="Times New Roman" w:cs="Times New Roman"/>
          <w:color w:val="0D0D0D"/>
          <w:sz w:val="24"/>
          <w:szCs w:val="24"/>
        </w:rPr>
        <w:t>Rock Mechanics and Rock Engineering</w:t>
      </w:r>
      <w:r>
        <w:rPr>
          <w:rFonts w:hint="default" w:ascii="Times New Roman" w:hAnsi="Times New Roman" w:cs="Times New Roman"/>
          <w:color w:val="0D0D0D"/>
          <w:sz w:val="24"/>
          <w:szCs w:val="24"/>
        </w:rPr>
        <w:t xml:space="preserve">, 57(3), </w:t>
      </w:r>
      <w:r>
        <w:rPr>
          <w:rFonts w:hint="default" w:cs="Times New Roman"/>
          <w:color w:val="0D0D0D"/>
          <w:sz w:val="24"/>
          <w:szCs w:val="24"/>
          <w:lang w:val="en-US"/>
        </w:rPr>
        <w:tab/>
      </w:r>
      <w:r>
        <w:rPr>
          <w:rFonts w:hint="default" w:ascii="Times New Roman" w:hAnsi="Times New Roman" w:cs="Times New Roman"/>
          <w:color w:val="0D0D0D"/>
          <w:sz w:val="24"/>
          <w:szCs w:val="24"/>
        </w:rPr>
        <w:t>1495–1508. </w:t>
      </w:r>
      <w:r>
        <w:rPr>
          <w:rFonts w:hint="default" w:ascii="Times New Roman" w:hAnsi="Times New Roman" w:cs="Times New Roman"/>
          <w:color w:val="2964AA"/>
          <w:sz w:val="24"/>
          <w:szCs w:val="24"/>
          <w:u w:val="none"/>
        </w:rPr>
        <w:t>https://doi.org/10.1007/s00603-023-03214-7</w:t>
      </w:r>
    </w:p>
    <w:p w14:paraId="227DB519">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Rafiq, M., &amp; Khan, S. (2021). Mechanical characterization of pegmatite: Uniaxial and </w:t>
      </w:r>
      <w:r>
        <w:rPr>
          <w:rFonts w:hint="default" w:cs="Times New Roman"/>
          <w:color w:val="0D0D0D"/>
          <w:sz w:val="24"/>
          <w:szCs w:val="24"/>
          <w:lang w:val="en-US"/>
        </w:rPr>
        <w:tab/>
      </w:r>
      <w:r>
        <w:rPr>
          <w:rFonts w:hint="default" w:ascii="Times New Roman" w:hAnsi="Times New Roman" w:cs="Times New Roman"/>
          <w:color w:val="0D0D0D"/>
          <w:sz w:val="24"/>
          <w:szCs w:val="24"/>
        </w:rPr>
        <w:t>tensile strength tests. </w:t>
      </w:r>
      <w:r>
        <w:rPr>
          <w:rStyle w:val="31"/>
          <w:rFonts w:hint="default" w:ascii="Times New Roman" w:hAnsi="Times New Roman" w:cs="Times New Roman"/>
          <w:color w:val="0D0D0D"/>
          <w:sz w:val="24"/>
          <w:szCs w:val="24"/>
        </w:rPr>
        <w:t>Geomechanics and Engineering</w:t>
      </w:r>
      <w:r>
        <w:rPr>
          <w:rFonts w:hint="default" w:ascii="Times New Roman" w:hAnsi="Times New Roman" w:cs="Times New Roman"/>
          <w:color w:val="0D0D0D"/>
          <w:sz w:val="24"/>
          <w:szCs w:val="24"/>
        </w:rPr>
        <w:t>, 25(3), 207–</w:t>
      </w:r>
      <w:r>
        <w:rPr>
          <w:rFonts w:hint="default" w:cs="Times New Roman"/>
          <w:color w:val="0D0D0D"/>
          <w:sz w:val="24"/>
          <w:szCs w:val="24"/>
          <w:lang w:val="en-US"/>
        </w:rPr>
        <w:tab/>
      </w:r>
      <w:r>
        <w:rPr>
          <w:rFonts w:hint="default" w:ascii="Times New Roman" w:hAnsi="Times New Roman" w:cs="Times New Roman"/>
          <w:color w:val="0D0D0D"/>
          <w:sz w:val="24"/>
          <w:szCs w:val="24"/>
        </w:rPr>
        <w:t>215. </w:t>
      </w:r>
      <w:r>
        <w:rPr>
          <w:rFonts w:hint="default" w:ascii="Times New Roman" w:hAnsi="Times New Roman" w:cs="Times New Roman"/>
          <w:color w:val="2964AA"/>
          <w:sz w:val="24"/>
          <w:szCs w:val="24"/>
          <w:u w:val="none"/>
        </w:rPr>
        <w:t>https://doi.org/10.12989/gae.2021.25.3.207</w:t>
      </w:r>
    </w:p>
    <w:p w14:paraId="0ACEA884">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Salazar, G., &amp; Torres, R. (2019). Engineering properties of pegmatitic rocks from the </w:t>
      </w:r>
      <w:r>
        <w:rPr>
          <w:rFonts w:hint="default" w:cs="Times New Roman"/>
          <w:color w:val="0D0D0D"/>
          <w:sz w:val="24"/>
          <w:szCs w:val="24"/>
          <w:lang w:val="en-US"/>
        </w:rPr>
        <w:tab/>
      </w:r>
      <w:r>
        <w:rPr>
          <w:rFonts w:hint="default" w:ascii="Times New Roman" w:hAnsi="Times New Roman" w:cs="Times New Roman"/>
          <w:color w:val="0D0D0D"/>
          <w:sz w:val="24"/>
          <w:szCs w:val="24"/>
        </w:rPr>
        <w:t>Andes region. </w:t>
      </w:r>
      <w:r>
        <w:rPr>
          <w:rStyle w:val="31"/>
          <w:rFonts w:hint="default" w:ascii="Times New Roman" w:hAnsi="Times New Roman" w:cs="Times New Roman"/>
          <w:color w:val="0D0D0D"/>
          <w:sz w:val="24"/>
          <w:szCs w:val="24"/>
        </w:rPr>
        <w:t>Engineering Geology</w:t>
      </w:r>
      <w:r>
        <w:rPr>
          <w:rFonts w:hint="default" w:ascii="Times New Roman" w:hAnsi="Times New Roman" w:cs="Times New Roman"/>
          <w:color w:val="0D0D0D"/>
          <w:sz w:val="24"/>
          <w:szCs w:val="24"/>
        </w:rPr>
        <w:t xml:space="preserve">, 258, </w:t>
      </w:r>
      <w:r>
        <w:rPr>
          <w:rFonts w:hint="default" w:cs="Times New Roman"/>
          <w:color w:val="0D0D0D"/>
          <w:sz w:val="24"/>
          <w:szCs w:val="24"/>
          <w:lang w:val="en-US"/>
        </w:rPr>
        <w:tab/>
      </w:r>
      <w:r>
        <w:rPr>
          <w:rFonts w:hint="default" w:ascii="Times New Roman" w:hAnsi="Times New Roman" w:cs="Times New Roman"/>
          <w:color w:val="0D0D0D"/>
          <w:sz w:val="24"/>
          <w:szCs w:val="24"/>
        </w:rPr>
        <w:t>105133. </w:t>
      </w:r>
      <w:r>
        <w:rPr>
          <w:rFonts w:hint="default" w:ascii="Times New Roman" w:hAnsi="Times New Roman" w:cs="Times New Roman"/>
          <w:color w:val="2964AA"/>
          <w:sz w:val="24"/>
          <w:szCs w:val="24"/>
          <w:u w:val="none"/>
        </w:rPr>
        <w:t>https://doi.org/10.1016/j.enggeo.2019.105133</w:t>
      </w:r>
    </w:p>
    <w:p w14:paraId="4BBA6589">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Sato, H., &amp; Watanabe, K. (2020). Influence of mica orientation on rock strength and </w:t>
      </w:r>
      <w:r>
        <w:rPr>
          <w:rFonts w:hint="default" w:cs="Times New Roman"/>
          <w:color w:val="0D0D0D"/>
          <w:sz w:val="24"/>
          <w:szCs w:val="24"/>
          <w:lang w:val="en-US"/>
        </w:rPr>
        <w:tab/>
      </w:r>
      <w:r>
        <w:rPr>
          <w:rFonts w:hint="default" w:ascii="Times New Roman" w:hAnsi="Times New Roman" w:cs="Times New Roman"/>
          <w:color w:val="0D0D0D"/>
          <w:sz w:val="24"/>
          <w:szCs w:val="24"/>
        </w:rPr>
        <w:t>fracture toughness. </w:t>
      </w:r>
      <w:r>
        <w:rPr>
          <w:rStyle w:val="31"/>
          <w:rFonts w:hint="default" w:ascii="Times New Roman" w:hAnsi="Times New Roman" w:cs="Times New Roman"/>
          <w:color w:val="0D0D0D"/>
          <w:sz w:val="24"/>
          <w:szCs w:val="24"/>
        </w:rPr>
        <w:t xml:space="preserve">International Journal of Rock Mechanics and Mining </w:t>
      </w:r>
      <w:r>
        <w:rPr>
          <w:rStyle w:val="31"/>
          <w:rFonts w:hint="default" w:cs="Times New Roman"/>
          <w:color w:val="0D0D0D"/>
          <w:sz w:val="24"/>
          <w:szCs w:val="24"/>
          <w:lang w:val="en-US"/>
        </w:rPr>
        <w:tab/>
      </w:r>
      <w:r>
        <w:rPr>
          <w:rStyle w:val="31"/>
          <w:rFonts w:hint="default" w:ascii="Times New Roman" w:hAnsi="Times New Roman" w:cs="Times New Roman"/>
          <w:color w:val="0D0D0D"/>
          <w:sz w:val="24"/>
          <w:szCs w:val="24"/>
        </w:rPr>
        <w:t>Sciences</w:t>
      </w:r>
      <w:r>
        <w:rPr>
          <w:rFonts w:hint="default" w:ascii="Times New Roman" w:hAnsi="Times New Roman" w:cs="Times New Roman"/>
          <w:color w:val="0D0D0D"/>
          <w:sz w:val="24"/>
          <w:szCs w:val="24"/>
        </w:rPr>
        <w:t>, 130, 104370. </w:t>
      </w:r>
      <w:r>
        <w:rPr>
          <w:rFonts w:hint="default" w:ascii="Times New Roman" w:hAnsi="Times New Roman" w:cs="Times New Roman"/>
          <w:color w:val="2964AA"/>
          <w:sz w:val="24"/>
          <w:szCs w:val="24"/>
          <w:u w:val="none"/>
        </w:rPr>
        <w:t>https://doi.org/10.1016/j.ijrmms.2020.104370</w:t>
      </w:r>
    </w:p>
    <w:p w14:paraId="7017223C">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Singh, R., &amp; Verma, S. (2023). Effect of mineral fabric on the mechanical anisotropy of </w:t>
      </w:r>
      <w:r>
        <w:rPr>
          <w:rFonts w:hint="default" w:cs="Times New Roman"/>
          <w:color w:val="0D0D0D"/>
          <w:sz w:val="24"/>
          <w:szCs w:val="24"/>
          <w:lang w:val="en-US"/>
        </w:rPr>
        <w:tab/>
      </w:r>
      <w:r>
        <w:rPr>
          <w:rFonts w:hint="default" w:ascii="Times New Roman" w:hAnsi="Times New Roman" w:cs="Times New Roman"/>
          <w:color w:val="0D0D0D"/>
          <w:sz w:val="24"/>
          <w:szCs w:val="24"/>
        </w:rPr>
        <w:t>pegmatite rocks. </w:t>
      </w:r>
      <w:r>
        <w:rPr>
          <w:rStyle w:val="31"/>
          <w:rFonts w:hint="default" w:ascii="Times New Roman" w:hAnsi="Times New Roman" w:cs="Times New Roman"/>
          <w:color w:val="0D0D0D"/>
          <w:sz w:val="24"/>
          <w:szCs w:val="24"/>
        </w:rPr>
        <w:t>Rock Mechanics and Rock Engineering</w:t>
      </w:r>
      <w:r>
        <w:rPr>
          <w:rFonts w:hint="default" w:ascii="Times New Roman" w:hAnsi="Times New Roman" w:cs="Times New Roman"/>
          <w:color w:val="0D0D0D"/>
          <w:sz w:val="24"/>
          <w:szCs w:val="24"/>
        </w:rPr>
        <w:t>, 56(1), 287–</w:t>
      </w:r>
      <w:r>
        <w:rPr>
          <w:rFonts w:hint="default" w:cs="Times New Roman"/>
          <w:color w:val="0D0D0D"/>
          <w:sz w:val="24"/>
          <w:szCs w:val="24"/>
          <w:lang w:val="en-US"/>
        </w:rPr>
        <w:tab/>
      </w:r>
      <w:r>
        <w:rPr>
          <w:rFonts w:hint="default" w:ascii="Times New Roman" w:hAnsi="Times New Roman" w:cs="Times New Roman"/>
          <w:color w:val="0D0D0D"/>
          <w:sz w:val="24"/>
          <w:szCs w:val="24"/>
        </w:rPr>
        <w:t>300. </w:t>
      </w:r>
      <w:r>
        <w:rPr>
          <w:rFonts w:hint="default" w:ascii="Times New Roman" w:hAnsi="Times New Roman" w:cs="Times New Roman"/>
          <w:color w:val="2964AA"/>
          <w:sz w:val="24"/>
          <w:szCs w:val="24"/>
          <w:u w:val="none"/>
        </w:rPr>
        <w:t>https://doi.org/10.1007/s00603-022-02856-4</w:t>
      </w:r>
    </w:p>
    <w:p w14:paraId="0E6D2DAD">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Smith, J., &amp; Brown, L. (2021). Microfracture evolution in pegmatitic rocks under </w:t>
      </w:r>
      <w:r>
        <w:rPr>
          <w:rFonts w:hint="default" w:cs="Times New Roman"/>
          <w:color w:val="0D0D0D"/>
          <w:sz w:val="24"/>
          <w:szCs w:val="24"/>
          <w:lang w:val="en-US"/>
        </w:rPr>
        <w:tab/>
      </w:r>
      <w:r>
        <w:rPr>
          <w:rFonts w:hint="default" w:ascii="Times New Roman" w:hAnsi="Times New Roman" w:cs="Times New Roman"/>
          <w:color w:val="0D0D0D"/>
          <w:sz w:val="24"/>
          <w:szCs w:val="24"/>
        </w:rPr>
        <w:t>uniaxial compression. </w:t>
      </w:r>
      <w:r>
        <w:rPr>
          <w:rStyle w:val="31"/>
          <w:rFonts w:hint="default" w:ascii="Times New Roman" w:hAnsi="Times New Roman" w:cs="Times New Roman"/>
          <w:color w:val="0D0D0D"/>
          <w:sz w:val="24"/>
          <w:szCs w:val="24"/>
        </w:rPr>
        <w:t>Journal of Structural Geology</w:t>
      </w:r>
      <w:r>
        <w:rPr>
          <w:rFonts w:hint="default" w:ascii="Times New Roman" w:hAnsi="Times New Roman" w:cs="Times New Roman"/>
          <w:color w:val="0D0D0D"/>
          <w:sz w:val="24"/>
          <w:szCs w:val="24"/>
        </w:rPr>
        <w:t xml:space="preserve">, 146, </w:t>
      </w:r>
      <w:r>
        <w:rPr>
          <w:rFonts w:hint="default" w:cs="Times New Roman"/>
          <w:color w:val="0D0D0D"/>
          <w:sz w:val="24"/>
          <w:szCs w:val="24"/>
          <w:lang w:val="en-US"/>
        </w:rPr>
        <w:tab/>
      </w:r>
      <w:r>
        <w:rPr>
          <w:rFonts w:hint="default" w:ascii="Times New Roman" w:hAnsi="Times New Roman" w:cs="Times New Roman"/>
          <w:color w:val="0D0D0D"/>
          <w:sz w:val="24"/>
          <w:szCs w:val="24"/>
        </w:rPr>
        <w:t>104309. </w:t>
      </w:r>
      <w:r>
        <w:rPr>
          <w:rFonts w:hint="default" w:ascii="Times New Roman" w:hAnsi="Times New Roman" w:cs="Times New Roman"/>
          <w:color w:val="2964AA"/>
          <w:sz w:val="24"/>
          <w:szCs w:val="24"/>
          <w:u w:val="none"/>
        </w:rPr>
        <w:t>https://doi.org/10.1016/j.jsg.2020.104309</w:t>
      </w:r>
    </w:p>
    <w:p w14:paraId="122C9C28">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Sun, X., &amp; Zhang, Y. (2022). Laboratory testing of pegmatite tensile strength: Brazilian </w:t>
      </w:r>
      <w:r>
        <w:rPr>
          <w:rFonts w:hint="default" w:cs="Times New Roman"/>
          <w:color w:val="0D0D0D"/>
          <w:sz w:val="24"/>
          <w:szCs w:val="24"/>
          <w:lang w:val="en-US"/>
        </w:rPr>
        <w:tab/>
      </w:r>
      <w:r>
        <w:rPr>
          <w:rFonts w:hint="default" w:ascii="Times New Roman" w:hAnsi="Times New Roman" w:cs="Times New Roman"/>
          <w:color w:val="0D0D0D"/>
          <w:sz w:val="24"/>
          <w:szCs w:val="24"/>
        </w:rPr>
        <w:t>test and direct tension. </w:t>
      </w:r>
      <w:r>
        <w:rPr>
          <w:rStyle w:val="31"/>
          <w:rFonts w:hint="default" w:ascii="Times New Roman" w:hAnsi="Times New Roman" w:cs="Times New Roman"/>
          <w:color w:val="0D0D0D"/>
          <w:sz w:val="24"/>
          <w:szCs w:val="24"/>
        </w:rPr>
        <w:t>Engineering Geology</w:t>
      </w:r>
      <w:r>
        <w:rPr>
          <w:rFonts w:hint="default" w:ascii="Times New Roman" w:hAnsi="Times New Roman" w:cs="Times New Roman"/>
          <w:color w:val="0D0D0D"/>
          <w:sz w:val="24"/>
          <w:szCs w:val="24"/>
        </w:rPr>
        <w:t xml:space="preserve">, 299, </w:t>
      </w:r>
      <w:r>
        <w:rPr>
          <w:rFonts w:hint="default" w:cs="Times New Roman"/>
          <w:color w:val="0D0D0D"/>
          <w:sz w:val="24"/>
          <w:szCs w:val="24"/>
          <w:lang w:val="en-US"/>
        </w:rPr>
        <w:tab/>
      </w:r>
      <w:r>
        <w:rPr>
          <w:rFonts w:hint="default" w:ascii="Times New Roman" w:hAnsi="Times New Roman" w:cs="Times New Roman"/>
          <w:color w:val="0D0D0D"/>
          <w:sz w:val="24"/>
          <w:szCs w:val="24"/>
        </w:rPr>
        <w:t>106614. </w:t>
      </w:r>
      <w:r>
        <w:rPr>
          <w:rFonts w:hint="default" w:ascii="Times New Roman" w:hAnsi="Times New Roman" w:cs="Times New Roman"/>
          <w:color w:val="2964AA"/>
          <w:sz w:val="24"/>
          <w:szCs w:val="24"/>
          <w:u w:val="none"/>
        </w:rPr>
        <w:t>https://doi.org/10.1016/j.enggeo.2021.106614</w:t>
      </w:r>
    </w:p>
    <w:p w14:paraId="6BD8BF5D">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Wang, M., &amp; Chen, L. (2020). Role of accessory minerals in the geotechnical properties </w:t>
      </w:r>
      <w:r>
        <w:rPr>
          <w:rFonts w:hint="default" w:cs="Times New Roman"/>
          <w:color w:val="0D0D0D"/>
          <w:sz w:val="24"/>
          <w:szCs w:val="24"/>
          <w:lang w:val="en-US"/>
        </w:rPr>
        <w:tab/>
      </w:r>
      <w:r>
        <w:rPr>
          <w:rFonts w:hint="default" w:ascii="Times New Roman" w:hAnsi="Times New Roman" w:cs="Times New Roman"/>
          <w:color w:val="0D0D0D"/>
          <w:sz w:val="24"/>
          <w:szCs w:val="24"/>
        </w:rPr>
        <w:t>of pegmatite. </w:t>
      </w:r>
      <w:r>
        <w:rPr>
          <w:rStyle w:val="31"/>
          <w:rFonts w:hint="default" w:ascii="Times New Roman" w:hAnsi="Times New Roman" w:cs="Times New Roman"/>
          <w:color w:val="0D0D0D"/>
          <w:sz w:val="24"/>
          <w:szCs w:val="24"/>
        </w:rPr>
        <w:t>Geoscience Frontiers</w:t>
      </w:r>
      <w:r>
        <w:rPr>
          <w:rFonts w:hint="default" w:ascii="Times New Roman" w:hAnsi="Times New Roman" w:cs="Times New Roman"/>
          <w:color w:val="0D0D0D"/>
          <w:sz w:val="24"/>
          <w:szCs w:val="24"/>
        </w:rPr>
        <w:t>, 11(3), 937–</w:t>
      </w:r>
      <w:r>
        <w:rPr>
          <w:rFonts w:hint="default" w:cs="Times New Roman"/>
          <w:color w:val="0D0D0D"/>
          <w:sz w:val="24"/>
          <w:szCs w:val="24"/>
          <w:lang w:val="en-US"/>
        </w:rPr>
        <w:tab/>
      </w:r>
      <w:r>
        <w:rPr>
          <w:rFonts w:hint="default" w:ascii="Times New Roman" w:hAnsi="Times New Roman" w:cs="Times New Roman"/>
          <w:color w:val="0D0D0D"/>
          <w:sz w:val="24"/>
          <w:szCs w:val="24"/>
        </w:rPr>
        <w:t>945. </w:t>
      </w:r>
      <w:r>
        <w:rPr>
          <w:rFonts w:hint="default" w:ascii="Times New Roman" w:hAnsi="Times New Roman" w:cs="Times New Roman"/>
          <w:color w:val="2964AA"/>
          <w:sz w:val="24"/>
          <w:szCs w:val="24"/>
          <w:u w:val="none"/>
        </w:rPr>
        <w:t>https://doi.org/10.1016/j.gsf.2019.07.002</w:t>
      </w:r>
    </w:p>
    <w:p w14:paraId="1418E92A">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White, A., &amp; Black, D. (2019). Influence of grain size on rock strength: Case of coarse-</w:t>
      </w:r>
      <w:r>
        <w:rPr>
          <w:rFonts w:hint="default" w:cs="Times New Roman"/>
          <w:color w:val="0D0D0D"/>
          <w:sz w:val="24"/>
          <w:szCs w:val="24"/>
          <w:lang w:val="en-US"/>
        </w:rPr>
        <w:tab/>
      </w:r>
      <w:r>
        <w:rPr>
          <w:rFonts w:hint="default" w:ascii="Times New Roman" w:hAnsi="Times New Roman" w:cs="Times New Roman"/>
          <w:color w:val="0D0D0D"/>
          <w:sz w:val="24"/>
          <w:szCs w:val="24"/>
        </w:rPr>
        <w:t>grained pegmatite. </w:t>
      </w:r>
      <w:r>
        <w:rPr>
          <w:rStyle w:val="31"/>
          <w:rFonts w:hint="default" w:ascii="Times New Roman" w:hAnsi="Times New Roman" w:cs="Times New Roman"/>
          <w:color w:val="0D0D0D"/>
          <w:sz w:val="24"/>
          <w:szCs w:val="24"/>
        </w:rPr>
        <w:t>International Journal of Rock Mechanics and Mining Sciences</w:t>
      </w:r>
      <w:r>
        <w:rPr>
          <w:rFonts w:hint="default" w:ascii="Times New Roman" w:hAnsi="Times New Roman" w:cs="Times New Roman"/>
          <w:color w:val="0D0D0D"/>
          <w:sz w:val="24"/>
          <w:szCs w:val="24"/>
        </w:rPr>
        <w:t xml:space="preserve">, </w:t>
      </w:r>
      <w:r>
        <w:rPr>
          <w:rFonts w:hint="default" w:cs="Times New Roman"/>
          <w:color w:val="0D0D0D"/>
          <w:sz w:val="24"/>
          <w:szCs w:val="24"/>
          <w:lang w:val="en-US"/>
        </w:rPr>
        <w:tab/>
      </w:r>
      <w:r>
        <w:rPr>
          <w:rFonts w:hint="default" w:ascii="Times New Roman" w:hAnsi="Times New Roman" w:cs="Times New Roman"/>
          <w:color w:val="0D0D0D"/>
          <w:sz w:val="24"/>
          <w:szCs w:val="24"/>
        </w:rPr>
        <w:t>117, 104160. </w:t>
      </w:r>
      <w:r>
        <w:rPr>
          <w:rFonts w:hint="default" w:ascii="Times New Roman" w:hAnsi="Times New Roman" w:cs="Times New Roman"/>
          <w:color w:val="2964AA"/>
          <w:sz w:val="24"/>
          <w:szCs w:val="24"/>
          <w:u w:val="none"/>
        </w:rPr>
        <w:t>https://doi.org/10.1016/j.ijrmms.2019.104160</w:t>
      </w:r>
    </w:p>
    <w:p w14:paraId="42CC4BF5">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Wu, T., &amp; He, S. (2023). Effect of microfractures on strength and deformation of </w:t>
      </w:r>
      <w:r>
        <w:rPr>
          <w:rFonts w:hint="default" w:cs="Times New Roman"/>
          <w:color w:val="0D0D0D"/>
          <w:sz w:val="24"/>
          <w:szCs w:val="24"/>
          <w:lang w:val="en-US"/>
        </w:rPr>
        <w:tab/>
      </w:r>
      <w:r>
        <w:rPr>
          <w:rFonts w:hint="default" w:ascii="Times New Roman" w:hAnsi="Times New Roman" w:cs="Times New Roman"/>
          <w:color w:val="0D0D0D"/>
          <w:sz w:val="24"/>
          <w:szCs w:val="24"/>
        </w:rPr>
        <w:t>pegmatitic rocks. </w:t>
      </w:r>
      <w:r>
        <w:rPr>
          <w:rStyle w:val="31"/>
          <w:rFonts w:hint="default" w:ascii="Times New Roman" w:hAnsi="Times New Roman" w:cs="Times New Roman"/>
          <w:color w:val="0D0D0D"/>
          <w:sz w:val="24"/>
          <w:szCs w:val="24"/>
        </w:rPr>
        <w:t>Engineering Geology</w:t>
      </w:r>
      <w:r>
        <w:rPr>
          <w:rFonts w:hint="default" w:ascii="Times New Roman" w:hAnsi="Times New Roman" w:cs="Times New Roman"/>
          <w:color w:val="0D0D0D"/>
          <w:sz w:val="24"/>
          <w:szCs w:val="24"/>
        </w:rPr>
        <w:t xml:space="preserve">, 310, </w:t>
      </w:r>
      <w:r>
        <w:rPr>
          <w:rFonts w:hint="default" w:cs="Times New Roman"/>
          <w:color w:val="0D0D0D"/>
          <w:sz w:val="24"/>
          <w:szCs w:val="24"/>
          <w:lang w:val="en-US"/>
        </w:rPr>
        <w:tab/>
      </w:r>
      <w:r>
        <w:rPr>
          <w:rFonts w:hint="default" w:ascii="Times New Roman" w:hAnsi="Times New Roman" w:cs="Times New Roman"/>
          <w:color w:val="0D0D0D"/>
          <w:sz w:val="24"/>
          <w:szCs w:val="24"/>
        </w:rPr>
        <w:t>107294. </w:t>
      </w:r>
      <w:r>
        <w:rPr>
          <w:rFonts w:hint="default" w:ascii="Times New Roman" w:hAnsi="Times New Roman" w:cs="Times New Roman"/>
          <w:color w:val="2964AA"/>
          <w:sz w:val="24"/>
          <w:szCs w:val="24"/>
          <w:u w:val="none"/>
        </w:rPr>
        <w:t>https://doi.org/10.1016/j.enggeo.2023.107294</w:t>
      </w:r>
    </w:p>
    <w:p w14:paraId="1D0E353E">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Xu, J., &amp; Li, W. (2021). Experimental analysis of elastic moduli in pegmatitic rocks with </w:t>
      </w:r>
      <w:r>
        <w:rPr>
          <w:rFonts w:hint="default" w:cs="Times New Roman"/>
          <w:color w:val="0D0D0D"/>
          <w:sz w:val="24"/>
          <w:szCs w:val="24"/>
          <w:lang w:val="en-US"/>
        </w:rPr>
        <w:tab/>
      </w:r>
      <w:r>
        <w:rPr>
          <w:rFonts w:hint="default" w:ascii="Times New Roman" w:hAnsi="Times New Roman" w:cs="Times New Roman"/>
          <w:color w:val="0D0D0D"/>
          <w:sz w:val="24"/>
          <w:szCs w:val="24"/>
        </w:rPr>
        <w:t>varying mineralogy. </w:t>
      </w:r>
      <w:r>
        <w:rPr>
          <w:rStyle w:val="31"/>
          <w:rFonts w:hint="default" w:ascii="Times New Roman" w:hAnsi="Times New Roman" w:cs="Times New Roman"/>
          <w:color w:val="0D0D0D"/>
          <w:sz w:val="24"/>
          <w:szCs w:val="24"/>
        </w:rPr>
        <w:t>Journal of Rock Mechanics and Geotechnical Engineering</w:t>
      </w:r>
      <w:r>
        <w:rPr>
          <w:rFonts w:hint="default" w:ascii="Times New Roman" w:hAnsi="Times New Roman" w:cs="Times New Roman"/>
          <w:color w:val="0D0D0D"/>
          <w:sz w:val="24"/>
          <w:szCs w:val="24"/>
        </w:rPr>
        <w:t xml:space="preserve">, </w:t>
      </w:r>
      <w:r>
        <w:rPr>
          <w:rFonts w:hint="default" w:cs="Times New Roman"/>
          <w:color w:val="0D0D0D"/>
          <w:sz w:val="24"/>
          <w:szCs w:val="24"/>
          <w:lang w:val="en-US"/>
        </w:rPr>
        <w:tab/>
      </w:r>
      <w:r>
        <w:rPr>
          <w:rFonts w:hint="default" w:ascii="Times New Roman" w:hAnsi="Times New Roman" w:cs="Times New Roman"/>
          <w:color w:val="0D0D0D"/>
          <w:sz w:val="24"/>
          <w:szCs w:val="24"/>
        </w:rPr>
        <w:t>13(5), 1083–1092. </w:t>
      </w:r>
      <w:r>
        <w:rPr>
          <w:rFonts w:hint="default" w:ascii="Times New Roman" w:hAnsi="Times New Roman" w:cs="Times New Roman"/>
          <w:color w:val="2964AA"/>
          <w:sz w:val="24"/>
          <w:szCs w:val="24"/>
          <w:u w:val="none"/>
        </w:rPr>
        <w:t>https://doi.org/10.1016/j.jrmge.2021.04.010</w:t>
      </w:r>
    </w:p>
    <w:p w14:paraId="39E5A99B">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Yang, K., &amp; Zhao, F. (2020). Influence of mica-rich foliation on rock mass strength </w:t>
      </w:r>
      <w:r>
        <w:rPr>
          <w:rFonts w:hint="default" w:cs="Times New Roman"/>
          <w:color w:val="0D0D0D"/>
          <w:sz w:val="24"/>
          <w:szCs w:val="24"/>
          <w:lang w:val="en-US"/>
        </w:rPr>
        <w:tab/>
      </w:r>
      <w:r>
        <w:rPr>
          <w:rFonts w:hint="default" w:ascii="Times New Roman" w:hAnsi="Times New Roman" w:cs="Times New Roman"/>
          <w:color w:val="0D0D0D"/>
          <w:sz w:val="24"/>
          <w:szCs w:val="24"/>
        </w:rPr>
        <w:t>anisotropy. </w:t>
      </w:r>
      <w:r>
        <w:rPr>
          <w:rStyle w:val="31"/>
          <w:rFonts w:hint="default" w:ascii="Times New Roman" w:hAnsi="Times New Roman" w:cs="Times New Roman"/>
          <w:color w:val="0D0D0D"/>
          <w:sz w:val="24"/>
          <w:szCs w:val="24"/>
        </w:rPr>
        <w:t>Engineering Geology</w:t>
      </w:r>
      <w:r>
        <w:rPr>
          <w:rFonts w:hint="default" w:ascii="Times New Roman" w:hAnsi="Times New Roman" w:cs="Times New Roman"/>
          <w:color w:val="0D0D0D"/>
          <w:sz w:val="24"/>
          <w:szCs w:val="24"/>
        </w:rPr>
        <w:t xml:space="preserve">, 272, </w:t>
      </w:r>
      <w:r>
        <w:rPr>
          <w:rFonts w:hint="default" w:cs="Times New Roman"/>
          <w:color w:val="0D0D0D"/>
          <w:sz w:val="24"/>
          <w:szCs w:val="24"/>
          <w:lang w:val="en-US"/>
        </w:rPr>
        <w:tab/>
      </w:r>
      <w:r>
        <w:rPr>
          <w:rFonts w:hint="default" w:ascii="Times New Roman" w:hAnsi="Times New Roman" w:cs="Times New Roman"/>
          <w:color w:val="0D0D0D"/>
          <w:sz w:val="24"/>
          <w:szCs w:val="24"/>
        </w:rPr>
        <w:t>105645. </w:t>
      </w:r>
      <w:r>
        <w:rPr>
          <w:rFonts w:hint="default" w:ascii="Times New Roman" w:hAnsi="Times New Roman" w:cs="Times New Roman"/>
          <w:color w:val="2964AA"/>
          <w:sz w:val="24"/>
          <w:szCs w:val="24"/>
          <w:u w:val="none"/>
        </w:rPr>
        <w:t>https://doi.org/10.1016/j.enggeo.2020.105645</w:t>
      </w:r>
    </w:p>
    <w:p w14:paraId="0776FB1B">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Zhang, H., &amp; Wang, T. (2022). Correlating petrography and geotechnical behavior of </w:t>
      </w:r>
      <w:r>
        <w:rPr>
          <w:rFonts w:hint="default" w:cs="Times New Roman"/>
          <w:color w:val="0D0D0D"/>
          <w:sz w:val="24"/>
          <w:szCs w:val="24"/>
          <w:lang w:val="en-US"/>
        </w:rPr>
        <w:tab/>
      </w:r>
      <w:r>
        <w:rPr>
          <w:rFonts w:hint="default" w:ascii="Times New Roman" w:hAnsi="Times New Roman" w:cs="Times New Roman"/>
          <w:color w:val="0D0D0D"/>
          <w:sz w:val="24"/>
          <w:szCs w:val="24"/>
        </w:rPr>
        <w:t>pegmatite. </w:t>
      </w:r>
      <w:r>
        <w:rPr>
          <w:rStyle w:val="31"/>
          <w:rFonts w:hint="default" w:ascii="Times New Roman" w:hAnsi="Times New Roman" w:cs="Times New Roman"/>
          <w:color w:val="0D0D0D"/>
          <w:sz w:val="24"/>
          <w:szCs w:val="24"/>
        </w:rPr>
        <w:t>Rock Mechanics and Rock Engineering</w:t>
      </w:r>
      <w:r>
        <w:rPr>
          <w:rFonts w:hint="default" w:ascii="Times New Roman" w:hAnsi="Times New Roman" w:cs="Times New Roman"/>
          <w:color w:val="0D0D0D"/>
          <w:sz w:val="24"/>
          <w:szCs w:val="24"/>
        </w:rPr>
        <w:t>, 55(9), 3777–</w:t>
      </w:r>
      <w:r>
        <w:rPr>
          <w:rFonts w:hint="default" w:cs="Times New Roman"/>
          <w:color w:val="0D0D0D"/>
          <w:sz w:val="24"/>
          <w:szCs w:val="24"/>
          <w:lang w:val="en-US"/>
        </w:rPr>
        <w:tab/>
      </w:r>
      <w:r>
        <w:rPr>
          <w:rFonts w:hint="default" w:ascii="Times New Roman" w:hAnsi="Times New Roman" w:cs="Times New Roman"/>
          <w:color w:val="0D0D0D"/>
          <w:sz w:val="24"/>
          <w:szCs w:val="24"/>
        </w:rPr>
        <w:t>3790. </w:t>
      </w:r>
      <w:r>
        <w:rPr>
          <w:rFonts w:hint="default" w:ascii="Times New Roman" w:hAnsi="Times New Roman" w:cs="Times New Roman"/>
          <w:color w:val="2964AA"/>
          <w:sz w:val="24"/>
          <w:szCs w:val="24"/>
          <w:u w:val="none"/>
        </w:rPr>
        <w:t>https://doi.org/10.1007/s00603-022-02674-z</w:t>
      </w:r>
    </w:p>
    <w:p w14:paraId="36E89374">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Zhou, Y., &amp; Chen, J. (2023). Mechanical properties and failure mechanisms of mica-</w:t>
      </w:r>
      <w:r>
        <w:rPr>
          <w:rFonts w:hint="default" w:cs="Times New Roman"/>
          <w:color w:val="0D0D0D"/>
          <w:sz w:val="24"/>
          <w:szCs w:val="24"/>
          <w:lang w:val="en-US"/>
        </w:rPr>
        <w:tab/>
      </w:r>
      <w:r>
        <w:rPr>
          <w:rFonts w:hint="default" w:ascii="Times New Roman" w:hAnsi="Times New Roman" w:cs="Times New Roman"/>
          <w:color w:val="0D0D0D"/>
          <w:sz w:val="24"/>
          <w:szCs w:val="24"/>
        </w:rPr>
        <w:t>bearing rocks. </w:t>
      </w:r>
      <w:r>
        <w:rPr>
          <w:rStyle w:val="31"/>
          <w:rFonts w:hint="default" w:ascii="Times New Roman" w:hAnsi="Times New Roman" w:cs="Times New Roman"/>
          <w:color w:val="0D0D0D"/>
          <w:sz w:val="24"/>
          <w:szCs w:val="24"/>
        </w:rPr>
        <w:t>Geotechnical and Geological Engineering</w:t>
      </w:r>
      <w:r>
        <w:rPr>
          <w:rFonts w:hint="default" w:ascii="Times New Roman" w:hAnsi="Times New Roman" w:cs="Times New Roman"/>
          <w:color w:val="0D0D0D"/>
          <w:sz w:val="24"/>
          <w:szCs w:val="24"/>
        </w:rPr>
        <w:t>, 41(1), 345–</w:t>
      </w:r>
      <w:r>
        <w:rPr>
          <w:rFonts w:hint="default" w:cs="Times New Roman"/>
          <w:color w:val="0D0D0D"/>
          <w:sz w:val="24"/>
          <w:szCs w:val="24"/>
          <w:lang w:val="en-US"/>
        </w:rPr>
        <w:tab/>
      </w:r>
      <w:r>
        <w:rPr>
          <w:rFonts w:hint="default" w:ascii="Times New Roman" w:hAnsi="Times New Roman" w:cs="Times New Roman"/>
          <w:color w:val="0D0D0D"/>
          <w:sz w:val="24"/>
          <w:szCs w:val="24"/>
        </w:rPr>
        <w:t>359. </w:t>
      </w:r>
      <w:r>
        <w:rPr>
          <w:rFonts w:hint="default" w:ascii="Times New Roman" w:hAnsi="Times New Roman" w:cs="Times New Roman"/>
          <w:color w:val="2964AA"/>
          <w:sz w:val="24"/>
          <w:szCs w:val="24"/>
          <w:u w:val="none"/>
        </w:rPr>
        <w:t>https://doi.org/10.1007/s10706-022-02199-6</w:t>
      </w:r>
    </w:p>
    <w:p w14:paraId="2F26A5EE">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Zhuang, Q., &amp; Li, X. (2019). Strength anisotropy and microstructural controls in mica-</w:t>
      </w:r>
      <w:r>
        <w:rPr>
          <w:rFonts w:hint="default" w:cs="Times New Roman"/>
          <w:color w:val="0D0D0D"/>
          <w:sz w:val="24"/>
          <w:szCs w:val="24"/>
          <w:lang w:val="en-US"/>
        </w:rPr>
        <w:tab/>
      </w:r>
      <w:r>
        <w:rPr>
          <w:rFonts w:hint="default" w:ascii="Times New Roman" w:hAnsi="Times New Roman" w:cs="Times New Roman"/>
          <w:color w:val="0D0D0D"/>
          <w:sz w:val="24"/>
          <w:szCs w:val="24"/>
        </w:rPr>
        <w:t>rich pegmatites. </w:t>
      </w:r>
      <w:r>
        <w:rPr>
          <w:rStyle w:val="31"/>
          <w:rFonts w:hint="default" w:ascii="Times New Roman" w:hAnsi="Times New Roman" w:cs="Times New Roman"/>
          <w:color w:val="0D0D0D"/>
          <w:sz w:val="24"/>
          <w:szCs w:val="24"/>
        </w:rPr>
        <w:t>International Journal of Rock Mechanics and Mining Sciences</w:t>
      </w:r>
      <w:r>
        <w:rPr>
          <w:rFonts w:hint="default" w:ascii="Times New Roman" w:hAnsi="Times New Roman" w:cs="Times New Roman"/>
          <w:color w:val="0D0D0D"/>
          <w:sz w:val="24"/>
          <w:szCs w:val="24"/>
        </w:rPr>
        <w:t xml:space="preserve">, </w:t>
      </w:r>
      <w:r>
        <w:rPr>
          <w:rFonts w:hint="default" w:cs="Times New Roman"/>
          <w:color w:val="0D0D0D"/>
          <w:sz w:val="24"/>
          <w:szCs w:val="24"/>
          <w:lang w:val="en-US"/>
        </w:rPr>
        <w:tab/>
      </w:r>
      <w:r>
        <w:rPr>
          <w:rFonts w:hint="default" w:ascii="Times New Roman" w:hAnsi="Times New Roman" w:cs="Times New Roman"/>
          <w:color w:val="0D0D0D"/>
          <w:sz w:val="24"/>
          <w:szCs w:val="24"/>
        </w:rPr>
        <w:t>116, 104145. </w:t>
      </w:r>
      <w:r>
        <w:rPr>
          <w:rFonts w:hint="default" w:ascii="Times New Roman" w:hAnsi="Times New Roman" w:cs="Times New Roman"/>
          <w:color w:val="2964AA"/>
          <w:sz w:val="24"/>
          <w:szCs w:val="24"/>
          <w:u w:val="none"/>
        </w:rPr>
        <w:t>https://doi.org/10.1016/j.ijrmms.2019.104145</w:t>
      </w:r>
    </w:p>
    <w:p w14:paraId="26F5D60F">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p>
    <w:p w14:paraId="489DC872">
      <w:pPr>
        <w:spacing w:line="360" w:lineRule="auto"/>
        <w:rPr>
          <w:rFonts w:hint="default" w:ascii="Times New Roman" w:hAnsi="Times New Roman" w:cs="Times New Roman"/>
          <w:sz w:val="24"/>
          <w:szCs w:val="24"/>
        </w:rPr>
      </w:pPr>
    </w:p>
    <w:p w14:paraId="73707C19">
      <w:pPr>
        <w:spacing w:line="360" w:lineRule="auto"/>
        <w:rPr>
          <w:rFonts w:hint="default" w:ascii="Times New Roman" w:hAnsi="Times New Roman" w:cs="Times New Roman"/>
          <w:sz w:val="24"/>
          <w:szCs w:val="24"/>
        </w:rPr>
      </w:pPr>
    </w:p>
    <w:p w14:paraId="6538CDC1">
      <w:pPr>
        <w:spacing w:after="0" w:line="360" w:lineRule="auto"/>
        <w:rPr>
          <w:rFonts w:hint="default" w:ascii="Times New Roman" w:hAnsi="Times New Roman" w:eastAsia="Calibri" w:cs="Times New Roman"/>
          <w:b/>
          <w:sz w:val="24"/>
          <w:szCs w:val="24"/>
        </w:rPr>
      </w:pPr>
    </w:p>
    <w:p w14:paraId="1F400BA1">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line="480" w:lineRule="auto"/>
        <w:ind w:left="0" w:right="0"/>
        <w:jc w:val="both"/>
        <w:rPr>
          <w:rFonts w:hint="default" w:ascii="Times New Roman" w:hAnsi="Times New Roman" w:cs="Times New Roman"/>
          <w:b w:val="0"/>
          <w:bCs w:val="0"/>
          <w:sz w:val="24"/>
          <w:szCs w:val="24"/>
        </w:rPr>
      </w:pPr>
    </w:p>
    <w:sectPr>
      <w:footerReference r:id="rId5" w:type="default"/>
      <w:pgSz w:w="11906" w:h="16838"/>
      <w:pgMar w:top="1440" w:right="1440" w:bottom="1440" w:left="1872" w:header="720" w:footer="1152" w:gutter="0"/>
      <w:pgNumType w:fmt="numberInDash" w:start="1"/>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ITC Bookman">
    <w:panose1 w:val="02050504040505020204"/>
    <w:charset w:val="00"/>
    <w:family w:val="auto"/>
    <w:pitch w:val="default"/>
    <w:sig w:usb0="00000000" w:usb1="00000000" w:usb2="00000000" w:usb3="00000000" w:csb0="00000000" w:csb1="00000000"/>
  </w:font>
  <w:font w:name="Century751 BT">
    <w:panose1 w:val="02040503050505020304"/>
    <w:charset w:val="00"/>
    <w:family w:val="auto"/>
    <w:pitch w:val="default"/>
    <w:sig w:usb0="800000AF" w:usb1="1000204A" w:usb2="00000000" w:usb3="00000000" w:csb0="00000011" w:csb1="00000000"/>
  </w:font>
  <w:font w:name="Franklin Gothic Medium">
    <w:panose1 w:val="020B0603020102020204"/>
    <w:charset w:val="00"/>
    <w:family w:val="auto"/>
    <w:pitch w:val="default"/>
    <w:sig w:usb0="00000287" w:usb1="00000000" w:usb2="00000000" w:usb3="00000000" w:csb0="2000009F" w:csb1="DFD7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21063">
    <w:pPr>
      <w:pStyle w:val="3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89B27D">
                          <w:pPr>
                            <w:pStyle w:val="3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3389B27D">
                    <w:pPr>
                      <w:pStyle w:val="3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0">
    <w:nsid w:val="2A26AA91"/>
    <w:multiLevelType w:val="singleLevel"/>
    <w:tmpl w:val="2A26AA91"/>
    <w:lvl w:ilvl="0" w:tentative="0">
      <w:start w:val="1"/>
      <w:numFmt w:val="lowerRoman"/>
      <w:suff w:val="space"/>
      <w:lvlText w:val="%1."/>
      <w:lvlJc w:val="left"/>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90301C"/>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63BB9"/>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1C37F25"/>
    <w:rsid w:val="03FB0C2B"/>
    <w:rsid w:val="04C223B8"/>
    <w:rsid w:val="05E83882"/>
    <w:rsid w:val="0BDD3E5C"/>
    <w:rsid w:val="0C96069F"/>
    <w:rsid w:val="0FAD6545"/>
    <w:rsid w:val="13200AEC"/>
    <w:rsid w:val="16985123"/>
    <w:rsid w:val="16AD73D4"/>
    <w:rsid w:val="17EC3205"/>
    <w:rsid w:val="2A0C1C0E"/>
    <w:rsid w:val="2CD07424"/>
    <w:rsid w:val="2F810D19"/>
    <w:rsid w:val="33230011"/>
    <w:rsid w:val="33E24CF9"/>
    <w:rsid w:val="371226CD"/>
    <w:rsid w:val="384A3EFF"/>
    <w:rsid w:val="39322433"/>
    <w:rsid w:val="39982399"/>
    <w:rsid w:val="3EEA6C04"/>
    <w:rsid w:val="46B4048E"/>
    <w:rsid w:val="489659CD"/>
    <w:rsid w:val="4A35599C"/>
    <w:rsid w:val="4C8D2CCC"/>
    <w:rsid w:val="4DF27779"/>
    <w:rsid w:val="4F1A65BC"/>
    <w:rsid w:val="53171DDA"/>
    <w:rsid w:val="5CAF3F0C"/>
    <w:rsid w:val="62C274EB"/>
    <w:rsid w:val="6CF03873"/>
    <w:rsid w:val="6DFF6D02"/>
    <w:rsid w:val="7090301C"/>
    <w:rsid w:val="70B23CE4"/>
    <w:rsid w:val="7531162A"/>
    <w:rsid w:val="75650212"/>
    <w:rsid w:val="78003D11"/>
    <w:rsid w:val="7B7F47F5"/>
    <w:rsid w:val="7EC149C2"/>
    <w:rsid w:val="7FC45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 w:line="360" w:lineRule="auto"/>
      <w:jc w:val="both"/>
    </w:pPr>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paragraph" w:styleId="6">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paragraph" w:styleId="7">
    <w:name w:val="heading 6"/>
    <w:next w:val="1"/>
    <w:semiHidden/>
    <w:unhideWhenUsed/>
    <w:qFormat/>
    <w:uiPriority w:val="0"/>
    <w:pPr>
      <w:spacing w:before="0" w:beforeAutospacing="1" w:after="0" w:afterAutospacing="1"/>
      <w:jc w:val="left"/>
    </w:pPr>
    <w:rPr>
      <w:rFonts w:hint="eastAsia" w:ascii="SimSun" w:hAnsi="SimSun" w:eastAsia="SimSun" w:cs="SimSun"/>
      <w:b/>
      <w:bCs/>
      <w:kern w:val="0"/>
      <w:sz w:val="15"/>
      <w:szCs w:val="15"/>
      <w:lang w:val="en-US" w:eastAsia="zh-CN" w:bidi="ar"/>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20" w:line="360" w:lineRule="auto"/>
      <w:jc w:val="both"/>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249">
    <w:name w:val="_Style 248"/>
    <w:basedOn w:val="1"/>
    <w:next w:val="1"/>
    <w:qFormat/>
    <w:uiPriority w:val="0"/>
    <w:pPr>
      <w:pBdr>
        <w:bottom w:val="single" w:color="auto" w:sz="6" w:space="1"/>
      </w:pBdr>
      <w:jc w:val="center"/>
    </w:pPr>
    <w:rPr>
      <w:rFonts w:ascii="Arial" w:eastAsia="SimSun"/>
      <w:vanish/>
      <w:sz w:val="16"/>
    </w:rPr>
  </w:style>
  <w:style w:type="paragraph" w:customStyle="1" w:styleId="250">
    <w:name w:val="_Style 249"/>
    <w:basedOn w:val="1"/>
    <w:next w:val="1"/>
    <w:qFormat/>
    <w:uiPriority w:val="0"/>
    <w:pPr>
      <w:pBdr>
        <w:top w:val="single" w:color="auto" w:sz="6" w:space="1"/>
      </w:pBdr>
      <w:jc w:val="center"/>
    </w:pPr>
    <w:rPr>
      <w:rFonts w:ascii="Arial" w:eastAsia="SimSun"/>
      <w:vanish/>
      <w:sz w:val="16"/>
    </w:rPr>
  </w:style>
  <w:style w:type="paragraph" w:customStyle="1" w:styleId="251">
    <w:name w:val="_Style 250"/>
    <w:basedOn w:val="1"/>
    <w:next w:val="1"/>
    <w:qFormat/>
    <w:uiPriority w:val="0"/>
    <w:pPr>
      <w:pBdr>
        <w:bottom w:val="single" w:color="auto" w:sz="6" w:space="1"/>
      </w:pBdr>
      <w:jc w:val="center"/>
    </w:pPr>
    <w:rPr>
      <w:rFonts w:ascii="Arial" w:eastAsia="SimSun"/>
      <w:vanish/>
      <w:sz w:val="16"/>
    </w:rPr>
  </w:style>
  <w:style w:type="paragraph" w:customStyle="1" w:styleId="252">
    <w:name w:val="_Style 251"/>
    <w:basedOn w:val="1"/>
    <w:next w:val="1"/>
    <w:qFormat/>
    <w:uiPriority w:val="0"/>
    <w:pPr>
      <w:pBdr>
        <w:top w:val="single" w:color="auto" w:sz="6" w:space="1"/>
      </w:pBdr>
      <w:jc w:val="center"/>
    </w:pPr>
    <w:rPr>
      <w:rFonts w:ascii="Arial" w:eastAsia="SimSun"/>
      <w:vanish/>
      <w:sz w:val="16"/>
    </w:rPr>
  </w:style>
  <w:style w:type="paragraph" w:styleId="253">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OUTHGATE\Desktop\ND%20project%20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OUTHGATE\Desktop\ND%20project%20Graph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OUTHGATE\Desktop\ND%20project%20Graph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OUTHGATE\Desktop\ND%20project%20Graph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OUTHGATE\Desktop\ND%20project%20Graph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SOUTHGATE\Desktop\ND%20project%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p>
      </c:txPr>
    </c:title>
    <c:autoTitleDeleted val="0"/>
    <c:plotArea>
      <c:layout/>
      <c:scatterChart>
        <c:scatterStyle val="smoothMarker"/>
        <c:varyColors val="0"/>
        <c:ser>
          <c:idx val="0"/>
          <c:order val="0"/>
          <c:tx>
            <c:strRef>
              <c:f>Sheet2!$B$1</c:f>
              <c:strCache>
                <c:ptCount val="1"/>
                <c:pt idx="0">
                  <c:v/>
                </c:pt>
              </c:strCache>
            </c:strRef>
          </c:tx>
          <c:dLbls>
            <c:delete val="1"/>
          </c:dLbls>
          <c:trendline>
            <c:trendlineType val="linear"/>
            <c:dispRSqr val="1"/>
            <c:dispEq val="0"/>
            <c:trendlineLbl>
              <c:layout/>
              <c:numFmt formatCode="General" sourceLinked="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trendlineLbl>
          </c:trendline>
          <c:trendline>
            <c:trendlineType val="linear"/>
            <c:dispRSqr val="0"/>
            <c:dispEq val="1"/>
            <c:trendlineLbl>
              <c:layout>
                <c:manualLayout>
                  <c:x val="-0.0916251093613299"/>
                  <c:y val="-0.111964129483815"/>
                </c:manualLayout>
              </c:layout>
              <c:numFmt formatCode="General" sourceLinked="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trendlineLbl>
          </c:trendline>
          <c:xVal>
            <c:numRef>
              <c:f>Sheet2!$A$2:$A$4</c:f>
              <c:numCache>
                <c:formatCode>General</c:formatCode>
                <c:ptCount val="3"/>
                <c:pt idx="0">
                  <c:v>2.68</c:v>
                </c:pt>
                <c:pt idx="1">
                  <c:v>2.71</c:v>
                </c:pt>
                <c:pt idx="2">
                  <c:v>2.83</c:v>
                </c:pt>
              </c:numCache>
            </c:numRef>
          </c:xVal>
          <c:yVal>
            <c:numRef>
              <c:f>Sheet2!$B$2:$B$4</c:f>
              <c:numCache>
                <c:formatCode>General</c:formatCode>
                <c:ptCount val="3"/>
                <c:pt idx="0">
                  <c:v>1.81</c:v>
                </c:pt>
                <c:pt idx="1">
                  <c:v>1.89</c:v>
                </c:pt>
                <c:pt idx="2">
                  <c:v>1.95</c:v>
                </c:pt>
              </c:numCache>
            </c:numRef>
          </c:yVal>
          <c:smooth val="1"/>
        </c:ser>
        <c:dLbls>
          <c:showLegendKey val="0"/>
          <c:showVal val="0"/>
          <c:showCatName val="0"/>
          <c:showSerName val="0"/>
          <c:showPercent val="0"/>
          <c:showBubbleSize val="0"/>
        </c:dLbls>
        <c:axId val="86017152"/>
        <c:axId val="86019072"/>
      </c:scatterChart>
      <c:valAx>
        <c:axId val="86017152"/>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86019072"/>
        <c:crosses val="autoZero"/>
        <c:crossBetween val="midCat"/>
      </c:valAx>
      <c:valAx>
        <c:axId val="8601907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86017152"/>
        <c:crosses val="autoZero"/>
        <c:crossBetween val="midCat"/>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05f2e71c-a126-46a1-a892-1e1a57faca84}"/>
      </c:ext>
    </c:extLst>
  </c:chart>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p>
      </c:txPr>
    </c:title>
    <c:autoTitleDeleted val="0"/>
    <c:plotArea>
      <c:layout/>
      <c:scatterChart>
        <c:scatterStyle val="smoothMarker"/>
        <c:varyColors val="0"/>
        <c:ser>
          <c:idx val="0"/>
          <c:order val="0"/>
          <c:tx>
            <c:strRef>
              <c:f>Sheet1!$B$1</c:f>
              <c:strCache>
                <c:ptCount val="1"/>
                <c:pt idx="0">
                  <c:v/>
                </c:pt>
              </c:strCache>
            </c:strRef>
          </c:tx>
          <c:dLbls>
            <c:delete val="1"/>
          </c:dLbls>
          <c:trendline>
            <c:trendlineType val="linear"/>
            <c:dispRSqr val="1"/>
            <c:dispEq val="1"/>
            <c:trendlineLbl>
              <c:layout/>
              <c:numFmt formatCode="General" sourceLinked="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trendlineLbl>
          </c:trendline>
          <c:xVal>
            <c:numRef>
              <c:f>Sheet1!$A$2:$A$4</c:f>
              <c:numCache>
                <c:formatCode>General</c:formatCode>
                <c:ptCount val="3"/>
                <c:pt idx="0">
                  <c:v>18.2</c:v>
                </c:pt>
                <c:pt idx="1">
                  <c:v>15.4</c:v>
                </c:pt>
                <c:pt idx="2">
                  <c:v>14.6</c:v>
                </c:pt>
              </c:numCache>
            </c:numRef>
          </c:xVal>
          <c:yVal>
            <c:numRef>
              <c:f>Sheet1!$B$2:$B$4</c:f>
              <c:numCache>
                <c:formatCode>General</c:formatCode>
                <c:ptCount val="3"/>
                <c:pt idx="0">
                  <c:v>0</c:v>
                </c:pt>
                <c:pt idx="1">
                  <c:v>1.89</c:v>
                </c:pt>
                <c:pt idx="2">
                  <c:v>1.95</c:v>
                </c:pt>
              </c:numCache>
            </c:numRef>
          </c:yVal>
          <c:smooth val="1"/>
        </c:ser>
        <c:dLbls>
          <c:showLegendKey val="0"/>
          <c:showVal val="0"/>
          <c:showCatName val="0"/>
          <c:showSerName val="0"/>
          <c:showPercent val="0"/>
          <c:showBubbleSize val="0"/>
        </c:dLbls>
        <c:axId val="118473472"/>
        <c:axId val="129860736"/>
      </c:scatterChart>
      <c:valAx>
        <c:axId val="118473472"/>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29860736"/>
        <c:crosses val="autoZero"/>
        <c:crossBetween val="midCat"/>
      </c:valAx>
      <c:valAx>
        <c:axId val="12986073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18473472"/>
        <c:crosses val="autoZero"/>
        <c:crossBetween val="midCat"/>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6e59058b-dc7d-407c-94c0-7ddf13a28681}"/>
      </c:ext>
    </c:extLst>
  </c:chart>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Sheet3!$B$1</c:f>
              <c:strCache>
                <c:ptCount val="1"/>
                <c:pt idx="0">
                  <c:v>mdd</c:v>
                </c:pt>
              </c:strCache>
            </c:strRef>
          </c:tx>
          <c:dLbls>
            <c:delete val="1"/>
          </c:dLbls>
          <c:trendline>
            <c:trendlineType val="linear"/>
            <c:dispRSqr val="1"/>
            <c:dispEq val="1"/>
            <c:trendlineLbl>
              <c:layout/>
              <c:numFmt formatCode="General" sourceLinked="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trendlineLbl>
          </c:trendline>
          <c:xVal>
            <c:numRef>
              <c:f>Sheet3!$A$2:$A$4</c:f>
              <c:numCache>
                <c:formatCode>General</c:formatCode>
                <c:ptCount val="3"/>
                <c:pt idx="0">
                  <c:v>31.1</c:v>
                </c:pt>
                <c:pt idx="1">
                  <c:v>27.3</c:v>
                </c:pt>
                <c:pt idx="2">
                  <c:v>24.8</c:v>
                </c:pt>
              </c:numCache>
            </c:numRef>
          </c:xVal>
          <c:yVal>
            <c:numRef>
              <c:f>Sheet3!$B$2:$B$4</c:f>
              <c:numCache>
                <c:formatCode>General</c:formatCode>
                <c:ptCount val="3"/>
                <c:pt idx="0">
                  <c:v>1.81</c:v>
                </c:pt>
                <c:pt idx="1">
                  <c:v>1.89</c:v>
                </c:pt>
                <c:pt idx="2">
                  <c:v>1.95</c:v>
                </c:pt>
              </c:numCache>
            </c:numRef>
          </c:yVal>
          <c:smooth val="1"/>
        </c:ser>
        <c:dLbls>
          <c:showLegendKey val="0"/>
          <c:showVal val="0"/>
          <c:showCatName val="0"/>
          <c:showSerName val="0"/>
          <c:showPercent val="0"/>
          <c:showBubbleSize val="0"/>
        </c:dLbls>
        <c:axId val="80466304"/>
        <c:axId val="80467840"/>
      </c:scatterChart>
      <c:valAx>
        <c:axId val="80466304"/>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80467840"/>
        <c:crosses val="autoZero"/>
        <c:crossBetween val="midCat"/>
      </c:valAx>
      <c:valAx>
        <c:axId val="8046784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80466304"/>
        <c:crosses val="autoZero"/>
        <c:crossBetween val="midCat"/>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5295f82e-79fc-4d0e-a03a-5e757ec21ca2}"/>
      </c:ext>
    </c:extLst>
  </c:chart>
  <c:txPr>
    <a:bodyPr/>
    <a:lstStyle/>
    <a:p>
      <a:pPr>
        <a:defRPr lang="en-U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p>
      </c:txPr>
    </c:title>
    <c:autoTitleDeleted val="0"/>
    <c:plotArea>
      <c:layout/>
      <c:scatterChart>
        <c:scatterStyle val="smoothMarker"/>
        <c:varyColors val="0"/>
        <c:ser>
          <c:idx val="0"/>
          <c:order val="0"/>
          <c:tx>
            <c:strRef>
              <c:f>Sheet4!$B$1</c:f>
              <c:strCache>
                <c:ptCount val="1"/>
                <c:pt idx="0">
                  <c:v>omc</c:v>
                </c:pt>
              </c:strCache>
            </c:strRef>
          </c:tx>
          <c:dLbls>
            <c:delete val="1"/>
          </c:dLbls>
          <c:trendline>
            <c:trendlineType val="linear"/>
            <c:dispRSqr val="1"/>
            <c:dispEq val="1"/>
            <c:trendlineLbl>
              <c:layout>
                <c:manualLayout>
                  <c:x val="-0.0576069553805774"/>
                  <c:y val="0.191171988918052"/>
                </c:manualLayout>
              </c:layout>
              <c:numFmt formatCode="General" sourceLinked="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trendlineLbl>
          </c:trendline>
          <c:xVal>
            <c:numRef>
              <c:f>Sheet4!$A$2:$A$4</c:f>
              <c:numCache>
                <c:formatCode>General</c:formatCode>
                <c:ptCount val="3"/>
                <c:pt idx="0">
                  <c:v>2.68</c:v>
                </c:pt>
                <c:pt idx="1">
                  <c:v>2.71</c:v>
                </c:pt>
                <c:pt idx="2">
                  <c:v>2.83</c:v>
                </c:pt>
              </c:numCache>
            </c:numRef>
          </c:xVal>
          <c:yVal>
            <c:numRef>
              <c:f>Sheet4!$B$2:$B$4</c:f>
              <c:numCache>
                <c:formatCode>General</c:formatCode>
                <c:ptCount val="3"/>
                <c:pt idx="0">
                  <c:v>8</c:v>
                </c:pt>
                <c:pt idx="1">
                  <c:v>7.5</c:v>
                </c:pt>
                <c:pt idx="2">
                  <c:v>6</c:v>
                </c:pt>
              </c:numCache>
            </c:numRef>
          </c:yVal>
          <c:smooth val="1"/>
        </c:ser>
        <c:dLbls>
          <c:showLegendKey val="0"/>
          <c:showVal val="0"/>
          <c:showCatName val="0"/>
          <c:showSerName val="0"/>
          <c:showPercent val="0"/>
          <c:showBubbleSize val="0"/>
        </c:dLbls>
        <c:axId val="80697216"/>
        <c:axId val="80698752"/>
      </c:scatterChart>
      <c:valAx>
        <c:axId val="80697216"/>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80698752"/>
        <c:crosses val="autoZero"/>
        <c:crossBetween val="midCat"/>
      </c:valAx>
      <c:valAx>
        <c:axId val="806987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80697216"/>
        <c:crosses val="autoZero"/>
        <c:crossBetween val="midCat"/>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9a728433-1686-44fa-8353-e5417e9459f4}"/>
      </c:ext>
    </c:extLst>
  </c:chart>
  <c:txPr>
    <a:bodyPr/>
    <a:lstStyle/>
    <a:p>
      <a:pPr>
        <a:defRPr lang="en-US"/>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p>
      </c:txPr>
    </c:title>
    <c:autoTitleDeleted val="0"/>
    <c:plotArea>
      <c:layout/>
      <c:scatterChart>
        <c:scatterStyle val="smoothMarker"/>
        <c:varyColors val="0"/>
        <c:ser>
          <c:idx val="0"/>
          <c:order val="0"/>
          <c:tx>
            <c:strRef>
              <c:f>Sheet5!$B$1</c:f>
              <c:strCache>
                <c:ptCount val="1"/>
                <c:pt idx="0">
                  <c:v/>
                </c:pt>
              </c:strCache>
            </c:strRef>
          </c:tx>
          <c:dLbls>
            <c:delete val="1"/>
          </c:dLbls>
          <c:trendline>
            <c:trendlineType val="linear"/>
            <c:dispRSqr val="1"/>
            <c:dispEq val="1"/>
            <c:trendlineLbl>
              <c:layout>
                <c:manualLayout>
                  <c:x val="-0.273969160104987"/>
                  <c:y val="-0.0836924030329542"/>
                </c:manualLayout>
              </c:layout>
              <c:numFmt formatCode="General" sourceLinked="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trendlineLbl>
          </c:trendline>
          <c:xVal>
            <c:numRef>
              <c:f>Sheet5!$A$2:$A$4</c:f>
              <c:numCache>
                <c:formatCode>General</c:formatCode>
                <c:ptCount val="3"/>
                <c:pt idx="0">
                  <c:v>18.2</c:v>
                </c:pt>
                <c:pt idx="1">
                  <c:v>15.4</c:v>
                </c:pt>
                <c:pt idx="2">
                  <c:v>14.6</c:v>
                </c:pt>
              </c:numCache>
            </c:numRef>
          </c:xVal>
          <c:yVal>
            <c:numRef>
              <c:f>Sheet5!$B$2:$B$4</c:f>
              <c:numCache>
                <c:formatCode>General</c:formatCode>
                <c:ptCount val="3"/>
                <c:pt idx="0">
                  <c:v>8</c:v>
                </c:pt>
                <c:pt idx="1">
                  <c:v>7.5</c:v>
                </c:pt>
                <c:pt idx="2">
                  <c:v>6</c:v>
                </c:pt>
              </c:numCache>
            </c:numRef>
          </c:yVal>
          <c:smooth val="1"/>
        </c:ser>
        <c:dLbls>
          <c:showLegendKey val="0"/>
          <c:showVal val="0"/>
          <c:showCatName val="0"/>
          <c:showSerName val="0"/>
          <c:showPercent val="0"/>
          <c:showBubbleSize val="0"/>
        </c:dLbls>
        <c:axId val="80826368"/>
        <c:axId val="80827904"/>
      </c:scatterChart>
      <c:valAx>
        <c:axId val="80826368"/>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80827904"/>
        <c:crosses val="autoZero"/>
        <c:crossBetween val="midCat"/>
      </c:valAx>
      <c:valAx>
        <c:axId val="8082790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80826368"/>
        <c:crosses val="autoZero"/>
        <c:crossBetween val="midCat"/>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77aa78c3-f240-4035-9f74-5b11ca9d9e65}"/>
      </c:ext>
    </c:extLst>
  </c:chart>
  <c:txPr>
    <a:bodyPr/>
    <a:lstStyle/>
    <a:p>
      <a:pPr>
        <a:defRPr lang="en-US"/>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dLbls>
            <c:delete val="1"/>
          </c:dLbls>
          <c:trendline>
            <c:trendlineType val="linear"/>
            <c:dispRSqr val="1"/>
            <c:dispEq val="1"/>
            <c:trendlineLbl>
              <c:layout>
                <c:manualLayout>
                  <c:x val="-0.12726968503937"/>
                  <c:y val="0.263414260717411"/>
                </c:manualLayout>
              </c:layout>
              <c:numFmt formatCode="General" sourceLinked="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trendlineLbl>
          </c:trendline>
          <c:xVal>
            <c:numRef>
              <c:f>Sheet6!$A$2:$A$4</c:f>
              <c:numCache>
                <c:formatCode>General</c:formatCode>
                <c:ptCount val="3"/>
                <c:pt idx="0">
                  <c:v>31.1</c:v>
                </c:pt>
                <c:pt idx="1">
                  <c:v>27.3</c:v>
                </c:pt>
                <c:pt idx="2">
                  <c:v>24.8</c:v>
                </c:pt>
              </c:numCache>
            </c:numRef>
          </c:xVal>
          <c:yVal>
            <c:numRef>
              <c:f>Sheet6!$B$2:$B$4</c:f>
              <c:numCache>
                <c:formatCode>General</c:formatCode>
                <c:ptCount val="3"/>
                <c:pt idx="0">
                  <c:v>8</c:v>
                </c:pt>
                <c:pt idx="1">
                  <c:v>7.5</c:v>
                </c:pt>
                <c:pt idx="2">
                  <c:v>6</c:v>
                </c:pt>
              </c:numCache>
            </c:numRef>
          </c:yVal>
          <c:smooth val="1"/>
        </c:ser>
        <c:dLbls>
          <c:showLegendKey val="0"/>
          <c:showVal val="0"/>
          <c:showCatName val="0"/>
          <c:showSerName val="0"/>
          <c:showPercent val="0"/>
          <c:showBubbleSize val="0"/>
        </c:dLbls>
        <c:axId val="80861056"/>
        <c:axId val="80862592"/>
      </c:scatterChart>
      <c:valAx>
        <c:axId val="80861056"/>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80862592"/>
        <c:crosses val="autoZero"/>
        <c:crossBetween val="midCat"/>
      </c:valAx>
      <c:valAx>
        <c:axId val="8086259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80861056"/>
        <c:crosses val="autoZero"/>
        <c:crossBetween val="midCat"/>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cadd0f19-9d21-44d3-930f-5a0f988ccf6a}"/>
      </c:ext>
    </c:extLst>
  </c:chart>
  <c:txPr>
    <a:bodyPr/>
    <a:lstStyle/>
    <a:p>
      <a:pPr>
        <a:defRPr lang="en-US"/>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0</Words>
  <Characters>0</Characters>
  <Lines>0</Lines>
  <Paragraphs>0</Paragraphs>
  <TotalTime>45</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2025-05-27T07:41:00Z</dcterms:created>
  <dc:creator>khan</dc:creator>
  <cp:lastModifiedBy>IBRAHIM ABDULWAHEED LABE</cp:lastModifiedBy>
  <cp:lastPrinted>2025-08-11T12:41:00Z</cp:lastPrinted>
  <dcterms:modified xsi:type="dcterms:W3CDTF">2025-08-11T14:29:11Z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2FF2A93DE08C4F63B978F3E17F8F48DE_11</vt:lpwstr>
  </property>
</Properties>
</file>