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2B32CF">
      <w:pPr>
        <w:spacing w:line="240" w:lineRule="auto"/>
        <w:jc w:val="center"/>
        <w:rPr>
          <w:rFonts w:ascii="Times New Roman" w:hAnsi="Times New Roman" w:cs="Times New Roman"/>
          <w:b/>
          <w:sz w:val="40"/>
        </w:rPr>
      </w:pPr>
      <w:r>
        <w:rPr>
          <w:rFonts w:hint="default" w:ascii="Times New Roman" w:hAnsi="Times New Roman" w:eastAsia="Times New Roman" w:cs="Times New Roman"/>
          <w:sz w:val="24"/>
          <w:szCs w:val="24"/>
          <w:lang w:val="en-GB"/>
        </w:rPr>
        <w:t xml:space="preserve">      </w:t>
      </w:r>
      <w:r>
        <w:rPr>
          <w:rFonts w:ascii="Times New Roman" w:hAnsi="Times New Roman" w:cs="Times New Roman"/>
          <w:b/>
          <w:sz w:val="40"/>
        </w:rPr>
        <w:t>Metal complexes of Ibuprofen: Synthesis Characterization and coordination chemistry studies</w:t>
      </w:r>
    </w:p>
    <w:p w14:paraId="57B3F8DA">
      <w:pPr>
        <w:pStyle w:val="24"/>
        <w:tabs>
          <w:tab w:val="left" w:pos="3342"/>
        </w:tabs>
        <w:spacing w:line="240" w:lineRule="auto"/>
        <w:jc w:val="center"/>
        <w:rPr>
          <w:rFonts w:ascii="Times New Roman" w:hAnsi="Times New Roman" w:eastAsia="Times New Roman" w:cs="Times New Roman"/>
          <w:b/>
          <w:sz w:val="44"/>
          <w:szCs w:val="24"/>
        </w:rPr>
      </w:pPr>
    </w:p>
    <w:p w14:paraId="65336CB8">
      <w:pPr>
        <w:pStyle w:val="24"/>
        <w:spacing w:line="240" w:lineRule="auto"/>
        <w:jc w:val="both"/>
        <w:rPr>
          <w:rFonts w:ascii="Times New Roman" w:hAnsi="Times New Roman" w:eastAsia="Times New Roman" w:cs="Times New Roman"/>
          <w:sz w:val="24"/>
          <w:szCs w:val="24"/>
        </w:rPr>
      </w:pPr>
    </w:p>
    <w:p w14:paraId="676FE11A">
      <w:pPr>
        <w:pStyle w:val="24"/>
        <w:spacing w:line="240" w:lineRule="auto"/>
        <w:jc w:val="both"/>
        <w:rPr>
          <w:rFonts w:ascii="Times New Roman" w:hAnsi="Times New Roman" w:eastAsia="Times New Roman" w:cs="Times New Roman"/>
          <w:sz w:val="24"/>
          <w:szCs w:val="24"/>
        </w:rPr>
      </w:pPr>
    </w:p>
    <w:p w14:paraId="06EC7DB4">
      <w:pPr>
        <w:pStyle w:val="24"/>
        <w:spacing w:line="240" w:lineRule="auto"/>
        <w:ind w:left="2200" w:leftChars="1000" w:firstLine="0" w:firstLineChars="0"/>
        <w:jc w:val="both"/>
        <w:rPr>
          <w:rFonts w:ascii="Times New Roman" w:hAnsi="Times New Roman" w:eastAsia="Times New Roman" w:cs="Times New Roman"/>
          <w:sz w:val="24"/>
          <w:szCs w:val="24"/>
        </w:rPr>
      </w:pPr>
    </w:p>
    <w:p w14:paraId="2EF1F70B">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sz w:val="24"/>
          <w:szCs w:val="24"/>
        </w:rPr>
        <w:t xml:space="preserve">         </w:t>
      </w:r>
      <w:bookmarkStart w:id="0" w:name="_GoBack"/>
      <w:bookmarkEnd w:id="0"/>
      <w:r>
        <w:rPr>
          <w:rFonts w:ascii="Times New Roman" w:hAnsi="Times New Roman" w:eastAsia="Times New Roman" w:cs="Times New Roman"/>
          <w:b/>
          <w:sz w:val="24"/>
          <w:szCs w:val="24"/>
        </w:rPr>
        <w:t>LIST OF ABBREVIATONS</w:t>
      </w:r>
    </w:p>
    <w:p w14:paraId="71149E28">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Ni                                           Nickel</w:t>
      </w:r>
    </w:p>
    <w:p w14:paraId="33392078">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Zn</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Zinc</w:t>
      </w:r>
    </w:p>
    <w:p w14:paraId="507032DF">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Fe</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Iron</w:t>
      </w:r>
    </w:p>
    <w:p w14:paraId="1DD8831E">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Soluble</w:t>
      </w:r>
    </w:p>
    <w:p w14:paraId="05A53C03">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Ns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Not Soluble</w:t>
      </w:r>
    </w:p>
    <w:p w14:paraId="2E3C0B5B">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Ss</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Slightly Soluble</w:t>
      </w:r>
    </w:p>
    <w:p w14:paraId="33A52A98">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Uv</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Ultraviolet</w:t>
      </w:r>
    </w:p>
    <w:p w14:paraId="165D952C">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IR</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InfraRed</w:t>
      </w:r>
    </w:p>
    <w:p w14:paraId="63BAB450">
      <w:pPr>
        <w:pStyle w:val="24"/>
        <w:spacing w:line="240" w:lineRule="auto"/>
        <w:ind w:left="2200" w:leftChars="1000" w:firstLine="0" w:firstLineChars="0"/>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G/mol</w:t>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 xml:space="preserve">            Gram per mole.</w:t>
      </w:r>
    </w:p>
    <w:p w14:paraId="4E3DA9C5">
      <w:pPr>
        <w:pStyle w:val="24"/>
        <w:spacing w:line="240" w:lineRule="auto"/>
        <w:jc w:val="both"/>
        <w:rPr>
          <w:rFonts w:ascii="Times New Roman" w:hAnsi="Times New Roman" w:eastAsia="Times New Roman" w:cs="Times New Roman"/>
          <w:b/>
          <w:sz w:val="24"/>
          <w:szCs w:val="24"/>
        </w:rPr>
      </w:pPr>
    </w:p>
    <w:p w14:paraId="04056C63">
      <w:pPr>
        <w:pStyle w:val="24"/>
        <w:spacing w:line="240" w:lineRule="auto"/>
        <w:jc w:val="both"/>
        <w:rPr>
          <w:rFonts w:ascii="Times New Roman" w:hAnsi="Times New Roman" w:eastAsia="Times New Roman" w:cs="Times New Roman"/>
          <w:b/>
          <w:sz w:val="24"/>
          <w:szCs w:val="24"/>
        </w:rPr>
      </w:pPr>
    </w:p>
    <w:p w14:paraId="695A462C">
      <w:pPr>
        <w:pStyle w:val="24"/>
        <w:spacing w:line="240" w:lineRule="auto"/>
        <w:jc w:val="both"/>
        <w:rPr>
          <w:rFonts w:ascii="Times New Roman" w:hAnsi="Times New Roman" w:eastAsia="Times New Roman" w:cs="Times New Roman"/>
          <w:b/>
          <w:sz w:val="24"/>
          <w:szCs w:val="24"/>
        </w:rPr>
      </w:pPr>
    </w:p>
    <w:p w14:paraId="2795A6A3">
      <w:pPr>
        <w:pStyle w:val="24"/>
        <w:spacing w:line="240" w:lineRule="auto"/>
        <w:jc w:val="both"/>
        <w:rPr>
          <w:rFonts w:ascii="Times New Roman" w:hAnsi="Times New Roman" w:eastAsia="Times New Roman" w:cs="Times New Roman"/>
          <w:b/>
          <w:sz w:val="24"/>
          <w:szCs w:val="24"/>
        </w:rPr>
      </w:pPr>
    </w:p>
    <w:p w14:paraId="09CCBD65">
      <w:pPr>
        <w:pStyle w:val="24"/>
        <w:spacing w:line="240" w:lineRule="auto"/>
        <w:jc w:val="both"/>
        <w:rPr>
          <w:rFonts w:ascii="Times New Roman" w:hAnsi="Times New Roman" w:eastAsia="Times New Roman" w:cs="Times New Roman"/>
          <w:b/>
          <w:sz w:val="24"/>
          <w:szCs w:val="24"/>
        </w:rPr>
      </w:pPr>
    </w:p>
    <w:p w14:paraId="63C13FB1">
      <w:pPr>
        <w:pStyle w:val="24"/>
        <w:spacing w:line="240" w:lineRule="auto"/>
        <w:jc w:val="both"/>
        <w:rPr>
          <w:rFonts w:ascii="Times New Roman" w:hAnsi="Times New Roman" w:eastAsia="Times New Roman" w:cs="Times New Roman"/>
          <w:b/>
          <w:sz w:val="24"/>
          <w:szCs w:val="24"/>
        </w:rPr>
      </w:pPr>
    </w:p>
    <w:p w14:paraId="155C022D">
      <w:pPr>
        <w:pStyle w:val="24"/>
        <w:spacing w:line="240" w:lineRule="auto"/>
        <w:jc w:val="both"/>
        <w:rPr>
          <w:rFonts w:ascii="Times New Roman" w:hAnsi="Times New Roman" w:eastAsia="Times New Roman" w:cs="Times New Roman"/>
          <w:b/>
          <w:sz w:val="24"/>
          <w:szCs w:val="24"/>
        </w:rPr>
      </w:pPr>
    </w:p>
    <w:p w14:paraId="7CF05127">
      <w:pPr>
        <w:pStyle w:val="24"/>
        <w:spacing w:line="240" w:lineRule="auto"/>
        <w:jc w:val="both"/>
        <w:rPr>
          <w:rFonts w:ascii="Times New Roman" w:hAnsi="Times New Roman" w:eastAsia="Times New Roman" w:cs="Times New Roman"/>
          <w:b/>
          <w:sz w:val="24"/>
          <w:szCs w:val="24"/>
        </w:rPr>
      </w:pPr>
    </w:p>
    <w:p w14:paraId="22F837C2">
      <w:pPr>
        <w:pStyle w:val="24"/>
        <w:spacing w:line="240" w:lineRule="auto"/>
        <w:jc w:val="both"/>
        <w:rPr>
          <w:rFonts w:ascii="Times New Roman" w:hAnsi="Times New Roman" w:eastAsia="Times New Roman" w:cs="Times New Roman"/>
          <w:b/>
          <w:sz w:val="24"/>
          <w:szCs w:val="24"/>
        </w:rPr>
      </w:pPr>
    </w:p>
    <w:p w14:paraId="66253037">
      <w:pPr>
        <w:pStyle w:val="24"/>
        <w:spacing w:line="240" w:lineRule="auto"/>
        <w:jc w:val="both"/>
        <w:rPr>
          <w:rFonts w:ascii="Times New Roman" w:hAnsi="Times New Roman" w:eastAsia="Times New Roman" w:cs="Times New Roman"/>
          <w:b/>
          <w:sz w:val="24"/>
          <w:szCs w:val="24"/>
        </w:rPr>
      </w:pPr>
    </w:p>
    <w:p w14:paraId="2360F42C">
      <w:pPr>
        <w:pStyle w:val="24"/>
        <w:spacing w:line="240" w:lineRule="auto"/>
        <w:jc w:val="both"/>
        <w:rPr>
          <w:rFonts w:ascii="Times New Roman" w:hAnsi="Times New Roman" w:eastAsia="Times New Roman" w:cs="Times New Roman"/>
          <w:b/>
          <w:sz w:val="24"/>
          <w:szCs w:val="24"/>
        </w:rPr>
      </w:pPr>
    </w:p>
    <w:p w14:paraId="785015C6">
      <w:pPr>
        <w:pStyle w:val="24"/>
        <w:spacing w:line="240" w:lineRule="auto"/>
        <w:jc w:val="both"/>
        <w:rPr>
          <w:rFonts w:ascii="Times New Roman" w:hAnsi="Times New Roman" w:eastAsia="Times New Roman" w:cs="Times New Roman"/>
          <w:b/>
          <w:sz w:val="24"/>
          <w:szCs w:val="24"/>
        </w:rPr>
      </w:pP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ab/>
      </w:r>
      <w:r>
        <w:rPr>
          <w:rFonts w:ascii="Times New Roman" w:hAnsi="Times New Roman" w:eastAsia="Times New Roman" w:cs="Times New Roman"/>
          <w:b/>
          <w:sz w:val="24"/>
          <w:szCs w:val="24"/>
        </w:rPr>
        <w:t>TABLE OF CONTENT</w:t>
      </w:r>
    </w:p>
    <w:p w14:paraId="70CA5AAD">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TITLE PAGE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p>
    <w:p w14:paraId="7251A44F">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CERTIFICATION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w:t>
      </w:r>
    </w:p>
    <w:p w14:paraId="45E03F80">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DEDICATION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iii</w:t>
      </w:r>
    </w:p>
    <w:p w14:paraId="4648E23A">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AKNOWLEDGEMENT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iv</w:t>
      </w:r>
    </w:p>
    <w:p w14:paraId="0ACB4F51">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ABSTRACT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w:t>
      </w:r>
    </w:p>
    <w:p w14:paraId="2BF4A7D3">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LIST OF ABBREVIATION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w:t>
      </w:r>
    </w:p>
    <w:p w14:paraId="388CC736">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TABLE OF CONTENT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vii</w:t>
      </w:r>
    </w:p>
    <w:p w14:paraId="1D19D27D">
      <w:pPr>
        <w:pStyle w:val="24"/>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ONE</w:t>
      </w:r>
    </w:p>
    <w:p w14:paraId="02A75AFE">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INTRODUCTION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p>
    <w:p w14:paraId="1A9A3063">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CLINICAL PHARMACOLOGY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p>
    <w:p w14:paraId="01C85223">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THERAPEUTIC APPLICATION OF IBUPROFEN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3</w:t>
      </w:r>
    </w:p>
    <w:p w14:paraId="5CC40A75">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PATENT DUCTUS ARTEROSUS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6C3040DF">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RHEUMATOID AND OSTERO-ARTHRITIS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4</w:t>
      </w:r>
    </w:p>
    <w:p w14:paraId="582B0C59">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CYSTIC FIBROSIS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597905FE">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ORTHOSTSTIC HYPOTENSION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6</w:t>
      </w:r>
    </w:p>
    <w:p w14:paraId="3BB4CAFE">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DENTAL PAIN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463EDC06">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1.3.6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DYSMENORRHEA, FEVER AND HEADACHE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6</w:t>
      </w:r>
    </w:p>
    <w:p w14:paraId="6CCF622D">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PROPHLAXIS OF ALZHEIMER`S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55641640">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1.3.8</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PARKINSON`S DISEASE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1E5997A9">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1.3.9</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BREAST CANCER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8</w:t>
      </w:r>
    </w:p>
    <w:p w14:paraId="0ACAA9D3">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1.4</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ADVERSE REACTIONS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9</w:t>
      </w:r>
    </w:p>
    <w:p w14:paraId="4F069640">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1.5</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LIGAND AND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7C8CC5A3">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1.6</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WHY DRUG-METAL COMPLEX</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10</w:t>
      </w:r>
    </w:p>
    <w:p w14:paraId="766705FA">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CHEMISTRY OF TRANSITON METALS USED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30118E37">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NICKEL</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11</w:t>
      </w:r>
    </w:p>
    <w:p w14:paraId="55066556">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 xml:space="preserve">1.7.1.1 </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COLOUR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12</w:t>
      </w:r>
    </w:p>
    <w:p w14:paraId="740A5804">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1.7.1.2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GEOMETRY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12</w:t>
      </w:r>
    </w:p>
    <w:p w14:paraId="0DAD70A0">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1.7.1.3</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COMPLEXES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2</w:t>
      </w:r>
    </w:p>
    <w:p w14:paraId="15D94ACD">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1.7.2</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COPPER</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3</w:t>
      </w:r>
    </w:p>
    <w:p w14:paraId="43FA44F9">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14</w:t>
      </w:r>
    </w:p>
    <w:p w14:paraId="73920B9E">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1.7.2.2</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TOXICITY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14</w:t>
      </w:r>
    </w:p>
    <w:p w14:paraId="47FEFE7D">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1.7.3</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IRON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 xml:space="preserve">  </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15</w:t>
      </w:r>
    </w:p>
    <w:p w14:paraId="23E85351">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1.7.3.1</w:t>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DEFICIENCY</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7</w:t>
      </w:r>
    </w:p>
    <w:p w14:paraId="32A84F9C">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1.8</w:t>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w:t>
      </w:r>
      <w:r>
        <w:rPr>
          <w:rFonts w:ascii="Times New Roman" w:hAnsi="Times New Roman" w:eastAsia="Times New Roman" w:cs="Times New Roman"/>
          <w:sz w:val="28"/>
          <w:szCs w:val="28"/>
        </w:rPr>
        <w:t>AIM OF PROJECT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1</w:t>
      </w:r>
      <w:r>
        <w:rPr>
          <w:rFonts w:hint="default" w:ascii="Times New Roman" w:hAnsi="Times New Roman" w:eastAsia="Times New Roman" w:cs="Times New Roman"/>
          <w:sz w:val="28"/>
          <w:szCs w:val="28"/>
          <w:lang w:val="en-GB"/>
        </w:rPr>
        <w:t>8</w:t>
      </w:r>
    </w:p>
    <w:p w14:paraId="72397C00">
      <w:pPr>
        <w:pStyle w:val="24"/>
        <w:spacing w:line="240" w:lineRule="auto"/>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TWO</w:t>
      </w:r>
    </w:p>
    <w:p w14:paraId="6A397EFA">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 AND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6DDB74C4">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APPARATUS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19</w:t>
      </w:r>
    </w:p>
    <w:p w14:paraId="193C83C6">
      <w:pPr>
        <w:pStyle w:val="24"/>
        <w:spacing w:line="24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Pr>
        <w:t>2.1.2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REAGENTS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20</w:t>
      </w:r>
    </w:p>
    <w:p w14:paraId="7351C86D">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2.1.3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MATERIALS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1</w:t>
      </w:r>
    </w:p>
    <w:p w14:paraId="76DB4080">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EXPERIMENTAL PROCEDURES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7249DC3A">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NI(ii)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2</w:t>
      </w:r>
    </w:p>
    <w:p w14:paraId="111D141E">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CU(ii)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38595F53">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IBUPROFEN FE(ii) COMPLEX FORMATION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3</w:t>
      </w:r>
    </w:p>
    <w:p w14:paraId="770E6ED2">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CHARACTERIZATION METHODS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4D168D16">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SOLUBILITY TESTS</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597E13E2">
      <w:pPr>
        <w:pStyle w:val="24"/>
        <w:spacing w:line="240" w:lineRule="auto"/>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MELTING POINT DETERMINATION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4</w:t>
      </w:r>
    </w:p>
    <w:p w14:paraId="1ACA9C02">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2.3.3</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METHOD</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2</w:t>
      </w:r>
      <w:r>
        <w:rPr>
          <w:rFonts w:hint="default" w:ascii="Times New Roman" w:hAnsi="Times New Roman" w:eastAsia="Times New Roman" w:cs="Times New Roman"/>
          <w:sz w:val="28"/>
          <w:szCs w:val="28"/>
          <w:lang w:val="en-GB"/>
        </w:rPr>
        <w:t>5</w:t>
      </w:r>
    </w:p>
    <w:p w14:paraId="507BCD78">
      <w:pPr>
        <w:pStyle w:val="24"/>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THREE</w:t>
      </w:r>
    </w:p>
    <w:p w14:paraId="04573792">
      <w:pPr>
        <w:pStyle w:val="24"/>
        <w:jc w:val="both"/>
        <w:rPr>
          <w:rFonts w:ascii="Times New Roman" w:hAnsi="Times New Roman" w:eastAsia="Times New Roman" w:cs="Times New Roman"/>
          <w:sz w:val="28"/>
          <w:szCs w:val="28"/>
        </w:rPr>
        <w:sectPr>
          <w:headerReference r:id="rId5" w:type="default"/>
          <w:footerReference r:id="rId6" w:type="default"/>
          <w:pgSz w:w="12240" w:h="15840"/>
          <w:pgMar w:top="1440" w:right="1440" w:bottom="1440" w:left="1440" w:header="720" w:footer="720" w:gutter="0"/>
          <w:pgNumType w:fmt="decimal"/>
          <w:cols w:space="720" w:num="1"/>
          <w:docGrid w:linePitch="360" w:charSpace="0"/>
        </w:sectPr>
      </w:pPr>
    </w:p>
    <w:p w14:paraId="70327308">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 RESULTS AND DISCUSION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77B37B3B">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26</w:t>
      </w:r>
    </w:p>
    <w:p w14:paraId="274B3DC5">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3.1.2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SOLUBILITY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16</w:t>
      </w:r>
    </w:p>
    <w:p w14:paraId="61AA5867">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3.2</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RESULTS OF MELTING POINT TEST</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465ED201">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3.2.1</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INTERPRETATION OF MELTING POINT RANGE</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27</w:t>
      </w:r>
    </w:p>
    <w:p w14:paraId="3DACF2A8">
      <w:pPr>
        <w:pStyle w:val="24"/>
        <w:jc w:val="both"/>
        <w:rPr>
          <w:rFonts w:ascii="Times New Roman" w:hAnsi="Times New Roman" w:eastAsia="Times New Roman" w:cs="Times New Roman"/>
          <w:b/>
          <w:sz w:val="28"/>
          <w:szCs w:val="28"/>
        </w:rPr>
      </w:pPr>
    </w:p>
    <w:p w14:paraId="17DD9F76">
      <w:pPr>
        <w:pStyle w:val="24"/>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Pr>
        <w:t>CHAPTER FOUR</w:t>
      </w:r>
    </w:p>
    <w:p w14:paraId="0E7DF0D6">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4.1 CONCLUSION</w:t>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ascii="Times New Roman" w:hAnsi="Times New Roman" w:eastAsia="Times New Roman" w:cs="Times New Roman"/>
          <w:sz w:val="28"/>
          <w:szCs w:val="28"/>
        </w:rPr>
        <w:tab/>
      </w:r>
      <w:r>
        <w:rPr>
          <w:rFonts w:hint="default" w:ascii="Times New Roman" w:hAnsi="Times New Roman" w:eastAsia="Times New Roman" w:cs="Times New Roman"/>
          <w:sz w:val="28"/>
          <w:szCs w:val="28"/>
          <w:lang w:val="en-GB"/>
        </w:rPr>
        <w:t xml:space="preserve"> 28</w:t>
      </w:r>
    </w:p>
    <w:p w14:paraId="57E73758">
      <w:pPr>
        <w:pStyle w:val="24"/>
        <w:jc w:val="both"/>
        <w:rPr>
          <w:rFonts w:hint="default" w:ascii="Times New Roman" w:hAnsi="Times New Roman" w:eastAsia="Times New Roman" w:cs="Times New Roman"/>
          <w:b/>
          <w:sz w:val="28"/>
          <w:szCs w:val="28"/>
          <w:lang w:val="en-GB"/>
        </w:rPr>
      </w:pPr>
      <w:r>
        <w:rPr>
          <w:rFonts w:ascii="Times New Roman" w:hAnsi="Times New Roman" w:eastAsia="Times New Roman" w:cs="Times New Roman"/>
          <w:b/>
          <w:sz w:val="28"/>
          <w:szCs w:val="28"/>
        </w:rPr>
        <w:t>CHAPTER F</w:t>
      </w:r>
      <w:r>
        <w:rPr>
          <w:rFonts w:hint="default" w:ascii="Times New Roman" w:hAnsi="Times New Roman" w:eastAsia="Times New Roman" w:cs="Times New Roman"/>
          <w:b/>
          <w:sz w:val="28"/>
          <w:szCs w:val="28"/>
          <w:lang w:val="en-GB"/>
        </w:rPr>
        <w:t>IVE</w:t>
      </w:r>
    </w:p>
    <w:p w14:paraId="5AFEE897">
      <w:pPr>
        <w:pStyle w:val="24"/>
        <w:jc w:val="both"/>
        <w:rPr>
          <w:rFonts w:hint="default" w:ascii="Times New Roman" w:hAnsi="Times New Roman" w:eastAsia="Times New Roman" w:cs="Times New Roman"/>
          <w:b/>
          <w:sz w:val="28"/>
          <w:szCs w:val="28"/>
          <w:lang w:val="en-GB"/>
        </w:rPr>
      </w:pPr>
      <w:r>
        <w:rPr>
          <w:rFonts w:hint="default" w:ascii="Times New Roman" w:hAnsi="Times New Roman" w:eastAsia="Times New Roman" w:cs="Times New Roman"/>
          <w:b w:val="0"/>
          <w:bCs/>
          <w:sz w:val="28"/>
          <w:szCs w:val="28"/>
          <w:lang w:val="en-GB"/>
        </w:rPr>
        <w:t xml:space="preserve">5.1 SUMMARY  </w:t>
      </w:r>
      <w:r>
        <w:rPr>
          <w:rFonts w:hint="default" w:ascii="Times New Roman" w:hAnsi="Times New Roman" w:eastAsia="Times New Roman" w:cs="Times New Roman"/>
          <w:b/>
          <w:sz w:val="28"/>
          <w:szCs w:val="28"/>
          <w:lang w:val="en-GB"/>
        </w:rPr>
        <w:t xml:space="preserve">                                                                                   </w:t>
      </w:r>
    </w:p>
    <w:p w14:paraId="0D339162">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5.1.1  SYNTHESIS AND CHARACTERIZATION                            29                                                </w:t>
      </w:r>
    </w:p>
    <w:p w14:paraId="3356D42E">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5.1.2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OORDINATION </w:t>
      </w:r>
      <w:r>
        <w:rPr>
          <w:rFonts w:hint="default" w:ascii="Times New Roman" w:hAnsi="Times New Roman" w:cs="Times New Roman"/>
          <w:b w:val="0"/>
          <w:bCs/>
          <w:sz w:val="28"/>
          <w:szCs w:val="28"/>
        </w:rPr>
        <w:t>C</w:t>
      </w:r>
      <w:r>
        <w:rPr>
          <w:rFonts w:hint="default" w:ascii="Times New Roman" w:hAnsi="Times New Roman" w:cs="Times New Roman"/>
          <w:b w:val="0"/>
          <w:bCs/>
          <w:sz w:val="28"/>
          <w:szCs w:val="28"/>
          <w:lang w:val="en-GB"/>
        </w:rPr>
        <w:t xml:space="preserve">HEMISTRY </w:t>
      </w:r>
      <w:r>
        <w:rPr>
          <w:rFonts w:hint="default" w:ascii="Times New Roman" w:hAnsi="Times New Roman" w:cs="Times New Roman"/>
          <w:b w:val="0"/>
          <w:bCs/>
          <w:sz w:val="28"/>
          <w:szCs w:val="28"/>
        </w:rPr>
        <w:t>S</w:t>
      </w:r>
      <w:r>
        <w:rPr>
          <w:rFonts w:hint="default" w:ascii="Times New Roman" w:hAnsi="Times New Roman" w:cs="Times New Roman"/>
          <w:b w:val="0"/>
          <w:bCs/>
          <w:sz w:val="28"/>
          <w:szCs w:val="28"/>
          <w:lang w:val="en-GB"/>
        </w:rPr>
        <w:t>TUDIES</w:t>
      </w:r>
      <w:r>
        <w:rPr>
          <w:rFonts w:hint="default" w:ascii="Times New Roman" w:hAnsi="Times New Roman" w:cs="Times New Roman"/>
          <w:b/>
          <w:bCs w:val="0"/>
          <w:sz w:val="28"/>
          <w:szCs w:val="28"/>
          <w:lang w:val="en-GB"/>
        </w:rPr>
        <w:t xml:space="preserve">                            </w:t>
      </w:r>
      <w:r>
        <w:rPr>
          <w:rFonts w:hint="default" w:ascii="Times New Roman" w:hAnsi="Times New Roman" w:cs="Times New Roman"/>
          <w:b w:val="0"/>
          <w:bCs/>
          <w:sz w:val="28"/>
          <w:szCs w:val="28"/>
          <w:lang w:val="en-GB"/>
        </w:rPr>
        <w:t>29</w:t>
      </w:r>
    </w:p>
    <w:p w14:paraId="2D54BFB4">
      <w:pPr>
        <w:tabs>
          <w:tab w:val="left" w:pos="3435"/>
        </w:tabs>
        <w:spacing w:line="360" w:lineRule="auto"/>
        <w:jc w:val="both"/>
        <w:rPr>
          <w:rFonts w:hint="default" w:ascii="Times New Roman" w:hAnsi="Times New Roman" w:cs="Times New Roman"/>
          <w:b w:val="0"/>
          <w:bCs/>
          <w:sz w:val="28"/>
          <w:szCs w:val="28"/>
          <w:lang w:val="en-GB"/>
        </w:rPr>
      </w:pPr>
      <w:r>
        <w:rPr>
          <w:rFonts w:hint="default" w:ascii="Times New Roman" w:hAnsi="Times New Roman" w:cs="Times New Roman"/>
          <w:b w:val="0"/>
          <w:bCs/>
          <w:sz w:val="28"/>
          <w:szCs w:val="28"/>
          <w:lang w:val="en-GB"/>
        </w:rPr>
        <w:t xml:space="preserve">5.1.3 </w:t>
      </w:r>
      <w:r>
        <w:rPr>
          <w:rFonts w:hint="default" w:ascii="Times New Roman" w:hAnsi="Times New Roman" w:cs="Times New Roman"/>
          <w:b w:val="0"/>
          <w:bCs/>
          <w:sz w:val="28"/>
          <w:szCs w:val="28"/>
        </w:rPr>
        <w:t>B</w:t>
      </w:r>
      <w:r>
        <w:rPr>
          <w:rFonts w:hint="default" w:ascii="Times New Roman" w:hAnsi="Times New Roman" w:cs="Times New Roman"/>
          <w:b w:val="0"/>
          <w:bCs/>
          <w:sz w:val="28"/>
          <w:szCs w:val="28"/>
          <w:lang w:val="en-GB"/>
        </w:rPr>
        <w:t>IOLOGICAL</w:t>
      </w:r>
      <w:r>
        <w:rPr>
          <w:rFonts w:hint="default" w:ascii="Times New Roman" w:hAnsi="Times New Roman" w:cs="Times New Roman"/>
          <w:b w:val="0"/>
          <w:bCs/>
          <w:sz w:val="28"/>
          <w:szCs w:val="28"/>
        </w:rPr>
        <w:t xml:space="preserve"> A</w:t>
      </w:r>
      <w:r>
        <w:rPr>
          <w:rFonts w:hint="default" w:ascii="Times New Roman" w:hAnsi="Times New Roman" w:cs="Times New Roman"/>
          <w:b w:val="0"/>
          <w:bCs/>
          <w:sz w:val="28"/>
          <w:szCs w:val="28"/>
          <w:lang w:val="en-GB"/>
        </w:rPr>
        <w:t>PPLICATIONS                                                30</w:t>
      </w:r>
    </w:p>
    <w:p w14:paraId="2F0EDFE7">
      <w:pPr>
        <w:tabs>
          <w:tab w:val="left" w:pos="3435"/>
        </w:tabs>
        <w:spacing w:line="360" w:lineRule="auto"/>
        <w:jc w:val="both"/>
        <w:rPr>
          <w:rFonts w:hint="default" w:ascii="Times New Roman" w:hAnsi="Times New Roman" w:eastAsia="Times New Roman" w:cs="Times New Roman"/>
          <w:sz w:val="28"/>
          <w:szCs w:val="28"/>
          <w:lang w:val="en-GB"/>
        </w:rPr>
      </w:pPr>
      <w:r>
        <w:rPr>
          <w:rFonts w:hint="default" w:ascii="Times New Roman" w:hAnsi="Times New Roman" w:cs="Times New Roman"/>
          <w:b w:val="0"/>
          <w:bCs/>
          <w:sz w:val="28"/>
          <w:szCs w:val="28"/>
          <w:lang w:val="en-GB"/>
        </w:rPr>
        <w:t xml:space="preserve">5.1.4 </w:t>
      </w:r>
      <w:r>
        <w:rPr>
          <w:rFonts w:hint="default" w:ascii="Times New Roman" w:hAnsi="Times New Roman" w:cs="Times New Roman"/>
          <w:b w:val="0"/>
          <w:bCs/>
          <w:sz w:val="28"/>
          <w:szCs w:val="28"/>
        </w:rPr>
        <w:t>P</w:t>
      </w:r>
      <w:r>
        <w:rPr>
          <w:rFonts w:hint="default" w:ascii="Times New Roman" w:hAnsi="Times New Roman" w:cs="Times New Roman"/>
          <w:b w:val="0"/>
          <w:bCs/>
          <w:sz w:val="28"/>
          <w:szCs w:val="28"/>
          <w:lang w:val="en-GB"/>
        </w:rPr>
        <w:t>OTENTIAL</w:t>
      </w:r>
      <w:r>
        <w:rPr>
          <w:rFonts w:hint="default" w:ascii="Times New Roman" w:hAnsi="Times New Roman" w:cs="Times New Roman"/>
          <w:b w:val="0"/>
          <w:bCs/>
          <w:sz w:val="28"/>
          <w:szCs w:val="28"/>
        </w:rPr>
        <w:t>T</w:t>
      </w:r>
      <w:r>
        <w:rPr>
          <w:rFonts w:hint="default" w:ascii="Times New Roman" w:hAnsi="Times New Roman" w:cs="Times New Roman"/>
          <w:b w:val="0"/>
          <w:bCs/>
          <w:sz w:val="28"/>
          <w:szCs w:val="28"/>
          <w:lang w:val="en-GB"/>
        </w:rPr>
        <w:t xml:space="preserve">HERAPEUTIC </w:t>
      </w:r>
      <w:r>
        <w:rPr>
          <w:rFonts w:hint="default" w:ascii="Times New Roman" w:hAnsi="Times New Roman" w:cs="Times New Roman"/>
          <w:b w:val="0"/>
          <w:bCs/>
          <w:sz w:val="28"/>
          <w:szCs w:val="28"/>
        </w:rPr>
        <w:t>I</w:t>
      </w:r>
      <w:r>
        <w:rPr>
          <w:rFonts w:hint="default" w:ascii="Times New Roman" w:hAnsi="Times New Roman" w:cs="Times New Roman"/>
          <w:b w:val="0"/>
          <w:bCs/>
          <w:sz w:val="28"/>
          <w:szCs w:val="28"/>
          <w:lang w:val="en-GB"/>
        </w:rPr>
        <w:t xml:space="preserve">MPLICATIONS                      </w:t>
      </w: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lang w:val="en-GB"/>
        </w:rPr>
        <w:t>31</w:t>
      </w:r>
    </w:p>
    <w:p w14:paraId="74C02EC8">
      <w:pPr>
        <w:pStyle w:val="24"/>
        <w:jc w:val="both"/>
        <w:rPr>
          <w:rFonts w:hint="default" w:ascii="Times New Roman" w:hAnsi="Times New Roman" w:eastAsia="Times New Roman" w:cs="Times New Roman"/>
          <w:sz w:val="28"/>
          <w:szCs w:val="28"/>
          <w:lang w:val="en-GB"/>
        </w:rPr>
      </w:pPr>
      <w:r>
        <w:rPr>
          <w:rFonts w:ascii="Times New Roman" w:hAnsi="Times New Roman" w:eastAsia="Times New Roman" w:cs="Times New Roman"/>
          <w:sz w:val="28"/>
          <w:szCs w:val="28"/>
        </w:rPr>
        <w:t>REFERENCES</w:t>
      </w:r>
      <w:r>
        <w:rPr>
          <w:rFonts w:hint="default" w:ascii="Times New Roman" w:hAnsi="Times New Roman" w:eastAsia="Times New Roman" w:cs="Times New Roman"/>
          <w:sz w:val="28"/>
          <w:szCs w:val="28"/>
          <w:lang w:val="en-GB"/>
        </w:rPr>
        <w:t xml:space="preserve">                                                                                     </w:t>
      </w:r>
    </w:p>
    <w:p w14:paraId="28AC9AF3">
      <w:pPr>
        <w:pStyle w:val="24"/>
      </w:pPr>
    </w:p>
    <w:p w14:paraId="029B8FC2">
      <w:pPr>
        <w:pStyle w:val="24"/>
        <w:jc w:val="both"/>
        <w:rPr>
          <w:rFonts w:ascii="Times New Roman" w:hAnsi="Times New Roman" w:cs="Times New Roman"/>
          <w:b/>
          <w:sz w:val="24"/>
          <w:szCs w:val="24"/>
        </w:rPr>
      </w:pPr>
    </w:p>
    <w:p w14:paraId="5AA70D38">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5FC989D7">
      <w:pPr>
        <w:jc w:val="both"/>
        <w:rPr>
          <w:rFonts w:ascii="Times New Roman" w:hAnsi="Times New Roman" w:cs="Times New Roman"/>
          <w:b/>
          <w:sz w:val="24"/>
          <w:szCs w:val="24"/>
        </w:rPr>
      </w:pPr>
    </w:p>
    <w:p w14:paraId="19D9C9DC">
      <w:pPr>
        <w:jc w:val="both"/>
        <w:rPr>
          <w:rFonts w:ascii="Times New Roman" w:hAnsi="Times New Roman" w:cs="Times New Roman"/>
          <w:b/>
          <w:sz w:val="24"/>
          <w:szCs w:val="24"/>
        </w:rPr>
      </w:pPr>
    </w:p>
    <w:p w14:paraId="347FE90E">
      <w:pPr>
        <w:jc w:val="both"/>
        <w:rPr>
          <w:rFonts w:ascii="Times New Roman" w:hAnsi="Times New Roman" w:cs="Times New Roman"/>
          <w:b/>
          <w:sz w:val="24"/>
          <w:szCs w:val="24"/>
        </w:rPr>
      </w:pPr>
    </w:p>
    <w:p w14:paraId="41696C95">
      <w:pPr>
        <w:jc w:val="both"/>
        <w:rPr>
          <w:rFonts w:ascii="Times New Roman" w:hAnsi="Times New Roman" w:cs="Times New Roman"/>
          <w:b/>
          <w:sz w:val="24"/>
          <w:szCs w:val="24"/>
        </w:rPr>
      </w:pPr>
    </w:p>
    <w:p w14:paraId="00C013A5">
      <w:pPr>
        <w:jc w:val="both"/>
        <w:rPr>
          <w:rFonts w:ascii="Times New Roman" w:hAnsi="Times New Roman" w:cs="Times New Roman"/>
          <w:b/>
          <w:sz w:val="24"/>
          <w:szCs w:val="24"/>
        </w:rPr>
      </w:pPr>
    </w:p>
    <w:p w14:paraId="7A808C0D">
      <w:pPr>
        <w:ind w:firstLine="3842" w:firstLineChars="1600"/>
        <w:jc w:val="both"/>
        <w:rPr>
          <w:rFonts w:ascii="Times New Roman" w:hAnsi="Times New Roman" w:cs="Times New Roman"/>
          <w:b/>
          <w:sz w:val="24"/>
          <w:szCs w:val="24"/>
        </w:rPr>
        <w:sectPr>
          <w:headerReference r:id="rId7" w:type="default"/>
          <w:footerReference r:id="rId8" w:type="default"/>
          <w:pgSz w:w="12240" w:h="15840"/>
          <w:pgMar w:top="1440" w:right="1440" w:bottom="1440" w:left="1440" w:header="720" w:footer="720" w:gutter="0"/>
          <w:pgNumType w:fmt="decimal"/>
          <w:cols w:space="720" w:num="1"/>
          <w:docGrid w:linePitch="360" w:charSpace="0"/>
        </w:sectPr>
      </w:pPr>
    </w:p>
    <w:p w14:paraId="1F9F9276">
      <w:pPr>
        <w:ind w:firstLine="3842" w:firstLineChars="1600"/>
        <w:jc w:val="both"/>
        <w:rPr>
          <w:rFonts w:ascii="Times New Roman" w:hAnsi="Times New Roman" w:cs="Times New Roman"/>
          <w:b/>
          <w:sz w:val="24"/>
          <w:szCs w:val="24"/>
        </w:rPr>
      </w:pPr>
      <w:r>
        <w:rPr>
          <w:rFonts w:ascii="Times New Roman" w:hAnsi="Times New Roman" w:cs="Times New Roman"/>
          <w:b/>
          <w:sz w:val="24"/>
          <w:szCs w:val="24"/>
        </w:rPr>
        <w:t>CHAPTER ONE</w:t>
      </w:r>
    </w:p>
    <w:p w14:paraId="7CADE0AF">
      <w:pPr>
        <w:pStyle w:val="12"/>
        <w:numPr>
          <w:ilvl w:val="1"/>
          <w:numId w:val="1"/>
        </w:numPr>
        <w:jc w:val="both"/>
        <w:rPr>
          <w:rFonts w:ascii="Times New Roman" w:hAnsi="Times New Roman" w:cs="Times New Roman"/>
          <w:b/>
          <w:sz w:val="24"/>
          <w:szCs w:val="24"/>
        </w:rPr>
      </w:pPr>
      <w:r>
        <w:rPr>
          <w:rFonts w:ascii="Times New Roman" w:hAnsi="Times New Roman" w:cs="Times New Roman"/>
          <w:b/>
          <w:sz w:val="24"/>
          <w:szCs w:val="24"/>
        </w:rPr>
        <w:t>INTRODUCTION</w:t>
      </w:r>
    </w:p>
    <w:p w14:paraId="33736118">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Ibuprofen was the first member of  Propionic acid derivatives introduced in 1969. It is a popular domestic and over the counter analgesic and antipyretic for adults and children. Ibuprofen has been rated as the safest conventional NSAID by spontaneous adverse drug reaction reporting systems in the UK. This project summarizes the main pharmacological effects, therapeutical applications and adverse drug reactions, drug-drug interactions and food drug interactions of ibuprofen that have been reported especially during the last 10 years. I</w:t>
      </w:r>
      <w:r>
        <w:rPr>
          <w:rFonts w:ascii="Times New Roman" w:hAnsi="Times New Roman" w:cs="Times New Roman"/>
          <w:color w:val="000000"/>
          <w:sz w:val="28"/>
          <w:szCs w:val="28"/>
        </w:rPr>
        <w:t>buprofen is (2RS)-1[4-(2-methyl propyl) phenyl] propionic</w:t>
      </w:r>
      <w:r>
        <w:rPr>
          <w:rFonts w:ascii="Times New Roman" w:hAnsi="Times New Roman" w:cs="Times New Roman"/>
          <w:sz w:val="28"/>
          <w:szCs w:val="28"/>
        </w:rPr>
        <w:t xml:space="preserve"> </w:t>
      </w:r>
      <w:r>
        <w:rPr>
          <w:rFonts w:ascii="Times New Roman" w:hAnsi="Times New Roman" w:cs="Times New Roman"/>
          <w:color w:val="000000"/>
          <w:sz w:val="28"/>
          <w:szCs w:val="28"/>
        </w:rPr>
        <w:t>indomethacin, are still the most common side</w:t>
      </w:r>
      <w:r>
        <w:rPr>
          <w:rFonts w:ascii="Times New Roman" w:hAnsi="Times New Roman" w:cs="Times New Roman"/>
          <w:sz w:val="28"/>
          <w:szCs w:val="28"/>
        </w:rPr>
        <w:t xml:space="preserve"> </w:t>
      </w:r>
      <w:r>
        <w:rPr>
          <w:rFonts w:ascii="Times New Roman" w:hAnsi="Times New Roman" w:cs="Times New Roman"/>
          <w:color w:val="000000"/>
          <w:sz w:val="28"/>
          <w:szCs w:val="28"/>
        </w:rPr>
        <w:t>effects.1 acid (BP. 2004). Ibuprofen was the first member of propionic</w:t>
      </w:r>
      <w:r>
        <w:rPr>
          <w:rFonts w:ascii="Times New Roman" w:hAnsi="Times New Roman" w:cs="Times New Roman"/>
          <w:sz w:val="28"/>
          <w:szCs w:val="28"/>
        </w:rPr>
        <w:t xml:space="preserve"> </w:t>
      </w:r>
      <w:r>
        <w:rPr>
          <w:rFonts w:ascii="Times New Roman" w:hAnsi="Times New Roman" w:cs="Times New Roman"/>
          <w:color w:val="000000"/>
          <w:sz w:val="28"/>
          <w:szCs w:val="28"/>
        </w:rPr>
        <w:t>acid derivatives to be introduced in 1969 as a better alternative</w:t>
      </w:r>
    </w:p>
    <w:p w14:paraId="4E7C19B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to Aspirin. Gastric discomfort, nausea and vomiting, though less than aspirin or Ibuprofen is the most commonly used and most frequently prescribed NSAID[2][3] It is a non-selective inhibitor of cyclooxygenase-1 (COX-1) and Cyclooxygenase-2 (COX-2).[4]. Although its anti inflammatory properties may be weaker than those of some other NSAIDs, it has a prominent analgesic and antipyretic role. Its effects are due to the inhibitory actions on cyclo-oxygenases, which are involved in the synthesis of prostaglandins. Prostaglandins have</w:t>
      </w:r>
    </w:p>
    <w:p w14:paraId="019968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 important role in the production of pain, inflammation and fever.[5]</w:t>
      </w:r>
    </w:p>
    <w:p w14:paraId="719D8A37">
      <w:pPr>
        <w:autoSpaceDE w:val="0"/>
        <w:autoSpaceDN w:val="0"/>
        <w:adjustRightInd w:val="0"/>
        <w:spacing w:after="0" w:line="480" w:lineRule="auto"/>
        <w:jc w:val="both"/>
        <w:rPr>
          <w:rFonts w:ascii="Times New Roman" w:hAnsi="Times New Roman" w:cs="Times New Roman"/>
          <w:color w:val="000000"/>
          <w:sz w:val="28"/>
          <w:szCs w:val="28"/>
        </w:rPr>
      </w:pPr>
    </w:p>
    <w:p w14:paraId="6DECFE8B">
      <w:pPr>
        <w:autoSpaceDE w:val="0"/>
        <w:autoSpaceDN w:val="0"/>
        <w:adjustRightInd w:val="0"/>
        <w:spacing w:after="0" w:line="240" w:lineRule="auto"/>
        <w:jc w:val="both"/>
        <w:rPr>
          <w:rFonts w:ascii="Times New Roman" w:hAnsi="Times New Roman" w:cs="Times New Roman"/>
          <w:b/>
          <w:color w:val="000000"/>
          <w:sz w:val="28"/>
          <w:szCs w:val="28"/>
        </w:rPr>
      </w:pPr>
      <w:r>
        <w:rPr>
          <w:rFonts w:ascii="Times New Roman" w:hAnsi="Times New Roman" w:cs="Times New Roman"/>
          <w:color w:val="000000"/>
          <w:sz w:val="28"/>
          <w:szCs w:val="28"/>
        </w:rPr>
        <w:tab/>
      </w:r>
      <w:r>
        <w:rPr>
          <w:rFonts w:ascii="Times New Roman" w:hAnsi="Times New Roman" w:cs="Times New Roman"/>
          <w:b/>
          <w:color w:val="000000"/>
          <w:sz w:val="28"/>
          <w:szCs w:val="28"/>
        </w:rPr>
        <w:t>1.2</w:t>
      </w:r>
      <w:r>
        <w:rPr>
          <w:rFonts w:ascii="Times New Roman" w:hAnsi="Times New Roman" w:cs="Times New Roman"/>
          <w:b/>
          <w:color w:val="000000"/>
          <w:sz w:val="28"/>
          <w:szCs w:val="28"/>
        </w:rPr>
        <w:tab/>
      </w:r>
      <w:r>
        <w:rPr>
          <w:rFonts w:ascii="Times New Roman" w:hAnsi="Times New Roman" w:cs="Times New Roman"/>
          <w:b/>
          <w:color w:val="000000"/>
          <w:sz w:val="28"/>
          <w:szCs w:val="28"/>
        </w:rPr>
        <w:t>CLINICAL PHARMACOLOGY OF IBUPROFEN</w:t>
      </w:r>
    </w:p>
    <w:p w14:paraId="5C90C67D">
      <w:pPr>
        <w:autoSpaceDE w:val="0"/>
        <w:autoSpaceDN w:val="0"/>
        <w:adjustRightInd w:val="0"/>
        <w:spacing w:after="0" w:line="240" w:lineRule="auto"/>
        <w:jc w:val="both"/>
        <w:rPr>
          <w:rFonts w:ascii="Times New Roman" w:hAnsi="Times New Roman" w:cs="Times New Roman"/>
          <w:b/>
          <w:bCs/>
          <w:color w:val="034571"/>
          <w:sz w:val="28"/>
          <w:szCs w:val="28"/>
        </w:rPr>
      </w:pPr>
    </w:p>
    <w:p w14:paraId="0E12F33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is supplied as tablets with a potency of 200 to 800 mg.[6] The usual dose is 400 to 800 mg three times a day.[7] It is almost insoluble in water having pKa of 5.3.[8] It is well absorbed orally; peak serum concentrations are attained in 1 to 2 hours after oral administration. It is rapidly bio-transformed with a serum half life</w:t>
      </w:r>
    </w:p>
    <w:p w14:paraId="0EE5425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1.8 to 2 hours. The drug is completely eliminated in 24 hours after the last dose and eliminated through metabolism.[9][10]. The drug is more than 99% protein bound, extensively metabolized in the liver and little is excreted unchanged.[11]</w:t>
      </w:r>
    </w:p>
    <w:p w14:paraId="7D83D7C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Although highly bound to plasma proteins (90-99%),displacement interactions are not clinically significant, hence the dose of oral anti-cogulants and oral hypoglycemic needs not be altered.1 More than 90% of an ingested dose is excreted in the urine as metabolites or their conjugates, the major metabolites are</w:t>
      </w:r>
    </w:p>
    <w:p w14:paraId="5AD6D1D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color w:val="000000"/>
          <w:sz w:val="28"/>
          <w:szCs w:val="28"/>
        </w:rPr>
        <w:t xml:space="preserve">hydroxylated and carboxylated compounds.[6][12]. </w:t>
      </w:r>
      <w:r>
        <w:rPr>
          <w:rFonts w:ascii="Times New Roman" w:hAnsi="Times New Roman" w:cs="Times New Roman"/>
          <w:sz w:val="28"/>
          <w:szCs w:val="28"/>
        </w:rPr>
        <w:t>Old age has no significant effects on the elimination of ibuprofen.[13]. Renal impairment also has no effect on the kinetics of the drugs, rapid elimination still occur as a consequence of metabolism.[14]. The administration of ibuprofen tablets either under fasting conditions or immediately before meals yield quiet similar serum concentrations-time profile. When it is administered immediately after a meal, there is a reduction in t0he rate of absorption but no appreciable decrease in the extent of absorption.[15]</w:t>
      </w:r>
    </w:p>
    <w:p w14:paraId="3C3145C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drawing>
          <wp:inline distT="0" distB="0" distL="0" distR="0">
            <wp:extent cx="5476875" cy="33813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srcRect/>
                    <a:stretch>
                      <a:fillRect/>
                    </a:stretch>
                  </pic:blipFill>
                  <pic:spPr>
                    <a:xfrm>
                      <a:off x="0" y="0"/>
                      <a:ext cx="5476875" cy="3381375"/>
                    </a:xfrm>
                    <a:prstGeom prst="rect">
                      <a:avLst/>
                    </a:prstGeom>
                    <a:noFill/>
                    <a:ln w="9525">
                      <a:noFill/>
                      <a:miter lim="800000"/>
                      <a:headEnd/>
                      <a:tailEnd/>
                    </a:ln>
                  </pic:spPr>
                </pic:pic>
              </a:graphicData>
            </a:graphic>
          </wp:inline>
        </w:drawing>
      </w:r>
    </w:p>
    <w:p w14:paraId="41840026">
      <w:pPr>
        <w:pStyle w:val="12"/>
        <w:jc w:val="both"/>
        <w:rPr>
          <w:rFonts w:ascii="Times New Roman" w:hAnsi="Times New Roman" w:cs="Times New Roman"/>
          <w:sz w:val="28"/>
          <w:szCs w:val="28"/>
        </w:rPr>
      </w:pPr>
      <w:r>
        <w:rPr>
          <w:rFonts w:ascii="Times New Roman" w:hAnsi="Times New Roman" w:cs="Times New Roman"/>
          <w:b/>
          <w:sz w:val="28"/>
          <w:szCs w:val="28"/>
        </w:rPr>
        <w:t xml:space="preserve">     </w:t>
      </w:r>
      <w:r>
        <w:rPr>
          <w:rFonts w:ascii="Times New Roman" w:hAnsi="Times New Roman" w:cs="Times New Roman"/>
          <w:sz w:val="28"/>
          <w:szCs w:val="28"/>
        </w:rPr>
        <w:t>Figure 1.</w:t>
      </w:r>
      <w:r>
        <w:rPr>
          <w:rFonts w:ascii="Times New Roman" w:hAnsi="Times New Roman" w:cs="Times New Roman"/>
          <w:b/>
          <w:sz w:val="28"/>
          <w:szCs w:val="28"/>
        </w:rPr>
        <w:t xml:space="preserve">     </w:t>
      </w:r>
      <w:r>
        <w:rPr>
          <w:rFonts w:ascii="Times New Roman" w:hAnsi="Times New Roman" w:cs="Times New Roman"/>
          <w:sz w:val="28"/>
          <w:szCs w:val="28"/>
        </w:rPr>
        <w:t xml:space="preserve"> Structural formula of Ibuprofen</w:t>
      </w:r>
    </w:p>
    <w:p w14:paraId="3BB48398">
      <w:pPr>
        <w:pStyle w:val="12"/>
        <w:jc w:val="both"/>
        <w:rPr>
          <w:rFonts w:ascii="Times New Roman" w:hAnsi="Times New Roman" w:cs="Times New Roman"/>
          <w:sz w:val="28"/>
          <w:szCs w:val="28"/>
        </w:rPr>
      </w:pPr>
    </w:p>
    <w:p w14:paraId="1147E4AC">
      <w:pPr>
        <w:pStyle w:val="12"/>
        <w:jc w:val="both"/>
        <w:rPr>
          <w:rFonts w:ascii="Times New Roman" w:hAnsi="Times New Roman" w:cs="Times New Roman"/>
          <w:sz w:val="28"/>
          <w:szCs w:val="28"/>
        </w:rPr>
      </w:pPr>
    </w:p>
    <w:p w14:paraId="2B6C6378">
      <w:pPr>
        <w:autoSpaceDE w:val="0"/>
        <w:autoSpaceDN w:val="0"/>
        <w:adjustRightInd w:val="0"/>
        <w:spacing w:after="0" w:line="480" w:lineRule="auto"/>
        <w:jc w:val="both"/>
        <w:rPr>
          <w:rFonts w:ascii="Times New Roman" w:hAnsi="Times New Roman" w:cs="Times New Roman"/>
          <w:b/>
          <w:bCs/>
          <w:color w:val="034571"/>
          <w:sz w:val="28"/>
          <w:szCs w:val="28"/>
        </w:rPr>
      </w:pPr>
      <w:r>
        <w:rPr>
          <w:rFonts w:ascii="Times New Roman" w:hAnsi="Times New Roman" w:cs="Times New Roman"/>
          <w:b/>
          <w:sz w:val="28"/>
          <w:szCs w:val="28"/>
        </w:rPr>
        <w:t>1.3</w:t>
      </w:r>
      <w:r>
        <w:rPr>
          <w:rFonts w:ascii="Times New Roman" w:hAnsi="Times New Roman" w:cs="Times New Roman"/>
          <w:b/>
          <w:sz w:val="28"/>
          <w:szCs w:val="28"/>
        </w:rPr>
        <w:tab/>
      </w:r>
      <w:r>
        <w:rPr>
          <w:rFonts w:ascii="Times New Roman" w:hAnsi="Times New Roman" w:cs="Times New Roman"/>
          <w:b/>
          <w:sz w:val="28"/>
          <w:szCs w:val="28"/>
        </w:rPr>
        <w:t>Therapeutic Application of Ibuprofen</w:t>
      </w:r>
    </w:p>
    <w:p w14:paraId="31E016F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low dose ibuprofen is as effective as aspirin and paracetamol for the indications normally treated with over the counter medications.[16]. It is widely used as an analgesic, an anti inflammatory and an antipyretic agent.[17-19]. Recemic ibuprofen and S(+) enantiomer are mainly used in the treatment of mild to moderate pain related to dysmenorrhea, headache, migraine, postoperative dental pain, management of spondylitis, osteoarthritis, rheumatoid arthritis and soft tissue disorder.[20]. A number of other actions of NSAIDs can also be attributed to the inhibition of prostaglandins (PGs) or thromboxane synthesis, including alteration in platelet function.</w:t>
      </w:r>
      <w:r>
        <w:rPr>
          <w:rFonts w:ascii="Times New Roman" w:hAnsi="Times New Roman" w:cs="Times New Roman"/>
          <w:sz w:val="28"/>
          <w:szCs w:val="28"/>
        </w:rPr>
        <w:t xml:space="preserve"> (PGI2 and Thromboxane), prolongation of gestation and labor</w:t>
      </w:r>
    </w:p>
    <w:p w14:paraId="0379D6E8">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(PGE2, PGF2A), gastrointestinal mucosal damage (PGI2 and PGE2), fluid and electrolyte imbalance (renal PGs), premature closure of ductus arteriosus (PGE2) and bronchial asthma (PGs).[21]. The main therapeutic applications of ibuprofen are as follows:</w:t>
      </w:r>
    </w:p>
    <w:p w14:paraId="109F6089">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1.3.1</w:t>
      </w:r>
      <w:r>
        <w:rPr>
          <w:rFonts w:ascii="Times New Roman" w:hAnsi="Times New Roman" w:cs="Times New Roman"/>
          <w:b/>
          <w:bCs/>
          <w:iCs/>
          <w:sz w:val="28"/>
          <w:szCs w:val="28"/>
        </w:rPr>
        <w:tab/>
      </w:r>
      <w:r>
        <w:rPr>
          <w:rFonts w:ascii="Times New Roman" w:hAnsi="Times New Roman" w:cs="Times New Roman"/>
          <w:b/>
          <w:bCs/>
          <w:iCs/>
          <w:sz w:val="28"/>
          <w:szCs w:val="28"/>
        </w:rPr>
        <w:t>Patent Ductus arterosus (PDA)</w:t>
      </w:r>
    </w:p>
    <w:p w14:paraId="3D708B6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This is a frequent complication in premature infants. So far, intravenous indomethacin is the standard mode of medical therapy.[22]. However, because of adverse effects of indomethacin, other PG inhibitors such as ibuprofen have been studied for the closure of ductus arteriosus, and results indicated that ibuprofen is</w:t>
      </w:r>
    </w:p>
    <w:p w14:paraId="26C4093E">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as effective as indomethacin.[23]</w:t>
      </w:r>
    </w:p>
    <w:p w14:paraId="3575E1CD">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1.3.2</w:t>
      </w:r>
      <w:r>
        <w:rPr>
          <w:rFonts w:ascii="Times New Roman" w:hAnsi="Times New Roman" w:cs="Times New Roman"/>
          <w:b/>
          <w:bCs/>
          <w:iCs/>
          <w:sz w:val="28"/>
          <w:szCs w:val="28"/>
        </w:rPr>
        <w:tab/>
      </w:r>
      <w:r>
        <w:rPr>
          <w:rFonts w:ascii="Times New Roman" w:hAnsi="Times New Roman" w:cs="Times New Roman"/>
          <w:b/>
          <w:bCs/>
          <w:iCs/>
          <w:sz w:val="28"/>
          <w:szCs w:val="28"/>
        </w:rPr>
        <w:t>Rheumatoid and osteo-arthritis (RA and OA)</w:t>
      </w:r>
    </w:p>
    <w:p w14:paraId="39F284E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widely used in the management of numerous inflammatory, musculoskeletal and rheumatic disorders, because they are highly effective having minimal toxicities.[24],[25]. Ibuprofen 2400 mg per day resulted in rapid improvement and complete resolution of gouty arthritis within 72 hours.26 In doses of approximately 2400 mg daily, it is equivalent to 4g of aspirin in</w:t>
      </w:r>
    </w:p>
    <w:p w14:paraId="2CE4D89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terms od anti inflammatory effects.[27] Higher doses, 1200 to 1600</w:t>
      </w:r>
    </w:p>
    <w:p w14:paraId="7DCF261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mg per day have been compared with a number of NSAIDs and it</w:t>
      </w:r>
    </w:p>
    <w:p w14:paraId="2BD090C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has been found to be as effective and well tolerated.[28]. Osteoarthritis</w:t>
      </w:r>
    </w:p>
    <w:p w14:paraId="71BB683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is very common and treatment involves NSAIDs, particularly ibuprofen.[29],[30] For control of joint symptoms, diclofenac, ibuprofen, tolmetin and naproxen are equally effective.[31]. Roughly 1% of rheumatoid arthritis (RA) patients receiving NSAIDs are prone to develop major GI bleeds.[32]. With ibuprofen, gastric toxicity has been observed in 10 - 32% of patients.[33].</w:t>
      </w:r>
    </w:p>
    <w:p w14:paraId="7579F55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b/>
          <w:bCs/>
          <w:sz w:val="28"/>
          <w:szCs w:val="28"/>
        </w:rPr>
        <w:t xml:space="preserve">Table 1: </w:t>
      </w:r>
      <w:r>
        <w:rPr>
          <w:rFonts w:ascii="Times New Roman" w:hAnsi="Times New Roman" w:cs="Times New Roman"/>
          <w:sz w:val="28"/>
          <w:szCs w:val="28"/>
        </w:rPr>
        <w:t>Doses of Ibuprofen in adult &amp; Children (34)</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192"/>
        <w:gridCol w:w="3192"/>
        <w:gridCol w:w="3192"/>
      </w:tblGrid>
      <w:tr w14:paraId="51E40C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192" w:type="dxa"/>
          </w:tcPr>
          <w:p w14:paraId="1B216C76">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Patient                               </w:t>
            </w:r>
          </w:p>
          <w:p w14:paraId="4350425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Adult                 </w:t>
            </w:r>
          </w:p>
          <w:p w14:paraId="04BE90DB">
            <w:pPr>
              <w:autoSpaceDE w:val="0"/>
              <w:autoSpaceDN w:val="0"/>
              <w:adjustRightInd w:val="0"/>
              <w:spacing w:after="0" w:line="480" w:lineRule="auto"/>
              <w:jc w:val="both"/>
              <w:rPr>
                <w:rFonts w:ascii="Times New Roman" w:hAnsi="Times New Roman" w:cs="Times New Roman"/>
                <w:sz w:val="28"/>
                <w:szCs w:val="28"/>
              </w:rPr>
            </w:pPr>
          </w:p>
          <w:p w14:paraId="1A8822CB">
            <w:pPr>
              <w:autoSpaceDE w:val="0"/>
              <w:autoSpaceDN w:val="0"/>
              <w:adjustRightInd w:val="0"/>
              <w:spacing w:after="0" w:line="480" w:lineRule="auto"/>
              <w:jc w:val="both"/>
              <w:rPr>
                <w:rFonts w:ascii="Times New Roman" w:hAnsi="Times New Roman" w:cs="Times New Roman"/>
                <w:sz w:val="28"/>
                <w:szCs w:val="28"/>
              </w:rPr>
            </w:pPr>
          </w:p>
          <w:p w14:paraId="752F41A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Children     </w:t>
            </w:r>
          </w:p>
        </w:tc>
        <w:tc>
          <w:tcPr>
            <w:tcW w:w="3192" w:type="dxa"/>
          </w:tcPr>
          <w:p w14:paraId="3824E57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w:t>
            </w:r>
          </w:p>
          <w:p w14:paraId="631C6F5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Analgesia</w:t>
            </w:r>
          </w:p>
          <w:p w14:paraId="3982963A">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 inflammatory</w:t>
            </w:r>
          </w:p>
          <w:p w14:paraId="211E737E">
            <w:pPr>
              <w:autoSpaceDE w:val="0"/>
              <w:autoSpaceDN w:val="0"/>
              <w:adjustRightInd w:val="0"/>
              <w:spacing w:after="0" w:line="480" w:lineRule="auto"/>
              <w:jc w:val="both"/>
              <w:rPr>
                <w:rFonts w:ascii="Times New Roman" w:hAnsi="Times New Roman" w:cs="Times New Roman"/>
                <w:sz w:val="28"/>
                <w:szCs w:val="28"/>
              </w:rPr>
            </w:pPr>
          </w:p>
          <w:p w14:paraId="4A45D02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Antipyretic</w:t>
            </w:r>
          </w:p>
          <w:p w14:paraId="107A2E74">
            <w:pPr>
              <w:autoSpaceDE w:val="0"/>
              <w:autoSpaceDN w:val="0"/>
              <w:adjustRightInd w:val="0"/>
              <w:spacing w:after="0" w:line="480" w:lineRule="auto"/>
              <w:jc w:val="both"/>
              <w:rPr>
                <w:rFonts w:ascii="Times New Roman" w:hAnsi="Times New Roman" w:cs="Times New Roman"/>
                <w:sz w:val="28"/>
                <w:szCs w:val="28"/>
              </w:rPr>
            </w:pPr>
          </w:p>
          <w:p w14:paraId="4ABE3212">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Anti-inflamatory</w:t>
            </w:r>
          </w:p>
        </w:tc>
        <w:tc>
          <w:tcPr>
            <w:tcW w:w="3192" w:type="dxa"/>
          </w:tcPr>
          <w:p w14:paraId="4356F1BF">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Doses</w:t>
            </w:r>
          </w:p>
          <w:p w14:paraId="6B6B758A">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200-400mg. Every 4-6hrs</w:t>
            </w:r>
          </w:p>
          <w:p w14:paraId="04D09908">
            <w:pPr>
              <w:autoSpaceDE w:val="0"/>
              <w:autoSpaceDN w:val="0"/>
              <w:adjustRightInd w:val="0"/>
              <w:spacing w:after="0" w:line="240" w:lineRule="auto"/>
              <w:jc w:val="both"/>
              <w:rPr>
                <w:rFonts w:ascii="Times New Roman" w:hAnsi="Times New Roman" w:cs="Times New Roman"/>
                <w:sz w:val="28"/>
                <w:szCs w:val="28"/>
              </w:rPr>
            </w:pPr>
          </w:p>
          <w:p w14:paraId="45BE02A0">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300 mg, Every 6-8 hrs or 400-800 mg 3-4 times daily.</w:t>
            </w:r>
          </w:p>
          <w:p w14:paraId="3D34674F">
            <w:pPr>
              <w:autoSpaceDE w:val="0"/>
              <w:autoSpaceDN w:val="0"/>
              <w:adjustRightInd w:val="0"/>
              <w:spacing w:after="0" w:line="240" w:lineRule="auto"/>
              <w:jc w:val="both"/>
              <w:rPr>
                <w:rFonts w:ascii="Times New Roman" w:hAnsi="Times New Roman" w:cs="Times New Roman"/>
                <w:sz w:val="28"/>
                <w:szCs w:val="28"/>
              </w:rPr>
            </w:pPr>
          </w:p>
          <w:p w14:paraId="4D5EEF59">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5-10 mg/kg. Every 6 hrs (max.</w:t>
            </w:r>
          </w:p>
          <w:p w14:paraId="1C2D1FB8">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40 mg/kg per day).</w:t>
            </w:r>
          </w:p>
          <w:p w14:paraId="6BD64917">
            <w:pPr>
              <w:autoSpaceDE w:val="0"/>
              <w:autoSpaceDN w:val="0"/>
              <w:adjustRightInd w:val="0"/>
              <w:spacing w:after="0" w:line="240" w:lineRule="auto"/>
              <w:jc w:val="both"/>
              <w:rPr>
                <w:rFonts w:ascii="Times New Roman" w:hAnsi="Times New Roman" w:cs="Times New Roman"/>
                <w:sz w:val="28"/>
                <w:szCs w:val="28"/>
              </w:rPr>
            </w:pPr>
          </w:p>
          <w:p w14:paraId="63CED763">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20-40 mg/kg/day in 3-4</w:t>
            </w:r>
          </w:p>
          <w:p w14:paraId="705BCD4E">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divided dose.</w:t>
            </w:r>
          </w:p>
          <w:p w14:paraId="337044A6">
            <w:pPr>
              <w:autoSpaceDE w:val="0"/>
              <w:autoSpaceDN w:val="0"/>
              <w:adjustRightInd w:val="0"/>
              <w:spacing w:after="0" w:line="240" w:lineRule="auto"/>
              <w:jc w:val="both"/>
              <w:rPr>
                <w:rFonts w:ascii="Times New Roman" w:hAnsi="Times New Roman" w:cs="Times New Roman"/>
                <w:sz w:val="28"/>
                <w:szCs w:val="28"/>
              </w:rPr>
            </w:pPr>
          </w:p>
          <w:p w14:paraId="0F93C432">
            <w:pPr>
              <w:autoSpaceDE w:val="0"/>
              <w:autoSpaceDN w:val="0"/>
              <w:adjustRightInd w:val="0"/>
              <w:spacing w:after="0" w:line="240" w:lineRule="auto"/>
              <w:jc w:val="both"/>
              <w:rPr>
                <w:rFonts w:ascii="AJensonPro-Regular" w:hAnsi="AJensonPro-Regular" w:cs="AJensonPro-Regular"/>
                <w:sz w:val="20"/>
                <w:szCs w:val="20"/>
              </w:rPr>
            </w:pPr>
          </w:p>
          <w:p w14:paraId="0CA833F4">
            <w:pPr>
              <w:autoSpaceDE w:val="0"/>
              <w:autoSpaceDN w:val="0"/>
              <w:adjustRightInd w:val="0"/>
              <w:spacing w:after="0" w:line="240" w:lineRule="auto"/>
              <w:jc w:val="both"/>
              <w:rPr>
                <w:rFonts w:ascii="AJensonPro-Regular" w:hAnsi="AJensonPro-Regular" w:cs="AJensonPro-Regular"/>
                <w:sz w:val="20"/>
                <w:szCs w:val="20"/>
              </w:rPr>
            </w:pPr>
          </w:p>
          <w:p w14:paraId="1E31A82B">
            <w:pPr>
              <w:autoSpaceDE w:val="0"/>
              <w:autoSpaceDN w:val="0"/>
              <w:adjustRightInd w:val="0"/>
              <w:spacing w:after="0" w:line="240" w:lineRule="auto"/>
              <w:jc w:val="both"/>
              <w:rPr>
                <w:rFonts w:ascii="AJensonPro-Regular" w:hAnsi="AJensonPro-Regular" w:cs="AJensonPro-Regular"/>
                <w:sz w:val="20"/>
                <w:szCs w:val="20"/>
              </w:rPr>
            </w:pPr>
          </w:p>
          <w:p w14:paraId="7C59EFA5">
            <w:pPr>
              <w:autoSpaceDE w:val="0"/>
              <w:autoSpaceDN w:val="0"/>
              <w:adjustRightInd w:val="0"/>
              <w:spacing w:after="0" w:line="240" w:lineRule="auto"/>
              <w:jc w:val="both"/>
              <w:rPr>
                <w:rFonts w:ascii="Times New Roman" w:hAnsi="Times New Roman" w:cs="Times New Roman"/>
                <w:sz w:val="28"/>
                <w:szCs w:val="28"/>
              </w:rPr>
            </w:pPr>
          </w:p>
        </w:tc>
      </w:tr>
    </w:tbl>
    <w:p w14:paraId="0C226D61">
      <w:pPr>
        <w:autoSpaceDE w:val="0"/>
        <w:autoSpaceDN w:val="0"/>
        <w:adjustRightInd w:val="0"/>
        <w:spacing w:after="0" w:line="480" w:lineRule="auto"/>
        <w:jc w:val="both"/>
        <w:rPr>
          <w:rFonts w:ascii="Times New Roman" w:hAnsi="Times New Roman" w:cs="Times New Roman"/>
          <w:sz w:val="28"/>
          <w:szCs w:val="28"/>
        </w:rPr>
      </w:pPr>
    </w:p>
    <w:p w14:paraId="4D5F572E">
      <w:pPr>
        <w:jc w:val="both"/>
        <w:rPr>
          <w:rFonts w:ascii="Times New Roman" w:hAnsi="Times New Roman" w:cs="Times New Roman"/>
          <w:b/>
          <w:sz w:val="24"/>
          <w:szCs w:val="24"/>
        </w:rPr>
      </w:pPr>
    </w:p>
    <w:p w14:paraId="23863745">
      <w:pPr>
        <w:jc w:val="both"/>
        <w:rPr>
          <w:rFonts w:ascii="Times New Roman" w:hAnsi="Times New Roman" w:cs="Times New Roman"/>
          <w:b/>
          <w:sz w:val="24"/>
          <w:szCs w:val="24"/>
        </w:rPr>
      </w:pPr>
    </w:p>
    <w:p w14:paraId="1F8675A7">
      <w:pPr>
        <w:jc w:val="both"/>
        <w:rPr>
          <w:rFonts w:ascii="Times New Roman" w:hAnsi="Times New Roman" w:cs="Times New Roman"/>
          <w:b/>
          <w:sz w:val="24"/>
          <w:szCs w:val="24"/>
        </w:rPr>
      </w:pPr>
    </w:p>
    <w:p w14:paraId="7DDCA306">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1.3.3</w:t>
      </w:r>
      <w:r>
        <w:rPr>
          <w:rFonts w:ascii="Times New Roman" w:hAnsi="Times New Roman" w:cs="Times New Roman"/>
          <w:b/>
          <w:bCs/>
          <w:iCs/>
          <w:sz w:val="28"/>
          <w:szCs w:val="28"/>
        </w:rPr>
        <w:tab/>
      </w:r>
      <w:r>
        <w:rPr>
          <w:rFonts w:ascii="Times New Roman" w:hAnsi="Times New Roman" w:cs="Times New Roman"/>
          <w:b/>
          <w:bCs/>
          <w:iCs/>
          <w:sz w:val="28"/>
          <w:szCs w:val="28"/>
        </w:rPr>
        <w:t>Cystic fibrosis (CF)</w:t>
      </w:r>
    </w:p>
    <w:p w14:paraId="0A996D1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High dose ibuprofen therapy has also been shown to be effective in decreasing inflammation, probably by decreasing polymorphonuclear cell influx into the lungs.[34]. The risk of developing GI side effects from high dose ibuprofen therapy is low in patients with CF.[35],[36]</w:t>
      </w:r>
    </w:p>
    <w:p w14:paraId="51207F5E">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1.3.4</w:t>
      </w:r>
      <w:r>
        <w:rPr>
          <w:rFonts w:ascii="Times New Roman" w:hAnsi="Times New Roman" w:cs="Times New Roman"/>
          <w:b/>
          <w:bCs/>
          <w:iCs/>
          <w:sz w:val="28"/>
          <w:szCs w:val="28"/>
        </w:rPr>
        <w:tab/>
      </w:r>
      <w:r>
        <w:rPr>
          <w:rFonts w:ascii="Times New Roman" w:hAnsi="Times New Roman" w:cs="Times New Roman"/>
          <w:b/>
          <w:bCs/>
          <w:iCs/>
          <w:sz w:val="28"/>
          <w:szCs w:val="28"/>
        </w:rPr>
        <w:t>Orthostatic hypotension</w:t>
      </w:r>
    </w:p>
    <w:p w14:paraId="31F7784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useful in the treatment of severe orthostatic hypotension as with other NSAIDs.[37]. Toxic effects are unlikely at doses below 100 mg/kg but can be life-threatening or severe above 400 mg/kg.[38].However, large doses do not indicate that the clinical course is likely to be lethal.[39]</w:t>
      </w:r>
    </w:p>
    <w:p w14:paraId="6B5D9657">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1.3.5</w:t>
      </w:r>
      <w:r>
        <w:rPr>
          <w:rFonts w:ascii="Times New Roman" w:hAnsi="Times New Roman" w:cs="Times New Roman"/>
          <w:b/>
          <w:bCs/>
          <w:iCs/>
          <w:sz w:val="28"/>
          <w:szCs w:val="28"/>
        </w:rPr>
        <w:tab/>
      </w:r>
      <w:r>
        <w:rPr>
          <w:rFonts w:ascii="Times New Roman" w:hAnsi="Times New Roman" w:cs="Times New Roman"/>
          <w:b/>
          <w:bCs/>
          <w:iCs/>
          <w:sz w:val="28"/>
          <w:szCs w:val="28"/>
        </w:rPr>
        <w:t>Dental pain</w:t>
      </w:r>
    </w:p>
    <w:p w14:paraId="4EC819C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is one of the most effective and widely used NSAID in treatment of dental pain.[40]. Dental practitioners have relied on ibuprofen and other NSAIDs to manage acute and chronic orofacial pain.[41] A dose of 400 mg of ibuprofen provides effective analgesic for the control of postoperative pain after third molar surgery.[42]. A liquid gel preparation of ibuprofen 400mg provides faster relief and superior overall efficacy in post surgical dental pain.[27]</w:t>
      </w:r>
    </w:p>
    <w:p w14:paraId="49F8F904">
      <w:pPr>
        <w:autoSpaceDE w:val="0"/>
        <w:autoSpaceDN w:val="0"/>
        <w:adjustRightInd w:val="0"/>
        <w:spacing w:after="0" w:line="480" w:lineRule="auto"/>
        <w:jc w:val="both"/>
        <w:rPr>
          <w:rFonts w:ascii="Times New Roman" w:hAnsi="Times New Roman" w:cs="Times New Roman"/>
          <w:b/>
          <w:bCs/>
          <w:i/>
          <w:iCs/>
          <w:sz w:val="28"/>
          <w:szCs w:val="28"/>
        </w:rPr>
      </w:pPr>
    </w:p>
    <w:p w14:paraId="204E3768">
      <w:pPr>
        <w:autoSpaceDE w:val="0"/>
        <w:autoSpaceDN w:val="0"/>
        <w:adjustRightInd w:val="0"/>
        <w:spacing w:after="0" w:line="480" w:lineRule="auto"/>
        <w:jc w:val="both"/>
        <w:rPr>
          <w:rFonts w:ascii="Times New Roman" w:hAnsi="Times New Roman" w:cs="Times New Roman"/>
          <w:b/>
          <w:bCs/>
          <w:i/>
          <w:iCs/>
          <w:sz w:val="28"/>
          <w:szCs w:val="28"/>
        </w:rPr>
      </w:pPr>
    </w:p>
    <w:p w14:paraId="1660DAD1">
      <w:pPr>
        <w:autoSpaceDE w:val="0"/>
        <w:autoSpaceDN w:val="0"/>
        <w:adjustRightInd w:val="0"/>
        <w:spacing w:after="0" w:line="480" w:lineRule="auto"/>
        <w:jc w:val="both"/>
        <w:rPr>
          <w:rFonts w:ascii="Times New Roman" w:hAnsi="Times New Roman" w:cs="Times New Roman"/>
          <w:b/>
          <w:bCs/>
          <w:iCs/>
          <w:sz w:val="28"/>
          <w:szCs w:val="28"/>
        </w:rPr>
      </w:pPr>
    </w:p>
    <w:p w14:paraId="2AB40E0E">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1.3.6</w:t>
      </w:r>
      <w:r>
        <w:rPr>
          <w:rFonts w:ascii="Times New Roman" w:hAnsi="Times New Roman" w:cs="Times New Roman"/>
          <w:b/>
          <w:bCs/>
          <w:iCs/>
          <w:sz w:val="28"/>
          <w:szCs w:val="28"/>
        </w:rPr>
        <w:tab/>
      </w:r>
      <w:r>
        <w:rPr>
          <w:rFonts w:ascii="Times New Roman" w:hAnsi="Times New Roman" w:cs="Times New Roman"/>
          <w:b/>
          <w:bCs/>
          <w:iCs/>
          <w:sz w:val="28"/>
          <w:szCs w:val="28"/>
        </w:rPr>
        <w:t>Dysmenorrhea, fever and headache</w:t>
      </w:r>
    </w:p>
    <w:p w14:paraId="2A317F73">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Non-prescription ibuprofen is useful for managing minor aches and pains, reducing fever and relieving symptoms of dysmenorrhea.[43-45].Dysmenorrhea is the most common menstrual complain.[46].Ibuprofen was superior to placebo for pain relief and menstrual fluid PGF2 alpha suppression.[47]. Cycloxygenase inhibitors reduce</w:t>
      </w:r>
    </w:p>
    <w:p w14:paraId="57C6C259">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amount of menstrual prostanoids release, with concomitant reduction in uterine hyper contractility.[48]. Over-the-counter (OTC) ibuprofen preparations are mainly used for acute indications, such as fever or headaches, especially tension type headache.[49-51.It has been reported that the combined use of  paracetamol</w:t>
      </w:r>
    </w:p>
    <w:p w14:paraId="41DE1461">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and ibuprofen reduce fever very rapidly.[52]. Fever almost invariably accompanies uncomplicated falciparum malaria. In a randomized double-‘blind’ study, a single dose of ibuprofen was compared with paracetamol for the treatment of fever &gt;38·5 °C due to uncomplicated falciparum malaria. Ibuprofen was significantly more</w:t>
      </w:r>
    </w:p>
    <w:p w14:paraId="3984DED7">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effective than paracetamol in lowering temperatures throughout the first 4-5 hrs after dosing and thus should be considered as an antipyretic agent in the management of uncomplicated falciparum infections, providing there is no contraindication to its use.[53]. Evers </w:t>
      </w:r>
      <w:r>
        <w:rPr>
          <w:rFonts w:ascii="Times New Roman" w:hAnsi="Times New Roman" w:cs="Times New Roman"/>
          <w:i/>
          <w:sz w:val="28"/>
          <w:szCs w:val="28"/>
        </w:rPr>
        <w:t>et al</w:t>
      </w:r>
      <w:r>
        <w:rPr>
          <w:rFonts w:ascii="Times New Roman" w:hAnsi="Times New Roman" w:cs="Times New Roman"/>
          <w:sz w:val="28"/>
          <w:szCs w:val="28"/>
        </w:rPr>
        <w:t>. in 2006, conducted a double blind study to investigate the efficacy of zolmitriptan and ibuprofen in the treatment of migraine in children and adolescents. Pain relief rates after two hours were</w:t>
      </w:r>
    </w:p>
    <w:p w14:paraId="7D101D2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28% for placebo, 62% for zolmitriptan and 69% for ibuprofen.[54]</w:t>
      </w:r>
    </w:p>
    <w:p w14:paraId="0B3FAF35">
      <w:pPr>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1.3.7</w:t>
      </w:r>
      <w:r>
        <w:rPr>
          <w:rFonts w:ascii="Times New Roman" w:hAnsi="Times New Roman" w:cs="Times New Roman"/>
          <w:b/>
          <w:bCs/>
          <w:iCs/>
          <w:sz w:val="28"/>
          <w:szCs w:val="28"/>
        </w:rPr>
        <w:tab/>
      </w:r>
      <w:r>
        <w:rPr>
          <w:rFonts w:ascii="Times New Roman" w:hAnsi="Times New Roman" w:cs="Times New Roman"/>
          <w:b/>
          <w:bCs/>
          <w:iCs/>
          <w:sz w:val="28"/>
          <w:szCs w:val="28"/>
        </w:rPr>
        <w:t>Prophylaxis of Alzheimers disease</w:t>
      </w:r>
    </w:p>
    <w:p w14:paraId="5EA12865">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The administration of NSAIDs, particularly ibuprofen markedly reduced neurodegeneration.[55],[56]. In some studies, ibuprofen showed superior results compared to placebo in the prophylaxis of Alzheimer’s disease, when given in low doses over a long time</w:t>
      </w:r>
      <w:r>
        <w:rPr>
          <w:rFonts w:ascii="AJensonPro-Regular" w:hAnsi="AJensonPro-Regular" w:cs="AJensonPro-Regular"/>
          <w:sz w:val="20"/>
          <w:szCs w:val="20"/>
        </w:rPr>
        <w:t xml:space="preserve">. </w:t>
      </w:r>
      <w:r>
        <w:rPr>
          <w:rFonts w:ascii="Times New Roman" w:hAnsi="Times New Roman" w:cs="Times New Roman"/>
          <w:sz w:val="28"/>
          <w:szCs w:val="28"/>
        </w:rPr>
        <w:t>Further studies are needed to confirm the results before ibuprofen can be recommended for this indication.[57]</w:t>
      </w:r>
    </w:p>
    <w:p w14:paraId="492B93D6">
      <w:pPr>
        <w:tabs>
          <w:tab w:val="left" w:pos="2880"/>
        </w:tabs>
        <w:autoSpaceDE w:val="0"/>
        <w:autoSpaceDN w:val="0"/>
        <w:adjustRightInd w:val="0"/>
        <w:spacing w:after="0" w:line="480" w:lineRule="auto"/>
        <w:jc w:val="both"/>
        <w:rPr>
          <w:rFonts w:ascii="Times New Roman" w:hAnsi="Times New Roman" w:cs="Times New Roman"/>
          <w:b/>
          <w:bCs/>
          <w:iCs/>
          <w:sz w:val="28"/>
          <w:szCs w:val="28"/>
        </w:rPr>
      </w:pPr>
      <w:r>
        <w:rPr>
          <w:rFonts w:ascii="Times New Roman" w:hAnsi="Times New Roman" w:cs="Times New Roman"/>
          <w:b/>
          <w:bCs/>
          <w:iCs/>
          <w:sz w:val="28"/>
          <w:szCs w:val="28"/>
        </w:rPr>
        <w:t>1.3.8  Parkinson’s disease (PD)</w:t>
      </w:r>
      <w:r>
        <w:rPr>
          <w:rFonts w:ascii="Times New Roman" w:hAnsi="Times New Roman" w:cs="Times New Roman"/>
          <w:b/>
          <w:bCs/>
          <w:iCs/>
          <w:sz w:val="28"/>
          <w:szCs w:val="28"/>
        </w:rPr>
        <w:tab/>
      </w:r>
    </w:p>
    <w:p w14:paraId="6D80DBFD">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sz w:val="28"/>
          <w:szCs w:val="28"/>
        </w:rPr>
        <w:t>Inflammation and oxidative stress have been implicated as pathogenic mechanisms in PD.[58] Epidemiologic evidence showed that regular use of NSAIDs, particularly non aspirin COX inhibitors such as ibuprofen lower the risk of PD.[59],[60]. It induced apoptosis significantly in early and late stages, suggesting that these anti-inflammatory agents might inhibit microbial proliferation.61</w:t>
      </w:r>
    </w:p>
    <w:p w14:paraId="09FCBAD6">
      <w:pPr>
        <w:autoSpaceDE w:val="0"/>
        <w:autoSpaceDN w:val="0"/>
        <w:adjustRightInd w:val="0"/>
        <w:spacing w:after="0" w:line="480" w:lineRule="auto"/>
        <w:jc w:val="both"/>
        <w:rPr>
          <w:rFonts w:ascii="Times New Roman" w:hAnsi="Times New Roman" w:cs="Times New Roman"/>
          <w:b/>
          <w:bCs/>
          <w:i/>
          <w:iCs/>
          <w:sz w:val="28"/>
          <w:szCs w:val="28"/>
        </w:rPr>
      </w:pPr>
      <w:r>
        <w:rPr>
          <w:rFonts w:ascii="Times New Roman" w:hAnsi="Times New Roman" w:cs="Times New Roman"/>
          <w:b/>
          <w:bCs/>
          <w:iCs/>
          <w:sz w:val="28"/>
          <w:szCs w:val="28"/>
        </w:rPr>
        <w:t>1.3.9</w:t>
      </w:r>
      <w:r>
        <w:rPr>
          <w:rFonts w:ascii="Times New Roman" w:hAnsi="Times New Roman" w:cs="Times New Roman"/>
          <w:b/>
          <w:bCs/>
          <w:iCs/>
          <w:sz w:val="28"/>
          <w:szCs w:val="28"/>
        </w:rPr>
        <w:tab/>
      </w:r>
      <w:r>
        <w:rPr>
          <w:rFonts w:ascii="Times New Roman" w:hAnsi="Times New Roman" w:cs="Times New Roman"/>
          <w:b/>
          <w:bCs/>
          <w:iCs/>
          <w:sz w:val="28"/>
          <w:szCs w:val="28"/>
        </w:rPr>
        <w:t>Breast cancer</w:t>
      </w:r>
    </w:p>
    <w:p w14:paraId="20D854DC">
      <w:pPr>
        <w:autoSpaceDE w:val="0"/>
        <w:autoSpaceDN w:val="0"/>
        <w:adjustRightInd w:val="0"/>
        <w:spacing w:after="0" w:line="480" w:lineRule="auto"/>
        <w:jc w:val="both"/>
        <w:rPr>
          <w:rFonts w:hint="default" w:ascii="Times New Roman" w:hAnsi="Times New Roman" w:cs="Times New Roman"/>
          <w:sz w:val="28"/>
          <w:szCs w:val="28"/>
          <w:lang w:val="en-GB"/>
        </w:rPr>
      </w:pPr>
      <w:r>
        <w:rPr>
          <w:rFonts w:ascii="Times New Roman" w:hAnsi="Times New Roman" w:cs="Times New Roman"/>
          <w:sz w:val="28"/>
          <w:szCs w:val="28"/>
        </w:rPr>
        <w:t>Harris et al. in 1999 conducted a study for utilization of NSAIDs in breast cancer. Breast cancer rate was decreased by approximately 50% with regular ibuprofen intake and 40% with regular aspirin intake. Results suggested that specific NSAIDs may be effective chemo preventive agents against breast cancer.[62]</w:t>
      </w:r>
    </w:p>
    <w:p w14:paraId="444756FA">
      <w:pPr>
        <w:autoSpaceDE w:val="0"/>
        <w:autoSpaceDN w:val="0"/>
        <w:adjustRightInd w:val="0"/>
        <w:spacing w:after="0" w:line="480" w:lineRule="auto"/>
        <w:jc w:val="both"/>
        <w:rPr>
          <w:rFonts w:ascii="Times New Roman" w:hAnsi="Times New Roman" w:cs="Times New Roman"/>
          <w:b/>
          <w:color w:val="000000"/>
          <w:sz w:val="28"/>
          <w:szCs w:val="28"/>
        </w:rPr>
      </w:pPr>
    </w:p>
    <w:p w14:paraId="22C6BDD3">
      <w:pPr>
        <w:autoSpaceDE w:val="0"/>
        <w:autoSpaceDN w:val="0"/>
        <w:adjustRightInd w:val="0"/>
        <w:spacing w:after="0" w:line="480" w:lineRule="auto"/>
        <w:jc w:val="both"/>
        <w:rPr>
          <w:rFonts w:ascii="Times New Roman" w:hAnsi="Times New Roman" w:cs="Times New Roman"/>
          <w:b/>
          <w:color w:val="000000"/>
          <w:sz w:val="28"/>
          <w:szCs w:val="28"/>
        </w:rPr>
      </w:pPr>
    </w:p>
    <w:p w14:paraId="6D4401FE">
      <w:pPr>
        <w:autoSpaceDE w:val="0"/>
        <w:autoSpaceDN w:val="0"/>
        <w:adjustRightInd w:val="0"/>
        <w:spacing w:after="0" w:line="480" w:lineRule="auto"/>
        <w:jc w:val="both"/>
        <w:rPr>
          <w:rFonts w:ascii="Times New Roman" w:hAnsi="Times New Roman" w:cs="Times New Roman"/>
          <w:b/>
          <w:color w:val="000000"/>
          <w:sz w:val="28"/>
          <w:szCs w:val="28"/>
        </w:rPr>
      </w:pPr>
      <w:r>
        <w:rPr>
          <w:rFonts w:ascii="Times New Roman" w:hAnsi="Times New Roman" w:cs="Times New Roman"/>
          <w:b/>
          <w:color w:val="000000"/>
          <w:sz w:val="28"/>
          <w:szCs w:val="28"/>
        </w:rPr>
        <w:t>1.4</w:t>
      </w:r>
      <w:r>
        <w:rPr>
          <w:rFonts w:ascii="Times New Roman" w:hAnsi="Times New Roman" w:cs="Times New Roman"/>
          <w:b/>
          <w:color w:val="000000"/>
          <w:sz w:val="28"/>
          <w:szCs w:val="28"/>
        </w:rPr>
        <w:tab/>
      </w:r>
      <w:r>
        <w:rPr>
          <w:rFonts w:ascii="Times New Roman" w:hAnsi="Times New Roman" w:cs="Times New Roman"/>
          <w:b/>
          <w:color w:val="000000"/>
          <w:sz w:val="28"/>
          <w:szCs w:val="28"/>
        </w:rPr>
        <w:t>Adverse Reactions</w:t>
      </w:r>
    </w:p>
    <w:p w14:paraId="6372B89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NSAIDs are widely used, frequently taken inappropriately and potentially dangerously.[63]. Nevertheless, ibuprofen exhibits few adverse effects.[64] The major adverse reactions include the affects on the gastrointestinal tract (GIT), the kidney and the coagulation system.[65]. Based on clinical trial data, serious GIT reactions prompting withdrawal of treatment because of hematemesis, peptic</w:t>
      </w:r>
    </w:p>
    <w:p w14:paraId="2E20DF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ulcer,[66] and severe gastric pain or vomiting showed an incidence of 1.5% with ibuprofen compared to 1% with placebo and 12.5% with aspirin.[67]. Ibuprofen was a potential cause of GI bleeding,68],[69] increasing the risk of gastric ulcers and damage, renal failure, epistaxis,[70-73] apoptosis,[74] heart failure, hyperkalaemia,[75] confusion and bronchospasm.[76]. It has been estimated that 1 in 5 chronic users(lasting over a long period of time) of NSAIDs will develop gastric damage which can be silent.[77]. Other adverse effects of ibuprofen have been reported less frequently. They include thrombocytopenia, rashes, headache,</w:t>
      </w:r>
    </w:p>
    <w:p w14:paraId="7CB093A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dizziness, blurred vision and in few cases toxic amblyopia, fluid retention and </w:t>
      </w:r>
    </w:p>
    <w:p w14:paraId="5B944B4A">
      <w:pPr>
        <w:autoSpaceDE w:val="0"/>
        <w:autoSpaceDN w:val="0"/>
        <w:adjustRightInd w:val="0"/>
        <w:spacing w:after="0" w:line="480" w:lineRule="auto"/>
        <w:jc w:val="both"/>
        <w:rPr>
          <w:rFonts w:ascii="Times New Roman" w:hAnsi="Times New Roman" w:cs="Times New Roman"/>
          <w:b/>
          <w:sz w:val="24"/>
          <w:szCs w:val="24"/>
        </w:rPr>
      </w:pPr>
      <w:r>
        <w:rPr>
          <w:rFonts w:ascii="Times New Roman" w:hAnsi="Times New Roman" w:cs="Times New Roman"/>
          <w:color w:val="000000"/>
          <w:sz w:val="28"/>
          <w:szCs w:val="28"/>
        </w:rPr>
        <w:t>ibuprofen.[78] Effects on kidney (as with all NSAIDs) include acute renal failure, interstitial nephritis, and nephritic syndrome, but these very rarely occur.[27]</w:t>
      </w:r>
    </w:p>
    <w:p w14:paraId="5AED779F">
      <w:pPr>
        <w:jc w:val="both"/>
        <w:rPr>
          <w:rFonts w:ascii="Times New Roman" w:hAnsi="Times New Roman" w:cs="Times New Roman"/>
          <w:b/>
          <w:sz w:val="28"/>
          <w:szCs w:val="28"/>
        </w:rPr>
      </w:pPr>
      <w:r>
        <w:rPr>
          <w:rFonts w:ascii="Times New Roman" w:hAnsi="Times New Roman" w:cs="Times New Roman"/>
          <w:b/>
          <w:sz w:val="28"/>
          <w:szCs w:val="28"/>
        </w:rPr>
        <w:t xml:space="preserve">   </w:t>
      </w:r>
    </w:p>
    <w:p w14:paraId="6C7C3BEA">
      <w:pPr>
        <w:jc w:val="both"/>
        <w:rPr>
          <w:rFonts w:ascii="Times New Roman" w:hAnsi="Times New Roman" w:cs="Times New Roman"/>
          <w:b/>
          <w:sz w:val="28"/>
          <w:szCs w:val="28"/>
        </w:rPr>
      </w:pPr>
    </w:p>
    <w:p w14:paraId="4A65C927">
      <w:pPr>
        <w:jc w:val="both"/>
        <w:rPr>
          <w:rFonts w:ascii="Times New Roman" w:hAnsi="Times New Roman" w:cs="Times New Roman"/>
          <w:b/>
          <w:sz w:val="28"/>
          <w:szCs w:val="28"/>
        </w:rPr>
      </w:pPr>
    </w:p>
    <w:p w14:paraId="2CD1A31F">
      <w:pPr>
        <w:jc w:val="both"/>
        <w:rPr>
          <w:rFonts w:ascii="Times New Roman" w:hAnsi="Times New Roman" w:cs="Times New Roman"/>
          <w:b/>
          <w:sz w:val="28"/>
          <w:szCs w:val="28"/>
        </w:rPr>
      </w:pPr>
      <w:r>
        <w:rPr>
          <w:rFonts w:ascii="Times New Roman" w:hAnsi="Times New Roman" w:cs="Times New Roman"/>
          <w:b/>
          <w:sz w:val="28"/>
          <w:szCs w:val="28"/>
        </w:rPr>
        <w:t>1.5</w:t>
      </w:r>
      <w:r>
        <w:rPr>
          <w:rFonts w:ascii="Times New Roman" w:hAnsi="Times New Roman" w:cs="Times New Roman"/>
          <w:b/>
          <w:sz w:val="28"/>
          <w:szCs w:val="28"/>
        </w:rPr>
        <w:tab/>
      </w:r>
      <w:r>
        <w:rPr>
          <w:rFonts w:ascii="Times New Roman" w:hAnsi="Times New Roman" w:cs="Times New Roman"/>
          <w:b/>
          <w:sz w:val="28"/>
          <w:szCs w:val="28"/>
        </w:rPr>
        <w:t>LIGAND AND COMPLEX FORMATION</w:t>
      </w:r>
    </w:p>
    <w:p w14:paraId="4F43C821">
      <w:pPr>
        <w:spacing w:line="480" w:lineRule="auto"/>
        <w:jc w:val="both"/>
        <w:rPr>
          <w:rFonts w:ascii="Times New Roman" w:hAnsi="Times New Roman" w:cs="Times New Roman"/>
          <w:sz w:val="28"/>
          <w:szCs w:val="28"/>
        </w:rPr>
      </w:pPr>
      <w:r>
        <w:rPr>
          <w:rFonts w:ascii="Times New Roman" w:hAnsi="Times New Roman" w:cs="Times New Roman"/>
          <w:sz w:val="28"/>
          <w:szCs w:val="28"/>
        </w:rPr>
        <w:t>A ligand is an ion or molecule that donates two or more lone pairs of  electrons to a metal ion to form coordination or dative bond.</w:t>
      </w:r>
    </w:p>
    <w:p w14:paraId="28F5FBE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According to Lewis Theory, ligand is a lewis base due to the electrons they donate to empty orbital. They are either anion or polar molecues. Ligands can be classified based on electron pair they donate according to ligand theory. These includes </w:t>
      </w:r>
    </w:p>
    <w:p w14:paraId="5FF9E760">
      <w:pPr>
        <w:pStyle w:val="12"/>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MONODENTATE LIGAND: they donate one lone pair of electron to neutral metal e.g pt(Cl)</w:t>
      </w:r>
      <w:r>
        <w:rPr>
          <w:rFonts w:ascii="Times New Roman" w:hAnsi="Times New Roman" w:cs="Times New Roman"/>
          <w:sz w:val="28"/>
          <w:szCs w:val="28"/>
          <w:vertAlign w:val="subscript"/>
        </w:rPr>
        <w:t>4.</w:t>
      </w:r>
    </w:p>
    <w:p w14:paraId="04E57F52">
      <w:pPr>
        <w:pStyle w:val="12"/>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Bidentate LIGAND: they donate two lone pair of  electron to neutral matal e.g CH</w:t>
      </w:r>
      <w:r>
        <w:rPr>
          <w:rFonts w:ascii="Times New Roman" w:hAnsi="Times New Roman" w:cs="Times New Roman"/>
          <w:sz w:val="28"/>
          <w:szCs w:val="28"/>
          <w:vertAlign w:val="subscript"/>
        </w:rPr>
        <w:t>3</w:t>
      </w:r>
      <w:r>
        <w:rPr>
          <w:rFonts w:ascii="Times New Roman" w:hAnsi="Times New Roman" w:cs="Times New Roman"/>
          <w:sz w:val="28"/>
          <w:szCs w:val="28"/>
        </w:rPr>
        <w:t>NH</w:t>
      </w:r>
      <w:r>
        <w:rPr>
          <w:rFonts w:ascii="Times New Roman" w:hAnsi="Times New Roman" w:cs="Times New Roman"/>
          <w:sz w:val="28"/>
          <w:szCs w:val="28"/>
          <w:vertAlign w:val="subscript"/>
        </w:rPr>
        <w:t>3</w:t>
      </w:r>
    </w:p>
    <w:p w14:paraId="4E6FDE5F">
      <w:pPr>
        <w:pStyle w:val="12"/>
        <w:numPr>
          <w:ilvl w:val="0"/>
          <w:numId w:val="2"/>
        </w:numPr>
        <w:spacing w:line="480" w:lineRule="auto"/>
        <w:jc w:val="both"/>
        <w:rPr>
          <w:rFonts w:ascii="Times New Roman" w:hAnsi="Times New Roman" w:cs="Times New Roman"/>
          <w:sz w:val="28"/>
          <w:szCs w:val="28"/>
        </w:rPr>
      </w:pPr>
      <w:r>
        <w:rPr>
          <w:rFonts w:ascii="Times New Roman" w:hAnsi="Times New Roman" w:cs="Times New Roman"/>
          <w:sz w:val="28"/>
          <w:szCs w:val="28"/>
        </w:rPr>
        <w:t>POLYDENTATE LIGAND: they donate more than two lone pairs of electron i.e the binding site is beyond one e.g tetraethylenediammine.</w:t>
      </w:r>
      <w:r>
        <w:rPr>
          <w:rFonts w:ascii="Times New Roman" w:hAnsi="Times New Roman" w:cs="Times New Roman"/>
          <w:sz w:val="28"/>
          <w:szCs w:val="28"/>
        </w:rPr>
        <w:tab/>
      </w:r>
    </w:p>
    <w:p w14:paraId="269A991A">
      <w:pPr>
        <w:spacing w:line="480" w:lineRule="auto"/>
        <w:jc w:val="both"/>
        <w:rPr>
          <w:rFonts w:ascii="Times New Roman" w:hAnsi="Times New Roman" w:cs="Times New Roman"/>
          <w:b/>
          <w:sz w:val="28"/>
          <w:szCs w:val="28"/>
        </w:rPr>
      </w:pPr>
      <w:r>
        <w:rPr>
          <w:rFonts w:ascii="Times New Roman" w:hAnsi="Times New Roman" w:cs="Times New Roman"/>
          <w:b/>
          <w:sz w:val="28"/>
          <w:szCs w:val="28"/>
        </w:rPr>
        <w:t>1.6</w:t>
      </w:r>
      <w:r>
        <w:rPr>
          <w:rFonts w:ascii="Times New Roman" w:hAnsi="Times New Roman" w:cs="Times New Roman"/>
          <w:b/>
          <w:sz w:val="28"/>
          <w:szCs w:val="28"/>
        </w:rPr>
        <w:tab/>
      </w:r>
      <w:r>
        <w:rPr>
          <w:rFonts w:ascii="Times New Roman" w:hAnsi="Times New Roman" w:cs="Times New Roman"/>
          <w:b/>
          <w:sz w:val="28"/>
          <w:szCs w:val="28"/>
        </w:rPr>
        <w:t>WHY DRUG-METAL COMPLEX</w:t>
      </w:r>
    </w:p>
    <w:p w14:paraId="64288D9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New development in chemotherapy includes the synthesis and characterization of new drug involving metals. Selective novel metal chelators for the treatment of  diseases that involves metal or mineral inbalance. Promising research involves some complexes with different metal ions including those of cobalt, copper, titanium, iron, platinum , gold, molybdenum, tin and manganese. Drug metal complexes are used in treatment of metal deficiency diseases. </w:t>
      </w:r>
    </w:p>
    <w:p w14:paraId="7983F4CF">
      <w:pPr>
        <w:spacing w:line="480" w:lineRule="auto"/>
        <w:jc w:val="both"/>
        <w:rPr>
          <w:rFonts w:ascii="Times New Roman" w:hAnsi="Times New Roman" w:cs="Times New Roman"/>
          <w:b/>
          <w:sz w:val="28"/>
          <w:szCs w:val="28"/>
        </w:rPr>
      </w:pPr>
      <w:r>
        <w:rPr>
          <w:rFonts w:ascii="Times New Roman" w:hAnsi="Times New Roman" w:cs="Times New Roman"/>
          <w:b/>
          <w:sz w:val="28"/>
          <w:szCs w:val="28"/>
        </w:rPr>
        <w:t>1.7</w:t>
      </w:r>
      <w:r>
        <w:rPr>
          <w:rFonts w:ascii="Times New Roman" w:hAnsi="Times New Roman" w:cs="Times New Roman"/>
          <w:b/>
          <w:sz w:val="28"/>
          <w:szCs w:val="28"/>
        </w:rPr>
        <w:tab/>
      </w:r>
      <w:r>
        <w:rPr>
          <w:rFonts w:ascii="Times New Roman" w:hAnsi="Times New Roman" w:cs="Times New Roman"/>
          <w:b/>
          <w:sz w:val="28"/>
          <w:szCs w:val="28"/>
        </w:rPr>
        <w:t>CHEMISTRY OF TRANSISTION METALS USED</w:t>
      </w:r>
    </w:p>
    <w:p w14:paraId="447356C4">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w:t>
      </w:r>
      <w:r>
        <w:rPr>
          <w:rFonts w:ascii="Times New Roman" w:hAnsi="Times New Roman" w:cs="Times New Roman"/>
          <w:b/>
          <w:sz w:val="28"/>
          <w:szCs w:val="28"/>
        </w:rPr>
        <w:tab/>
      </w:r>
      <w:r>
        <w:rPr>
          <w:rFonts w:ascii="Times New Roman" w:hAnsi="Times New Roman" w:cs="Times New Roman"/>
          <w:b/>
          <w:sz w:val="28"/>
          <w:szCs w:val="28"/>
        </w:rPr>
        <w:t>NICKEL</w:t>
      </w:r>
    </w:p>
    <w:p w14:paraId="65BA618D">
      <w:pPr>
        <w:pStyle w:val="10"/>
        <w:shd w:val="clear" w:color="auto" w:fill="FFFFFF"/>
        <w:spacing w:before="120" w:beforeAutospacing="0" w:after="240" w:afterAutospacing="0" w:line="480" w:lineRule="auto"/>
        <w:jc w:val="both"/>
        <w:rPr>
          <w:color w:val="000000" w:themeColor="text1"/>
          <w:sz w:val="28"/>
          <w:szCs w:val="28"/>
        </w:rPr>
      </w:pPr>
      <w:r>
        <w:rPr>
          <w:b/>
          <w:bCs/>
          <w:color w:val="000000" w:themeColor="text1"/>
          <w:sz w:val="28"/>
          <w:szCs w:val="28"/>
        </w:rPr>
        <w:t>Nickel compounds</w:t>
      </w:r>
      <w:r>
        <w:rPr>
          <w:color w:val="000000" w:themeColor="text1"/>
          <w:sz w:val="28"/>
          <w:szCs w:val="28"/>
        </w:rPr>
        <w:t> are chemical compounds containing the element </w:t>
      </w:r>
      <w:r>
        <w:fldChar w:fldCharType="begin"/>
      </w:r>
      <w:r>
        <w:instrText xml:space="preserve"> HYPERLINK "https://en.wikipedia.org/wiki/Nickel" \o "Nickel" </w:instrText>
      </w:r>
      <w:r>
        <w:fldChar w:fldCharType="separate"/>
      </w:r>
      <w:r>
        <w:rPr>
          <w:rStyle w:val="9"/>
          <w:color w:val="000000" w:themeColor="text1"/>
          <w:sz w:val="28"/>
          <w:szCs w:val="28"/>
          <w:u w:val="none"/>
        </w:rPr>
        <w:t>nickel</w:t>
      </w:r>
      <w:r>
        <w:rPr>
          <w:rStyle w:val="9"/>
          <w:color w:val="000000" w:themeColor="text1"/>
          <w:sz w:val="28"/>
          <w:szCs w:val="28"/>
          <w:u w:val="none"/>
        </w:rPr>
        <w:fldChar w:fldCharType="end"/>
      </w:r>
      <w:r>
        <w:rPr>
          <w:color w:val="000000" w:themeColor="text1"/>
          <w:sz w:val="28"/>
          <w:szCs w:val="28"/>
        </w:rPr>
        <w:t> which is a member of the </w:t>
      </w:r>
      <w:r>
        <w:fldChar w:fldCharType="begin"/>
      </w:r>
      <w:r>
        <w:instrText xml:space="preserve"> HYPERLINK "https://en.wikipedia.org/wiki/Group_10_element" \o "Group 10 element" </w:instrText>
      </w:r>
      <w:r>
        <w:fldChar w:fldCharType="separate"/>
      </w:r>
      <w:r>
        <w:rPr>
          <w:rStyle w:val="9"/>
          <w:color w:val="000000" w:themeColor="text1"/>
          <w:sz w:val="28"/>
          <w:szCs w:val="28"/>
          <w:u w:val="none"/>
        </w:rPr>
        <w:t>group 10</w:t>
      </w:r>
      <w:r>
        <w:rPr>
          <w:rStyle w:val="9"/>
          <w:color w:val="000000" w:themeColor="text1"/>
          <w:sz w:val="28"/>
          <w:szCs w:val="28"/>
          <w:u w:val="none"/>
        </w:rPr>
        <w:fldChar w:fldCharType="end"/>
      </w:r>
      <w:r>
        <w:rPr>
          <w:color w:val="000000" w:themeColor="text1"/>
          <w:sz w:val="28"/>
          <w:szCs w:val="28"/>
        </w:rPr>
        <w:t> of the </w:t>
      </w:r>
      <w:r>
        <w:fldChar w:fldCharType="begin"/>
      </w:r>
      <w:r>
        <w:instrText xml:space="preserve"> HYPERLINK "https://en.wikipedia.org/wiki/Periodic_table" \o "Periodic table" </w:instrText>
      </w:r>
      <w:r>
        <w:fldChar w:fldCharType="separate"/>
      </w:r>
      <w:r>
        <w:rPr>
          <w:rStyle w:val="9"/>
          <w:color w:val="000000" w:themeColor="text1"/>
          <w:sz w:val="28"/>
          <w:szCs w:val="28"/>
          <w:u w:val="none"/>
        </w:rPr>
        <w:t>periodic table</w:t>
      </w:r>
      <w:r>
        <w:rPr>
          <w:rStyle w:val="9"/>
          <w:color w:val="000000" w:themeColor="text1"/>
          <w:sz w:val="28"/>
          <w:szCs w:val="28"/>
          <w:u w:val="none"/>
        </w:rPr>
        <w:fldChar w:fldCharType="end"/>
      </w:r>
      <w:r>
        <w:rPr>
          <w:color w:val="000000" w:themeColor="text1"/>
          <w:sz w:val="28"/>
          <w:szCs w:val="28"/>
        </w:rPr>
        <w:t>. Most compounds in the group have an </w:t>
      </w:r>
      <w:r>
        <w:fldChar w:fldCharType="begin"/>
      </w:r>
      <w:r>
        <w:instrText xml:space="preserve"> HYPERLINK "https://en.wikipedia.org/wiki/Oxidation_state" \o "Oxidation state" </w:instrText>
      </w:r>
      <w:r>
        <w:fldChar w:fldCharType="separate"/>
      </w:r>
      <w:r>
        <w:rPr>
          <w:rStyle w:val="9"/>
          <w:color w:val="000000" w:themeColor="text1"/>
          <w:sz w:val="28"/>
          <w:szCs w:val="28"/>
          <w:u w:val="none"/>
        </w:rPr>
        <w:t>oxidation state</w:t>
      </w:r>
      <w:r>
        <w:rPr>
          <w:rStyle w:val="9"/>
          <w:color w:val="000000" w:themeColor="text1"/>
          <w:sz w:val="28"/>
          <w:szCs w:val="28"/>
          <w:u w:val="none"/>
        </w:rPr>
        <w:fldChar w:fldCharType="end"/>
      </w:r>
      <w:r>
        <w:rPr>
          <w:color w:val="000000" w:themeColor="text1"/>
          <w:sz w:val="28"/>
          <w:szCs w:val="28"/>
        </w:rPr>
        <w:t> of +2. Nickel is classified as a </w:t>
      </w:r>
      <w:r>
        <w:fldChar w:fldCharType="begin"/>
      </w:r>
      <w:r>
        <w:instrText xml:space="preserve"> HYPERLINK "https://en.wikipedia.org/wiki/Transition_metal" \o "Transition metal" </w:instrText>
      </w:r>
      <w:r>
        <w:fldChar w:fldCharType="separate"/>
      </w:r>
      <w:r>
        <w:rPr>
          <w:rStyle w:val="9"/>
          <w:color w:val="000000" w:themeColor="text1"/>
          <w:sz w:val="28"/>
          <w:szCs w:val="28"/>
          <w:u w:val="none"/>
        </w:rPr>
        <w:t>transition metal</w:t>
      </w:r>
      <w:r>
        <w:rPr>
          <w:rStyle w:val="9"/>
          <w:color w:val="000000" w:themeColor="text1"/>
          <w:sz w:val="28"/>
          <w:szCs w:val="28"/>
          <w:u w:val="none"/>
        </w:rPr>
        <w:fldChar w:fldCharType="end"/>
      </w:r>
      <w:r>
        <w:rPr>
          <w:color w:val="000000" w:themeColor="text1"/>
          <w:sz w:val="28"/>
          <w:szCs w:val="28"/>
        </w:rPr>
        <w:t> with nickel(II) having much chemical behavior in common with iron(II) and cobalt(II). Many salts of nickel (II) are </w:t>
      </w:r>
      <w:r>
        <w:fldChar w:fldCharType="begin"/>
      </w:r>
      <w:r>
        <w:instrText xml:space="preserve"> HYPERLINK "https://en.wikipedia.org/wiki/Isomorphous" \o "Isomorphous" </w:instrText>
      </w:r>
      <w:r>
        <w:fldChar w:fldCharType="separate"/>
      </w:r>
      <w:r>
        <w:rPr>
          <w:rStyle w:val="9"/>
          <w:color w:val="000000" w:themeColor="text1"/>
          <w:sz w:val="28"/>
          <w:szCs w:val="28"/>
          <w:u w:val="none"/>
        </w:rPr>
        <w:t>isomorphous</w:t>
      </w:r>
      <w:r>
        <w:rPr>
          <w:rStyle w:val="9"/>
          <w:color w:val="000000" w:themeColor="text1"/>
          <w:sz w:val="28"/>
          <w:szCs w:val="28"/>
          <w:u w:val="none"/>
        </w:rPr>
        <w:fldChar w:fldCharType="end"/>
      </w:r>
      <w:r>
        <w:rPr>
          <w:color w:val="000000" w:themeColor="text1"/>
          <w:sz w:val="28"/>
          <w:szCs w:val="28"/>
        </w:rPr>
        <w:t> with salts of </w:t>
      </w:r>
      <w:r>
        <w:fldChar w:fldCharType="begin"/>
      </w:r>
      <w:r>
        <w:instrText xml:space="preserve"> HYPERLINK "https://en.wikipedia.org/wiki/Magnesium" \o "Magnesium" </w:instrText>
      </w:r>
      <w:r>
        <w:fldChar w:fldCharType="separate"/>
      </w:r>
      <w:r>
        <w:rPr>
          <w:rStyle w:val="9"/>
          <w:color w:val="000000" w:themeColor="text1"/>
          <w:sz w:val="28"/>
          <w:szCs w:val="28"/>
          <w:u w:val="none"/>
        </w:rPr>
        <w:t>magnesium</w:t>
      </w:r>
      <w:r>
        <w:rPr>
          <w:rStyle w:val="9"/>
          <w:color w:val="000000" w:themeColor="text1"/>
          <w:sz w:val="28"/>
          <w:szCs w:val="28"/>
          <w:u w:val="none"/>
        </w:rPr>
        <w:fldChar w:fldCharType="end"/>
      </w:r>
      <w:r>
        <w:rPr>
          <w:color w:val="000000" w:themeColor="text1"/>
          <w:sz w:val="28"/>
          <w:szCs w:val="28"/>
        </w:rPr>
        <w:t> due to the </w:t>
      </w:r>
      <w:r>
        <w:fldChar w:fldCharType="begin"/>
      </w:r>
      <w:r>
        <w:instrText xml:space="preserve"> HYPERLINK "https://en.wikipedia.org/wiki/Ionic_radii" \o "Ionic radii" </w:instrText>
      </w:r>
      <w:r>
        <w:fldChar w:fldCharType="separate"/>
      </w:r>
      <w:r>
        <w:rPr>
          <w:rStyle w:val="9"/>
          <w:color w:val="000000" w:themeColor="text1"/>
          <w:sz w:val="28"/>
          <w:szCs w:val="28"/>
          <w:u w:val="none"/>
        </w:rPr>
        <w:t>ionic radii</w:t>
      </w:r>
      <w:r>
        <w:rPr>
          <w:rStyle w:val="9"/>
          <w:color w:val="000000" w:themeColor="text1"/>
          <w:sz w:val="28"/>
          <w:szCs w:val="28"/>
          <w:u w:val="none"/>
        </w:rPr>
        <w:fldChar w:fldCharType="end"/>
      </w:r>
      <w:r>
        <w:rPr>
          <w:color w:val="000000" w:themeColor="text1"/>
          <w:sz w:val="28"/>
          <w:szCs w:val="28"/>
        </w:rPr>
        <w:t> of the cations being almost the same. Nickel forms many </w:t>
      </w:r>
      <w:r>
        <w:fldChar w:fldCharType="begin"/>
      </w:r>
      <w:r>
        <w:instrText xml:space="preserve"> HYPERLINK "https://en.wikipedia.org/wiki/Coordination_complex" \o "Coordination complex" </w:instrText>
      </w:r>
      <w:r>
        <w:fldChar w:fldCharType="separate"/>
      </w:r>
      <w:r>
        <w:rPr>
          <w:rStyle w:val="9"/>
          <w:color w:val="000000" w:themeColor="text1"/>
          <w:sz w:val="28"/>
          <w:szCs w:val="28"/>
          <w:u w:val="none"/>
        </w:rPr>
        <w:t>coordination complexes</w:t>
      </w:r>
      <w:r>
        <w:rPr>
          <w:rStyle w:val="9"/>
          <w:color w:val="000000" w:themeColor="text1"/>
          <w:sz w:val="28"/>
          <w:szCs w:val="28"/>
          <w:u w:val="none"/>
        </w:rPr>
        <w:fldChar w:fldCharType="end"/>
      </w:r>
      <w:r>
        <w:rPr>
          <w:color w:val="000000" w:themeColor="text1"/>
          <w:sz w:val="28"/>
          <w:szCs w:val="28"/>
        </w:rPr>
        <w:t>. </w:t>
      </w:r>
      <w:r>
        <w:fldChar w:fldCharType="begin"/>
      </w:r>
      <w:r>
        <w:instrText xml:space="preserve"> HYPERLINK "https://en.wikipedia.org/wiki/Nickel_tetracarbonyl" \o "Nickel tetracarbonyl" </w:instrText>
      </w:r>
      <w:r>
        <w:fldChar w:fldCharType="separate"/>
      </w:r>
      <w:r>
        <w:rPr>
          <w:rStyle w:val="9"/>
          <w:color w:val="000000" w:themeColor="text1"/>
          <w:sz w:val="28"/>
          <w:szCs w:val="28"/>
          <w:u w:val="none"/>
        </w:rPr>
        <w:t>Nickel tetracarbonyl</w:t>
      </w:r>
      <w:r>
        <w:rPr>
          <w:rStyle w:val="9"/>
          <w:color w:val="000000" w:themeColor="text1"/>
          <w:sz w:val="28"/>
          <w:szCs w:val="28"/>
          <w:u w:val="none"/>
        </w:rPr>
        <w:fldChar w:fldCharType="end"/>
      </w:r>
      <w:r>
        <w:rPr>
          <w:color w:val="000000" w:themeColor="text1"/>
          <w:sz w:val="28"/>
          <w:szCs w:val="28"/>
        </w:rPr>
        <w:t> was the first pure metal carbonyl produced, and is unusual in its volatility. </w:t>
      </w:r>
      <w:r>
        <w:fldChar w:fldCharType="begin"/>
      </w:r>
      <w:r>
        <w:instrText xml:space="preserve"> HYPERLINK "https://en.wikipedia.org/wiki/Metalloprotein" \o "Metalloprotein" </w:instrText>
      </w:r>
      <w:r>
        <w:fldChar w:fldCharType="separate"/>
      </w:r>
      <w:r>
        <w:rPr>
          <w:rStyle w:val="9"/>
          <w:color w:val="000000" w:themeColor="text1"/>
          <w:sz w:val="28"/>
          <w:szCs w:val="28"/>
          <w:u w:val="none"/>
        </w:rPr>
        <w:t>Metalloproteins</w:t>
      </w:r>
      <w:r>
        <w:rPr>
          <w:rStyle w:val="9"/>
          <w:color w:val="000000" w:themeColor="text1"/>
          <w:sz w:val="28"/>
          <w:szCs w:val="28"/>
          <w:u w:val="none"/>
        </w:rPr>
        <w:fldChar w:fldCharType="end"/>
      </w:r>
      <w:r>
        <w:rPr>
          <w:color w:val="000000" w:themeColor="text1"/>
          <w:sz w:val="28"/>
          <w:szCs w:val="28"/>
        </w:rPr>
        <w:t> containing nickel are found in biological systems. Nickel forms simple binary compounds with non metals including </w:t>
      </w:r>
      <w:r>
        <w:fldChar w:fldCharType="begin"/>
      </w:r>
      <w:r>
        <w:instrText xml:space="preserve"> HYPERLINK "https://en.wikipedia.org/wiki/Halogens" \o "Halogens" </w:instrText>
      </w:r>
      <w:r>
        <w:fldChar w:fldCharType="separate"/>
      </w:r>
      <w:r>
        <w:rPr>
          <w:rStyle w:val="9"/>
          <w:color w:val="000000" w:themeColor="text1"/>
          <w:sz w:val="28"/>
          <w:szCs w:val="28"/>
        </w:rPr>
        <w:t>halogens</w:t>
      </w:r>
      <w:r>
        <w:rPr>
          <w:rStyle w:val="9"/>
          <w:color w:val="000000" w:themeColor="text1"/>
          <w:sz w:val="28"/>
          <w:szCs w:val="28"/>
        </w:rPr>
        <w:fldChar w:fldCharType="end"/>
      </w:r>
      <w:r>
        <w:rPr>
          <w:color w:val="000000" w:themeColor="text1"/>
          <w:sz w:val="28"/>
          <w:szCs w:val="28"/>
        </w:rPr>
        <w:t>, </w:t>
      </w:r>
      <w:r>
        <w:fldChar w:fldCharType="begin"/>
      </w:r>
      <w:r>
        <w:instrText xml:space="preserve"> HYPERLINK "https://en.wikipedia.org/wiki/Chalcogenides" \o "Chalcogenides" </w:instrText>
      </w:r>
      <w:r>
        <w:fldChar w:fldCharType="separate"/>
      </w:r>
      <w:r>
        <w:rPr>
          <w:rStyle w:val="9"/>
          <w:color w:val="000000" w:themeColor="text1"/>
          <w:sz w:val="28"/>
          <w:szCs w:val="28"/>
          <w:u w:val="none"/>
        </w:rPr>
        <w:t>chalcogenides</w:t>
      </w:r>
      <w:r>
        <w:rPr>
          <w:rStyle w:val="9"/>
          <w:color w:val="000000" w:themeColor="text1"/>
          <w:sz w:val="28"/>
          <w:szCs w:val="28"/>
          <w:u w:val="none"/>
        </w:rPr>
        <w:fldChar w:fldCharType="end"/>
      </w:r>
      <w:r>
        <w:rPr>
          <w:color w:val="000000" w:themeColor="text1"/>
          <w:sz w:val="28"/>
          <w:szCs w:val="28"/>
        </w:rPr>
        <w:t>, and </w:t>
      </w:r>
      <w:r>
        <w:fldChar w:fldCharType="begin"/>
      </w:r>
      <w:r>
        <w:instrText xml:space="preserve"> HYPERLINK "https://en.wikipedia.org/wiki/Pnictides" \o "Pnictides" </w:instrText>
      </w:r>
      <w:r>
        <w:fldChar w:fldCharType="separate"/>
      </w:r>
      <w:r>
        <w:rPr>
          <w:rStyle w:val="9"/>
          <w:color w:val="000000" w:themeColor="text1"/>
          <w:sz w:val="28"/>
          <w:szCs w:val="28"/>
          <w:u w:val="none"/>
        </w:rPr>
        <w:t>pnictides</w:t>
      </w:r>
      <w:r>
        <w:rPr>
          <w:rStyle w:val="9"/>
          <w:color w:val="000000" w:themeColor="text1"/>
          <w:sz w:val="28"/>
          <w:szCs w:val="28"/>
          <w:u w:val="none"/>
        </w:rPr>
        <w:fldChar w:fldCharType="end"/>
      </w:r>
      <w:r>
        <w:rPr>
          <w:color w:val="000000" w:themeColor="text1"/>
          <w:sz w:val="28"/>
          <w:szCs w:val="28"/>
        </w:rPr>
        <w:t>. Nickel ions can act as a cation in salts with many acids, including common </w:t>
      </w:r>
      <w:r>
        <w:fldChar w:fldCharType="begin"/>
      </w:r>
      <w:r>
        <w:instrText xml:space="preserve"> HYPERLINK "https://en.wikipedia.org/wiki/Oxoacid" \o "Oxoacid" </w:instrText>
      </w:r>
      <w:r>
        <w:fldChar w:fldCharType="separate"/>
      </w:r>
      <w:r>
        <w:rPr>
          <w:rStyle w:val="9"/>
          <w:color w:val="000000" w:themeColor="text1"/>
          <w:sz w:val="28"/>
          <w:szCs w:val="28"/>
          <w:u w:val="none"/>
        </w:rPr>
        <w:t>oxoacids</w:t>
      </w:r>
      <w:r>
        <w:rPr>
          <w:rStyle w:val="9"/>
          <w:color w:val="000000" w:themeColor="text1"/>
          <w:sz w:val="28"/>
          <w:szCs w:val="28"/>
          <w:u w:val="none"/>
        </w:rPr>
        <w:fldChar w:fldCharType="end"/>
      </w:r>
      <w:r>
        <w:rPr>
          <w:color w:val="000000" w:themeColor="text1"/>
          <w:sz w:val="28"/>
          <w:szCs w:val="28"/>
        </w:rPr>
        <w:t>. Salts of the hexaaqua ion (Ni</w:t>
      </w:r>
      <w:r>
        <w:rPr>
          <w:rStyle w:val="14"/>
          <w:color w:val="000000" w:themeColor="text1"/>
          <w:sz w:val="28"/>
          <w:szCs w:val="28"/>
        </w:rPr>
        <w:t> · 6 </w:t>
      </w:r>
      <w:r>
        <w:fldChar w:fldCharType="begin"/>
      </w:r>
      <w:r>
        <w:instrText xml:space="preserve"> HYPERLINK "https://en.wikipedia.org/wiki/Water_of_crystallization" \o "Water of crystallization" </w:instrText>
      </w:r>
      <w:r>
        <w:fldChar w:fldCharType="separate"/>
      </w:r>
      <w:r>
        <w:rPr>
          <w:rStyle w:val="9"/>
          <w:color w:val="000000" w:themeColor="text1"/>
          <w:sz w:val="28"/>
          <w:szCs w:val="28"/>
        </w:rPr>
        <w:t>H</w:t>
      </w:r>
      <w:r>
        <w:rPr>
          <w:rStyle w:val="9"/>
          <w:color w:val="000000" w:themeColor="text1"/>
          <w:sz w:val="28"/>
          <w:szCs w:val="28"/>
          <w:vertAlign w:val="subscript"/>
        </w:rPr>
        <w:t>2</w:t>
      </w:r>
      <w:r>
        <w:rPr>
          <w:rStyle w:val="9"/>
          <w:color w:val="000000" w:themeColor="text1"/>
          <w:sz w:val="28"/>
          <w:szCs w:val="28"/>
        </w:rPr>
        <w:t>O</w:t>
      </w:r>
      <w:r>
        <w:rPr>
          <w:rStyle w:val="9"/>
          <w:color w:val="000000" w:themeColor="text1"/>
          <w:sz w:val="28"/>
          <w:szCs w:val="28"/>
        </w:rPr>
        <w:fldChar w:fldCharType="end"/>
      </w:r>
      <w:r>
        <w:rPr>
          <w:color w:val="000000" w:themeColor="text1"/>
          <w:sz w:val="28"/>
          <w:szCs w:val="28"/>
          <w:vertAlign w:val="superscript"/>
        </w:rPr>
        <w:t>2+</w:t>
      </w:r>
      <w:r>
        <w:rPr>
          <w:color w:val="000000" w:themeColor="text1"/>
          <w:sz w:val="28"/>
          <w:szCs w:val="28"/>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r>
        <w:fldChar w:fldCharType="begin"/>
      </w:r>
      <w:r>
        <w:instrText xml:space="preserve"> HYPERLINK "https://en.wikipedia.org/wiki/Superconductivity" \o "Superconductivity" </w:instrText>
      </w:r>
      <w:r>
        <w:fldChar w:fldCharType="separate"/>
      </w:r>
      <w:r>
        <w:rPr>
          <w:rStyle w:val="9"/>
          <w:color w:val="000000" w:themeColor="text1"/>
          <w:sz w:val="28"/>
          <w:szCs w:val="28"/>
        </w:rPr>
        <w:t>superconductivity</w:t>
      </w:r>
      <w:r>
        <w:rPr>
          <w:rStyle w:val="9"/>
          <w:color w:val="000000" w:themeColor="text1"/>
          <w:sz w:val="28"/>
          <w:szCs w:val="28"/>
        </w:rPr>
        <w:fldChar w:fldCharType="end"/>
      </w:r>
      <w:r>
        <w:rPr>
          <w:color w:val="000000" w:themeColor="text1"/>
          <w:sz w:val="28"/>
          <w:szCs w:val="28"/>
        </w:rPr>
        <w:t> properties, as nickel is adjacent to copper and iron in the periodic table can form compounds with the same structure as the </w:t>
      </w:r>
      <w:r>
        <w:fldChar w:fldCharType="begin"/>
      </w:r>
      <w:r>
        <w:instrText xml:space="preserve"> HYPERLINK "https://en.wikipedia.org/wiki/High-temperature_superconductor" \o "High-temperature superconductor" </w:instrText>
      </w:r>
      <w:r>
        <w:fldChar w:fldCharType="separate"/>
      </w:r>
      <w:r>
        <w:rPr>
          <w:rStyle w:val="9"/>
          <w:color w:val="000000" w:themeColor="text1"/>
          <w:sz w:val="28"/>
          <w:szCs w:val="28"/>
        </w:rPr>
        <w:t>high-temperature superconductors</w:t>
      </w:r>
      <w:r>
        <w:rPr>
          <w:rStyle w:val="9"/>
          <w:color w:val="000000" w:themeColor="text1"/>
          <w:sz w:val="28"/>
          <w:szCs w:val="28"/>
        </w:rPr>
        <w:fldChar w:fldCharType="end"/>
      </w:r>
      <w:r>
        <w:rPr>
          <w:color w:val="000000" w:themeColor="text1"/>
          <w:sz w:val="28"/>
          <w:szCs w:val="28"/>
        </w:rPr>
        <w:t> that are known.</w:t>
      </w:r>
    </w:p>
    <w:p w14:paraId="1DB955DF">
      <w:pPr>
        <w:pStyle w:val="10"/>
        <w:shd w:val="clear" w:color="auto" w:fill="FFFFFF"/>
        <w:spacing w:before="120" w:beforeAutospacing="0" w:after="240" w:afterAutospacing="0" w:line="480" w:lineRule="auto"/>
        <w:jc w:val="both"/>
        <w:rPr>
          <w:b/>
          <w:color w:val="000000" w:themeColor="text1"/>
          <w:sz w:val="28"/>
          <w:szCs w:val="28"/>
        </w:rPr>
      </w:pPr>
      <w:r>
        <w:rPr>
          <w:b/>
          <w:color w:val="000000" w:themeColor="text1"/>
          <w:sz w:val="28"/>
          <w:szCs w:val="28"/>
        </w:rPr>
        <w:t>1.7.1.1</w:t>
      </w:r>
      <w:r>
        <w:rPr>
          <w:b/>
          <w:color w:val="000000" w:themeColor="text1"/>
          <w:sz w:val="28"/>
          <w:szCs w:val="28"/>
        </w:rPr>
        <w:tab/>
      </w:r>
      <w:r>
        <w:rPr>
          <w:b/>
          <w:color w:val="000000" w:themeColor="text1"/>
          <w:sz w:val="28"/>
          <w:szCs w:val="28"/>
        </w:rPr>
        <w:t>Colour</w:t>
      </w:r>
    </w:p>
    <w:p w14:paraId="7C2CD13F">
      <w:pPr>
        <w:pStyle w:val="10"/>
        <w:shd w:val="clear" w:color="auto" w:fill="FFFFFF"/>
        <w:spacing w:before="120" w:beforeAutospacing="0" w:after="240" w:afterAutospacing="0" w:line="480" w:lineRule="auto"/>
        <w:jc w:val="both"/>
        <w:rPr>
          <w:color w:val="000000" w:themeColor="text1"/>
          <w:sz w:val="28"/>
          <w:szCs w:val="28"/>
        </w:rPr>
      </w:pPr>
      <w:r>
        <w:rPr>
          <w:color w:val="202122"/>
          <w:sz w:val="28"/>
          <w:szCs w:val="28"/>
          <w:shd w:val="clear" w:color="auto" w:fill="FFFFFF"/>
        </w:rPr>
        <w:t>Most of the common </w:t>
      </w:r>
      <w:r>
        <w:fldChar w:fldCharType="begin"/>
      </w:r>
      <w:r>
        <w:instrText xml:space="preserve"> HYPERLINK "https://en.wikipedia.org/wiki/Salt_(chemistry)" \o "Salt (chemistry)" </w:instrText>
      </w:r>
      <w:r>
        <w:fldChar w:fldCharType="separate"/>
      </w:r>
      <w:r>
        <w:rPr>
          <w:rStyle w:val="9"/>
          <w:color w:val="auto"/>
          <w:sz w:val="28"/>
          <w:szCs w:val="28"/>
          <w:u w:val="none"/>
          <w:shd w:val="clear" w:color="auto" w:fill="FFFFFF"/>
        </w:rPr>
        <w:t>salts</w:t>
      </w:r>
      <w:r>
        <w:rPr>
          <w:rStyle w:val="9"/>
          <w:color w:val="auto"/>
          <w:sz w:val="28"/>
          <w:szCs w:val="28"/>
          <w:u w:val="none"/>
          <w:shd w:val="clear" w:color="auto" w:fill="FFFFFF"/>
        </w:rPr>
        <w:fldChar w:fldCharType="end"/>
      </w:r>
      <w:r>
        <w:rPr>
          <w:sz w:val="28"/>
          <w:szCs w:val="28"/>
          <w:shd w:val="clear" w:color="auto" w:fill="FFFFFF"/>
        </w:rPr>
        <w:t> </w:t>
      </w:r>
      <w:r>
        <w:rPr>
          <w:color w:val="202122"/>
          <w:sz w:val="28"/>
          <w:szCs w:val="28"/>
          <w:shd w:val="clear" w:color="auto" w:fill="FFFFFF"/>
        </w:rPr>
        <w:t>of nickel are green due to the presence of hexaaquanickel(II) ion, Ni(H</w:t>
      </w:r>
      <w:r>
        <w:rPr>
          <w:color w:val="202122"/>
          <w:sz w:val="28"/>
          <w:szCs w:val="28"/>
          <w:shd w:val="clear" w:color="auto" w:fill="FFFFFF"/>
          <w:vertAlign w:val="subscript"/>
        </w:rPr>
        <w:t>2</w:t>
      </w:r>
      <w:r>
        <w:rPr>
          <w:color w:val="202122"/>
          <w:sz w:val="28"/>
          <w:szCs w:val="28"/>
          <w:shd w:val="clear" w:color="auto" w:fill="FFFFFF"/>
        </w:rPr>
        <w:t>O)</w:t>
      </w:r>
      <w:r>
        <w:rPr>
          <w:color w:val="202122"/>
          <w:sz w:val="28"/>
          <w:szCs w:val="28"/>
          <w:shd w:val="clear" w:color="auto" w:fill="FFFFFF"/>
          <w:vertAlign w:val="subscript"/>
        </w:rPr>
        <w:t>6</w:t>
      </w:r>
      <w:r>
        <w:rPr>
          <w:color w:val="202122"/>
          <w:sz w:val="28"/>
          <w:szCs w:val="28"/>
          <w:shd w:val="clear" w:color="auto" w:fill="FFFFFF"/>
          <w:vertAlign w:val="superscript"/>
        </w:rPr>
        <w:t>2+</w:t>
      </w:r>
      <w:r>
        <w:rPr>
          <w:color w:val="202122"/>
          <w:sz w:val="28"/>
          <w:szCs w:val="28"/>
          <w:shd w:val="clear" w:color="auto" w:fill="FFFFFF"/>
        </w:rPr>
        <w:t>.</w:t>
      </w:r>
    </w:p>
    <w:p w14:paraId="5C3290AE">
      <w:pPr>
        <w:spacing w:line="480" w:lineRule="auto"/>
        <w:jc w:val="both"/>
        <w:rPr>
          <w:rFonts w:ascii="Times New Roman" w:hAnsi="Times New Roman" w:cs="Times New Roman"/>
          <w:b/>
          <w:sz w:val="28"/>
          <w:szCs w:val="28"/>
        </w:rPr>
      </w:pPr>
      <w:r>
        <w:rPr>
          <w:rFonts w:ascii="Times New Roman" w:hAnsi="Times New Roman" w:cs="Times New Roman"/>
          <w:b/>
          <w:sz w:val="28"/>
          <w:szCs w:val="28"/>
        </w:rPr>
        <w:t>1.7.1.2</w:t>
      </w:r>
      <w:r>
        <w:rPr>
          <w:rFonts w:ascii="Times New Roman" w:hAnsi="Times New Roman" w:cs="Times New Roman"/>
          <w:b/>
          <w:sz w:val="28"/>
          <w:szCs w:val="28"/>
        </w:rPr>
        <w:tab/>
      </w:r>
      <w:r>
        <w:rPr>
          <w:rFonts w:ascii="Times New Roman" w:hAnsi="Times New Roman" w:cs="Times New Roman"/>
          <w:b/>
          <w:sz w:val="28"/>
          <w:szCs w:val="28"/>
        </w:rPr>
        <w:t>Geometry</w:t>
      </w:r>
    </w:p>
    <w:p w14:paraId="02037FA7">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Nickel atoms can connect to surrounding atoms or ligands in a variety of ways. Six coordinated nickel is the most common and is </w:t>
      </w:r>
      <w:r>
        <w:fldChar w:fldCharType="begin"/>
      </w:r>
      <w:r>
        <w:instrText xml:space="preserve"> HYPERLINK "https://en.wikipedia.org/wiki/Octahedral" \o "Octahedral" </w:instrText>
      </w:r>
      <w:r>
        <w:fldChar w:fldCharType="separate"/>
      </w:r>
      <w:r>
        <w:rPr>
          <w:rStyle w:val="9"/>
          <w:rFonts w:ascii="Times New Roman" w:hAnsi="Times New Roman" w:cs="Times New Roman"/>
          <w:color w:val="auto"/>
          <w:sz w:val="28"/>
          <w:szCs w:val="28"/>
          <w:shd w:val="clear" w:color="auto" w:fill="FFFFFF"/>
        </w:rPr>
        <w:t>octahedral</w:t>
      </w:r>
      <w:r>
        <w:rPr>
          <w:rStyle w:val="9"/>
          <w:rFonts w:ascii="Times New Roman" w:hAnsi="Times New Roman" w:cs="Times New Roman"/>
          <w:color w:val="auto"/>
          <w:sz w:val="28"/>
          <w:szCs w:val="28"/>
          <w:shd w:val="clear" w:color="auto" w:fill="FFFFFF"/>
        </w:rPr>
        <w:fldChar w:fldCharType="end"/>
      </w:r>
      <w:r>
        <w:rPr>
          <w:rFonts w:ascii="Times New Roman" w:hAnsi="Times New Roman" w:cs="Times New Roman"/>
          <w:color w:val="202122"/>
          <w:sz w:val="28"/>
          <w:szCs w:val="28"/>
          <w:shd w:val="clear" w:color="auto" w:fill="FFFFFF"/>
        </w:rPr>
        <w:t xml:space="preserve">, but this can be distorted if </w:t>
      </w:r>
      <w:r>
        <w:rPr>
          <w:rFonts w:ascii="Times New Roman" w:hAnsi="Times New Roman" w:cs="Times New Roman"/>
          <w:sz w:val="28"/>
          <w:szCs w:val="28"/>
          <w:shd w:val="clear" w:color="auto" w:fill="FFFFFF"/>
        </w:rPr>
        <w:t>ligands</w:t>
      </w:r>
      <w:r>
        <w:rPr>
          <w:rFonts w:ascii="Times New Roman" w:hAnsi="Times New Roman" w:cs="Times New Roman"/>
          <w:color w:val="202122"/>
          <w:sz w:val="28"/>
          <w:szCs w:val="28"/>
          <w:shd w:val="clear" w:color="auto" w:fill="FFFFFF"/>
        </w:rPr>
        <w:t xml:space="preserve"> are not equivalent. For four coordinate nickel arrangements can be square planar, </w:t>
      </w:r>
      <w:r>
        <w:rPr>
          <w:rFonts w:ascii="Times New Roman" w:hAnsi="Times New Roman" w:cs="Times New Roman"/>
          <w:sz w:val="28"/>
          <w:szCs w:val="28"/>
          <w:shd w:val="clear" w:color="auto" w:fill="FFFFFF"/>
        </w:rPr>
        <w:t>or </w:t>
      </w:r>
      <w:r>
        <w:fldChar w:fldCharType="begin"/>
      </w:r>
      <w:r>
        <w:instrText xml:space="preserve"> HYPERLINK "https://en.wikipedia.org/wiki/Tetrahedral" \o "Tetrahedral" </w:instrText>
      </w:r>
      <w:r>
        <w:fldChar w:fldCharType="separate"/>
      </w:r>
      <w:r>
        <w:rPr>
          <w:rStyle w:val="9"/>
          <w:rFonts w:ascii="Times New Roman" w:hAnsi="Times New Roman" w:cs="Times New Roman"/>
          <w:color w:val="auto"/>
          <w:sz w:val="28"/>
          <w:szCs w:val="28"/>
          <w:u w:val="none"/>
          <w:shd w:val="clear" w:color="auto" w:fill="FFFFFF"/>
        </w:rPr>
        <w:t>tetrahedral</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202122"/>
          <w:sz w:val="28"/>
          <w:szCs w:val="28"/>
          <w:shd w:val="clear" w:color="auto" w:fill="FFFFFF"/>
        </w:rPr>
        <w:t>. Five coordinated nickel is rare.</w:t>
      </w:r>
    </w:p>
    <w:p w14:paraId="429F77AD">
      <w:pPr>
        <w:spacing w:line="480" w:lineRule="auto"/>
        <w:jc w:val="both"/>
        <w:rPr>
          <w:rFonts w:ascii="Times New Roman" w:hAnsi="Times New Roman" w:cs="Times New Roman"/>
          <w:b/>
          <w:color w:val="202122"/>
          <w:sz w:val="28"/>
          <w:szCs w:val="28"/>
          <w:shd w:val="clear" w:color="auto" w:fill="FFFFFF"/>
        </w:rPr>
      </w:pPr>
      <w:r>
        <w:rPr>
          <w:rFonts w:ascii="Times New Roman" w:hAnsi="Times New Roman" w:cs="Times New Roman"/>
          <w:b/>
          <w:color w:val="202122"/>
          <w:sz w:val="28"/>
          <w:szCs w:val="28"/>
          <w:shd w:val="clear" w:color="auto" w:fill="FFFFFF"/>
        </w:rPr>
        <w:t>1.7.1.3</w:t>
      </w:r>
      <w:r>
        <w:rPr>
          <w:rFonts w:ascii="Times New Roman" w:hAnsi="Times New Roman" w:cs="Times New Roman"/>
          <w:b/>
          <w:color w:val="202122"/>
          <w:sz w:val="28"/>
          <w:szCs w:val="28"/>
          <w:shd w:val="clear" w:color="auto" w:fill="FFFFFF"/>
        </w:rPr>
        <w:tab/>
      </w:r>
      <w:r>
        <w:rPr>
          <w:rFonts w:ascii="Times New Roman" w:hAnsi="Times New Roman" w:cs="Times New Roman"/>
          <w:b/>
          <w:color w:val="202122"/>
          <w:sz w:val="28"/>
          <w:szCs w:val="28"/>
          <w:shd w:val="clear" w:color="auto" w:fill="FFFFFF"/>
        </w:rPr>
        <w:t>Complexes</w:t>
      </w:r>
    </w:p>
    <w:p w14:paraId="36F5502F">
      <w:pPr>
        <w:pStyle w:val="10"/>
        <w:shd w:val="clear" w:color="auto" w:fill="FFFFFF"/>
        <w:spacing w:before="120" w:beforeAutospacing="0" w:after="240" w:afterAutospacing="0" w:line="480" w:lineRule="auto"/>
        <w:jc w:val="both"/>
        <w:rPr>
          <w:color w:val="202122"/>
          <w:sz w:val="28"/>
          <w:szCs w:val="28"/>
        </w:rPr>
      </w:pPr>
      <w:r>
        <w:rPr>
          <w:color w:val="202122"/>
          <w:sz w:val="28"/>
          <w:szCs w:val="28"/>
        </w:rPr>
        <w:t>Simple complexes of nickel include hexaquonickel(II),yellow </w:t>
      </w:r>
      <w:r>
        <w:fldChar w:fldCharType="begin"/>
      </w:r>
      <w:r>
        <w:instrText xml:space="preserve"> HYPERLINK "https://en.wikipedia.org/wiki/Tetracyanonickelate" \o "Tetracyanonickelate" </w:instrText>
      </w:r>
      <w:r>
        <w:fldChar w:fldCharType="separate"/>
      </w:r>
      <w:r>
        <w:rPr>
          <w:rStyle w:val="9"/>
          <w:color w:val="auto"/>
          <w:sz w:val="28"/>
          <w:szCs w:val="28"/>
          <w:u w:val="none"/>
        </w:rPr>
        <w:t>tetracyanonickelate</w:t>
      </w:r>
      <w:r>
        <w:rPr>
          <w:rStyle w:val="9"/>
          <w:color w:val="auto"/>
          <w:sz w:val="28"/>
          <w:szCs w:val="28"/>
          <w:u w:val="none"/>
        </w:rPr>
        <w:fldChar w:fldCharType="end"/>
      </w:r>
      <w:r>
        <w:rPr>
          <w:color w:val="202122"/>
          <w:sz w:val="28"/>
          <w:szCs w:val="28"/>
        </w:rPr>
        <w:t> [Ni(CN)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red pentacyanonickelate [Ni(CN)</w:t>
      </w:r>
      <w:r>
        <w:rPr>
          <w:color w:val="202122"/>
          <w:sz w:val="28"/>
          <w:szCs w:val="28"/>
          <w:vertAlign w:val="subscript"/>
        </w:rPr>
        <w:t>5</w:t>
      </w:r>
      <w:r>
        <w:rPr>
          <w:color w:val="202122"/>
          <w:sz w:val="28"/>
          <w:szCs w:val="28"/>
        </w:rPr>
        <w:t>]</w:t>
      </w:r>
      <w:r>
        <w:rPr>
          <w:color w:val="202122"/>
          <w:sz w:val="28"/>
          <w:szCs w:val="28"/>
          <w:vertAlign w:val="superscript"/>
        </w:rPr>
        <w:t>3−</w:t>
      </w:r>
      <w:r>
        <w:rPr>
          <w:color w:val="202122"/>
          <w:sz w:val="28"/>
          <w:szCs w:val="28"/>
        </w:rPr>
        <w:t> only found in solution, [Ni(SCN)</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and [Ni(SCN)</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Halo- complexes include [NiCl</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4</w:t>
      </w:r>
      <w:r>
        <w:rPr>
          <w:color w:val="202122"/>
          <w:sz w:val="28"/>
          <w:szCs w:val="28"/>
        </w:rPr>
        <w:t>]</w:t>
      </w:r>
      <w:r>
        <w:rPr>
          <w:color w:val="202122"/>
          <w:sz w:val="28"/>
          <w:szCs w:val="28"/>
          <w:vertAlign w:val="superscript"/>
        </w:rPr>
        <w:t>2−</w:t>
      </w:r>
      <w:r>
        <w:rPr>
          <w:color w:val="202122"/>
          <w:sz w:val="28"/>
          <w:szCs w:val="28"/>
        </w:rPr>
        <w:t>, [NiF</w:t>
      </w:r>
      <w:r>
        <w:rPr>
          <w:color w:val="202122"/>
          <w:sz w:val="28"/>
          <w:szCs w:val="28"/>
          <w:vertAlign w:val="subscript"/>
        </w:rPr>
        <w:t>6</w:t>
      </w:r>
      <w:r>
        <w:rPr>
          <w:color w:val="202122"/>
          <w:sz w:val="28"/>
          <w:szCs w:val="28"/>
        </w:rPr>
        <w:t>]</w:t>
      </w:r>
      <w:r>
        <w:rPr>
          <w:color w:val="202122"/>
          <w:sz w:val="28"/>
          <w:szCs w:val="28"/>
          <w:vertAlign w:val="superscript"/>
        </w:rPr>
        <w:t>4−</w:t>
      </w:r>
      <w:r>
        <w:rPr>
          <w:color w:val="202122"/>
          <w:sz w:val="28"/>
          <w:szCs w:val="28"/>
        </w:rPr>
        <w:t>, [NiCl</w:t>
      </w:r>
      <w:r>
        <w:rPr>
          <w:color w:val="202122"/>
          <w:sz w:val="28"/>
          <w:szCs w:val="28"/>
          <w:vertAlign w:val="subscript"/>
        </w:rPr>
        <w:t>2</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4</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4</w:t>
      </w:r>
      <w:r>
        <w:rPr>
          <w:color w:val="202122"/>
          <w:sz w:val="28"/>
          <w:szCs w:val="28"/>
        </w:rPr>
        <w:t>(H</w:t>
      </w:r>
      <w:r>
        <w:rPr>
          <w:color w:val="202122"/>
          <w:sz w:val="28"/>
          <w:szCs w:val="28"/>
          <w:vertAlign w:val="subscript"/>
        </w:rPr>
        <w:t>2</w:t>
      </w:r>
      <w:r>
        <w:rPr>
          <w:color w:val="202122"/>
          <w:sz w:val="28"/>
          <w:szCs w:val="28"/>
        </w:rPr>
        <w:t>O)</w:t>
      </w:r>
      <w:r>
        <w:rPr>
          <w:color w:val="202122"/>
          <w:sz w:val="28"/>
          <w:szCs w:val="28"/>
          <w:vertAlign w:val="subscript"/>
        </w:rPr>
        <w:t>2</w:t>
      </w:r>
      <w:r>
        <w:rPr>
          <w:color w:val="202122"/>
          <w:sz w:val="28"/>
          <w:szCs w:val="28"/>
        </w:rPr>
        <w:t>]</w:t>
      </w:r>
      <w:r>
        <w:rPr>
          <w:color w:val="202122"/>
          <w:sz w:val="28"/>
          <w:szCs w:val="28"/>
          <w:vertAlign w:val="superscript"/>
        </w:rPr>
        <w:t>2+</w:t>
      </w:r>
      <w:r>
        <w:rPr>
          <w:color w:val="202122"/>
          <w:sz w:val="28"/>
          <w:szCs w:val="28"/>
        </w:rPr>
        <w:t>, [Ni(NH</w:t>
      </w:r>
      <w:r>
        <w:rPr>
          <w:color w:val="202122"/>
          <w:sz w:val="28"/>
          <w:szCs w:val="28"/>
          <w:vertAlign w:val="subscript"/>
        </w:rPr>
        <w:t>3</w:t>
      </w:r>
      <w:r>
        <w:rPr>
          <w:color w:val="202122"/>
          <w:sz w:val="28"/>
          <w:szCs w:val="28"/>
        </w:rPr>
        <w:t>)</w:t>
      </w:r>
      <w:r>
        <w:rPr>
          <w:color w:val="202122"/>
          <w:sz w:val="28"/>
          <w:szCs w:val="28"/>
          <w:vertAlign w:val="subscript"/>
        </w:rPr>
        <w:t>6</w:t>
      </w:r>
      <w:r>
        <w:rPr>
          <w:color w:val="202122"/>
          <w:sz w:val="28"/>
          <w:szCs w:val="28"/>
        </w:rPr>
        <w:t>]</w:t>
      </w:r>
      <w:r>
        <w:rPr>
          <w:color w:val="202122"/>
          <w:sz w:val="28"/>
          <w:szCs w:val="28"/>
          <w:vertAlign w:val="superscript"/>
        </w:rPr>
        <w:t>2+</w:t>
      </w:r>
      <w:r>
        <w:rPr>
          <w:color w:val="202122"/>
          <w:sz w:val="28"/>
          <w:szCs w:val="28"/>
        </w:rPr>
        <w:t>, [Ni(en)</w:t>
      </w:r>
      <w:r>
        <w:rPr>
          <w:color w:val="202122"/>
          <w:sz w:val="28"/>
          <w:szCs w:val="28"/>
          <w:vertAlign w:val="subscript"/>
        </w:rPr>
        <w:t>3</w:t>
      </w:r>
      <w:r>
        <w:rPr>
          <w:color w:val="202122"/>
          <w:sz w:val="28"/>
          <w:szCs w:val="28"/>
        </w:rPr>
        <w:t>)]</w:t>
      </w:r>
      <w:r>
        <w:rPr>
          <w:color w:val="202122"/>
          <w:sz w:val="28"/>
          <w:szCs w:val="28"/>
          <w:vertAlign w:val="superscript"/>
        </w:rPr>
        <w:t>2+</w:t>
      </w:r>
      <w:r>
        <w:rPr>
          <w:color w:val="202122"/>
          <w:sz w:val="28"/>
          <w:szCs w:val="28"/>
        </w:rPr>
        <w:t>.</w:t>
      </w:r>
      <w:r>
        <w:rPr>
          <w:sz w:val="28"/>
          <w:szCs w:val="28"/>
        </w:rPr>
        <w:t>[78]</w:t>
      </w:r>
      <w:r>
        <w:rPr>
          <w:color w:val="202122"/>
          <w:sz w:val="28"/>
          <w:szCs w:val="28"/>
        </w:rPr>
        <w:t> Some complexes have fivefold  coordination. </w:t>
      </w:r>
      <w:r>
        <w:rPr>
          <w:rStyle w:val="15"/>
          <w:vanish/>
          <w:color w:val="202122"/>
          <w:sz w:val="28"/>
          <w:szCs w:val="28"/>
        </w:rPr>
        <w:t>N[CH2CH2NMe2]3</w:t>
      </w:r>
      <w:r>
        <w:rPr>
          <w:color w:val="202122"/>
          <w:sz w:val="28"/>
          <w:szCs w:val="28"/>
        </w:rPr>
        <w:pict>
          <v:shape id="_x0000_i1025" o:spt="75" alt="{\displaystyle {\ce {N[CH2CH2NMe2]3}}}" type="#_x0000_t75" style="height:24pt;width:24pt;" filled="f" o:preferrelative="t" stroked="f" coordsize="21600,21600">
            <v:path/>
            <v:fill on="f" focussize="0,0"/>
            <v:stroke on="f" joinstyle="miter"/>
            <v:imagedata o:title=""/>
            <o:lock v:ext="edit" aspectratio="t"/>
            <w10:wrap type="none"/>
            <w10:anchorlock/>
          </v:shape>
        </w:pict>
      </w:r>
      <w:r>
        <w:rPr>
          <w:color w:val="202122"/>
          <w:sz w:val="28"/>
          <w:szCs w:val="28"/>
        </w:rPr>
        <w:t> (tris(N,N-dimethyl-2-aminoethyl)amine); P(o-C</w:t>
      </w:r>
      <w:r>
        <w:rPr>
          <w:color w:val="202122"/>
          <w:sz w:val="28"/>
          <w:szCs w:val="28"/>
          <w:vertAlign w:val="subscript"/>
        </w:rPr>
        <w:t>6</w:t>
      </w:r>
      <w:r>
        <w:rPr>
          <w:color w:val="202122"/>
          <w:sz w:val="28"/>
          <w:szCs w:val="28"/>
        </w:rPr>
        <w:t>H</w:t>
      </w:r>
      <w:r>
        <w:rPr>
          <w:color w:val="202122"/>
          <w:sz w:val="28"/>
          <w:szCs w:val="28"/>
          <w:vertAlign w:val="subscript"/>
        </w:rPr>
        <w:t>4</w:t>
      </w:r>
      <w:r>
        <w:rPr>
          <w:color w:val="202122"/>
          <w:sz w:val="28"/>
          <w:szCs w:val="28"/>
        </w:rPr>
        <w:t>SMe)</w:t>
      </w:r>
      <w:r>
        <w:rPr>
          <w:color w:val="202122"/>
          <w:sz w:val="28"/>
          <w:szCs w:val="28"/>
          <w:vertAlign w:val="subscript"/>
        </w:rPr>
        <w:t>3</w:t>
      </w:r>
      <w:r>
        <w:rPr>
          <w:color w:val="202122"/>
          <w:sz w:val="28"/>
          <w:szCs w:val="28"/>
        </w:rPr>
        <w:t>; P(CH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CH</w:t>
      </w:r>
      <w:r>
        <w:rPr>
          <w:color w:val="202122"/>
          <w:sz w:val="28"/>
          <w:szCs w:val="28"/>
          <w:vertAlign w:val="subscript"/>
        </w:rPr>
        <w:t>2</w:t>
      </w:r>
      <w:r>
        <w:rPr>
          <w:color w:val="202122"/>
          <w:sz w:val="28"/>
          <w:szCs w:val="28"/>
        </w:rPr>
        <w:t>AsMe</w:t>
      </w:r>
      <w:r>
        <w:rPr>
          <w:color w:val="202122"/>
          <w:sz w:val="28"/>
          <w:szCs w:val="28"/>
          <w:vertAlign w:val="subscript"/>
        </w:rPr>
        <w:t>2</w:t>
      </w:r>
      <w:r>
        <w:rPr>
          <w:color w:val="202122"/>
          <w:sz w:val="28"/>
          <w:szCs w:val="28"/>
        </w:rPr>
        <w:t>)</w:t>
      </w:r>
      <w:r>
        <w:rPr>
          <w:color w:val="202122"/>
          <w:sz w:val="28"/>
          <w:szCs w:val="28"/>
          <w:vertAlign w:val="subscript"/>
        </w:rPr>
        <w:t>3</w:t>
      </w:r>
      <w:r>
        <w:rPr>
          <w:color w:val="202122"/>
          <w:sz w:val="28"/>
          <w:szCs w:val="28"/>
        </w:rPr>
        <w:t>[78] Other ligands for octahedral coordination include </w:t>
      </w:r>
      <w:r>
        <w:fldChar w:fldCharType="begin"/>
      </w:r>
      <w:r>
        <w:instrText xml:space="preserve"> HYPERLINK "https://en.wikipedia.org/wiki/Triphenylphosphine" \o "Triphenylphosphine" </w:instrText>
      </w:r>
      <w:r>
        <w:fldChar w:fldCharType="separate"/>
      </w:r>
      <w:r>
        <w:rPr>
          <w:rStyle w:val="9"/>
          <w:color w:val="auto"/>
          <w:sz w:val="28"/>
          <w:szCs w:val="28"/>
          <w:u w:val="none"/>
        </w:rPr>
        <w:t>PPh</w:t>
      </w:r>
      <w:r>
        <w:rPr>
          <w:rStyle w:val="9"/>
          <w:color w:val="auto"/>
          <w:sz w:val="28"/>
          <w:szCs w:val="28"/>
          <w:u w:val="none"/>
          <w:vertAlign w:val="subscript"/>
        </w:rPr>
        <w:t>3</w:t>
      </w:r>
      <w:r>
        <w:rPr>
          <w:rStyle w:val="9"/>
          <w:color w:val="auto"/>
          <w:sz w:val="28"/>
          <w:szCs w:val="28"/>
          <w:u w:val="none"/>
          <w:vertAlign w:val="subscript"/>
        </w:rPr>
        <w:fldChar w:fldCharType="end"/>
      </w:r>
      <w:r>
        <w:rPr>
          <w:sz w:val="28"/>
          <w:szCs w:val="28"/>
        </w:rPr>
        <w:t>, </w:t>
      </w:r>
      <w:r>
        <w:fldChar w:fldCharType="begin"/>
      </w:r>
      <w:r>
        <w:instrText xml:space="preserve"> HYPERLINK "https://en.wikipedia.org/wiki/Methyldiphenylphosphine" \o "Methyldiphenylphosphine" </w:instrText>
      </w:r>
      <w:r>
        <w:fldChar w:fldCharType="separate"/>
      </w:r>
      <w:r>
        <w:rPr>
          <w:rStyle w:val="9"/>
          <w:color w:val="auto"/>
          <w:sz w:val="28"/>
          <w:szCs w:val="28"/>
          <w:u w:val="none"/>
        </w:rPr>
        <w:t>PPh</w:t>
      </w:r>
      <w:r>
        <w:rPr>
          <w:rStyle w:val="9"/>
          <w:color w:val="auto"/>
          <w:sz w:val="28"/>
          <w:szCs w:val="28"/>
          <w:u w:val="none"/>
          <w:vertAlign w:val="subscript"/>
        </w:rPr>
        <w:t>2</w:t>
      </w:r>
      <w:r>
        <w:rPr>
          <w:rStyle w:val="9"/>
          <w:color w:val="auto"/>
          <w:sz w:val="28"/>
          <w:szCs w:val="28"/>
          <w:u w:val="none"/>
        </w:rPr>
        <w:t>Me</w:t>
      </w:r>
      <w:r>
        <w:rPr>
          <w:rStyle w:val="9"/>
          <w:color w:val="auto"/>
          <w:sz w:val="28"/>
          <w:szCs w:val="28"/>
          <w:u w:val="none"/>
        </w:rPr>
        <w:fldChar w:fldCharType="end"/>
      </w:r>
      <w:r>
        <w:rPr>
          <w:color w:val="202122"/>
          <w:sz w:val="28"/>
          <w:szCs w:val="28"/>
        </w:rPr>
        <w:t> and</w:t>
      </w:r>
      <w:r>
        <w:rPr>
          <w:sz w:val="28"/>
          <w:szCs w:val="28"/>
        </w:rPr>
        <w:t> </w:t>
      </w:r>
      <w:r>
        <w:fldChar w:fldCharType="begin"/>
      </w:r>
      <w:r>
        <w:instrText xml:space="preserve"> HYPERLINK "https://en.wikipedia.org/wiki/Thiourea" \o "Thiourea" </w:instrText>
      </w:r>
      <w:r>
        <w:fldChar w:fldCharType="separate"/>
      </w:r>
      <w:r>
        <w:rPr>
          <w:rStyle w:val="9"/>
          <w:color w:val="auto"/>
          <w:sz w:val="28"/>
          <w:szCs w:val="28"/>
          <w:u w:val="none"/>
        </w:rPr>
        <w:t>thiourea</w:t>
      </w:r>
      <w:r>
        <w:rPr>
          <w:rStyle w:val="9"/>
          <w:color w:val="auto"/>
          <w:sz w:val="28"/>
          <w:szCs w:val="28"/>
          <w:u w:val="none"/>
        </w:rPr>
        <w:fldChar w:fldCharType="end"/>
      </w:r>
      <w:r>
        <w:rPr>
          <w:color w:val="202122"/>
          <w:sz w:val="28"/>
          <w:szCs w:val="28"/>
        </w:rPr>
        <w:t>.</w:t>
      </w:r>
    </w:p>
    <w:p w14:paraId="23A41419">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Nickel tetrahedral complexes are often bright blue and 20 times or more intensely coloured than the octahedral complexes.[78].The ligands can include selections of neutral </w:t>
      </w:r>
      <w:r>
        <w:fldChar w:fldCharType="begin"/>
      </w:r>
      <w:r>
        <w:instrText xml:space="preserve"> HYPERLINK "https://en.wikipedia.org/wiki/Amine" \o "Amine" </w:instrText>
      </w:r>
      <w:r>
        <w:fldChar w:fldCharType="separate"/>
      </w:r>
      <w:r>
        <w:rPr>
          <w:rStyle w:val="9"/>
          <w:color w:val="auto"/>
          <w:sz w:val="28"/>
          <w:szCs w:val="28"/>
          <w:u w:val="none"/>
        </w:rPr>
        <w:t>amines</w:t>
      </w:r>
      <w:r>
        <w:rPr>
          <w:rStyle w:val="9"/>
          <w:color w:val="auto"/>
          <w:sz w:val="28"/>
          <w:szCs w:val="28"/>
          <w:u w:val="none"/>
        </w:rPr>
        <w:fldChar w:fldCharType="end"/>
      </w:r>
      <w:r>
        <w:rPr>
          <w:sz w:val="28"/>
          <w:szCs w:val="28"/>
        </w:rPr>
        <w:t>, </w:t>
      </w:r>
      <w:r>
        <w:fldChar w:fldCharType="begin"/>
      </w:r>
      <w:r>
        <w:instrText xml:space="preserve"> HYPERLINK "https://en.wikipedia.org/wiki/Arsine" \o "Arsine" </w:instrText>
      </w:r>
      <w:r>
        <w:fldChar w:fldCharType="separate"/>
      </w:r>
      <w:r>
        <w:rPr>
          <w:rStyle w:val="9"/>
          <w:color w:val="auto"/>
          <w:sz w:val="28"/>
          <w:szCs w:val="28"/>
          <w:u w:val="none"/>
        </w:rPr>
        <w:t>arsines</w:t>
      </w:r>
      <w:r>
        <w:rPr>
          <w:rStyle w:val="9"/>
          <w:color w:val="auto"/>
          <w:sz w:val="28"/>
          <w:szCs w:val="28"/>
          <w:u w:val="none"/>
        </w:rPr>
        <w:fldChar w:fldCharType="end"/>
      </w:r>
      <w:r>
        <w:rPr>
          <w:sz w:val="28"/>
          <w:szCs w:val="28"/>
        </w:rPr>
        <w:t>, </w:t>
      </w:r>
      <w:r>
        <w:fldChar w:fldCharType="begin"/>
      </w:r>
      <w:r>
        <w:instrText xml:space="preserve"> HYPERLINK "https://en.wikipedia.org/w/index.php?title=Arsine_oxide&amp;action=edit&amp;redlink=1" \o "Arsine oxide (page does not exist)" </w:instrText>
      </w:r>
      <w:r>
        <w:fldChar w:fldCharType="separate"/>
      </w:r>
      <w:r>
        <w:rPr>
          <w:rStyle w:val="9"/>
          <w:color w:val="auto"/>
          <w:sz w:val="28"/>
          <w:szCs w:val="28"/>
          <w:u w:val="none"/>
        </w:rPr>
        <w:t>arsine oxides</w:t>
      </w:r>
      <w:r>
        <w:rPr>
          <w:rStyle w:val="9"/>
          <w:color w:val="auto"/>
          <w:sz w:val="28"/>
          <w:szCs w:val="28"/>
          <w:u w:val="none"/>
        </w:rPr>
        <w:fldChar w:fldCharType="end"/>
      </w:r>
      <w:r>
        <w:rPr>
          <w:sz w:val="28"/>
          <w:szCs w:val="28"/>
        </w:rPr>
        <w:t>, </w:t>
      </w:r>
      <w:r>
        <w:fldChar w:fldCharType="begin"/>
      </w:r>
      <w:r>
        <w:instrText xml:space="preserve"> HYPERLINK "https://en.wikipedia.org/wiki/Phosphine" \o "Phosphine" </w:instrText>
      </w:r>
      <w:r>
        <w:fldChar w:fldCharType="separate"/>
      </w:r>
      <w:r>
        <w:rPr>
          <w:rStyle w:val="9"/>
          <w:color w:val="auto"/>
          <w:sz w:val="28"/>
          <w:szCs w:val="28"/>
          <w:u w:val="none"/>
        </w:rPr>
        <w:t>phosphines</w:t>
      </w:r>
      <w:r>
        <w:rPr>
          <w:rStyle w:val="9"/>
          <w:color w:val="auto"/>
          <w:sz w:val="28"/>
          <w:szCs w:val="28"/>
          <w:u w:val="none"/>
        </w:rPr>
        <w:fldChar w:fldCharType="end"/>
      </w:r>
      <w:r>
        <w:rPr>
          <w:sz w:val="28"/>
          <w:szCs w:val="28"/>
        </w:rPr>
        <w:t> or </w:t>
      </w:r>
      <w:r>
        <w:fldChar w:fldCharType="begin"/>
      </w:r>
      <w:r>
        <w:instrText xml:space="preserve"> HYPERLINK "https://en.wikipedia.org/wiki/Phosphine_oxide" \o "Phosphine oxide" </w:instrText>
      </w:r>
      <w:r>
        <w:fldChar w:fldCharType="separate"/>
      </w:r>
      <w:r>
        <w:rPr>
          <w:rStyle w:val="9"/>
          <w:color w:val="auto"/>
          <w:sz w:val="28"/>
          <w:szCs w:val="28"/>
          <w:u w:val="none"/>
        </w:rPr>
        <w:t>phosphine oxides</w:t>
      </w:r>
      <w:r>
        <w:rPr>
          <w:rStyle w:val="9"/>
          <w:color w:val="auto"/>
          <w:sz w:val="28"/>
          <w:szCs w:val="28"/>
          <w:u w:val="none"/>
        </w:rPr>
        <w:fldChar w:fldCharType="end"/>
      </w:r>
      <w:r>
        <w:rPr>
          <w:color w:val="202122"/>
          <w:sz w:val="28"/>
          <w:szCs w:val="28"/>
        </w:rPr>
        <w:t> and halogens. Several nickel atoms can cluster together in a compound with other elements to produce nickel cluster complexes. One example where nickel atoms form a square pyramid is a nickel hydride cluster complexed by</w:t>
      </w:r>
      <w:r>
        <w:rPr>
          <w:sz w:val="28"/>
          <w:szCs w:val="28"/>
        </w:rPr>
        <w:t> </w:t>
      </w:r>
      <w:r>
        <w:fldChar w:fldCharType="begin"/>
      </w:r>
      <w:r>
        <w:instrText xml:space="preserve"> HYPERLINK "https://en.wikipedia.org/wiki/Triphenyl_phosphine" \o "Triphenyl phosphine" </w:instrText>
      </w:r>
      <w:r>
        <w:fldChar w:fldCharType="separate"/>
      </w:r>
      <w:r>
        <w:rPr>
          <w:rStyle w:val="9"/>
          <w:color w:val="auto"/>
          <w:sz w:val="28"/>
          <w:szCs w:val="28"/>
          <w:u w:val="none"/>
        </w:rPr>
        <w:t>triphenyl phosphine</w:t>
      </w:r>
      <w:r>
        <w:rPr>
          <w:rStyle w:val="9"/>
          <w:color w:val="auto"/>
          <w:sz w:val="28"/>
          <w:szCs w:val="28"/>
          <w:u w:val="none"/>
        </w:rPr>
        <w:fldChar w:fldCharType="end"/>
      </w:r>
      <w:r>
        <w:rPr>
          <w:color w:val="202122"/>
          <w:sz w:val="28"/>
          <w:szCs w:val="28"/>
        </w:rPr>
        <w:t> ligands and bonding a hydrogen atom on each edge. Another example has a square planar Ni</w:t>
      </w:r>
      <w:r>
        <w:rPr>
          <w:color w:val="202122"/>
          <w:sz w:val="28"/>
          <w:szCs w:val="28"/>
          <w:vertAlign w:val="subscript"/>
        </w:rPr>
        <w:t>4</w:t>
      </w:r>
      <w:r>
        <w:rPr>
          <w:color w:val="202122"/>
          <w:sz w:val="28"/>
          <w:szCs w:val="28"/>
        </w:rPr>
        <w:t>H</w:t>
      </w:r>
      <w:r>
        <w:rPr>
          <w:color w:val="202122"/>
          <w:sz w:val="28"/>
          <w:szCs w:val="28"/>
          <w:vertAlign w:val="subscript"/>
        </w:rPr>
        <w:t>4</w:t>
      </w:r>
      <w:r>
        <w:rPr>
          <w:color w:val="202122"/>
          <w:sz w:val="28"/>
          <w:szCs w:val="28"/>
        </w:rPr>
        <w:t> shape in its core.[79] .</w:t>
      </w:r>
      <w:r>
        <w:fldChar w:fldCharType="begin"/>
      </w:r>
      <w:r>
        <w:instrText xml:space="preserve"> HYPERLINK "https://en.wikipedia.org/wiki/Nickel_bis(dimethylglyoximate)" \o "Nickel bis(dimethylglyoximate)" </w:instrText>
      </w:r>
      <w:r>
        <w:fldChar w:fldCharType="separate"/>
      </w:r>
      <w:r>
        <w:rPr>
          <w:rStyle w:val="9"/>
          <w:color w:val="auto"/>
          <w:sz w:val="28"/>
          <w:szCs w:val="28"/>
          <w:u w:val="none"/>
        </w:rPr>
        <w:t>Nickel bis(dimethylglyoximate)</w:t>
      </w:r>
      <w:r>
        <w:rPr>
          <w:rStyle w:val="9"/>
          <w:color w:val="auto"/>
          <w:sz w:val="28"/>
          <w:szCs w:val="28"/>
          <w:u w:val="none"/>
        </w:rPr>
        <w:fldChar w:fldCharType="end"/>
      </w:r>
      <w:r>
        <w:rPr>
          <w:color w:val="202122"/>
          <w:sz w:val="28"/>
          <w:szCs w:val="28"/>
        </w:rPr>
        <w:t>, an insoluble red solid is important for </w:t>
      </w:r>
      <w:r>
        <w:fldChar w:fldCharType="begin"/>
      </w:r>
      <w:r>
        <w:instrText xml:space="preserve"> HYPERLINK "https://en.wikipedia.org/wiki/Gravimetric_analysis" \o "Gravimetric analysis" </w:instrText>
      </w:r>
      <w:r>
        <w:fldChar w:fldCharType="separate"/>
      </w:r>
      <w:r>
        <w:rPr>
          <w:rStyle w:val="9"/>
          <w:color w:val="auto"/>
          <w:sz w:val="28"/>
          <w:szCs w:val="28"/>
          <w:u w:val="none"/>
        </w:rPr>
        <w:t>gravimetric analysis</w:t>
      </w:r>
      <w:r>
        <w:rPr>
          <w:rStyle w:val="9"/>
          <w:color w:val="auto"/>
          <w:sz w:val="28"/>
          <w:szCs w:val="28"/>
          <w:u w:val="none"/>
        </w:rPr>
        <w:fldChar w:fldCharType="end"/>
      </w:r>
      <w:r>
        <w:t xml:space="preserve">. </w:t>
      </w:r>
    </w:p>
    <w:p w14:paraId="4BFF44E3">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1.7.2</w:t>
      </w:r>
      <w:r>
        <w:rPr>
          <w:b/>
          <w:color w:val="202122"/>
          <w:sz w:val="28"/>
          <w:szCs w:val="28"/>
        </w:rPr>
        <w:tab/>
      </w:r>
      <w:r>
        <w:rPr>
          <w:b/>
          <w:color w:val="202122"/>
          <w:sz w:val="28"/>
          <w:szCs w:val="28"/>
        </w:rPr>
        <w:t>COPPER</w:t>
      </w:r>
    </w:p>
    <w:p w14:paraId="30CD26FB">
      <w:pPr>
        <w:pStyle w:val="10"/>
        <w:shd w:val="clear" w:color="auto" w:fill="FFFFFF"/>
        <w:spacing w:before="120" w:beforeAutospacing="0" w:after="240" w:afterAutospacing="0" w:line="480" w:lineRule="auto"/>
        <w:jc w:val="both"/>
        <w:rPr>
          <w:color w:val="202122"/>
          <w:sz w:val="28"/>
          <w:szCs w:val="28"/>
        </w:rPr>
      </w:pPr>
      <w:r>
        <w:rPr>
          <w:color w:val="202122"/>
          <w:sz w:val="28"/>
          <w:szCs w:val="28"/>
        </w:rPr>
        <w:t>Copper along with silver and gold belong to group 1B in the periodic table. These three metals are often referred to as coinage metals. Copper has the electronic configuration of 1S</w:t>
      </w:r>
      <w:r>
        <w:rPr>
          <w:color w:val="202122"/>
          <w:sz w:val="28"/>
          <w:szCs w:val="28"/>
          <w:vertAlign w:val="superscript"/>
        </w:rPr>
        <w:t>2</w:t>
      </w:r>
      <w:r>
        <w:rPr>
          <w:color w:val="202122"/>
          <w:sz w:val="28"/>
          <w:szCs w:val="28"/>
        </w:rPr>
        <w:t>2S</w:t>
      </w:r>
      <w:r>
        <w:rPr>
          <w:color w:val="202122"/>
          <w:sz w:val="28"/>
          <w:szCs w:val="28"/>
          <w:vertAlign w:val="superscript"/>
        </w:rPr>
        <w:t>2</w:t>
      </w:r>
      <w:r>
        <w:rPr>
          <w:color w:val="202122"/>
          <w:sz w:val="28"/>
          <w:szCs w:val="28"/>
        </w:rPr>
        <w:t>2P</w:t>
      </w:r>
      <w:r>
        <w:rPr>
          <w:color w:val="202122"/>
          <w:sz w:val="28"/>
          <w:szCs w:val="28"/>
          <w:vertAlign w:val="superscript"/>
        </w:rPr>
        <w:t>6</w:t>
      </w:r>
      <w:r>
        <w:rPr>
          <w:color w:val="202122"/>
          <w:sz w:val="28"/>
          <w:szCs w:val="28"/>
        </w:rPr>
        <w:t>3S</w:t>
      </w:r>
      <w:r>
        <w:rPr>
          <w:color w:val="202122"/>
          <w:sz w:val="28"/>
          <w:szCs w:val="28"/>
          <w:vertAlign w:val="superscript"/>
        </w:rPr>
        <w:t>2</w:t>
      </w:r>
      <w:r>
        <w:rPr>
          <w:color w:val="202122"/>
          <w:sz w:val="28"/>
          <w:szCs w:val="28"/>
        </w:rPr>
        <w:t>3P</w:t>
      </w:r>
      <w:r>
        <w:rPr>
          <w:color w:val="202122"/>
          <w:sz w:val="28"/>
          <w:szCs w:val="28"/>
          <w:vertAlign w:val="superscript"/>
        </w:rPr>
        <w:t>6</w:t>
      </w:r>
      <w:r>
        <w:rPr>
          <w:color w:val="202122"/>
          <w:sz w:val="28"/>
          <w:szCs w:val="28"/>
        </w:rPr>
        <w:t>3d</w:t>
      </w:r>
      <w:r>
        <w:rPr>
          <w:color w:val="202122"/>
          <w:sz w:val="28"/>
          <w:szCs w:val="28"/>
          <w:vertAlign w:val="superscript"/>
        </w:rPr>
        <w:t>10</w:t>
      </w:r>
      <w:r>
        <w:rPr>
          <w:color w:val="202122"/>
          <w:sz w:val="28"/>
          <w:szCs w:val="28"/>
        </w:rPr>
        <w:t>4S</w:t>
      </w:r>
      <w:r>
        <w:rPr>
          <w:color w:val="202122"/>
          <w:sz w:val="28"/>
          <w:szCs w:val="28"/>
          <w:vertAlign w:val="superscript"/>
        </w:rPr>
        <w:t>1.</w:t>
      </w:r>
      <w:r>
        <w:rPr>
          <w:color w:val="202122"/>
          <w:sz w:val="28"/>
          <w:szCs w:val="28"/>
        </w:rPr>
        <w:t xml:space="preserve"> Copper is a tough, malleable, ductile metal which resist chemical attack. It has an atomic number of 29, atomic mass of 63.54 and belongs to period 4 and sub-group1B on the periodic table; it has two natural isotopes with atomic masses between 58 and 68. Copper has a melting point of 1083</w:t>
      </w:r>
      <w:r>
        <w:rPr>
          <w:color w:val="202122"/>
          <w:sz w:val="28"/>
          <w:szCs w:val="28"/>
          <w:vertAlign w:val="superscript"/>
        </w:rPr>
        <w:t>0</w:t>
      </w:r>
      <w:r>
        <w:rPr>
          <w:color w:val="202122"/>
          <w:sz w:val="28"/>
          <w:szCs w:val="28"/>
        </w:rPr>
        <w:t>C, boiling point of 259</w:t>
      </w:r>
      <w:r>
        <w:rPr>
          <w:color w:val="202122"/>
          <w:sz w:val="28"/>
          <w:szCs w:val="28"/>
          <w:vertAlign w:val="superscript"/>
        </w:rPr>
        <w:t>0</w:t>
      </w:r>
      <w:r>
        <w:rPr>
          <w:color w:val="202122"/>
          <w:sz w:val="28"/>
          <w:szCs w:val="28"/>
        </w:rPr>
        <w:t>C and a density of 8.93g/cm</w:t>
      </w:r>
      <w:r>
        <w:rPr>
          <w:color w:val="202122"/>
          <w:sz w:val="28"/>
          <w:szCs w:val="28"/>
          <w:vertAlign w:val="superscript"/>
        </w:rPr>
        <w:t>3.</w:t>
      </w:r>
    </w:p>
    <w:p w14:paraId="5BA3A355">
      <w:pPr>
        <w:pStyle w:val="2"/>
        <w:shd w:val="clear" w:color="auto" w:fill="FFFFFF"/>
        <w:spacing w:before="60" w:beforeAutospacing="0" w:after="60" w:afterAutospacing="0"/>
        <w:jc w:val="both"/>
        <w:rPr>
          <w:rStyle w:val="17"/>
          <w:sz w:val="28"/>
          <w:szCs w:val="28"/>
        </w:rPr>
      </w:pPr>
    </w:p>
    <w:p w14:paraId="485BBCB3">
      <w:pPr>
        <w:pStyle w:val="2"/>
        <w:shd w:val="clear" w:color="auto" w:fill="FFFFFF"/>
        <w:spacing w:before="60" w:beforeAutospacing="0" w:after="60" w:afterAutospacing="0"/>
        <w:jc w:val="both"/>
        <w:rPr>
          <w:rStyle w:val="17"/>
          <w:sz w:val="28"/>
          <w:szCs w:val="28"/>
        </w:rPr>
      </w:pPr>
    </w:p>
    <w:p w14:paraId="22D95D7A">
      <w:pPr>
        <w:pStyle w:val="2"/>
        <w:shd w:val="clear" w:color="auto" w:fill="FFFFFF"/>
        <w:spacing w:before="60" w:beforeAutospacing="0" w:after="60" w:afterAutospacing="0"/>
        <w:jc w:val="both"/>
        <w:rPr>
          <w:rStyle w:val="17"/>
          <w:sz w:val="28"/>
          <w:szCs w:val="28"/>
        </w:rPr>
      </w:pPr>
    </w:p>
    <w:p w14:paraId="2487C747">
      <w:pPr>
        <w:pStyle w:val="2"/>
        <w:shd w:val="clear" w:color="auto" w:fill="FFFFFF"/>
        <w:spacing w:before="60" w:beforeAutospacing="0" w:after="60" w:afterAutospacing="0"/>
        <w:jc w:val="both"/>
        <w:rPr>
          <w:sz w:val="28"/>
          <w:szCs w:val="28"/>
        </w:rPr>
      </w:pPr>
      <w:r>
        <w:rPr>
          <w:rStyle w:val="17"/>
          <w:sz w:val="28"/>
          <w:szCs w:val="28"/>
        </w:rPr>
        <w:t>1.7.2.1</w:t>
      </w:r>
      <w:r>
        <w:rPr>
          <w:rStyle w:val="17"/>
          <w:sz w:val="28"/>
          <w:szCs w:val="28"/>
        </w:rPr>
        <w:tab/>
      </w:r>
      <w:r>
        <w:rPr>
          <w:rStyle w:val="17"/>
          <w:sz w:val="28"/>
          <w:szCs w:val="28"/>
        </w:rPr>
        <w:t>Deficiency</w:t>
      </w:r>
    </w:p>
    <w:p w14:paraId="4D67C941">
      <w:pPr>
        <w:pStyle w:val="10"/>
        <w:shd w:val="clear" w:color="auto" w:fill="FFFFFF"/>
        <w:spacing w:before="120" w:beforeAutospacing="0" w:after="240" w:afterAutospacing="0" w:line="480" w:lineRule="auto"/>
        <w:jc w:val="both"/>
        <w:rPr>
          <w:color w:val="202122"/>
          <w:sz w:val="28"/>
          <w:szCs w:val="28"/>
        </w:rPr>
      </w:pPr>
      <w:r>
        <w:rPr>
          <w:color w:val="202122"/>
          <w:sz w:val="28"/>
          <w:szCs w:val="28"/>
        </w:rPr>
        <w:t>Because of its role in facilitating iron uptake</w:t>
      </w:r>
      <w:r>
        <w:rPr>
          <w:sz w:val="28"/>
          <w:szCs w:val="28"/>
        </w:rPr>
        <w:t>, </w:t>
      </w:r>
      <w:r>
        <w:fldChar w:fldCharType="begin"/>
      </w:r>
      <w:r>
        <w:instrText xml:space="preserve"> HYPERLINK "https://en.wikipedia.org/wiki/Copper_deficiency" \o "Copper deficiency" </w:instrText>
      </w:r>
      <w:r>
        <w:fldChar w:fldCharType="separate"/>
      </w:r>
      <w:r>
        <w:rPr>
          <w:rStyle w:val="9"/>
          <w:color w:val="auto"/>
          <w:sz w:val="28"/>
          <w:szCs w:val="28"/>
          <w:u w:val="none"/>
        </w:rPr>
        <w:t>copper deficiency</w:t>
      </w:r>
      <w:r>
        <w:rPr>
          <w:rStyle w:val="9"/>
          <w:color w:val="auto"/>
          <w:sz w:val="28"/>
          <w:szCs w:val="28"/>
          <w:u w:val="none"/>
        </w:rPr>
        <w:fldChar w:fldCharType="end"/>
      </w:r>
      <w:r>
        <w:rPr>
          <w:color w:val="202122"/>
          <w:sz w:val="28"/>
          <w:szCs w:val="28"/>
        </w:rPr>
        <w:t> can produce </w:t>
      </w:r>
      <w:r>
        <w:fldChar w:fldCharType="begin"/>
      </w:r>
      <w:r>
        <w:instrText xml:space="preserve"> HYPERLINK "https://en.wikipedia.org/wiki/Anemia" \o "Anemia" </w:instrText>
      </w:r>
      <w:r>
        <w:fldChar w:fldCharType="separate"/>
      </w:r>
      <w:r>
        <w:rPr>
          <w:rStyle w:val="9"/>
          <w:color w:val="auto"/>
          <w:sz w:val="28"/>
          <w:szCs w:val="28"/>
          <w:u w:val="none"/>
        </w:rPr>
        <w:t>anemia</w:t>
      </w:r>
      <w:r>
        <w:rPr>
          <w:rStyle w:val="9"/>
          <w:color w:val="auto"/>
          <w:sz w:val="28"/>
          <w:szCs w:val="28"/>
          <w:u w:val="none"/>
        </w:rPr>
        <w:fldChar w:fldCharType="end"/>
      </w:r>
      <w:r>
        <w:rPr>
          <w:color w:val="202122"/>
          <w:sz w:val="28"/>
          <w:szCs w:val="28"/>
        </w:rPr>
        <w:t>-like symptoms, </w:t>
      </w:r>
      <w:r>
        <w:fldChar w:fldCharType="begin"/>
      </w:r>
      <w:r>
        <w:instrText xml:space="preserve"> HYPERLINK "https://en.wikipedia.org/wiki/Neutropenia" \o "Neutropenia" </w:instrText>
      </w:r>
      <w:r>
        <w:fldChar w:fldCharType="separate"/>
      </w:r>
      <w:r>
        <w:rPr>
          <w:rStyle w:val="9"/>
          <w:color w:val="auto"/>
          <w:sz w:val="28"/>
          <w:szCs w:val="28"/>
          <w:u w:val="none"/>
        </w:rPr>
        <w:t>neutropenia</w:t>
      </w:r>
      <w:r>
        <w:rPr>
          <w:rStyle w:val="9"/>
          <w:color w:val="auto"/>
          <w:sz w:val="28"/>
          <w:szCs w:val="28"/>
          <w:u w:val="none"/>
        </w:rPr>
        <w:fldChar w:fldCharType="end"/>
      </w:r>
      <w:r>
        <w:rPr>
          <w:color w:val="202122"/>
          <w:sz w:val="28"/>
          <w:szCs w:val="28"/>
        </w:rPr>
        <w:t>, bone abnormalities, hypopigmentation, impaired growth, increased incidence of infections, osteoporosis, hyperthyroidism, and abnormalities in glucose and cholesterol metabolism. Conversely, </w:t>
      </w:r>
      <w:r>
        <w:fldChar w:fldCharType="begin"/>
      </w:r>
      <w:r>
        <w:instrText xml:space="preserve"> HYPERLINK "https://en.wikipedia.org/wiki/Wilson%27s_disease" \o "Wilson's disease" </w:instrText>
      </w:r>
      <w:r>
        <w:fldChar w:fldCharType="separate"/>
      </w:r>
      <w:r>
        <w:rPr>
          <w:rStyle w:val="9"/>
          <w:color w:val="auto"/>
          <w:sz w:val="28"/>
          <w:szCs w:val="28"/>
          <w:u w:val="none"/>
        </w:rPr>
        <w:t>Wilson's disease</w:t>
      </w:r>
      <w:r>
        <w:rPr>
          <w:rStyle w:val="9"/>
          <w:color w:val="auto"/>
          <w:sz w:val="28"/>
          <w:szCs w:val="28"/>
          <w:u w:val="none"/>
        </w:rPr>
        <w:fldChar w:fldCharType="end"/>
      </w:r>
      <w:r>
        <w:rPr>
          <w:color w:val="202122"/>
          <w:sz w:val="28"/>
          <w:szCs w:val="28"/>
        </w:rPr>
        <w:t> causes an accumulation of copper in body tissues.</w:t>
      </w:r>
    </w:p>
    <w:p w14:paraId="4776889D">
      <w:pPr>
        <w:pStyle w:val="10"/>
        <w:shd w:val="clear" w:color="auto" w:fill="FFFFFF"/>
        <w:spacing w:before="120" w:beforeAutospacing="0" w:after="240" w:afterAutospacing="0" w:line="480" w:lineRule="auto"/>
        <w:jc w:val="both"/>
        <w:rPr>
          <w:color w:val="202122"/>
          <w:sz w:val="28"/>
          <w:szCs w:val="28"/>
        </w:rPr>
      </w:pPr>
      <w:r>
        <w:rPr>
          <w:color w:val="202122"/>
          <w:sz w:val="28"/>
          <w:szCs w:val="28"/>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replication.[80]</w:t>
      </w:r>
    </w:p>
    <w:p w14:paraId="3841843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1.7.2.2</w:t>
      </w:r>
      <w:r>
        <w:rPr>
          <w:b/>
          <w:color w:val="202122"/>
          <w:sz w:val="28"/>
          <w:szCs w:val="28"/>
        </w:rPr>
        <w:tab/>
      </w:r>
      <w:r>
        <w:rPr>
          <w:b/>
          <w:color w:val="202122"/>
          <w:sz w:val="28"/>
          <w:szCs w:val="28"/>
        </w:rPr>
        <w:t>TOXICITY</w:t>
      </w:r>
    </w:p>
    <w:p w14:paraId="4FA6E73B">
      <w:pPr>
        <w:pStyle w:val="10"/>
        <w:shd w:val="clear" w:color="auto" w:fill="FFFFFF"/>
        <w:spacing w:before="120" w:beforeAutospacing="0" w:after="240" w:afterAutospacing="0" w:line="480" w:lineRule="auto"/>
        <w:jc w:val="both"/>
        <w:rPr>
          <w:color w:val="202122"/>
          <w:sz w:val="28"/>
          <w:szCs w:val="28"/>
        </w:rPr>
      </w:pPr>
      <w:r>
        <w:rPr>
          <w:color w:val="202122"/>
          <w:sz w:val="28"/>
          <w:szCs w:val="28"/>
        </w:rPr>
        <w:t>Gram quantities of various copper salts have been taken in suicide attempts and produced acute copper toxicity in humans, possibly due to redox cycling and the generation of </w:t>
      </w:r>
      <w:r>
        <w:fldChar w:fldCharType="begin"/>
      </w:r>
      <w:r>
        <w:instrText xml:space="preserve"> HYPERLINK "https://en.wikipedia.org/wiki/Reactive_oxygen_species" \o "Reactive oxygen species" </w:instrText>
      </w:r>
      <w:r>
        <w:fldChar w:fldCharType="separate"/>
      </w:r>
      <w:r>
        <w:rPr>
          <w:rStyle w:val="9"/>
          <w:color w:val="auto"/>
          <w:sz w:val="28"/>
          <w:szCs w:val="28"/>
          <w:u w:val="none"/>
        </w:rPr>
        <w:t>reactive oxygen species</w:t>
      </w:r>
      <w:r>
        <w:rPr>
          <w:rStyle w:val="9"/>
          <w:color w:val="auto"/>
          <w:sz w:val="28"/>
          <w:szCs w:val="28"/>
          <w:u w:val="none"/>
        </w:rPr>
        <w:fldChar w:fldCharType="end"/>
      </w:r>
      <w:r>
        <w:rPr>
          <w:color w:val="202122"/>
          <w:sz w:val="28"/>
          <w:szCs w:val="28"/>
        </w:rPr>
        <w:t> that damage </w:t>
      </w:r>
      <w:r>
        <w:fldChar w:fldCharType="begin"/>
      </w:r>
      <w:r>
        <w:instrText xml:space="preserve"> HYPERLINK "https://en.wikipedia.org/wiki/DNA" \o "DNA" </w:instrText>
      </w:r>
      <w:r>
        <w:fldChar w:fldCharType="separate"/>
      </w:r>
      <w:r>
        <w:rPr>
          <w:rStyle w:val="9"/>
          <w:color w:val="auto"/>
          <w:sz w:val="28"/>
          <w:szCs w:val="28"/>
          <w:u w:val="none"/>
        </w:rPr>
        <w:t>DNA</w:t>
      </w:r>
      <w:r>
        <w:rPr>
          <w:rStyle w:val="9"/>
          <w:color w:val="auto"/>
          <w:sz w:val="28"/>
          <w:szCs w:val="28"/>
          <w:u w:val="none"/>
        </w:rPr>
        <w:fldChar w:fldCharType="end"/>
      </w:r>
      <w:r>
        <w:rPr>
          <w:color w:val="202122"/>
          <w:sz w:val="28"/>
          <w:szCs w:val="28"/>
        </w:rPr>
        <w:t>.[80][81]. Corresponding amounts of copper salts (30 mg/kg) are toxic in animals.[82] A minimum dietary value for healthy growth in rabbits has been reported to be at least 3 </w:t>
      </w:r>
      <w:r>
        <w:fldChar w:fldCharType="begin"/>
      </w:r>
      <w:r>
        <w:instrText xml:space="preserve"> HYPERLINK "https://en.wikipedia.org/wiki/Parts_per_million" \o "Parts per million" </w:instrText>
      </w:r>
      <w:r>
        <w:fldChar w:fldCharType="separate"/>
      </w:r>
      <w:r>
        <w:rPr>
          <w:rStyle w:val="9"/>
          <w:color w:val="auto"/>
          <w:sz w:val="28"/>
          <w:szCs w:val="28"/>
          <w:u w:val="none"/>
        </w:rPr>
        <w:t>ppm</w:t>
      </w:r>
      <w:r>
        <w:rPr>
          <w:rStyle w:val="9"/>
          <w:color w:val="auto"/>
          <w:sz w:val="28"/>
          <w:szCs w:val="28"/>
          <w:u w:val="none"/>
        </w:rPr>
        <w:fldChar w:fldCharType="end"/>
      </w:r>
      <w:r>
        <w:rPr>
          <w:color w:val="202122"/>
          <w:sz w:val="28"/>
          <w:szCs w:val="28"/>
        </w:rPr>
        <w:t> in the diet.[83] However, higher concentrations of copper (100 ppm, 200 ppm, or 500 ppm) in the diet of rabbits may favorably influence</w:t>
      </w:r>
      <w:r>
        <w:rPr>
          <w:sz w:val="28"/>
          <w:szCs w:val="28"/>
        </w:rPr>
        <w:t> </w:t>
      </w:r>
      <w:r>
        <w:fldChar w:fldCharType="begin"/>
      </w:r>
      <w:r>
        <w:instrText xml:space="preserve"> HYPERLINK "https://en.wikipedia.org/wiki/Feed_conversion_ratio" \o "Feed conversion ratio" </w:instrText>
      </w:r>
      <w:r>
        <w:fldChar w:fldCharType="separate"/>
      </w:r>
      <w:r>
        <w:rPr>
          <w:rStyle w:val="9"/>
          <w:color w:val="auto"/>
          <w:sz w:val="28"/>
          <w:szCs w:val="28"/>
          <w:u w:val="none"/>
        </w:rPr>
        <w:t>feed conversion efficiency</w:t>
      </w:r>
      <w:r>
        <w:rPr>
          <w:rStyle w:val="9"/>
          <w:color w:val="auto"/>
          <w:sz w:val="28"/>
          <w:szCs w:val="28"/>
          <w:u w:val="none"/>
        </w:rPr>
        <w:fldChar w:fldCharType="end"/>
      </w:r>
      <w:r>
        <w:rPr>
          <w:color w:val="202122"/>
          <w:sz w:val="28"/>
          <w:szCs w:val="28"/>
        </w:rPr>
        <w:t>, growth rates, and carcass dressing percentages.[84]</w:t>
      </w:r>
    </w:p>
    <w:p w14:paraId="4C32687B">
      <w:pPr>
        <w:pStyle w:val="10"/>
        <w:shd w:val="clear" w:color="auto" w:fill="FFFFFF"/>
        <w:spacing w:before="120" w:beforeAutospacing="0" w:after="240" w:afterAutospacing="0" w:line="480" w:lineRule="auto"/>
        <w:jc w:val="both"/>
        <w:rPr>
          <w:color w:val="202122"/>
          <w:sz w:val="28"/>
          <w:szCs w:val="28"/>
        </w:rPr>
      </w:pPr>
      <w:r>
        <w:rPr>
          <w:color w:val="202122"/>
          <w:sz w:val="28"/>
          <w:szCs w:val="28"/>
        </w:rPr>
        <w:t>Chronic copper toxicity does not normally occur in humans because of transport systems that regulate absorption and excretion. Autosomal recessive mutations in copper transport proteins can disable these systems, leading to </w:t>
      </w:r>
      <w:r>
        <w:fldChar w:fldCharType="begin"/>
      </w:r>
      <w:r>
        <w:instrText xml:space="preserve"> HYPERLINK "https://en.wikipedia.org/wiki/Wilson%27s_disease" \o "Wilson's disease" </w:instrText>
      </w:r>
      <w:r>
        <w:fldChar w:fldCharType="separate"/>
      </w:r>
      <w:r>
        <w:rPr>
          <w:rStyle w:val="9"/>
          <w:color w:val="auto"/>
          <w:sz w:val="28"/>
          <w:szCs w:val="28"/>
          <w:u w:val="none"/>
        </w:rPr>
        <w:t>Wilson's disease</w:t>
      </w:r>
      <w:r>
        <w:rPr>
          <w:rStyle w:val="9"/>
          <w:color w:val="auto"/>
          <w:sz w:val="28"/>
          <w:szCs w:val="28"/>
          <w:u w:val="none"/>
        </w:rPr>
        <w:fldChar w:fldCharType="end"/>
      </w:r>
      <w:r>
        <w:rPr>
          <w:color w:val="202122"/>
          <w:sz w:val="28"/>
          <w:szCs w:val="28"/>
        </w:rPr>
        <w:t> with copper accumulation and</w:t>
      </w:r>
      <w:r>
        <w:rPr>
          <w:sz w:val="28"/>
          <w:szCs w:val="28"/>
        </w:rPr>
        <w:t> </w:t>
      </w:r>
      <w:r>
        <w:fldChar w:fldCharType="begin"/>
      </w:r>
      <w:r>
        <w:instrText xml:space="preserve"> HYPERLINK "https://en.wikipedia.org/wiki/Cirrhosis" \o "Cirrhosis" </w:instrText>
      </w:r>
      <w:r>
        <w:fldChar w:fldCharType="separate"/>
      </w:r>
      <w:r>
        <w:rPr>
          <w:rStyle w:val="9"/>
          <w:color w:val="auto"/>
          <w:sz w:val="28"/>
          <w:szCs w:val="28"/>
          <w:u w:val="none"/>
        </w:rPr>
        <w:t>cirrhosis</w:t>
      </w:r>
      <w:r>
        <w:rPr>
          <w:rStyle w:val="9"/>
          <w:color w:val="auto"/>
          <w:sz w:val="28"/>
          <w:szCs w:val="28"/>
          <w:u w:val="none"/>
        </w:rPr>
        <w:fldChar w:fldCharType="end"/>
      </w:r>
      <w:r>
        <w:rPr>
          <w:color w:val="202122"/>
          <w:sz w:val="28"/>
          <w:szCs w:val="28"/>
        </w:rPr>
        <w:t> of the liver in persons who have inherited two defective genes.[85]</w:t>
      </w:r>
    </w:p>
    <w:p w14:paraId="0A6133F5">
      <w:pPr>
        <w:pStyle w:val="10"/>
        <w:shd w:val="clear" w:color="auto" w:fill="FFFFFF"/>
        <w:spacing w:before="120" w:beforeAutospacing="0" w:after="240" w:afterAutospacing="0" w:line="480" w:lineRule="auto"/>
        <w:jc w:val="both"/>
        <w:rPr>
          <w:b/>
          <w:color w:val="202122"/>
          <w:sz w:val="32"/>
          <w:szCs w:val="32"/>
        </w:rPr>
      </w:pPr>
      <w:r>
        <w:rPr>
          <w:color w:val="202122"/>
          <w:sz w:val="28"/>
          <w:szCs w:val="28"/>
        </w:rPr>
        <w:t>Elevated copper levels have also been linked to worsening symptoms of </w:t>
      </w:r>
      <w:r>
        <w:fldChar w:fldCharType="begin"/>
      </w:r>
      <w:r>
        <w:instrText xml:space="preserve"> HYPERLINK "https://en.wikipedia.org/wiki/Alzheimer%27s_disease" \o "Alzheimer's disease" </w:instrText>
      </w:r>
      <w:r>
        <w:fldChar w:fldCharType="separate"/>
      </w:r>
      <w:r>
        <w:rPr>
          <w:rStyle w:val="9"/>
          <w:color w:val="auto"/>
          <w:sz w:val="28"/>
          <w:szCs w:val="28"/>
          <w:u w:val="none"/>
        </w:rPr>
        <w:t>Alzheimer's disease</w:t>
      </w:r>
      <w:r>
        <w:rPr>
          <w:rStyle w:val="9"/>
          <w:color w:val="auto"/>
          <w:sz w:val="28"/>
          <w:szCs w:val="28"/>
          <w:u w:val="none"/>
        </w:rPr>
        <w:fldChar w:fldCharType="end"/>
      </w:r>
      <w:r>
        <w:rPr>
          <w:sz w:val="28"/>
          <w:szCs w:val="28"/>
        </w:rPr>
        <w:t>.[</w:t>
      </w:r>
      <w:r>
        <w:rPr>
          <w:color w:val="202122"/>
          <w:sz w:val="28"/>
          <w:szCs w:val="28"/>
        </w:rPr>
        <w:t>86][87]</w:t>
      </w:r>
    </w:p>
    <w:p w14:paraId="2D6F47BE">
      <w:pPr>
        <w:pStyle w:val="10"/>
        <w:shd w:val="clear" w:color="auto" w:fill="FFFFFF"/>
        <w:spacing w:before="120" w:beforeAutospacing="0" w:after="240" w:afterAutospacing="0" w:line="480" w:lineRule="auto"/>
        <w:jc w:val="both"/>
        <w:rPr>
          <w:b/>
          <w:color w:val="202122"/>
          <w:sz w:val="32"/>
          <w:szCs w:val="32"/>
        </w:rPr>
      </w:pPr>
      <w:r>
        <w:rPr>
          <w:b/>
          <w:color w:val="202122"/>
          <w:sz w:val="32"/>
          <w:szCs w:val="32"/>
        </w:rPr>
        <w:t>1.7.3</w:t>
      </w:r>
      <w:r>
        <w:rPr>
          <w:b/>
          <w:color w:val="202122"/>
          <w:sz w:val="32"/>
          <w:szCs w:val="32"/>
        </w:rPr>
        <w:tab/>
      </w:r>
      <w:r>
        <w:rPr>
          <w:b/>
          <w:color w:val="202122"/>
          <w:sz w:val="32"/>
          <w:szCs w:val="32"/>
        </w:rPr>
        <w:t>IRON</w:t>
      </w:r>
    </w:p>
    <w:p w14:paraId="7A4D3151">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shows the characteristic chemical properties of the</w:t>
      </w:r>
      <w:r>
        <w:rPr>
          <w:sz w:val="28"/>
          <w:szCs w:val="28"/>
        </w:rPr>
        <w:t> </w:t>
      </w:r>
      <w:r>
        <w:fldChar w:fldCharType="begin"/>
      </w:r>
      <w:r>
        <w:instrText xml:space="preserve"> HYPERLINK "https://en.wikipedia.org/wiki/Transition_metal" \o "Transition metal" </w:instrText>
      </w:r>
      <w:r>
        <w:fldChar w:fldCharType="separate"/>
      </w:r>
      <w:r>
        <w:rPr>
          <w:rStyle w:val="9"/>
          <w:color w:val="auto"/>
          <w:sz w:val="28"/>
          <w:szCs w:val="28"/>
          <w:u w:val="none"/>
        </w:rPr>
        <w:t>transition metals</w:t>
      </w:r>
      <w:r>
        <w:rPr>
          <w:rStyle w:val="9"/>
          <w:color w:val="auto"/>
          <w:sz w:val="28"/>
          <w:szCs w:val="28"/>
          <w:u w:val="none"/>
        </w:rPr>
        <w:fldChar w:fldCharType="end"/>
      </w:r>
      <w:r>
        <w:rPr>
          <w:color w:val="202122"/>
          <w:sz w:val="28"/>
          <w:szCs w:val="28"/>
        </w:rPr>
        <w:t>, namely the ability to form variable oxidation states differing by steps of one and a very large coordination and </w:t>
      </w:r>
      <w:r>
        <w:fldChar w:fldCharType="begin"/>
      </w:r>
      <w:r>
        <w:instrText xml:space="preserve"> HYPERLINK "https://en.wikipedia.org/wiki/Organometallic_chemistry" \o "Organometallic chemistry" </w:instrText>
      </w:r>
      <w:r>
        <w:fldChar w:fldCharType="separate"/>
      </w:r>
      <w:r>
        <w:rPr>
          <w:rStyle w:val="9"/>
          <w:color w:val="auto"/>
          <w:sz w:val="28"/>
          <w:szCs w:val="28"/>
          <w:u w:val="none"/>
        </w:rPr>
        <w:t>organometallic chemistry</w:t>
      </w:r>
      <w:r>
        <w:rPr>
          <w:rStyle w:val="9"/>
          <w:color w:val="auto"/>
          <w:sz w:val="28"/>
          <w:szCs w:val="28"/>
          <w:u w:val="none"/>
        </w:rPr>
        <w:fldChar w:fldCharType="end"/>
      </w:r>
      <w:r>
        <w:rPr>
          <w:color w:val="202122"/>
          <w:sz w:val="28"/>
          <w:szCs w:val="28"/>
        </w:rPr>
        <w:t>: indeed, it was the discovery of an iron compound,</w:t>
      </w:r>
      <w:r>
        <w:rPr>
          <w:sz w:val="28"/>
          <w:szCs w:val="28"/>
        </w:rPr>
        <w:t> </w:t>
      </w:r>
      <w:r>
        <w:fldChar w:fldCharType="begin"/>
      </w:r>
      <w:r>
        <w:instrText xml:space="preserve"> HYPERLINK "https://en.wikipedia.org/wiki/Ferrocene" \o "Ferrocene" </w:instrText>
      </w:r>
      <w:r>
        <w:fldChar w:fldCharType="separate"/>
      </w:r>
      <w:r>
        <w:rPr>
          <w:rStyle w:val="9"/>
          <w:color w:val="auto"/>
          <w:sz w:val="28"/>
          <w:szCs w:val="28"/>
          <w:u w:val="none"/>
        </w:rPr>
        <w:t>ferrocene</w:t>
      </w:r>
      <w:r>
        <w:rPr>
          <w:rStyle w:val="9"/>
          <w:color w:val="auto"/>
          <w:sz w:val="28"/>
          <w:szCs w:val="28"/>
          <w:u w:val="none"/>
        </w:rPr>
        <w:fldChar w:fldCharType="end"/>
      </w:r>
      <w:r>
        <w:rPr>
          <w:color w:val="202122"/>
          <w:sz w:val="28"/>
          <w:szCs w:val="28"/>
        </w:rPr>
        <w:t>, that revolutionalized the latter field in the 1950s.[88]. Iron is sometimes considered as a prototype for the entire block of transition metals, due to its abundance and the immense role it has played in the technological progress of humanity.[89]. Its 26 electrons are arranged in the</w:t>
      </w:r>
      <w:r>
        <w:rPr>
          <w:sz w:val="28"/>
          <w:szCs w:val="28"/>
        </w:rPr>
        <w:t> </w:t>
      </w:r>
      <w:r>
        <w:fldChar w:fldCharType="begin"/>
      </w:r>
      <w:r>
        <w:instrText xml:space="preserve"> HYPERLINK "https://en.wikipedia.org/wiki/Electron_configuration" \o "Electron configuration" </w:instrText>
      </w:r>
      <w:r>
        <w:fldChar w:fldCharType="separate"/>
      </w:r>
      <w:r>
        <w:rPr>
          <w:rStyle w:val="9"/>
          <w:color w:val="auto"/>
          <w:sz w:val="28"/>
          <w:szCs w:val="28"/>
          <w:u w:val="none"/>
        </w:rPr>
        <w:t>configuration</w:t>
      </w:r>
      <w:r>
        <w:rPr>
          <w:rStyle w:val="9"/>
          <w:color w:val="auto"/>
          <w:sz w:val="28"/>
          <w:szCs w:val="28"/>
          <w:u w:val="none"/>
        </w:rPr>
        <w:fldChar w:fldCharType="end"/>
      </w:r>
      <w:r>
        <w:rPr>
          <w:color w:val="202122"/>
          <w:sz w:val="28"/>
          <w:szCs w:val="28"/>
        </w:rPr>
        <w:t> [Ar]3d</w:t>
      </w:r>
      <w:r>
        <w:rPr>
          <w:color w:val="202122"/>
          <w:sz w:val="28"/>
          <w:szCs w:val="28"/>
          <w:vertAlign w:val="superscript"/>
        </w:rPr>
        <w:t>6</w:t>
      </w:r>
      <w:r>
        <w:rPr>
          <w:color w:val="202122"/>
          <w:sz w:val="28"/>
          <w:szCs w:val="28"/>
        </w:rPr>
        <w:t>4s</w:t>
      </w:r>
      <w:r>
        <w:rPr>
          <w:color w:val="202122"/>
          <w:sz w:val="28"/>
          <w:szCs w:val="28"/>
          <w:vertAlign w:val="superscript"/>
        </w:rPr>
        <w:t>2</w:t>
      </w:r>
      <w:r>
        <w:rPr>
          <w:color w:val="202122"/>
          <w:sz w:val="28"/>
          <w:szCs w:val="28"/>
        </w:rPr>
        <w:t>, of which the 3d and 4s electrons are relatively close in energy, and thus a number of electrons can be ionized.[90]</w:t>
      </w:r>
    </w:p>
    <w:p w14:paraId="067FA7BB">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forms compounds mainly in the </w:t>
      </w:r>
      <w:r>
        <w:fldChar w:fldCharType="begin"/>
      </w:r>
      <w:r>
        <w:instrText xml:space="preserve"> HYPERLINK "https://en.wikipedia.org/wiki/Oxidation_state" \o "Oxidation state" </w:instrText>
      </w:r>
      <w:r>
        <w:fldChar w:fldCharType="separate"/>
      </w:r>
      <w:r>
        <w:rPr>
          <w:rStyle w:val="9"/>
          <w:color w:val="auto"/>
          <w:sz w:val="28"/>
          <w:szCs w:val="28"/>
          <w:u w:val="none"/>
        </w:rPr>
        <w:t>oxidation states</w:t>
      </w:r>
      <w:r>
        <w:rPr>
          <w:rStyle w:val="9"/>
          <w:color w:val="auto"/>
          <w:sz w:val="28"/>
          <w:szCs w:val="28"/>
          <w:u w:val="none"/>
        </w:rPr>
        <w:fldChar w:fldCharType="end"/>
      </w:r>
      <w:r>
        <w:rPr>
          <w:sz w:val="28"/>
          <w:szCs w:val="28"/>
        </w:rPr>
        <w:t> +2 (</w:t>
      </w:r>
      <w:r>
        <w:fldChar w:fldCharType="begin"/>
      </w:r>
      <w:r>
        <w:instrText xml:space="preserve"> HYPERLINK "https://en.wikipedia.org/wiki/Iron(II)" \o "Iron(II)" </w:instrText>
      </w:r>
      <w:r>
        <w:fldChar w:fldCharType="separate"/>
      </w:r>
      <w:r>
        <w:rPr>
          <w:rStyle w:val="9"/>
          <w:color w:val="auto"/>
          <w:sz w:val="28"/>
          <w:szCs w:val="28"/>
          <w:u w:val="none"/>
        </w:rPr>
        <w:t>iron(II)</w:t>
      </w:r>
      <w:r>
        <w:rPr>
          <w:rStyle w:val="9"/>
          <w:color w:val="auto"/>
          <w:sz w:val="28"/>
          <w:szCs w:val="28"/>
          <w:u w:val="none"/>
        </w:rPr>
        <w:fldChar w:fldCharType="end"/>
      </w:r>
      <w:r>
        <w:rPr>
          <w:color w:val="202122"/>
          <w:sz w:val="28"/>
          <w:szCs w:val="28"/>
        </w:rPr>
        <w:t>, "ferrous") and +3 (</w:t>
      </w:r>
      <w:r>
        <w:fldChar w:fldCharType="begin"/>
      </w:r>
      <w:r>
        <w:instrText xml:space="preserve"> HYPERLINK "https://en.wikipedia.org/wiki/Iron(III)" \o "Iron(III)" </w:instrText>
      </w:r>
      <w:r>
        <w:fldChar w:fldCharType="separate"/>
      </w:r>
      <w:r>
        <w:rPr>
          <w:rStyle w:val="9"/>
          <w:color w:val="auto"/>
          <w:sz w:val="28"/>
          <w:szCs w:val="28"/>
          <w:u w:val="none"/>
        </w:rPr>
        <w:t>iron(III)</w:t>
      </w:r>
      <w:r>
        <w:rPr>
          <w:rStyle w:val="9"/>
          <w:color w:val="auto"/>
          <w:sz w:val="28"/>
          <w:szCs w:val="28"/>
          <w:u w:val="none"/>
        </w:rPr>
        <w:fldChar w:fldCharType="end"/>
      </w:r>
      <w:r>
        <w:rPr>
          <w:sz w:val="28"/>
          <w:szCs w:val="28"/>
        </w:rPr>
        <w:t>,</w:t>
      </w:r>
      <w:r>
        <w:rPr>
          <w:color w:val="202122"/>
          <w:sz w:val="28"/>
          <w:szCs w:val="28"/>
        </w:rPr>
        <w:t xml:space="preserve"> "ferric"). Iron also occurs in </w:t>
      </w:r>
      <w:r>
        <w:fldChar w:fldCharType="begin"/>
      </w:r>
      <w:r>
        <w:instrText xml:space="preserve"> HYPERLINK "https://en.wikipedia.org/wiki/High-valent_iron" \o "High-valent iron" </w:instrText>
      </w:r>
      <w:r>
        <w:fldChar w:fldCharType="separate"/>
      </w:r>
      <w:r>
        <w:rPr>
          <w:rStyle w:val="9"/>
          <w:color w:val="auto"/>
          <w:sz w:val="28"/>
          <w:szCs w:val="28"/>
          <w:u w:val="none"/>
        </w:rPr>
        <w:t>higher oxidation states</w:t>
      </w:r>
      <w:r>
        <w:rPr>
          <w:rStyle w:val="9"/>
          <w:color w:val="auto"/>
          <w:sz w:val="28"/>
          <w:szCs w:val="28"/>
          <w:u w:val="none"/>
        </w:rPr>
        <w:fldChar w:fldCharType="end"/>
      </w:r>
      <w:r>
        <w:rPr>
          <w:color w:val="202122"/>
          <w:sz w:val="28"/>
          <w:szCs w:val="28"/>
        </w:rPr>
        <w:t>, e.g., the purple </w:t>
      </w:r>
      <w:r>
        <w:fldChar w:fldCharType="begin"/>
      </w:r>
      <w:r>
        <w:instrText xml:space="preserve"> HYPERLINK "https://en.wikipedia.org/wiki/Potassium_ferrate" \o "Potassium ferrate" </w:instrText>
      </w:r>
      <w:r>
        <w:fldChar w:fldCharType="separate"/>
      </w:r>
      <w:r>
        <w:rPr>
          <w:rStyle w:val="9"/>
          <w:color w:val="auto"/>
          <w:sz w:val="28"/>
          <w:szCs w:val="28"/>
          <w:u w:val="none"/>
        </w:rPr>
        <w:t>potassium ferrate</w:t>
      </w:r>
      <w:r>
        <w:rPr>
          <w:rStyle w:val="9"/>
          <w:color w:val="auto"/>
          <w:sz w:val="28"/>
          <w:szCs w:val="28"/>
          <w:u w:val="none"/>
        </w:rPr>
        <w:fldChar w:fldCharType="end"/>
      </w:r>
      <w:r>
        <w:rPr>
          <w:color w:val="202122"/>
          <w:sz w:val="28"/>
          <w:szCs w:val="28"/>
        </w:rPr>
        <w:t> (K</w:t>
      </w:r>
      <w:r>
        <w:rPr>
          <w:color w:val="202122"/>
          <w:sz w:val="28"/>
          <w:szCs w:val="28"/>
          <w:vertAlign w:val="subscript"/>
        </w:rPr>
        <w:t>2</w:t>
      </w:r>
      <w:r>
        <w:rPr>
          <w:color w:val="202122"/>
          <w:sz w:val="28"/>
          <w:szCs w:val="28"/>
        </w:rPr>
        <w:t>FeO</w:t>
      </w:r>
      <w:r>
        <w:rPr>
          <w:color w:val="202122"/>
          <w:sz w:val="28"/>
          <w:szCs w:val="28"/>
          <w:vertAlign w:val="subscript"/>
        </w:rPr>
        <w:t>4</w:t>
      </w:r>
      <w:r>
        <w:rPr>
          <w:color w:val="202122"/>
          <w:sz w:val="28"/>
          <w:szCs w:val="28"/>
        </w:rPr>
        <w:t>), which contains iron in its +6 oxidation state. The anion [FeO</w:t>
      </w:r>
      <w:r>
        <w:rPr>
          <w:color w:val="202122"/>
          <w:sz w:val="28"/>
          <w:szCs w:val="28"/>
          <w:vertAlign w:val="subscript"/>
        </w:rPr>
        <w:t>4</w:t>
      </w:r>
      <w:r>
        <w:rPr>
          <w:color w:val="202122"/>
          <w:sz w:val="28"/>
          <w:szCs w:val="28"/>
        </w:rPr>
        <w:t>]</w:t>
      </w:r>
      <w:r>
        <w:rPr>
          <w:color w:val="202122"/>
          <w:sz w:val="28"/>
          <w:szCs w:val="28"/>
          <w:vertAlign w:val="superscript"/>
        </w:rPr>
        <w:t>–</w:t>
      </w:r>
      <w:r>
        <w:rPr>
          <w:color w:val="202122"/>
          <w:sz w:val="28"/>
          <w:szCs w:val="28"/>
        </w:rPr>
        <w:t> with iron in its +7 oxidation state, along with an iron(V)-peroxo isomer, has been detected by infrared spectroscopy at 4 K after cocondensation of laser-ablated Fe atoms with a mixture of O</w:t>
      </w:r>
      <w:r>
        <w:rPr>
          <w:color w:val="202122"/>
          <w:sz w:val="28"/>
          <w:szCs w:val="28"/>
          <w:vertAlign w:val="subscript"/>
        </w:rPr>
        <w:t>2</w:t>
      </w:r>
      <w:r>
        <w:rPr>
          <w:color w:val="202122"/>
          <w:sz w:val="28"/>
          <w:szCs w:val="28"/>
        </w:rPr>
        <w:t>/Ar.[91] Iron(IV) is a common intermediate in many biochemical oxidation reactions. Numerous </w:t>
      </w:r>
      <w:r>
        <w:fldChar w:fldCharType="begin"/>
      </w:r>
      <w:r>
        <w:instrText xml:space="preserve"> HYPERLINK "https://en.wikipedia.org/wiki/Organoiron_chemistry" \o "Organoiron chemistry" </w:instrText>
      </w:r>
      <w:r>
        <w:fldChar w:fldCharType="separate"/>
      </w:r>
      <w:r>
        <w:rPr>
          <w:rStyle w:val="9"/>
          <w:color w:val="auto"/>
          <w:sz w:val="28"/>
          <w:szCs w:val="28"/>
          <w:u w:val="none"/>
        </w:rPr>
        <w:t>organoiron</w:t>
      </w:r>
      <w:r>
        <w:rPr>
          <w:rStyle w:val="9"/>
          <w:color w:val="auto"/>
          <w:sz w:val="28"/>
          <w:szCs w:val="28"/>
          <w:u w:val="none"/>
        </w:rPr>
        <w:fldChar w:fldCharType="end"/>
      </w:r>
      <w:r>
        <w:rPr>
          <w:color w:val="202122"/>
          <w:sz w:val="28"/>
          <w:szCs w:val="28"/>
        </w:rPr>
        <w:t> compounds contain formal oxidation states of +1, 0, −1, or even −2. The oxidation states and other bonding properties are often assessed using the technique of </w:t>
      </w:r>
      <w:r>
        <w:fldChar w:fldCharType="begin"/>
      </w:r>
      <w:r>
        <w:instrText xml:space="preserve"> HYPERLINK "https://en.wikipedia.org/wiki/M%C3%B6ssbauer_spectroscopy" \o "Mössbauer spectroscopy" </w:instrText>
      </w:r>
      <w:r>
        <w:fldChar w:fldCharType="separate"/>
      </w:r>
      <w:r>
        <w:rPr>
          <w:rStyle w:val="9"/>
          <w:color w:val="auto"/>
          <w:sz w:val="28"/>
          <w:szCs w:val="28"/>
          <w:u w:val="none"/>
        </w:rPr>
        <w:t>Mössbauer spectroscopy</w:t>
      </w:r>
      <w:r>
        <w:rPr>
          <w:rStyle w:val="9"/>
          <w:color w:val="auto"/>
          <w:sz w:val="28"/>
          <w:szCs w:val="28"/>
          <w:u w:val="none"/>
        </w:rPr>
        <w:fldChar w:fldCharType="end"/>
      </w:r>
      <w:r>
        <w:rPr>
          <w:sz w:val="28"/>
          <w:szCs w:val="28"/>
        </w:rPr>
        <w:t>.[</w:t>
      </w:r>
      <w:r>
        <w:rPr>
          <w:color w:val="202122"/>
          <w:sz w:val="28"/>
          <w:szCs w:val="28"/>
        </w:rPr>
        <w:t>90] Many </w:t>
      </w:r>
      <w:r>
        <w:fldChar w:fldCharType="begin"/>
      </w:r>
      <w:r>
        <w:instrText xml:space="preserve"> HYPERLINK "https://en.wikipedia.org/wiki/Mixed_valence_compound" \o "Mixed valence compound" </w:instrText>
      </w:r>
      <w:r>
        <w:fldChar w:fldCharType="separate"/>
      </w:r>
      <w:r>
        <w:rPr>
          <w:rStyle w:val="9"/>
          <w:color w:val="auto"/>
          <w:sz w:val="28"/>
          <w:szCs w:val="28"/>
          <w:u w:val="none"/>
        </w:rPr>
        <w:t>mixed valence compounds</w:t>
      </w:r>
      <w:r>
        <w:rPr>
          <w:rStyle w:val="9"/>
          <w:color w:val="auto"/>
          <w:sz w:val="28"/>
          <w:szCs w:val="28"/>
          <w:u w:val="none"/>
        </w:rPr>
        <w:fldChar w:fldCharType="end"/>
      </w:r>
      <w:r>
        <w:rPr>
          <w:color w:val="202122"/>
          <w:sz w:val="28"/>
          <w:szCs w:val="28"/>
        </w:rPr>
        <w:t> contain both iron(II) and iron(III) centers, such as </w:t>
      </w:r>
      <w:r>
        <w:fldChar w:fldCharType="begin"/>
      </w:r>
      <w:r>
        <w:instrText xml:space="preserve"> HYPERLINK "https://en.wikipedia.org/wiki/Magnetite" \o "Magnetite" </w:instrText>
      </w:r>
      <w:r>
        <w:fldChar w:fldCharType="separate"/>
      </w:r>
      <w:r>
        <w:rPr>
          <w:rStyle w:val="9"/>
          <w:color w:val="auto"/>
          <w:sz w:val="28"/>
          <w:szCs w:val="28"/>
          <w:u w:val="none"/>
        </w:rPr>
        <w:t>magnetite</w:t>
      </w:r>
      <w:r>
        <w:rPr>
          <w:rStyle w:val="9"/>
          <w:color w:val="auto"/>
          <w:sz w:val="28"/>
          <w:szCs w:val="28"/>
          <w:u w:val="none"/>
        </w:rPr>
        <w:fldChar w:fldCharType="end"/>
      </w:r>
      <w:r>
        <w:rPr>
          <w:sz w:val="28"/>
          <w:szCs w:val="28"/>
        </w:rPr>
        <w:t> and </w:t>
      </w:r>
      <w:r>
        <w:fldChar w:fldCharType="begin"/>
      </w:r>
      <w:r>
        <w:instrText xml:space="preserve"> HYPERLINK "https://en.wikipedia.org/wiki/Prussian_blue" \o "Prussian blue" </w:instrText>
      </w:r>
      <w:r>
        <w:fldChar w:fldCharType="separate"/>
      </w:r>
      <w:r>
        <w:rPr>
          <w:rStyle w:val="9"/>
          <w:color w:val="auto"/>
          <w:sz w:val="28"/>
          <w:szCs w:val="28"/>
          <w:u w:val="none"/>
        </w:rPr>
        <w:t>Prussian blue</w:t>
      </w:r>
      <w:r>
        <w:rPr>
          <w:rStyle w:val="9"/>
          <w:color w:val="auto"/>
          <w:sz w:val="28"/>
          <w:szCs w:val="28"/>
          <w:u w:val="none"/>
        </w:rPr>
        <w:fldChar w:fldCharType="end"/>
      </w:r>
      <w:r>
        <w:rPr>
          <w:color w:val="202122"/>
          <w:sz w:val="28"/>
          <w:szCs w:val="28"/>
        </w:rPr>
        <w:t> (</w:t>
      </w:r>
      <w:r>
        <w:rPr>
          <w:rStyle w:val="14"/>
          <w:color w:val="202122"/>
          <w:sz w:val="28"/>
          <w:szCs w:val="28"/>
        </w:rPr>
        <w:t>Fe</w:t>
      </w:r>
      <w:r>
        <w:rPr>
          <w:rStyle w:val="14"/>
          <w:color w:val="202122"/>
          <w:sz w:val="28"/>
          <w:szCs w:val="28"/>
          <w:vertAlign w:val="subscript"/>
        </w:rPr>
        <w:t>4</w:t>
      </w:r>
      <w:r>
        <w:rPr>
          <w:rStyle w:val="14"/>
          <w:color w:val="202122"/>
          <w:sz w:val="28"/>
          <w:szCs w:val="28"/>
        </w:rPr>
        <w:t>(Fe[CN]</w:t>
      </w:r>
      <w:r>
        <w:rPr>
          <w:rStyle w:val="14"/>
          <w:color w:val="202122"/>
          <w:sz w:val="28"/>
          <w:szCs w:val="28"/>
          <w:vertAlign w:val="subscript"/>
        </w:rPr>
        <w:t>6</w:t>
      </w:r>
      <w:r>
        <w:rPr>
          <w:rStyle w:val="14"/>
          <w:color w:val="202122"/>
          <w:sz w:val="28"/>
          <w:szCs w:val="28"/>
        </w:rPr>
        <w:t>)</w:t>
      </w:r>
      <w:r>
        <w:rPr>
          <w:rStyle w:val="14"/>
          <w:color w:val="202122"/>
          <w:sz w:val="28"/>
          <w:szCs w:val="28"/>
          <w:vertAlign w:val="subscript"/>
        </w:rPr>
        <w:t>3</w:t>
      </w:r>
      <w:r>
        <w:rPr>
          <w:color w:val="202122"/>
          <w:sz w:val="28"/>
          <w:szCs w:val="28"/>
        </w:rPr>
        <w:t>).[89] The latter is used as the traditional "blue" in</w:t>
      </w:r>
      <w:r>
        <w:rPr>
          <w:sz w:val="28"/>
          <w:szCs w:val="28"/>
        </w:rPr>
        <w:t> </w:t>
      </w:r>
      <w:r>
        <w:fldChar w:fldCharType="begin"/>
      </w:r>
      <w:r>
        <w:instrText xml:space="preserve"> HYPERLINK "https://en.wikipedia.org/wiki/Blueprint" \o "Blueprint" </w:instrText>
      </w:r>
      <w:r>
        <w:fldChar w:fldCharType="separate"/>
      </w:r>
      <w:r>
        <w:rPr>
          <w:rStyle w:val="9"/>
          <w:color w:val="auto"/>
          <w:sz w:val="28"/>
          <w:szCs w:val="28"/>
          <w:u w:val="none"/>
        </w:rPr>
        <w:t>blueprints</w:t>
      </w:r>
      <w:r>
        <w:rPr>
          <w:rStyle w:val="9"/>
          <w:color w:val="auto"/>
          <w:sz w:val="28"/>
          <w:szCs w:val="28"/>
          <w:u w:val="none"/>
        </w:rPr>
        <w:fldChar w:fldCharType="end"/>
      </w:r>
      <w:r>
        <w:rPr>
          <w:color w:val="202122"/>
          <w:sz w:val="28"/>
          <w:szCs w:val="28"/>
        </w:rPr>
        <w:t>.[90]Iron is the first of the transition metals that cannot reach its group oxidation state of +8, although its heavier congeners ruthenium and osmium can, with ruthenium having more difficulty than osmium.[91]. Ruthenium exhibits an aqueous cationic chemistry in its low oxidation states similar to that of iron, but osmium does not, favoring high oxidation states in which it forms anionic complexes.[91]. In the second half of the 3d transition series, vertical similarities down the groups compete with the horizontal similarities of iron with its neighbors in the periodic table, which are also ferromagnetic at </w:t>
      </w:r>
      <w:r>
        <w:fldChar w:fldCharType="begin"/>
      </w:r>
      <w:r>
        <w:instrText xml:space="preserve"> HYPERLINK "https://en.wikipedia.org/wiki/Room_temperature" \o "Room temperature" </w:instrText>
      </w:r>
      <w:r>
        <w:fldChar w:fldCharType="separate"/>
      </w:r>
      <w:r>
        <w:rPr>
          <w:rStyle w:val="9"/>
          <w:color w:val="auto"/>
          <w:sz w:val="28"/>
          <w:szCs w:val="28"/>
          <w:u w:val="none"/>
        </w:rPr>
        <w:t>room temperature</w:t>
      </w:r>
      <w:r>
        <w:rPr>
          <w:rStyle w:val="9"/>
          <w:color w:val="auto"/>
          <w:sz w:val="28"/>
          <w:szCs w:val="28"/>
          <w:u w:val="none"/>
        </w:rPr>
        <w:fldChar w:fldCharType="end"/>
      </w:r>
      <w:r>
        <w:rPr>
          <w:color w:val="202122"/>
          <w:sz w:val="28"/>
          <w:szCs w:val="28"/>
        </w:rPr>
        <w:t> and share similar chemistry. As such, iron, cobalt, and nickel are sometimes grouped together as th</w:t>
      </w:r>
      <w:r>
        <w:rPr>
          <w:sz w:val="28"/>
          <w:szCs w:val="28"/>
        </w:rPr>
        <w:t>e </w:t>
      </w:r>
      <w:r>
        <w:fldChar w:fldCharType="begin"/>
      </w:r>
      <w:r>
        <w:instrText xml:space="preserve"> HYPERLINK "https://en.wikipedia.org/wiki/Iron_triad" \o "Iron triad" </w:instrText>
      </w:r>
      <w:r>
        <w:fldChar w:fldCharType="separate"/>
      </w:r>
      <w:r>
        <w:rPr>
          <w:rStyle w:val="9"/>
          <w:color w:val="auto"/>
          <w:sz w:val="28"/>
          <w:szCs w:val="28"/>
          <w:u w:val="none"/>
        </w:rPr>
        <w:t>iron triad</w:t>
      </w:r>
      <w:r>
        <w:rPr>
          <w:rStyle w:val="9"/>
          <w:color w:val="auto"/>
          <w:sz w:val="28"/>
          <w:szCs w:val="28"/>
          <w:u w:val="none"/>
        </w:rPr>
        <w:fldChar w:fldCharType="end"/>
      </w:r>
      <w:r>
        <w:rPr>
          <w:color w:val="202122"/>
          <w:sz w:val="28"/>
          <w:szCs w:val="28"/>
        </w:rPr>
        <w:t>.[89]</w:t>
      </w:r>
    </w:p>
    <w:p w14:paraId="6C4FD5BC">
      <w:pPr>
        <w:pStyle w:val="10"/>
        <w:shd w:val="clear" w:color="auto" w:fill="FFFFFF"/>
        <w:spacing w:before="120" w:beforeAutospacing="0" w:after="240" w:afterAutospacing="0" w:line="480" w:lineRule="auto"/>
        <w:jc w:val="both"/>
        <w:rPr>
          <w:color w:val="202122"/>
          <w:sz w:val="28"/>
          <w:szCs w:val="28"/>
        </w:rPr>
      </w:pPr>
      <w:r>
        <w:rPr>
          <w:color w:val="202122"/>
          <w:sz w:val="28"/>
          <w:szCs w:val="28"/>
        </w:rPr>
        <w:t>Unlike many other metals, iron does not form amalgams with </w:t>
      </w:r>
      <w:r>
        <w:fldChar w:fldCharType="begin"/>
      </w:r>
      <w:r>
        <w:instrText xml:space="preserve"> HYPERLINK "https://en.wikipedia.org/wiki/Mercury_(element)" \o "Mercury (element)" </w:instrText>
      </w:r>
      <w:r>
        <w:fldChar w:fldCharType="separate"/>
      </w:r>
      <w:r>
        <w:rPr>
          <w:rStyle w:val="9"/>
          <w:color w:val="auto"/>
          <w:sz w:val="28"/>
          <w:szCs w:val="28"/>
          <w:u w:val="none"/>
        </w:rPr>
        <w:t>mercury</w:t>
      </w:r>
      <w:r>
        <w:rPr>
          <w:rStyle w:val="9"/>
          <w:color w:val="auto"/>
          <w:sz w:val="28"/>
          <w:szCs w:val="28"/>
          <w:u w:val="none"/>
        </w:rPr>
        <w:fldChar w:fldCharType="end"/>
      </w:r>
      <w:r>
        <w:rPr>
          <w:color w:val="202122"/>
          <w:sz w:val="28"/>
          <w:szCs w:val="28"/>
        </w:rPr>
        <w:t>. As a result, mercury is traded in standardized 76 pound flasks (34 kg) made of iron.[90]</w:t>
      </w:r>
    </w:p>
    <w:p w14:paraId="69A7D9B1">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Iron is by far the most reactive element in its group; it is </w:t>
      </w:r>
      <w:r>
        <w:fldChar w:fldCharType="begin"/>
      </w:r>
      <w:r>
        <w:instrText xml:space="preserve"> HYPERLINK "https://en.wikipedia.org/wiki/Pyrophoricity" \o "Pyrophoricity" </w:instrText>
      </w:r>
      <w:r>
        <w:fldChar w:fldCharType="separate"/>
      </w:r>
      <w:r>
        <w:rPr>
          <w:rStyle w:val="9"/>
          <w:color w:val="auto"/>
          <w:sz w:val="28"/>
          <w:szCs w:val="28"/>
          <w:u w:val="none"/>
        </w:rPr>
        <w:t>pyrophoric</w:t>
      </w:r>
      <w:r>
        <w:rPr>
          <w:rStyle w:val="9"/>
          <w:color w:val="auto"/>
          <w:sz w:val="28"/>
          <w:szCs w:val="28"/>
          <w:u w:val="none"/>
        </w:rPr>
        <w:fldChar w:fldCharType="end"/>
      </w:r>
      <w:r>
        <w:rPr>
          <w:color w:val="202122"/>
          <w:sz w:val="28"/>
          <w:szCs w:val="28"/>
        </w:rPr>
        <w:t> when finely divided and dissolves easily in dilute acids, giving Fe</w:t>
      </w:r>
      <w:r>
        <w:rPr>
          <w:color w:val="202122"/>
          <w:sz w:val="28"/>
          <w:szCs w:val="28"/>
          <w:vertAlign w:val="superscript"/>
        </w:rPr>
        <w:t>2+</w:t>
      </w:r>
      <w:r>
        <w:rPr>
          <w:color w:val="202122"/>
          <w:sz w:val="28"/>
          <w:szCs w:val="28"/>
        </w:rPr>
        <w:t>. However, it does not react with concentrated </w:t>
      </w:r>
      <w:r>
        <w:fldChar w:fldCharType="begin"/>
      </w:r>
      <w:r>
        <w:instrText xml:space="preserve"> HYPERLINK "https://en.wikipedia.org/wiki/Nitric_acid" \o "Nitric acid" </w:instrText>
      </w:r>
      <w:r>
        <w:fldChar w:fldCharType="separate"/>
      </w:r>
      <w:r>
        <w:rPr>
          <w:rStyle w:val="9"/>
          <w:color w:val="auto"/>
          <w:sz w:val="28"/>
          <w:szCs w:val="28"/>
          <w:u w:val="none"/>
        </w:rPr>
        <w:t>nitric acid</w:t>
      </w:r>
      <w:r>
        <w:rPr>
          <w:rStyle w:val="9"/>
          <w:color w:val="auto"/>
          <w:sz w:val="28"/>
          <w:szCs w:val="28"/>
          <w:u w:val="none"/>
        </w:rPr>
        <w:fldChar w:fldCharType="end"/>
      </w:r>
      <w:r>
        <w:rPr>
          <w:color w:val="202122"/>
          <w:sz w:val="28"/>
          <w:szCs w:val="28"/>
        </w:rPr>
        <w:t> and other oxidizing acids due to the formation of an impervious oxide layer, which can nevertheless react with .[91]. High-purity iron, called </w:t>
      </w:r>
      <w:r>
        <w:fldChar w:fldCharType="begin"/>
      </w:r>
      <w:r>
        <w:instrText xml:space="preserve"> HYPERLINK "https://en.wikipedia.org/wiki/Electrolytic_iron" \o "Electrolytic iron" </w:instrText>
      </w:r>
      <w:r>
        <w:fldChar w:fldCharType="separate"/>
      </w:r>
      <w:r>
        <w:rPr>
          <w:rStyle w:val="9"/>
          <w:color w:val="auto"/>
          <w:sz w:val="28"/>
          <w:szCs w:val="28"/>
          <w:u w:val="none"/>
        </w:rPr>
        <w:t>electrolytic iron</w:t>
      </w:r>
      <w:r>
        <w:rPr>
          <w:rStyle w:val="9"/>
          <w:color w:val="auto"/>
          <w:sz w:val="28"/>
          <w:szCs w:val="28"/>
          <w:u w:val="none"/>
        </w:rPr>
        <w:fldChar w:fldCharType="end"/>
      </w:r>
      <w:r>
        <w:rPr>
          <w:color w:val="202122"/>
          <w:sz w:val="28"/>
          <w:szCs w:val="28"/>
        </w:rPr>
        <w:t>, is considered to be resistant to rust, due to its oxide layer.</w:t>
      </w:r>
    </w:p>
    <w:p w14:paraId="76B3FB78">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1.7.3.1</w:t>
      </w:r>
      <w:r>
        <w:rPr>
          <w:b/>
          <w:color w:val="202122"/>
          <w:sz w:val="28"/>
          <w:szCs w:val="28"/>
        </w:rPr>
        <w:tab/>
      </w:r>
      <w:r>
        <w:rPr>
          <w:b/>
          <w:color w:val="202122"/>
          <w:sz w:val="28"/>
          <w:szCs w:val="28"/>
        </w:rPr>
        <w:t>DEFICIENCY</w:t>
      </w:r>
    </w:p>
    <w:p w14:paraId="7838DD62">
      <w:pPr>
        <w:pStyle w:val="10"/>
        <w:shd w:val="clear" w:color="auto" w:fill="FFFFFF"/>
        <w:spacing w:before="120" w:beforeAutospacing="0" w:after="240" w:afterAutospacing="0" w:line="480" w:lineRule="auto"/>
        <w:jc w:val="both"/>
        <w:rPr>
          <w:color w:val="202122"/>
          <w:sz w:val="28"/>
          <w:szCs w:val="28"/>
        </w:rPr>
      </w:pPr>
      <w:r>
        <w:rPr>
          <w:color w:val="202122"/>
          <w:sz w:val="28"/>
          <w:szCs w:val="28"/>
        </w:rPr>
        <w:t>Iron deficiency is the most common </w:t>
      </w:r>
      <w:r>
        <w:fldChar w:fldCharType="begin"/>
      </w:r>
      <w:r>
        <w:instrText xml:space="preserve"> HYPERLINK "https://en.wikipedia.org/wiki/Nutritional_deficiency" \o "Nutritional deficiency" </w:instrText>
      </w:r>
      <w:r>
        <w:fldChar w:fldCharType="separate"/>
      </w:r>
      <w:r>
        <w:rPr>
          <w:rStyle w:val="9"/>
          <w:color w:val="auto"/>
          <w:sz w:val="28"/>
          <w:szCs w:val="28"/>
          <w:u w:val="none"/>
        </w:rPr>
        <w:t>nutritional deficiency</w:t>
      </w:r>
      <w:r>
        <w:rPr>
          <w:rStyle w:val="9"/>
          <w:color w:val="auto"/>
          <w:sz w:val="28"/>
          <w:szCs w:val="28"/>
          <w:u w:val="none"/>
        </w:rPr>
        <w:fldChar w:fldCharType="end"/>
      </w:r>
      <w:r>
        <w:rPr>
          <w:color w:val="202122"/>
          <w:sz w:val="28"/>
          <w:szCs w:val="28"/>
        </w:rPr>
        <w:t> in the world.[92][93][94] When loss of iron is not adequately compensated by adequate dietary iron intake, a state of </w:t>
      </w:r>
      <w:r>
        <w:fldChar w:fldCharType="begin"/>
      </w:r>
      <w:r>
        <w:instrText xml:space="preserve"> HYPERLINK "https://en.wikipedia.org/wiki/Latent_iron_deficiency" \o "Latent iron deficiency" </w:instrText>
      </w:r>
      <w:r>
        <w:fldChar w:fldCharType="separate"/>
      </w:r>
      <w:r>
        <w:rPr>
          <w:rStyle w:val="9"/>
          <w:color w:val="auto"/>
          <w:sz w:val="28"/>
          <w:szCs w:val="28"/>
          <w:u w:val="none"/>
        </w:rPr>
        <w:t>latent iron deficiency</w:t>
      </w:r>
      <w:r>
        <w:rPr>
          <w:rStyle w:val="9"/>
          <w:color w:val="auto"/>
          <w:sz w:val="28"/>
          <w:szCs w:val="28"/>
          <w:u w:val="none"/>
        </w:rPr>
        <w:fldChar w:fldCharType="end"/>
      </w:r>
      <w:r>
        <w:rPr>
          <w:color w:val="202122"/>
          <w:sz w:val="28"/>
          <w:szCs w:val="28"/>
        </w:rPr>
        <w:t> occurs, which over time leads to</w:t>
      </w:r>
      <w:r>
        <w:rPr>
          <w:sz w:val="28"/>
          <w:szCs w:val="28"/>
        </w:rPr>
        <w:t> </w:t>
      </w:r>
      <w:r>
        <w:fldChar w:fldCharType="begin"/>
      </w:r>
      <w:r>
        <w:instrText xml:space="preserve"> HYPERLINK "https://en.wikipedia.org/wiki/Iron-deficiency_anemia" \o "Iron-deficiency anemia" </w:instrText>
      </w:r>
      <w:r>
        <w:fldChar w:fldCharType="separate"/>
      </w:r>
      <w:r>
        <w:rPr>
          <w:rStyle w:val="9"/>
          <w:color w:val="auto"/>
          <w:sz w:val="28"/>
          <w:szCs w:val="28"/>
          <w:u w:val="none"/>
        </w:rPr>
        <w:t>iron-deficiency anemia</w:t>
      </w:r>
      <w:r>
        <w:rPr>
          <w:rStyle w:val="9"/>
          <w:color w:val="auto"/>
          <w:sz w:val="28"/>
          <w:szCs w:val="28"/>
          <w:u w:val="none"/>
        </w:rPr>
        <w:fldChar w:fldCharType="end"/>
      </w:r>
      <w:r>
        <w:rPr>
          <w:color w:val="202122"/>
          <w:sz w:val="28"/>
          <w:szCs w:val="28"/>
        </w:rPr>
        <w:t> if left untreated, which is characterised by an insufficient number of red blood cells and an insufficient amount of hemoglobin.[95] Children,</w:t>
      </w:r>
      <w:r>
        <w:rPr>
          <w:sz w:val="28"/>
          <w:szCs w:val="28"/>
        </w:rPr>
        <w:t> </w:t>
      </w:r>
      <w:r>
        <w:fldChar w:fldCharType="begin"/>
      </w:r>
      <w:r>
        <w:instrText xml:space="preserve"> HYPERLINK "https://en.wikipedia.org/wiki/Pre-menopausal" \o "Pre-menopausal" </w:instrText>
      </w:r>
      <w:r>
        <w:fldChar w:fldCharType="separate"/>
      </w:r>
      <w:r>
        <w:rPr>
          <w:rStyle w:val="9"/>
          <w:color w:val="auto"/>
          <w:sz w:val="28"/>
          <w:szCs w:val="28"/>
          <w:u w:val="none"/>
        </w:rPr>
        <w:t>pre-menopausal</w:t>
      </w:r>
      <w:r>
        <w:rPr>
          <w:rStyle w:val="9"/>
          <w:color w:val="auto"/>
          <w:sz w:val="28"/>
          <w:szCs w:val="28"/>
          <w:u w:val="none"/>
        </w:rPr>
        <w:fldChar w:fldCharType="end"/>
      </w:r>
      <w:r>
        <w:rPr>
          <w:color w:val="202122"/>
          <w:sz w:val="28"/>
          <w:szCs w:val="28"/>
        </w:rPr>
        <w:t> women (women of child-bearing age), and people with poor diet are most susceptible to the disease. Most cases of iron-deficiency anemia are mild, but if not treated can cause problems like fast or irregular heartbeat, complications during pregnancy, and delayed growth in infants and children.[96]</w:t>
      </w:r>
    </w:p>
    <w:p w14:paraId="082E53D4">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The brain is resistant to acute iron deficiency due to the slow transport of iron through the blood brain barrier.[97] Acute fluctuations in iron status (marked by serum ferritin levels) do not reflect brain iron status, but prolonged nutritional iron deficiency is suspected to reduce brain iron concentrations over time.[98][99]  In the brain, iron plays a role in oxygen transport, myelin synthesis, mitochondrial respiration, and as a cofactor for neurotransmitter synthesis and metabolism.[100] Animal models of nutritional iron deficiency report biomolecular changes resembling those seen in Parkinson's and Huntington's disease.[100][102] However, age-related accumulation of iron in the brain has also been linked to the development of Parkinson's.[103]</w:t>
      </w:r>
    </w:p>
    <w:p w14:paraId="5ED00479">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1.8</w:t>
      </w:r>
      <w:r>
        <w:rPr>
          <w:b/>
          <w:color w:val="202122"/>
          <w:sz w:val="28"/>
          <w:szCs w:val="28"/>
        </w:rPr>
        <w:tab/>
      </w:r>
      <w:r>
        <w:rPr>
          <w:b/>
          <w:color w:val="202122"/>
          <w:sz w:val="28"/>
          <w:szCs w:val="28"/>
        </w:rPr>
        <w:t>AIM OF PROJECT</w:t>
      </w:r>
    </w:p>
    <w:p w14:paraId="4410DF21">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The aims of this research work are </w:t>
      </w:r>
    </w:p>
    <w:p w14:paraId="279891A1">
      <w:pPr>
        <w:pStyle w:val="10"/>
        <w:numPr>
          <w:ilvl w:val="0"/>
          <w:numId w:val="3"/>
        </w:numPr>
        <w:shd w:val="clear" w:color="auto" w:fill="FFFFFF"/>
        <w:spacing w:before="120" w:beforeAutospacing="0" w:after="240" w:afterAutospacing="0" w:line="480" w:lineRule="auto"/>
        <w:jc w:val="both"/>
        <w:rPr>
          <w:color w:val="202122"/>
          <w:sz w:val="28"/>
          <w:szCs w:val="28"/>
        </w:rPr>
      </w:pPr>
      <w:r>
        <w:rPr>
          <w:color w:val="202122"/>
          <w:sz w:val="28"/>
          <w:szCs w:val="28"/>
        </w:rPr>
        <w:t>To synthesis novel complexes of ibuprofen</w:t>
      </w:r>
    </w:p>
    <w:p w14:paraId="32E09C2D">
      <w:pPr>
        <w:pStyle w:val="10"/>
        <w:numPr>
          <w:ilvl w:val="0"/>
          <w:numId w:val="3"/>
        </w:numPr>
        <w:shd w:val="clear" w:color="auto" w:fill="FFFFFF"/>
        <w:spacing w:before="120" w:beforeAutospacing="0" w:after="240" w:afterAutospacing="0" w:line="480" w:lineRule="auto"/>
        <w:jc w:val="both"/>
        <w:rPr>
          <w:color w:val="202122"/>
          <w:sz w:val="28"/>
          <w:szCs w:val="28"/>
        </w:rPr>
      </w:pPr>
      <w:r>
        <w:rPr>
          <w:color w:val="202122"/>
          <w:sz w:val="28"/>
          <w:szCs w:val="28"/>
        </w:rPr>
        <w:t>To characterize the resulting complexes using standard analytical techniques such as solubility, melting point, infrared and ultraviolet .</w:t>
      </w:r>
    </w:p>
    <w:p w14:paraId="48D4ABF8">
      <w:pPr>
        <w:pStyle w:val="10"/>
        <w:shd w:val="clear" w:color="auto" w:fill="FFFFFF"/>
        <w:spacing w:before="120" w:beforeAutospacing="0" w:after="240" w:afterAutospacing="0" w:line="480" w:lineRule="auto"/>
        <w:jc w:val="both"/>
        <w:rPr>
          <w:color w:val="202122"/>
          <w:sz w:val="28"/>
          <w:szCs w:val="28"/>
        </w:rPr>
      </w:pPr>
    </w:p>
    <w:p w14:paraId="3B8E101F">
      <w:pPr>
        <w:pStyle w:val="10"/>
        <w:shd w:val="clear" w:color="auto" w:fill="FFFFFF"/>
        <w:spacing w:before="120" w:beforeAutospacing="0" w:after="240" w:afterAutospacing="0" w:line="480" w:lineRule="auto"/>
        <w:jc w:val="both"/>
        <w:rPr>
          <w:b/>
          <w:color w:val="202122"/>
          <w:sz w:val="28"/>
          <w:szCs w:val="28"/>
        </w:rPr>
      </w:pPr>
      <w:r>
        <w:rPr>
          <w:color w:val="202122"/>
          <w:sz w:val="28"/>
          <w:szCs w:val="28"/>
        </w:rPr>
        <w:t xml:space="preserve">  </w:t>
      </w:r>
      <w:r>
        <w:rPr>
          <w:color w:val="202122"/>
          <w:sz w:val="28"/>
          <w:szCs w:val="28"/>
        </w:rPr>
        <w:tab/>
      </w:r>
      <w:r>
        <w:rPr>
          <w:color w:val="202122"/>
          <w:sz w:val="28"/>
          <w:szCs w:val="28"/>
        </w:rPr>
        <w:tab/>
      </w:r>
      <w:r>
        <w:rPr>
          <w:color w:val="202122"/>
          <w:sz w:val="28"/>
          <w:szCs w:val="28"/>
        </w:rPr>
        <w:tab/>
      </w:r>
      <w:r>
        <w:rPr>
          <w:color w:val="202122"/>
          <w:sz w:val="28"/>
          <w:szCs w:val="28"/>
        </w:rPr>
        <w:tab/>
      </w:r>
      <w:r>
        <w:rPr>
          <w:b/>
          <w:color w:val="202122"/>
          <w:sz w:val="28"/>
          <w:szCs w:val="28"/>
        </w:rPr>
        <w:t>CHAPTER TWO</w:t>
      </w:r>
    </w:p>
    <w:p w14:paraId="3ABBB8A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w:t>
      </w:r>
      <w:r>
        <w:rPr>
          <w:b/>
          <w:color w:val="202122"/>
          <w:sz w:val="28"/>
          <w:szCs w:val="28"/>
        </w:rPr>
        <w:tab/>
      </w:r>
      <w:r>
        <w:rPr>
          <w:b/>
          <w:color w:val="202122"/>
          <w:sz w:val="28"/>
          <w:szCs w:val="28"/>
        </w:rPr>
        <w:t>MATERIALS AND METHODS</w:t>
      </w:r>
    </w:p>
    <w:p w14:paraId="67E4C77A">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2.1.1</w:t>
      </w:r>
      <w:r>
        <w:rPr>
          <w:b/>
          <w:color w:val="202122"/>
          <w:sz w:val="28"/>
          <w:szCs w:val="28"/>
        </w:rPr>
        <w:tab/>
      </w:r>
      <w:r>
        <w:rPr>
          <w:b/>
          <w:color w:val="202122"/>
          <w:sz w:val="28"/>
          <w:szCs w:val="28"/>
        </w:rPr>
        <w:t>APPARATUS</w:t>
      </w:r>
    </w:p>
    <w:p w14:paraId="6E34269E">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following apparatus were used in the formation of the complexes and further analytical studies were carried out.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2E2547C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0D4137D">
            <w:pPr>
              <w:pStyle w:val="10"/>
              <w:spacing w:before="120" w:beforeAutospacing="0" w:after="240" w:afterAutospacing="0" w:line="480" w:lineRule="auto"/>
              <w:jc w:val="both"/>
              <w:rPr>
                <w:b/>
                <w:color w:val="202122"/>
                <w:sz w:val="28"/>
                <w:szCs w:val="28"/>
              </w:rPr>
            </w:pPr>
            <w:r>
              <w:rPr>
                <w:b/>
                <w:color w:val="202122"/>
                <w:sz w:val="28"/>
                <w:szCs w:val="28"/>
              </w:rPr>
              <w:t xml:space="preserve">APPARATUS                </w:t>
            </w:r>
          </w:p>
          <w:p w14:paraId="205648EC">
            <w:pPr>
              <w:pStyle w:val="10"/>
              <w:spacing w:before="120" w:beforeAutospacing="0" w:after="240" w:afterAutospacing="0" w:line="480" w:lineRule="auto"/>
              <w:jc w:val="both"/>
              <w:rPr>
                <w:color w:val="202122"/>
                <w:sz w:val="28"/>
                <w:szCs w:val="28"/>
              </w:rPr>
            </w:pPr>
            <w:r>
              <w:rPr>
                <w:color w:val="202122"/>
                <w:sz w:val="28"/>
                <w:szCs w:val="28"/>
              </w:rPr>
              <w:t>Beakers</w:t>
            </w:r>
          </w:p>
          <w:p w14:paraId="0FA7B829">
            <w:pPr>
              <w:pStyle w:val="10"/>
              <w:spacing w:before="120" w:beforeAutospacing="0" w:after="240" w:afterAutospacing="0" w:line="480" w:lineRule="auto"/>
              <w:jc w:val="both"/>
              <w:rPr>
                <w:color w:val="202122"/>
                <w:sz w:val="28"/>
                <w:szCs w:val="28"/>
              </w:rPr>
            </w:pPr>
            <w:r>
              <w:rPr>
                <w:color w:val="202122"/>
                <w:sz w:val="28"/>
                <w:szCs w:val="28"/>
              </w:rPr>
              <w:t>Conical Flasks</w:t>
            </w:r>
          </w:p>
          <w:p w14:paraId="441C4FCA">
            <w:pPr>
              <w:pStyle w:val="10"/>
              <w:spacing w:before="120" w:beforeAutospacing="0" w:after="240" w:afterAutospacing="0" w:line="480" w:lineRule="auto"/>
              <w:jc w:val="both"/>
              <w:rPr>
                <w:color w:val="202122"/>
                <w:sz w:val="28"/>
                <w:szCs w:val="28"/>
              </w:rPr>
            </w:pPr>
            <w:r>
              <w:rPr>
                <w:color w:val="202122"/>
                <w:sz w:val="28"/>
                <w:szCs w:val="28"/>
              </w:rPr>
              <w:t>Capilary tube</w:t>
            </w:r>
          </w:p>
          <w:p w14:paraId="7D9F647C">
            <w:pPr>
              <w:pStyle w:val="10"/>
              <w:spacing w:before="120" w:beforeAutospacing="0" w:after="240" w:afterAutospacing="0" w:line="480" w:lineRule="auto"/>
              <w:jc w:val="both"/>
              <w:rPr>
                <w:color w:val="202122"/>
                <w:sz w:val="28"/>
                <w:szCs w:val="28"/>
              </w:rPr>
            </w:pPr>
            <w:r>
              <w:rPr>
                <w:color w:val="202122"/>
                <w:sz w:val="28"/>
                <w:szCs w:val="28"/>
              </w:rPr>
              <w:t>Dessicator</w:t>
            </w:r>
          </w:p>
          <w:p w14:paraId="2311A15C">
            <w:pPr>
              <w:pStyle w:val="10"/>
              <w:spacing w:before="120" w:beforeAutospacing="0" w:after="240" w:afterAutospacing="0" w:line="480" w:lineRule="auto"/>
              <w:jc w:val="both"/>
              <w:rPr>
                <w:color w:val="202122"/>
                <w:sz w:val="28"/>
                <w:szCs w:val="28"/>
              </w:rPr>
            </w:pPr>
            <w:r>
              <w:rPr>
                <w:color w:val="202122"/>
                <w:sz w:val="28"/>
                <w:szCs w:val="28"/>
              </w:rPr>
              <w:t>Electrothermal melting point</w:t>
            </w:r>
          </w:p>
          <w:p w14:paraId="65F88510">
            <w:pPr>
              <w:pStyle w:val="10"/>
              <w:spacing w:before="120" w:beforeAutospacing="0" w:after="240" w:afterAutospacing="0" w:line="480" w:lineRule="auto"/>
              <w:jc w:val="both"/>
              <w:rPr>
                <w:color w:val="202122"/>
                <w:sz w:val="28"/>
                <w:szCs w:val="28"/>
              </w:rPr>
            </w:pPr>
            <w:r>
              <w:rPr>
                <w:color w:val="202122"/>
                <w:sz w:val="28"/>
                <w:szCs w:val="28"/>
              </w:rPr>
              <w:t>Round bottom flasks</w:t>
            </w:r>
          </w:p>
          <w:p w14:paraId="5692D4E9">
            <w:pPr>
              <w:pStyle w:val="10"/>
              <w:spacing w:before="120" w:beforeAutospacing="0" w:after="240" w:afterAutospacing="0" w:line="480" w:lineRule="auto"/>
              <w:jc w:val="both"/>
              <w:rPr>
                <w:color w:val="202122"/>
                <w:sz w:val="28"/>
                <w:szCs w:val="28"/>
              </w:rPr>
            </w:pPr>
            <w:r>
              <w:rPr>
                <w:color w:val="202122"/>
                <w:sz w:val="28"/>
                <w:szCs w:val="28"/>
              </w:rPr>
              <w:t>Hot plate with magnetic stirrer</w:t>
            </w:r>
          </w:p>
          <w:p w14:paraId="19864484">
            <w:pPr>
              <w:pStyle w:val="10"/>
              <w:spacing w:before="120" w:beforeAutospacing="0" w:after="240" w:afterAutospacing="0" w:line="480" w:lineRule="auto"/>
              <w:jc w:val="both"/>
              <w:rPr>
                <w:color w:val="202122"/>
                <w:sz w:val="28"/>
                <w:szCs w:val="28"/>
              </w:rPr>
            </w:pPr>
            <w:r>
              <w:rPr>
                <w:color w:val="202122"/>
                <w:sz w:val="28"/>
                <w:szCs w:val="28"/>
              </w:rPr>
              <w:t>Measuring cylinder</w:t>
            </w:r>
          </w:p>
          <w:p w14:paraId="184F82AB">
            <w:pPr>
              <w:pStyle w:val="10"/>
              <w:spacing w:before="120" w:beforeAutospacing="0" w:after="240" w:afterAutospacing="0" w:line="480" w:lineRule="auto"/>
              <w:jc w:val="both"/>
              <w:rPr>
                <w:color w:val="202122"/>
                <w:sz w:val="28"/>
                <w:szCs w:val="28"/>
              </w:rPr>
            </w:pPr>
            <w:r>
              <w:rPr>
                <w:color w:val="202122"/>
                <w:sz w:val="28"/>
                <w:szCs w:val="28"/>
              </w:rPr>
              <w:t>Plastic condenser</w:t>
            </w:r>
          </w:p>
          <w:p w14:paraId="4CEEC013">
            <w:pPr>
              <w:pStyle w:val="10"/>
              <w:spacing w:before="120" w:beforeAutospacing="0" w:after="240" w:afterAutospacing="0" w:line="480" w:lineRule="auto"/>
              <w:jc w:val="both"/>
              <w:rPr>
                <w:color w:val="202122"/>
                <w:sz w:val="28"/>
                <w:szCs w:val="28"/>
              </w:rPr>
            </w:pPr>
            <w:r>
              <w:rPr>
                <w:color w:val="202122"/>
                <w:sz w:val="28"/>
                <w:szCs w:val="28"/>
              </w:rPr>
              <w:t>Reflux condenser</w:t>
            </w:r>
          </w:p>
          <w:p w14:paraId="73E2D8E2">
            <w:pPr>
              <w:pStyle w:val="10"/>
              <w:spacing w:before="120" w:beforeAutospacing="0" w:after="240" w:afterAutospacing="0" w:line="480" w:lineRule="auto"/>
              <w:jc w:val="both"/>
              <w:rPr>
                <w:color w:val="202122"/>
                <w:sz w:val="28"/>
                <w:szCs w:val="28"/>
              </w:rPr>
            </w:pPr>
            <w:r>
              <w:rPr>
                <w:color w:val="202122"/>
                <w:sz w:val="28"/>
                <w:szCs w:val="28"/>
              </w:rPr>
              <w:t>Test tube</w:t>
            </w:r>
          </w:p>
          <w:p w14:paraId="5A99F5D4">
            <w:pPr>
              <w:pStyle w:val="10"/>
              <w:spacing w:before="120" w:beforeAutospacing="0" w:after="240" w:afterAutospacing="0" w:line="480" w:lineRule="auto"/>
              <w:jc w:val="both"/>
              <w:rPr>
                <w:color w:val="202122"/>
                <w:sz w:val="28"/>
                <w:szCs w:val="28"/>
              </w:rPr>
            </w:pPr>
            <w:r>
              <w:rPr>
                <w:color w:val="202122"/>
                <w:sz w:val="28"/>
                <w:szCs w:val="28"/>
              </w:rPr>
              <w:t>Thermometer</w:t>
            </w:r>
          </w:p>
          <w:p w14:paraId="4C84C1E8">
            <w:pPr>
              <w:pStyle w:val="10"/>
              <w:spacing w:before="120" w:beforeAutospacing="0" w:after="240" w:afterAutospacing="0" w:line="480" w:lineRule="auto"/>
              <w:jc w:val="both"/>
              <w:rPr>
                <w:color w:val="202122"/>
                <w:sz w:val="28"/>
                <w:szCs w:val="28"/>
              </w:rPr>
            </w:pPr>
            <w:r>
              <w:rPr>
                <w:color w:val="202122"/>
                <w:sz w:val="28"/>
                <w:szCs w:val="28"/>
              </w:rPr>
              <w:t xml:space="preserve">Infrared </w:t>
            </w:r>
          </w:p>
          <w:p w14:paraId="49D4ECF7">
            <w:pPr>
              <w:pStyle w:val="10"/>
              <w:spacing w:before="120" w:beforeAutospacing="0" w:after="240" w:afterAutospacing="0" w:line="480" w:lineRule="auto"/>
              <w:jc w:val="both"/>
              <w:rPr>
                <w:color w:val="202122"/>
                <w:sz w:val="28"/>
                <w:szCs w:val="28"/>
              </w:rPr>
            </w:pPr>
            <w:r>
              <w:rPr>
                <w:color w:val="202122"/>
                <w:sz w:val="28"/>
                <w:szCs w:val="28"/>
              </w:rPr>
              <w:t xml:space="preserve">Ultraviolet </w:t>
            </w:r>
          </w:p>
          <w:p w14:paraId="7B1E1359">
            <w:pPr>
              <w:pStyle w:val="10"/>
              <w:spacing w:before="120" w:beforeAutospacing="0" w:after="240" w:afterAutospacing="0" w:line="480" w:lineRule="auto"/>
              <w:jc w:val="both"/>
              <w:rPr>
                <w:color w:val="202122"/>
                <w:sz w:val="28"/>
                <w:szCs w:val="28"/>
              </w:rPr>
            </w:pPr>
            <w:r>
              <w:rPr>
                <w:color w:val="202122"/>
                <w:sz w:val="28"/>
                <w:szCs w:val="28"/>
              </w:rPr>
              <w:t xml:space="preserve">       </w:t>
            </w:r>
            <w:r>
              <w:rPr>
                <w:b/>
                <w:color w:val="202122"/>
                <w:sz w:val="28"/>
                <w:szCs w:val="28"/>
              </w:rPr>
              <w:t xml:space="preserve"> </w:t>
            </w:r>
          </w:p>
        </w:tc>
        <w:tc>
          <w:tcPr>
            <w:tcW w:w="4788" w:type="dxa"/>
          </w:tcPr>
          <w:p w14:paraId="54E48C2A">
            <w:pPr>
              <w:pStyle w:val="10"/>
              <w:spacing w:before="120" w:beforeAutospacing="0" w:after="240" w:afterAutospacing="0" w:line="480" w:lineRule="auto"/>
              <w:jc w:val="both"/>
              <w:rPr>
                <w:b/>
                <w:color w:val="202122"/>
                <w:sz w:val="28"/>
                <w:szCs w:val="28"/>
              </w:rPr>
            </w:pPr>
            <w:r>
              <w:rPr>
                <w:b/>
                <w:color w:val="202122"/>
                <w:sz w:val="28"/>
                <w:szCs w:val="28"/>
              </w:rPr>
              <w:t>MANUFACTURER</w:t>
            </w:r>
          </w:p>
          <w:p w14:paraId="03C4EE8D">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37E5F953">
            <w:pPr>
              <w:pStyle w:val="10"/>
              <w:spacing w:before="120" w:beforeAutospacing="0" w:after="240" w:afterAutospacing="0" w:line="480" w:lineRule="auto"/>
              <w:jc w:val="both"/>
              <w:rPr>
                <w:color w:val="202122"/>
                <w:sz w:val="28"/>
                <w:szCs w:val="28"/>
              </w:rPr>
            </w:pPr>
            <w:r>
              <w:rPr>
                <w:color w:val="202122"/>
                <w:sz w:val="28"/>
                <w:szCs w:val="28"/>
              </w:rPr>
              <w:t>Simax company Ltd. England</w:t>
            </w:r>
          </w:p>
          <w:p w14:paraId="0B6B4803">
            <w:pPr>
              <w:pStyle w:val="10"/>
              <w:spacing w:before="120" w:beforeAutospacing="0" w:after="240" w:afterAutospacing="0" w:line="480" w:lineRule="auto"/>
              <w:jc w:val="both"/>
              <w:rPr>
                <w:color w:val="202122"/>
                <w:sz w:val="28"/>
                <w:szCs w:val="28"/>
              </w:rPr>
            </w:pPr>
            <w:r>
              <w:rPr>
                <w:color w:val="202122"/>
                <w:sz w:val="28"/>
                <w:szCs w:val="28"/>
              </w:rPr>
              <w:t>Silber brand Ltd, England</w:t>
            </w:r>
          </w:p>
          <w:p w14:paraId="547E4E2B">
            <w:pPr>
              <w:pStyle w:val="10"/>
              <w:spacing w:before="120" w:beforeAutospacing="0" w:after="240" w:afterAutospacing="0" w:line="480" w:lineRule="auto"/>
              <w:jc w:val="both"/>
              <w:rPr>
                <w:color w:val="202122"/>
                <w:sz w:val="28"/>
                <w:szCs w:val="28"/>
              </w:rPr>
            </w:pPr>
            <w:r>
              <w:rPr>
                <w:color w:val="202122"/>
                <w:sz w:val="28"/>
                <w:szCs w:val="28"/>
              </w:rPr>
              <w:t>Moncrief Scientific, England</w:t>
            </w:r>
          </w:p>
          <w:p w14:paraId="27BB8562">
            <w:pPr>
              <w:pStyle w:val="10"/>
              <w:spacing w:before="120" w:beforeAutospacing="0" w:after="240" w:afterAutospacing="0" w:line="480" w:lineRule="auto"/>
              <w:jc w:val="both"/>
              <w:rPr>
                <w:color w:val="202122"/>
                <w:sz w:val="28"/>
                <w:szCs w:val="28"/>
              </w:rPr>
            </w:pPr>
            <w:r>
              <w:rPr>
                <w:color w:val="202122"/>
                <w:sz w:val="28"/>
                <w:szCs w:val="28"/>
              </w:rPr>
              <w:t>Gallenkamp Ltd ,England</w:t>
            </w:r>
          </w:p>
          <w:p w14:paraId="2F5DA880">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22D859C7">
            <w:pPr>
              <w:pStyle w:val="10"/>
              <w:spacing w:before="120" w:beforeAutospacing="0" w:after="240" w:afterAutospacing="0" w:line="480" w:lineRule="auto"/>
              <w:jc w:val="both"/>
              <w:rPr>
                <w:color w:val="202122"/>
                <w:sz w:val="28"/>
                <w:szCs w:val="28"/>
              </w:rPr>
            </w:pPr>
            <w:r>
              <w:rPr>
                <w:color w:val="202122"/>
                <w:sz w:val="28"/>
                <w:szCs w:val="28"/>
              </w:rPr>
              <w:t>Gallenkamp Ltd, England</w:t>
            </w:r>
          </w:p>
          <w:p w14:paraId="3CF7A03C">
            <w:pPr>
              <w:pStyle w:val="10"/>
              <w:spacing w:before="120" w:beforeAutospacing="0" w:after="240" w:afterAutospacing="0" w:line="480" w:lineRule="auto"/>
              <w:jc w:val="both"/>
              <w:rPr>
                <w:color w:val="202122"/>
                <w:sz w:val="28"/>
                <w:szCs w:val="28"/>
              </w:rPr>
            </w:pPr>
            <w:r>
              <w:rPr>
                <w:color w:val="202122"/>
                <w:sz w:val="28"/>
                <w:szCs w:val="28"/>
              </w:rPr>
              <w:t>Technico scientific Ltd, England</w:t>
            </w:r>
          </w:p>
          <w:p w14:paraId="0994FE76">
            <w:pPr>
              <w:pStyle w:val="10"/>
              <w:spacing w:before="120" w:beforeAutospacing="0" w:after="240" w:afterAutospacing="0" w:line="480" w:lineRule="auto"/>
              <w:jc w:val="both"/>
              <w:rPr>
                <w:color w:val="202122"/>
                <w:sz w:val="28"/>
                <w:szCs w:val="28"/>
              </w:rPr>
            </w:pPr>
          </w:p>
          <w:p w14:paraId="620D82ED">
            <w:pPr>
              <w:pStyle w:val="10"/>
              <w:spacing w:before="120" w:beforeAutospacing="0" w:after="240" w:afterAutospacing="0" w:line="480" w:lineRule="auto"/>
              <w:jc w:val="both"/>
              <w:rPr>
                <w:color w:val="202122"/>
                <w:sz w:val="28"/>
                <w:szCs w:val="28"/>
              </w:rPr>
            </w:pPr>
            <w:r>
              <w:rPr>
                <w:color w:val="202122"/>
                <w:sz w:val="28"/>
                <w:szCs w:val="28"/>
              </w:rPr>
              <w:t>Moramber (Mbc) Ltd</w:t>
            </w:r>
          </w:p>
          <w:p w14:paraId="5AFD74EE">
            <w:pPr>
              <w:pStyle w:val="10"/>
              <w:spacing w:before="120" w:beforeAutospacing="0" w:after="240" w:afterAutospacing="0" w:line="480" w:lineRule="auto"/>
              <w:jc w:val="both"/>
              <w:rPr>
                <w:color w:val="202122"/>
                <w:sz w:val="28"/>
                <w:szCs w:val="28"/>
              </w:rPr>
            </w:pPr>
            <w:r>
              <w:rPr>
                <w:color w:val="202122"/>
                <w:sz w:val="28"/>
                <w:szCs w:val="28"/>
              </w:rPr>
              <w:t>Pyrex scientific Ltd, England</w:t>
            </w:r>
          </w:p>
          <w:p w14:paraId="48EF11C7">
            <w:pPr>
              <w:pStyle w:val="10"/>
              <w:spacing w:before="120" w:beforeAutospacing="0" w:after="240" w:afterAutospacing="0" w:line="480" w:lineRule="auto"/>
              <w:jc w:val="both"/>
              <w:rPr>
                <w:color w:val="202122"/>
                <w:sz w:val="28"/>
                <w:szCs w:val="28"/>
              </w:rPr>
            </w:pPr>
            <w:r>
              <w:rPr>
                <w:color w:val="202122"/>
                <w:sz w:val="28"/>
                <w:szCs w:val="28"/>
              </w:rPr>
              <w:t>Uniscope scientific Ltd, England</w:t>
            </w:r>
          </w:p>
          <w:p w14:paraId="4CF94AA1">
            <w:pPr>
              <w:pStyle w:val="10"/>
              <w:spacing w:before="120" w:beforeAutospacing="0" w:after="240" w:afterAutospacing="0" w:line="480" w:lineRule="auto"/>
              <w:jc w:val="both"/>
              <w:rPr>
                <w:color w:val="202122"/>
                <w:sz w:val="28"/>
                <w:szCs w:val="28"/>
              </w:rPr>
            </w:pPr>
            <w:r>
              <w:rPr>
                <w:color w:val="202122"/>
                <w:sz w:val="28"/>
                <w:szCs w:val="28"/>
              </w:rPr>
              <w:t>Duck V Scientific 500 infrared</w:t>
            </w:r>
          </w:p>
          <w:p w14:paraId="2D12C1FC">
            <w:pPr>
              <w:pStyle w:val="10"/>
              <w:spacing w:before="120" w:beforeAutospacing="0" w:after="240" w:afterAutospacing="0" w:line="480" w:lineRule="auto"/>
              <w:jc w:val="both"/>
              <w:rPr>
                <w:color w:val="202122"/>
                <w:sz w:val="28"/>
                <w:szCs w:val="28"/>
              </w:rPr>
            </w:pPr>
            <w:r>
              <w:rPr>
                <w:color w:val="202122"/>
                <w:sz w:val="28"/>
                <w:szCs w:val="28"/>
              </w:rPr>
              <w:t>Jenwoy 6405 UV spectrophotometer.</w:t>
            </w:r>
          </w:p>
          <w:p w14:paraId="4583ECD3">
            <w:pPr>
              <w:pStyle w:val="10"/>
              <w:spacing w:before="120" w:beforeAutospacing="0" w:after="240" w:afterAutospacing="0" w:line="480" w:lineRule="auto"/>
              <w:jc w:val="both"/>
              <w:rPr>
                <w:color w:val="202122"/>
                <w:sz w:val="28"/>
                <w:szCs w:val="28"/>
              </w:rPr>
            </w:pPr>
          </w:p>
        </w:tc>
      </w:tr>
    </w:tbl>
    <w:p w14:paraId="5D30C183">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 </w:t>
      </w:r>
    </w:p>
    <w:p w14:paraId="2F79D839">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2.1.2</w:t>
      </w:r>
      <w:r>
        <w:rPr>
          <w:b/>
          <w:color w:val="202122"/>
          <w:sz w:val="28"/>
          <w:szCs w:val="28"/>
        </w:rPr>
        <w:tab/>
      </w:r>
      <w:r>
        <w:rPr>
          <w:b/>
          <w:color w:val="202122"/>
          <w:sz w:val="28"/>
          <w:szCs w:val="28"/>
        </w:rPr>
        <w:t xml:space="preserve">REAGENTS </w:t>
      </w:r>
    </w:p>
    <w:p w14:paraId="7034AD83">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following reagents were collected from chemistry department, Kwara State Polytechnic.</w:t>
      </w:r>
    </w:p>
    <w:p w14:paraId="667DD405">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ab/>
      </w:r>
      <w:r>
        <w:rPr>
          <w:b/>
          <w:color w:val="202122"/>
          <w:sz w:val="28"/>
          <w:szCs w:val="28"/>
        </w:rPr>
        <w:t>Reagent</w:t>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ab/>
      </w:r>
      <w:r>
        <w:rPr>
          <w:b/>
          <w:color w:val="202122"/>
          <w:sz w:val="28"/>
          <w:szCs w:val="28"/>
        </w:rPr>
        <w:t>Manufacturer</w:t>
      </w:r>
    </w:p>
    <w:p w14:paraId="4459A9A6">
      <w:pPr>
        <w:pStyle w:val="10"/>
        <w:shd w:val="clear" w:color="auto" w:fill="FFFFFF"/>
        <w:spacing w:before="120" w:beforeAutospacing="0" w:after="240" w:afterAutospacing="0" w:line="360" w:lineRule="auto"/>
        <w:jc w:val="both"/>
        <w:rPr>
          <w:color w:val="202122"/>
          <w:sz w:val="28"/>
          <w:szCs w:val="28"/>
        </w:rPr>
      </w:pPr>
      <w:r>
        <w:rPr>
          <w:color w:val="202122"/>
          <w:sz w:val="28"/>
          <w:szCs w:val="28"/>
        </w:rPr>
        <w:t>Nickel Sulphate Hexahydrate</w:t>
      </w:r>
    </w:p>
    <w:p w14:paraId="3538D9F8">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0</w:t>
      </w:r>
      <w:r>
        <w:rPr>
          <w:color w:val="202122"/>
          <w:sz w:val="28"/>
          <w:szCs w:val="28"/>
        </w:rPr>
        <w:tab/>
      </w:r>
      <w:r>
        <w:rPr>
          <w:color w:val="202122"/>
          <w:sz w:val="28"/>
          <w:szCs w:val="28"/>
        </w:rPr>
        <w:tab/>
      </w:r>
      <w:r>
        <w:rPr>
          <w:color w:val="202122"/>
          <w:sz w:val="28"/>
          <w:szCs w:val="28"/>
        </w:rPr>
        <w:t xml:space="preserve">  J.T Barker Chemical C.O Philliburg</w:t>
      </w:r>
    </w:p>
    <w:p w14:paraId="563BE304">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 =262.71g/mol</w:t>
      </w:r>
      <w:r>
        <w:rPr>
          <w:color w:val="202122"/>
          <w:sz w:val="28"/>
          <w:szCs w:val="28"/>
        </w:rPr>
        <w:tab/>
      </w:r>
      <w:r>
        <w:rPr>
          <w:color w:val="202122"/>
          <w:sz w:val="28"/>
          <w:szCs w:val="28"/>
        </w:rPr>
        <w:tab/>
      </w:r>
      <w:r>
        <w:rPr>
          <w:color w:val="202122"/>
          <w:sz w:val="28"/>
          <w:szCs w:val="28"/>
        </w:rPr>
        <w:tab/>
      </w:r>
    </w:p>
    <w:p w14:paraId="4AA9BEE2">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Copper Sulphate </w:t>
      </w:r>
    </w:p>
    <w:p w14:paraId="7DFBF821">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 = CuSO</w:t>
      </w:r>
      <w:r>
        <w:rPr>
          <w:color w:val="202122"/>
          <w:sz w:val="28"/>
          <w:szCs w:val="28"/>
          <w:vertAlign w:val="subscript"/>
        </w:rPr>
        <w:t>4</w:t>
      </w:r>
      <w:r>
        <w:rPr>
          <w:color w:val="202122"/>
          <w:sz w:val="28"/>
          <w:szCs w:val="28"/>
        </w:rPr>
        <w:t>.</w:t>
      </w:r>
      <w:r>
        <w:rPr>
          <w:color w:val="202122"/>
          <w:sz w:val="28"/>
          <w:szCs w:val="28"/>
        </w:rPr>
        <w:tab/>
      </w:r>
      <w:r>
        <w:rPr>
          <w:color w:val="202122"/>
          <w:sz w:val="28"/>
          <w:szCs w:val="28"/>
        </w:rPr>
        <w:tab/>
      </w:r>
      <w:r>
        <w:rPr>
          <w:color w:val="202122"/>
          <w:sz w:val="28"/>
          <w:szCs w:val="28"/>
        </w:rPr>
        <w:t>Eagle Scientific England</w:t>
      </w:r>
    </w:p>
    <w:p w14:paraId="7C2C60FB">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 Molecular Mass= 159.60g/mol</w:t>
      </w:r>
    </w:p>
    <w:p w14:paraId="778035E9">
      <w:pPr>
        <w:pStyle w:val="10"/>
        <w:shd w:val="clear" w:color="auto" w:fill="FFFFFF"/>
        <w:spacing w:before="120" w:beforeAutospacing="0" w:after="240" w:afterAutospacing="0" w:line="360" w:lineRule="auto"/>
        <w:jc w:val="both"/>
        <w:rPr>
          <w:color w:val="202122"/>
          <w:sz w:val="28"/>
          <w:szCs w:val="28"/>
        </w:rPr>
      </w:pPr>
      <w:r>
        <w:rPr>
          <w:color w:val="202122"/>
          <w:sz w:val="28"/>
          <w:szCs w:val="28"/>
        </w:rPr>
        <w:t>Iron Sulphate Heptahydrate</w:t>
      </w:r>
      <w:r>
        <w:rPr>
          <w:color w:val="202122"/>
          <w:sz w:val="28"/>
          <w:szCs w:val="28"/>
        </w:rPr>
        <w:tab/>
      </w:r>
      <w:r>
        <w:rPr>
          <w:color w:val="202122"/>
          <w:sz w:val="28"/>
          <w:szCs w:val="28"/>
        </w:rPr>
        <w:tab/>
      </w:r>
      <w:r>
        <w:rPr>
          <w:color w:val="202122"/>
          <w:sz w:val="28"/>
          <w:szCs w:val="28"/>
        </w:rPr>
        <w:t>East Aglia,  Chemicals Hadheigh</w:t>
      </w:r>
    </w:p>
    <w:p w14:paraId="481CC422">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FeSO</w:t>
      </w:r>
      <w:r>
        <w:rPr>
          <w:color w:val="202122"/>
          <w:sz w:val="28"/>
          <w:szCs w:val="28"/>
          <w:vertAlign w:val="subscript"/>
        </w:rPr>
        <w:t>4</w:t>
      </w:r>
      <w:r>
        <w:rPr>
          <w:color w:val="202122"/>
          <w:sz w:val="28"/>
          <w:szCs w:val="28"/>
        </w:rPr>
        <w:t>.7H</w:t>
      </w:r>
      <w:r>
        <w:rPr>
          <w:color w:val="202122"/>
          <w:sz w:val="28"/>
          <w:szCs w:val="28"/>
          <w:vertAlign w:val="subscript"/>
        </w:rPr>
        <w:t>2</w:t>
      </w:r>
      <w:r>
        <w:rPr>
          <w:color w:val="202122"/>
          <w:sz w:val="28"/>
          <w:szCs w:val="28"/>
        </w:rPr>
        <w:t>0</w:t>
      </w:r>
    </w:p>
    <w:p w14:paraId="660E1059">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 =278.02g/mol.</w:t>
      </w:r>
    </w:p>
    <w:p w14:paraId="7F258B44">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Ethanol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14:paraId="60D9D176">
      <w:pPr>
        <w:pStyle w:val="10"/>
        <w:shd w:val="clear" w:color="auto" w:fill="FFFFFF"/>
        <w:spacing w:before="120" w:beforeAutospacing="0" w:after="240" w:afterAutospacing="0" w:line="360" w:lineRule="auto"/>
        <w:jc w:val="both"/>
        <w:rPr>
          <w:color w:val="202122"/>
          <w:sz w:val="28"/>
          <w:szCs w:val="28"/>
        </w:rPr>
      </w:pPr>
    </w:p>
    <w:p w14:paraId="6EDD2901">
      <w:pPr>
        <w:pStyle w:val="10"/>
        <w:shd w:val="clear" w:color="auto" w:fill="FFFFFF"/>
        <w:spacing w:before="120" w:beforeAutospacing="0" w:after="240" w:afterAutospacing="0" w:line="360" w:lineRule="auto"/>
        <w:jc w:val="both"/>
        <w:rPr>
          <w:color w:val="202122"/>
          <w:sz w:val="28"/>
          <w:szCs w:val="28"/>
        </w:rPr>
      </w:pPr>
      <w:r>
        <w:rPr>
          <w:color w:val="202122"/>
          <w:sz w:val="28"/>
          <w:szCs w:val="28"/>
        </w:rPr>
        <w:t>Methanol</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East Aglia,  Chemicals Hadheigh</w:t>
      </w:r>
    </w:p>
    <w:p w14:paraId="64511937">
      <w:pPr>
        <w:pStyle w:val="10"/>
        <w:shd w:val="clear" w:color="auto" w:fill="FFFFFF"/>
        <w:spacing w:before="120" w:beforeAutospacing="0" w:after="240" w:afterAutospacing="0" w:line="360" w:lineRule="auto"/>
        <w:jc w:val="both"/>
        <w:rPr>
          <w:color w:val="202122"/>
          <w:sz w:val="28"/>
          <w:szCs w:val="28"/>
        </w:rPr>
      </w:pPr>
      <w:r>
        <w:rPr>
          <w:color w:val="202122"/>
          <w:sz w:val="28"/>
          <w:szCs w:val="28"/>
        </w:rPr>
        <w:t>Distilled water</w:t>
      </w:r>
    </w:p>
    <w:p w14:paraId="412F67D9">
      <w:pPr>
        <w:pStyle w:val="10"/>
        <w:shd w:val="clear" w:color="auto" w:fill="FFFFFF"/>
        <w:spacing w:before="120" w:beforeAutospacing="0" w:after="240" w:afterAutospacing="0" w:line="360" w:lineRule="auto"/>
        <w:jc w:val="both"/>
        <w:rPr>
          <w:color w:val="202122"/>
          <w:sz w:val="28"/>
          <w:szCs w:val="28"/>
        </w:rPr>
      </w:pPr>
    </w:p>
    <w:p w14:paraId="00984C7D">
      <w:pPr>
        <w:pStyle w:val="10"/>
        <w:shd w:val="clear" w:color="auto" w:fill="FFFFFF"/>
        <w:spacing w:before="120" w:beforeAutospacing="0" w:after="240" w:afterAutospacing="0" w:line="360" w:lineRule="auto"/>
        <w:jc w:val="both"/>
        <w:rPr>
          <w:b/>
          <w:color w:val="202122"/>
          <w:sz w:val="28"/>
          <w:szCs w:val="28"/>
        </w:rPr>
      </w:pPr>
      <w:r>
        <w:rPr>
          <w:b/>
          <w:color w:val="202122"/>
          <w:sz w:val="28"/>
          <w:szCs w:val="28"/>
        </w:rPr>
        <w:t xml:space="preserve"> 2.1.3</w:t>
      </w:r>
      <w:r>
        <w:rPr>
          <w:b/>
          <w:color w:val="202122"/>
          <w:sz w:val="28"/>
          <w:szCs w:val="28"/>
        </w:rPr>
        <w:tab/>
      </w:r>
      <w:r>
        <w:rPr>
          <w:b/>
          <w:color w:val="202122"/>
          <w:sz w:val="28"/>
          <w:szCs w:val="28"/>
        </w:rPr>
        <w:t>MATERIALS</w:t>
      </w:r>
    </w:p>
    <w:p w14:paraId="74B8B09C">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Ibuprofen </w:t>
      </w:r>
    </w:p>
    <w:p w14:paraId="447FB16D">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formular= C</w:t>
      </w:r>
      <w:r>
        <w:rPr>
          <w:color w:val="202122"/>
          <w:sz w:val="28"/>
          <w:szCs w:val="28"/>
          <w:vertAlign w:val="subscript"/>
        </w:rPr>
        <w:t>13</w:t>
      </w:r>
      <w:r>
        <w:rPr>
          <w:color w:val="202122"/>
          <w:sz w:val="28"/>
          <w:szCs w:val="28"/>
        </w:rPr>
        <w:t>H</w:t>
      </w:r>
      <w:r>
        <w:rPr>
          <w:color w:val="202122"/>
          <w:sz w:val="28"/>
          <w:szCs w:val="28"/>
          <w:vertAlign w:val="subscript"/>
        </w:rPr>
        <w:t>18</w:t>
      </w:r>
      <w:r>
        <w:rPr>
          <w:color w:val="202122"/>
          <w:sz w:val="28"/>
          <w:szCs w:val="28"/>
        </w:rPr>
        <w:t>O</w:t>
      </w:r>
      <w:r>
        <w:rPr>
          <w:color w:val="202122"/>
          <w:sz w:val="28"/>
          <w:szCs w:val="28"/>
          <w:vertAlign w:val="subscript"/>
        </w:rPr>
        <w:t>2</w:t>
      </w:r>
    </w:p>
    <w:p w14:paraId="5F44CECA">
      <w:pPr>
        <w:pStyle w:val="10"/>
        <w:shd w:val="clear" w:color="auto" w:fill="FFFFFF"/>
        <w:spacing w:before="120" w:beforeAutospacing="0" w:after="240" w:afterAutospacing="0" w:line="360" w:lineRule="auto"/>
        <w:jc w:val="both"/>
        <w:rPr>
          <w:color w:val="202122"/>
          <w:sz w:val="28"/>
          <w:szCs w:val="28"/>
        </w:rPr>
      </w:pPr>
      <w:r>
        <w:rPr>
          <w:color w:val="202122"/>
          <w:sz w:val="28"/>
          <w:szCs w:val="28"/>
        </w:rPr>
        <w:t>Molecular Mass=206.29g/mol</w:t>
      </w:r>
    </w:p>
    <w:p w14:paraId="303829AB">
      <w:pPr>
        <w:pStyle w:val="10"/>
        <w:shd w:val="clear" w:color="auto" w:fill="FFFFFF"/>
        <w:spacing w:before="120" w:beforeAutospacing="0" w:after="240" w:afterAutospacing="0" w:line="360" w:lineRule="auto"/>
        <w:jc w:val="both"/>
        <w:rPr>
          <w:color w:val="202122"/>
          <w:sz w:val="28"/>
          <w:szCs w:val="28"/>
        </w:rPr>
      </w:pPr>
      <w:r>
        <w:rPr>
          <w:color w:val="202122"/>
          <w:sz w:val="28"/>
          <w:szCs w:val="28"/>
        </w:rPr>
        <w:t xml:space="preserve">Source </w:t>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ab/>
      </w:r>
      <w:r>
        <w:rPr>
          <w:color w:val="202122"/>
          <w:sz w:val="28"/>
          <w:szCs w:val="28"/>
        </w:rPr>
        <w:t xml:space="preserve"> BIORAJ Pharmaceuticals, Ilorin.</w:t>
      </w:r>
    </w:p>
    <w:p w14:paraId="6A2E5F20">
      <w:pPr>
        <w:pStyle w:val="10"/>
        <w:shd w:val="clear" w:color="auto" w:fill="FFFFFF"/>
        <w:spacing w:before="120" w:beforeAutospacing="0" w:after="240" w:afterAutospacing="0" w:line="360" w:lineRule="auto"/>
        <w:jc w:val="both"/>
        <w:rPr>
          <w:color w:val="202122"/>
          <w:sz w:val="28"/>
          <w:szCs w:val="28"/>
        </w:rPr>
      </w:pPr>
    </w:p>
    <w:p w14:paraId="23EE7895">
      <w:pPr>
        <w:pStyle w:val="10"/>
        <w:shd w:val="clear" w:color="auto" w:fill="FFFFFF"/>
        <w:spacing w:before="120" w:beforeAutospacing="0" w:after="240" w:afterAutospacing="0" w:line="360" w:lineRule="auto"/>
        <w:jc w:val="both"/>
        <w:rPr>
          <w:b/>
          <w:color w:val="202122"/>
          <w:sz w:val="28"/>
          <w:szCs w:val="28"/>
        </w:rPr>
      </w:pPr>
    </w:p>
    <w:p w14:paraId="5A212A26">
      <w:pPr>
        <w:pStyle w:val="10"/>
        <w:shd w:val="clear" w:color="auto" w:fill="FFFFFF"/>
        <w:spacing w:before="120" w:beforeAutospacing="0" w:after="240" w:afterAutospacing="0" w:line="360" w:lineRule="auto"/>
        <w:jc w:val="both"/>
        <w:rPr>
          <w:color w:val="202122"/>
          <w:sz w:val="28"/>
          <w:szCs w:val="28"/>
        </w:rPr>
      </w:pPr>
      <w:r>
        <w:rPr>
          <w:b/>
          <w:color w:val="202122"/>
          <w:sz w:val="28"/>
          <w:szCs w:val="28"/>
        </w:rPr>
        <w:t>2.2</w:t>
      </w:r>
      <w:r>
        <w:rPr>
          <w:b/>
          <w:color w:val="202122"/>
          <w:sz w:val="28"/>
          <w:szCs w:val="28"/>
        </w:rPr>
        <w:tab/>
      </w:r>
      <w:r>
        <w:rPr>
          <w:b/>
          <w:color w:val="202122"/>
          <w:sz w:val="28"/>
          <w:szCs w:val="28"/>
        </w:rPr>
        <w:t>EXPERIMENTAL PROCEDURE</w:t>
      </w:r>
      <w:r>
        <w:rPr>
          <w:color w:val="202122"/>
          <w:sz w:val="28"/>
          <w:szCs w:val="28"/>
        </w:rPr>
        <w:t>S</w:t>
      </w:r>
    </w:p>
    <w:p w14:paraId="36F82A57">
      <w:pPr>
        <w:pStyle w:val="10"/>
        <w:shd w:val="clear" w:color="auto" w:fill="FFFFFF"/>
        <w:spacing w:before="120" w:beforeAutospacing="0" w:after="240" w:afterAutospacing="0" w:line="480" w:lineRule="auto"/>
        <w:jc w:val="both"/>
        <w:rPr>
          <w:color w:val="202122"/>
          <w:sz w:val="28"/>
          <w:szCs w:val="28"/>
        </w:rPr>
      </w:pPr>
      <w:r>
        <w:rPr>
          <w:color w:val="202122"/>
          <w:sz w:val="28"/>
          <w:szCs w:val="28"/>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14:paraId="00CE2EE7">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2.2.1</w:t>
      </w:r>
      <w:r>
        <w:rPr>
          <w:b/>
          <w:color w:val="202122"/>
          <w:sz w:val="28"/>
          <w:szCs w:val="28"/>
        </w:rPr>
        <w:tab/>
      </w:r>
      <w:r>
        <w:rPr>
          <w:b/>
          <w:color w:val="202122"/>
          <w:sz w:val="28"/>
          <w:szCs w:val="28"/>
        </w:rPr>
        <w:t>IBUPROFEN Ni (ii) COMPLEX FORMATION</w:t>
      </w:r>
    </w:p>
    <w:p w14:paraId="688F46E8">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BCD2262">
      <w:pPr>
        <w:pStyle w:val="10"/>
        <w:shd w:val="clear" w:color="auto" w:fill="FFFFFF"/>
        <w:spacing w:before="120" w:beforeAutospacing="0" w:after="240" w:afterAutospacing="0" w:line="480" w:lineRule="auto"/>
        <w:jc w:val="both"/>
        <w:rPr>
          <w:color w:val="202122"/>
          <w:sz w:val="28"/>
          <w:szCs w:val="28"/>
        </w:rPr>
      </w:pPr>
      <w:r>
        <w:rPr>
          <w:color w:val="202122"/>
          <w:sz w:val="28"/>
          <w:szCs w:val="28"/>
        </w:rPr>
        <w:t>2.38g of NiSO</w:t>
      </w:r>
      <w:r>
        <w:rPr>
          <w:color w:val="202122"/>
          <w:sz w:val="28"/>
          <w:szCs w:val="28"/>
          <w:vertAlign w:val="subscript"/>
        </w:rPr>
        <w:t>4</w:t>
      </w:r>
      <w:r>
        <w:rPr>
          <w:color w:val="202122"/>
          <w:sz w:val="28"/>
          <w:szCs w:val="28"/>
        </w:rPr>
        <w:t>.6H</w:t>
      </w:r>
      <w:r>
        <w:rPr>
          <w:color w:val="202122"/>
          <w:sz w:val="28"/>
          <w:szCs w:val="28"/>
          <w:vertAlign w:val="subscript"/>
        </w:rPr>
        <w:t>2</w:t>
      </w:r>
      <w:r>
        <w:rPr>
          <w:color w:val="202122"/>
          <w:sz w:val="28"/>
          <w:szCs w:val="28"/>
        </w:rPr>
        <w:t>O was also weighed using a digital pocket scale and was then dissolved in 10cm3 of distilled water in a beaker.</w:t>
      </w:r>
    </w:p>
    <w:p w14:paraId="1B12E5A8">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14:paraId="4CC1C04F">
      <w:pPr>
        <w:pStyle w:val="10"/>
        <w:shd w:val="clear" w:color="auto" w:fill="FFFFFF"/>
        <w:spacing w:before="120" w:beforeAutospacing="0" w:after="240" w:afterAutospacing="0" w:line="480" w:lineRule="auto"/>
        <w:jc w:val="both"/>
        <w:rPr>
          <w:color w:val="202122"/>
          <w:sz w:val="28"/>
          <w:szCs w:val="28"/>
        </w:rPr>
      </w:pPr>
      <w:r>
        <w:rPr>
          <w:color w:val="202122"/>
          <w:sz w:val="28"/>
          <w:szCs w:val="28"/>
        </w:rPr>
        <w:t xml:space="preserve">The complex obtained was weighed and put in a container which was labeled IBNi(ii) complex. </w:t>
      </w:r>
    </w:p>
    <w:p w14:paraId="695733E7">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weight of the complex obtained was 1.7g of methanol.</w:t>
      </w:r>
    </w:p>
    <w:p w14:paraId="6AE4CF65">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2.2.2</w:t>
      </w:r>
      <w:r>
        <w:rPr>
          <w:b/>
          <w:color w:val="202122"/>
          <w:sz w:val="28"/>
          <w:szCs w:val="28"/>
        </w:rPr>
        <w:tab/>
      </w:r>
      <w:r>
        <w:rPr>
          <w:b/>
          <w:color w:val="202122"/>
          <w:sz w:val="28"/>
          <w:szCs w:val="28"/>
        </w:rPr>
        <w:t>IBUPROFEN Cu (ii) COMPLEX FORMATION</w:t>
      </w:r>
    </w:p>
    <w:p w14:paraId="14026E24">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4125DF1D">
      <w:pPr>
        <w:pStyle w:val="10"/>
        <w:shd w:val="clear" w:color="auto" w:fill="FFFFFF"/>
        <w:spacing w:before="120" w:beforeAutospacing="0" w:after="240" w:afterAutospacing="0" w:line="480" w:lineRule="auto"/>
        <w:jc w:val="both"/>
        <w:rPr>
          <w:color w:val="202122"/>
          <w:sz w:val="28"/>
          <w:szCs w:val="28"/>
        </w:rPr>
      </w:pPr>
      <w:r>
        <w:rPr>
          <w:color w:val="202122"/>
          <w:sz w:val="28"/>
          <w:szCs w:val="28"/>
        </w:rPr>
        <w:t>1.6g of CuSO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14:paraId="5C267DD0">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2.2.3</w:t>
      </w:r>
      <w:r>
        <w:rPr>
          <w:b/>
          <w:color w:val="202122"/>
          <w:sz w:val="28"/>
          <w:szCs w:val="28"/>
        </w:rPr>
        <w:tab/>
      </w:r>
      <w:r>
        <w:rPr>
          <w:b/>
          <w:color w:val="202122"/>
          <w:sz w:val="28"/>
          <w:szCs w:val="28"/>
        </w:rPr>
        <w:t>IBUPROFEN (Fe) FORMATION</w:t>
      </w:r>
    </w:p>
    <w:p w14:paraId="3F9CF6FC">
      <w:pPr>
        <w:pStyle w:val="10"/>
        <w:shd w:val="clear" w:color="auto" w:fill="FFFFFF"/>
        <w:spacing w:before="120" w:beforeAutospacing="0" w:after="240" w:afterAutospacing="0" w:line="480" w:lineRule="auto"/>
        <w:jc w:val="both"/>
        <w:rPr>
          <w:color w:val="202122"/>
          <w:sz w:val="28"/>
          <w:szCs w:val="28"/>
        </w:rPr>
      </w:pPr>
      <w:r>
        <w:rPr>
          <w:color w:val="202122"/>
          <w:sz w:val="28"/>
          <w:szCs w:val="28"/>
        </w:rPr>
        <w:t>3.52g of ibuprofen was weighed using a digital pocket scale and was then dissolved in 10cm3 of distilled water using a clean dried round bottom flask.</w:t>
      </w:r>
    </w:p>
    <w:p w14:paraId="75B9217D">
      <w:pPr>
        <w:pStyle w:val="10"/>
        <w:shd w:val="clear" w:color="auto" w:fill="FFFFFF"/>
        <w:spacing w:before="120" w:beforeAutospacing="0" w:after="240" w:afterAutospacing="0" w:line="480" w:lineRule="auto"/>
        <w:jc w:val="both"/>
        <w:rPr>
          <w:color w:val="202122"/>
          <w:sz w:val="28"/>
          <w:szCs w:val="28"/>
        </w:rPr>
      </w:pPr>
      <w:r>
        <w:rPr>
          <w:color w:val="202122"/>
          <w:sz w:val="28"/>
          <w:szCs w:val="28"/>
        </w:rPr>
        <w:t>3.8g of FeSO</w:t>
      </w:r>
      <w:r>
        <w:rPr>
          <w:color w:val="202122"/>
          <w:sz w:val="28"/>
          <w:szCs w:val="28"/>
          <w:vertAlign w:val="subscript"/>
        </w:rPr>
        <w:t>4</w:t>
      </w:r>
      <w:r>
        <w:rPr>
          <w:color w:val="202122"/>
          <w:sz w:val="28"/>
          <w:szCs w:val="28"/>
        </w:rPr>
        <w:t xml:space="preserve"> was also weighed and was then dissolved in 10cm</w:t>
      </w:r>
      <w:r>
        <w:rPr>
          <w:color w:val="202122"/>
          <w:sz w:val="28"/>
          <w:szCs w:val="28"/>
          <w:vertAlign w:val="superscript"/>
        </w:rPr>
        <w:t>3</w:t>
      </w:r>
      <w:r>
        <w:rPr>
          <w:color w:val="202122"/>
          <w:sz w:val="28"/>
          <w:szCs w:val="28"/>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 the complex obtained was 3.2g.</w:t>
      </w:r>
    </w:p>
    <w:p w14:paraId="223F0314">
      <w:pPr>
        <w:pStyle w:val="10"/>
        <w:shd w:val="clear" w:color="auto" w:fill="FFFFFF"/>
        <w:spacing w:before="120" w:beforeAutospacing="0" w:after="240" w:afterAutospacing="0" w:line="480" w:lineRule="auto"/>
        <w:jc w:val="both"/>
        <w:rPr>
          <w:color w:val="202122"/>
          <w:sz w:val="28"/>
          <w:szCs w:val="28"/>
        </w:rPr>
      </w:pPr>
      <w:r>
        <w:rPr>
          <w:b/>
          <w:color w:val="202122"/>
          <w:sz w:val="28"/>
          <w:szCs w:val="28"/>
        </w:rPr>
        <w:t>2.3</w:t>
      </w:r>
      <w:r>
        <w:rPr>
          <w:b/>
          <w:color w:val="202122"/>
          <w:sz w:val="28"/>
          <w:szCs w:val="28"/>
        </w:rPr>
        <w:tab/>
      </w:r>
      <w:r>
        <w:rPr>
          <w:color w:val="202122"/>
          <w:sz w:val="28"/>
          <w:szCs w:val="28"/>
        </w:rPr>
        <w:t xml:space="preserve"> </w:t>
      </w:r>
      <w:r>
        <w:rPr>
          <w:b/>
          <w:color w:val="202122"/>
          <w:sz w:val="28"/>
          <w:szCs w:val="28"/>
        </w:rPr>
        <w:t>CHARACTERIZATION METHODS</w:t>
      </w:r>
    </w:p>
    <w:p w14:paraId="634E39C0">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2.3.1</w:t>
      </w:r>
      <w:r>
        <w:rPr>
          <w:b/>
          <w:color w:val="202122"/>
          <w:sz w:val="28"/>
          <w:szCs w:val="28"/>
        </w:rPr>
        <w:tab/>
      </w:r>
      <w:r>
        <w:rPr>
          <w:b/>
          <w:color w:val="202122"/>
          <w:sz w:val="28"/>
          <w:szCs w:val="28"/>
        </w:rPr>
        <w:t>SolubilityTest.</w:t>
      </w:r>
    </w:p>
    <w:p w14:paraId="5D643D7A">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solubility of the complexes were determined in the following solvents. Ethanol, benzene, methanol, petroleum ether, acetone, distilled water and chloroform</w:t>
      </w:r>
    </w:p>
    <w:p w14:paraId="439B387B">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2.3.2</w:t>
      </w:r>
      <w:r>
        <w:rPr>
          <w:b/>
          <w:color w:val="202122"/>
          <w:sz w:val="28"/>
          <w:szCs w:val="28"/>
        </w:rPr>
        <w:tab/>
      </w:r>
      <w:r>
        <w:rPr>
          <w:b/>
          <w:color w:val="202122"/>
          <w:sz w:val="28"/>
          <w:szCs w:val="28"/>
        </w:rPr>
        <w:t>MELTING POINT DETERMINATION</w:t>
      </w:r>
    </w:p>
    <w:p w14:paraId="7840A677">
      <w:pPr>
        <w:pStyle w:val="10"/>
        <w:shd w:val="clear" w:color="auto" w:fill="FFFFFF"/>
        <w:spacing w:before="120" w:beforeAutospacing="0" w:after="240" w:afterAutospacing="0" w:line="480" w:lineRule="auto"/>
        <w:jc w:val="both"/>
        <w:rPr>
          <w:color w:val="202122"/>
          <w:sz w:val="28"/>
          <w:szCs w:val="28"/>
        </w:rPr>
      </w:pPr>
      <w:r>
        <w:rPr>
          <w:color w:val="202122"/>
          <w:sz w:val="28"/>
          <w:szCs w:val="28"/>
        </w:rPr>
        <w:t>The melting point of  the complexes were determined using Gallenkamp melting point  apparatus, thermometer  and capillary tubes</w:t>
      </w:r>
    </w:p>
    <w:p w14:paraId="42021367">
      <w:pPr>
        <w:pStyle w:val="10"/>
        <w:shd w:val="clear" w:color="auto" w:fill="FFFFFF"/>
        <w:spacing w:before="120" w:beforeAutospacing="0" w:after="240" w:afterAutospacing="0" w:line="480" w:lineRule="auto"/>
        <w:jc w:val="both"/>
        <w:rPr>
          <w:b/>
          <w:color w:val="202122"/>
          <w:sz w:val="28"/>
          <w:szCs w:val="28"/>
        </w:rPr>
      </w:pPr>
    </w:p>
    <w:p w14:paraId="06A30C5C">
      <w:pPr>
        <w:pStyle w:val="10"/>
        <w:shd w:val="clear" w:color="auto" w:fill="FFFFFF"/>
        <w:spacing w:before="120" w:beforeAutospacing="0" w:after="240" w:afterAutospacing="0" w:line="480" w:lineRule="auto"/>
        <w:jc w:val="both"/>
        <w:rPr>
          <w:b/>
          <w:color w:val="202122"/>
          <w:sz w:val="28"/>
          <w:szCs w:val="28"/>
        </w:rPr>
      </w:pPr>
    </w:p>
    <w:p w14:paraId="79505DBC">
      <w:pPr>
        <w:pStyle w:val="10"/>
        <w:shd w:val="clear" w:color="auto" w:fill="FFFFFF"/>
        <w:spacing w:before="120" w:beforeAutospacing="0" w:after="240" w:afterAutospacing="0" w:line="480" w:lineRule="auto"/>
        <w:jc w:val="both"/>
        <w:rPr>
          <w:b/>
          <w:color w:val="202122"/>
          <w:sz w:val="28"/>
          <w:szCs w:val="28"/>
        </w:rPr>
      </w:pPr>
      <w:r>
        <w:rPr>
          <w:b/>
          <w:color w:val="202122"/>
          <w:sz w:val="28"/>
          <w:szCs w:val="28"/>
        </w:rPr>
        <w:t>2.3.3</w:t>
      </w:r>
      <w:r>
        <w:rPr>
          <w:b/>
          <w:color w:val="202122"/>
          <w:sz w:val="28"/>
          <w:szCs w:val="28"/>
        </w:rPr>
        <w:tab/>
      </w:r>
      <w:r>
        <w:rPr>
          <w:b/>
          <w:color w:val="202122"/>
          <w:sz w:val="28"/>
          <w:szCs w:val="28"/>
        </w:rPr>
        <w:t>METHOD</w:t>
      </w:r>
    </w:p>
    <w:p w14:paraId="0C804CDD">
      <w:pPr>
        <w:pStyle w:val="10"/>
        <w:shd w:val="clear" w:color="auto" w:fill="FFFFFF"/>
        <w:spacing w:before="120" w:beforeAutospacing="0" w:after="240" w:afterAutospacing="0" w:line="480" w:lineRule="auto"/>
        <w:jc w:val="both"/>
        <w:rPr>
          <w:color w:val="202122"/>
          <w:sz w:val="28"/>
          <w:szCs w:val="28"/>
        </w:rPr>
      </w:pPr>
      <w:r>
        <w:rPr>
          <w:color w:val="202122"/>
          <w:sz w:val="28"/>
          <w:szCs w:val="28"/>
        </w:rPr>
        <w:t>One side of the capillary tubes was sealed and the samples were introduced through the open and to a depth of about 1cm of the tube. The thermometer  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14:paraId="50233AD1">
      <w:pPr>
        <w:spacing w:line="480"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p>
    <w:p w14:paraId="53EF569A">
      <w:pPr>
        <w:spacing w:line="480" w:lineRule="auto"/>
        <w:jc w:val="both"/>
        <w:rPr>
          <w:rFonts w:ascii="Times New Roman" w:hAnsi="Times New Roman" w:cs="Times New Roman"/>
          <w:sz w:val="28"/>
          <w:szCs w:val="28"/>
        </w:rPr>
      </w:pPr>
    </w:p>
    <w:p w14:paraId="7EC3A8F1">
      <w:pPr>
        <w:spacing w:line="480" w:lineRule="auto"/>
        <w:jc w:val="both"/>
        <w:rPr>
          <w:rFonts w:ascii="Times New Roman" w:hAnsi="Times New Roman" w:cs="Times New Roman"/>
          <w:sz w:val="28"/>
          <w:szCs w:val="28"/>
        </w:rPr>
      </w:pPr>
    </w:p>
    <w:p w14:paraId="652A1AE6">
      <w:pPr>
        <w:spacing w:line="480" w:lineRule="auto"/>
        <w:jc w:val="both"/>
        <w:rPr>
          <w:rFonts w:ascii="Times New Roman" w:hAnsi="Times New Roman" w:cs="Times New Roman"/>
          <w:sz w:val="28"/>
          <w:szCs w:val="28"/>
        </w:rPr>
      </w:pPr>
    </w:p>
    <w:p w14:paraId="3C13DBF4">
      <w:pPr>
        <w:spacing w:line="480" w:lineRule="auto"/>
        <w:jc w:val="both"/>
        <w:rPr>
          <w:rFonts w:ascii="Times New Roman" w:hAnsi="Times New Roman" w:cs="Times New Roman"/>
          <w:b/>
          <w:sz w:val="28"/>
          <w:szCs w:val="28"/>
        </w:rPr>
      </w:pPr>
    </w:p>
    <w:p w14:paraId="474B7D7E">
      <w:pPr>
        <w:spacing w:line="480" w:lineRule="auto"/>
        <w:jc w:val="both"/>
        <w:rPr>
          <w:rFonts w:ascii="Times New Roman" w:hAnsi="Times New Roman" w:cs="Times New Roman"/>
          <w:b/>
          <w:sz w:val="28"/>
          <w:szCs w:val="28"/>
        </w:rPr>
      </w:pPr>
    </w:p>
    <w:p w14:paraId="116A07A9">
      <w:pPr>
        <w:spacing w:line="480" w:lineRule="auto"/>
        <w:jc w:val="both"/>
        <w:rPr>
          <w:rFonts w:ascii="Times New Roman" w:hAnsi="Times New Roman" w:cs="Times New Roman"/>
          <w:b/>
          <w:sz w:val="28"/>
          <w:szCs w:val="28"/>
        </w:rPr>
      </w:pPr>
    </w:p>
    <w:p w14:paraId="342A587F">
      <w:pPr>
        <w:spacing w:line="480" w:lineRule="auto"/>
        <w:jc w:val="both"/>
        <w:rPr>
          <w:rFonts w:ascii="Times New Roman" w:hAnsi="Times New Roman" w:cs="Times New Roman"/>
          <w:b/>
          <w:sz w:val="28"/>
          <w:szCs w:val="28"/>
        </w:rPr>
      </w:pPr>
    </w:p>
    <w:p w14:paraId="7B009787">
      <w:pPr>
        <w:spacing w:line="480" w:lineRule="auto"/>
        <w:jc w:val="both"/>
        <w:rPr>
          <w:rFonts w:ascii="Times New Roman" w:hAnsi="Times New Roman" w:cs="Times New Roman"/>
          <w:b/>
          <w:sz w:val="28"/>
          <w:szCs w:val="28"/>
        </w:rPr>
      </w:pPr>
    </w:p>
    <w:p w14:paraId="581649ED">
      <w:pPr>
        <w:spacing w:line="480" w:lineRule="auto"/>
        <w:jc w:val="both"/>
        <w:rPr>
          <w:rFonts w:ascii="Times New Roman" w:hAnsi="Times New Roman" w:cs="Times New Roman"/>
          <w:b/>
          <w:sz w:val="28"/>
          <w:szCs w:val="28"/>
        </w:rPr>
      </w:pPr>
    </w:p>
    <w:p w14:paraId="32D2DAF6">
      <w:pPr>
        <w:spacing w:line="480" w:lineRule="auto"/>
        <w:ind w:left="1440" w:firstLine="720"/>
        <w:jc w:val="both"/>
        <w:rPr>
          <w:rFonts w:ascii="Times New Roman" w:hAnsi="Times New Roman" w:cs="Times New Roman"/>
          <w:b/>
          <w:sz w:val="28"/>
          <w:szCs w:val="28"/>
        </w:rPr>
      </w:pPr>
      <w:r>
        <w:rPr>
          <w:rFonts w:ascii="Times New Roman" w:hAnsi="Times New Roman" w:cs="Times New Roman"/>
          <w:b/>
          <w:sz w:val="28"/>
          <w:szCs w:val="28"/>
        </w:rPr>
        <w:t>CHAPTER THREE</w:t>
      </w:r>
    </w:p>
    <w:p w14:paraId="7AEB9028">
      <w:pPr>
        <w:spacing w:line="480" w:lineRule="auto"/>
        <w:jc w:val="both"/>
        <w:rPr>
          <w:rFonts w:ascii="Times New Roman" w:hAnsi="Times New Roman" w:cs="Times New Roman"/>
          <w:b/>
          <w:sz w:val="28"/>
          <w:szCs w:val="28"/>
        </w:rPr>
      </w:pPr>
      <w:r>
        <w:rPr>
          <w:rFonts w:ascii="Times New Roman" w:hAnsi="Times New Roman" w:cs="Times New Roman"/>
          <w:b/>
          <w:sz w:val="28"/>
          <w:szCs w:val="28"/>
        </w:rPr>
        <w:t>3.1</w:t>
      </w:r>
      <w:r>
        <w:rPr>
          <w:rFonts w:ascii="Times New Roman" w:hAnsi="Times New Roman" w:cs="Times New Roman"/>
          <w:b/>
          <w:sz w:val="28"/>
          <w:szCs w:val="28"/>
        </w:rPr>
        <w:tab/>
      </w:r>
      <w:r>
        <w:rPr>
          <w:rFonts w:ascii="Times New Roman" w:hAnsi="Times New Roman" w:cs="Times New Roman"/>
          <w:b/>
          <w:sz w:val="28"/>
          <w:szCs w:val="28"/>
        </w:rPr>
        <w:t>RESULTS AND DISCUSSION</w:t>
      </w:r>
    </w:p>
    <w:p w14:paraId="468A669E">
      <w:pPr>
        <w:spacing w:line="480" w:lineRule="auto"/>
        <w:jc w:val="both"/>
        <w:rPr>
          <w:rFonts w:ascii="Times New Roman" w:hAnsi="Times New Roman" w:cs="Times New Roman"/>
          <w:sz w:val="28"/>
          <w:szCs w:val="28"/>
        </w:rPr>
      </w:pPr>
      <w:r>
        <w:rPr>
          <w:rFonts w:ascii="Times New Roman" w:hAnsi="Times New Roman" w:cs="Times New Roman"/>
          <w:sz w:val="28"/>
          <w:szCs w:val="28"/>
        </w:rPr>
        <w:t>The following are the results of the analysis conducted on some of the complexes formed</w:t>
      </w:r>
    </w:p>
    <w:p w14:paraId="0E238A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3.1.1</w:t>
      </w:r>
      <w:r>
        <w:rPr>
          <w:rFonts w:ascii="Times New Roman" w:hAnsi="Times New Roman" w:cs="Times New Roman"/>
          <w:b/>
          <w:sz w:val="28"/>
          <w:szCs w:val="28"/>
        </w:rPr>
        <w:tab/>
      </w:r>
      <w:r>
        <w:rPr>
          <w:rFonts w:ascii="Times New Roman" w:hAnsi="Times New Roman" w:cs="Times New Roman"/>
          <w:b/>
          <w:sz w:val="28"/>
          <w:szCs w:val="28"/>
        </w:rPr>
        <w:t>RESULTS OF SOLUBILITY TEST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21"/>
        <w:gridCol w:w="1088"/>
        <w:gridCol w:w="1180"/>
        <w:gridCol w:w="1290"/>
        <w:gridCol w:w="827"/>
        <w:gridCol w:w="1150"/>
        <w:gridCol w:w="1181"/>
        <w:gridCol w:w="1539"/>
      </w:tblGrid>
      <w:tr w14:paraId="2E0AF3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4BED717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Complex     </w:t>
            </w:r>
          </w:p>
        </w:tc>
        <w:tc>
          <w:tcPr>
            <w:tcW w:w="1197" w:type="dxa"/>
          </w:tcPr>
          <w:p w14:paraId="2DFDAE1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Ethanol</w:t>
            </w:r>
          </w:p>
        </w:tc>
        <w:tc>
          <w:tcPr>
            <w:tcW w:w="1197" w:type="dxa"/>
          </w:tcPr>
          <w:p w14:paraId="770B97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Benzene</w:t>
            </w:r>
          </w:p>
        </w:tc>
        <w:tc>
          <w:tcPr>
            <w:tcW w:w="1197" w:type="dxa"/>
          </w:tcPr>
          <w:p w14:paraId="29868CE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Methanol</w:t>
            </w:r>
          </w:p>
        </w:tc>
        <w:tc>
          <w:tcPr>
            <w:tcW w:w="1197" w:type="dxa"/>
          </w:tcPr>
          <w:p w14:paraId="043153D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Pet. Ether</w:t>
            </w:r>
          </w:p>
        </w:tc>
        <w:tc>
          <w:tcPr>
            <w:tcW w:w="1197" w:type="dxa"/>
          </w:tcPr>
          <w:p w14:paraId="37780BB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Acetone</w:t>
            </w:r>
          </w:p>
        </w:tc>
        <w:tc>
          <w:tcPr>
            <w:tcW w:w="1197" w:type="dxa"/>
          </w:tcPr>
          <w:p w14:paraId="276626F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Distilled water</w:t>
            </w:r>
          </w:p>
        </w:tc>
        <w:tc>
          <w:tcPr>
            <w:tcW w:w="1197" w:type="dxa"/>
          </w:tcPr>
          <w:p w14:paraId="2778BA0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Chloroform</w:t>
            </w:r>
          </w:p>
          <w:p w14:paraId="5CD7F962">
            <w:pPr>
              <w:spacing w:after="0" w:line="480" w:lineRule="auto"/>
              <w:jc w:val="both"/>
              <w:rPr>
                <w:rFonts w:ascii="Times New Roman" w:hAnsi="Times New Roman" w:cs="Times New Roman"/>
                <w:sz w:val="28"/>
                <w:szCs w:val="28"/>
              </w:rPr>
            </w:pPr>
          </w:p>
        </w:tc>
      </w:tr>
      <w:tr w14:paraId="778AB6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97" w:type="dxa"/>
          </w:tcPr>
          <w:p w14:paraId="756345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p w14:paraId="5DA018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IBNi(ii)      </w:t>
            </w:r>
          </w:p>
          <w:p w14:paraId="0C62C75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IBCu(ii)</w:t>
            </w:r>
          </w:p>
          <w:p w14:paraId="5322A8B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IBFe(ii)</w:t>
            </w:r>
          </w:p>
        </w:tc>
        <w:tc>
          <w:tcPr>
            <w:tcW w:w="1197" w:type="dxa"/>
          </w:tcPr>
          <w:p w14:paraId="6741F09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7CB238CB">
            <w:pPr>
              <w:spacing w:after="0" w:line="480" w:lineRule="auto"/>
              <w:jc w:val="both"/>
              <w:rPr>
                <w:rFonts w:ascii="Times New Roman" w:hAnsi="Times New Roman" w:cs="Times New Roman"/>
                <w:sz w:val="28"/>
                <w:szCs w:val="28"/>
              </w:rPr>
            </w:pPr>
          </w:p>
          <w:p w14:paraId="09BDB9F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p w14:paraId="764E61F9">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2F041D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SS           </w:t>
            </w:r>
          </w:p>
        </w:tc>
        <w:tc>
          <w:tcPr>
            <w:tcW w:w="1197" w:type="dxa"/>
          </w:tcPr>
          <w:p w14:paraId="30DCAC7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A557542">
            <w:pPr>
              <w:spacing w:after="0" w:line="480" w:lineRule="auto"/>
              <w:jc w:val="both"/>
              <w:rPr>
                <w:rFonts w:ascii="Times New Roman" w:hAnsi="Times New Roman" w:cs="Times New Roman"/>
                <w:sz w:val="28"/>
                <w:szCs w:val="28"/>
              </w:rPr>
            </w:pPr>
          </w:p>
          <w:p w14:paraId="769CDB6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AF4B9E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F5438E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2C82124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D5F217">
            <w:pPr>
              <w:spacing w:after="0" w:line="480" w:lineRule="auto"/>
              <w:jc w:val="both"/>
              <w:rPr>
                <w:rFonts w:ascii="Times New Roman" w:hAnsi="Times New Roman" w:cs="Times New Roman"/>
                <w:sz w:val="28"/>
                <w:szCs w:val="28"/>
              </w:rPr>
            </w:pPr>
          </w:p>
          <w:p w14:paraId="5097B40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10EE0426">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091E19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3848A94E">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45DA01A">
            <w:pPr>
              <w:spacing w:after="0" w:line="480" w:lineRule="auto"/>
              <w:jc w:val="both"/>
              <w:rPr>
                <w:rFonts w:ascii="Times New Roman" w:hAnsi="Times New Roman" w:cs="Times New Roman"/>
                <w:sz w:val="28"/>
                <w:szCs w:val="28"/>
              </w:rPr>
            </w:pPr>
          </w:p>
          <w:p w14:paraId="1A0B5EB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EEEB5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2F4B66B">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59CAB5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437A7C5">
            <w:pPr>
              <w:spacing w:after="0" w:line="480" w:lineRule="auto"/>
              <w:jc w:val="both"/>
              <w:rPr>
                <w:rFonts w:ascii="Times New Roman" w:hAnsi="Times New Roman" w:cs="Times New Roman"/>
                <w:sz w:val="28"/>
                <w:szCs w:val="28"/>
              </w:rPr>
            </w:pPr>
          </w:p>
          <w:p w14:paraId="03CA1BDC">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03D266E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F4B8CF0">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tc>
        <w:tc>
          <w:tcPr>
            <w:tcW w:w="1197" w:type="dxa"/>
          </w:tcPr>
          <w:p w14:paraId="660BF23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w:t>
            </w:r>
          </w:p>
          <w:p w14:paraId="18B715CA">
            <w:pPr>
              <w:spacing w:after="0" w:line="480" w:lineRule="auto"/>
              <w:jc w:val="both"/>
              <w:rPr>
                <w:rFonts w:ascii="Times New Roman" w:hAnsi="Times New Roman" w:cs="Times New Roman"/>
                <w:sz w:val="28"/>
                <w:szCs w:val="28"/>
              </w:rPr>
            </w:pPr>
          </w:p>
          <w:p w14:paraId="7D142ED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5F8DEAE8">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p w14:paraId="6FEE36D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SS</w:t>
            </w:r>
          </w:p>
        </w:tc>
        <w:tc>
          <w:tcPr>
            <w:tcW w:w="1197" w:type="dxa"/>
          </w:tcPr>
          <w:p w14:paraId="5352D921">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5B61CF04">
            <w:pPr>
              <w:spacing w:after="0" w:line="480" w:lineRule="auto"/>
              <w:jc w:val="both"/>
              <w:rPr>
                <w:rFonts w:ascii="Times New Roman" w:hAnsi="Times New Roman" w:cs="Times New Roman"/>
                <w:sz w:val="28"/>
                <w:szCs w:val="28"/>
              </w:rPr>
            </w:pPr>
          </w:p>
          <w:p w14:paraId="061D4A0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4D7AD2FA">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EDE97C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NS</w:t>
            </w:r>
          </w:p>
          <w:p w14:paraId="3C3AC087">
            <w:pPr>
              <w:spacing w:after="0" w:line="480" w:lineRule="auto"/>
              <w:jc w:val="both"/>
              <w:rPr>
                <w:rFonts w:ascii="Times New Roman" w:hAnsi="Times New Roman" w:cs="Times New Roman"/>
                <w:sz w:val="28"/>
                <w:szCs w:val="28"/>
              </w:rPr>
            </w:pPr>
          </w:p>
          <w:p w14:paraId="1986B29A">
            <w:pPr>
              <w:spacing w:after="0" w:line="480" w:lineRule="auto"/>
              <w:jc w:val="both"/>
              <w:rPr>
                <w:rFonts w:ascii="Times New Roman" w:hAnsi="Times New Roman" w:cs="Times New Roman"/>
                <w:sz w:val="28"/>
                <w:szCs w:val="28"/>
              </w:rPr>
            </w:pPr>
          </w:p>
          <w:p w14:paraId="479E15C7">
            <w:pPr>
              <w:spacing w:after="0" w:line="480" w:lineRule="auto"/>
              <w:jc w:val="both"/>
              <w:rPr>
                <w:rFonts w:ascii="Times New Roman" w:hAnsi="Times New Roman" w:cs="Times New Roman"/>
                <w:sz w:val="28"/>
                <w:szCs w:val="28"/>
              </w:rPr>
            </w:pPr>
          </w:p>
        </w:tc>
      </w:tr>
    </w:tbl>
    <w:p w14:paraId="3566D48B">
      <w:pPr>
        <w:spacing w:line="480" w:lineRule="auto"/>
        <w:jc w:val="both"/>
        <w:rPr>
          <w:rFonts w:ascii="Times New Roman" w:hAnsi="Times New Roman" w:cs="Times New Roman"/>
          <w:sz w:val="28"/>
          <w:szCs w:val="28"/>
        </w:rPr>
      </w:pPr>
      <w:r>
        <w:rPr>
          <w:rFonts w:ascii="Times New Roman" w:hAnsi="Times New Roman" w:cs="Times New Roman"/>
          <w:sz w:val="28"/>
          <w:szCs w:val="28"/>
        </w:rPr>
        <w:tab/>
      </w:r>
    </w:p>
    <w:p w14:paraId="291E0324">
      <w:pPr>
        <w:spacing w:line="480" w:lineRule="auto"/>
        <w:jc w:val="both"/>
        <w:rPr>
          <w:rFonts w:ascii="Times New Roman" w:hAnsi="Times New Roman" w:cs="Times New Roman"/>
          <w:sz w:val="28"/>
          <w:szCs w:val="28"/>
        </w:rPr>
      </w:pPr>
      <w:r>
        <w:rPr>
          <w:rFonts w:ascii="Times New Roman" w:hAnsi="Times New Roman" w:cs="Times New Roman"/>
          <w:sz w:val="28"/>
          <w:szCs w:val="28"/>
        </w:rPr>
        <w:t>Key S= soluble, SS=slightly soluble NS= not soluble</w:t>
      </w:r>
    </w:p>
    <w:p w14:paraId="23CF090F">
      <w:pPr>
        <w:spacing w:line="480" w:lineRule="auto"/>
        <w:jc w:val="both"/>
        <w:rPr>
          <w:rFonts w:ascii="Times New Roman" w:hAnsi="Times New Roman" w:cs="Times New Roman"/>
          <w:sz w:val="28"/>
          <w:szCs w:val="28"/>
        </w:rPr>
      </w:pPr>
    </w:p>
    <w:p w14:paraId="6852D6A4">
      <w:pPr>
        <w:spacing w:line="480" w:lineRule="auto"/>
        <w:jc w:val="both"/>
        <w:rPr>
          <w:rFonts w:ascii="Times New Roman" w:hAnsi="Times New Roman" w:cs="Times New Roman"/>
          <w:b/>
          <w:sz w:val="28"/>
          <w:szCs w:val="28"/>
        </w:rPr>
      </w:pPr>
      <w:r>
        <w:rPr>
          <w:rFonts w:ascii="Times New Roman" w:hAnsi="Times New Roman" w:cs="Times New Roman"/>
          <w:b/>
          <w:sz w:val="28"/>
          <w:szCs w:val="28"/>
        </w:rPr>
        <w:t>3.1.2</w:t>
      </w:r>
      <w:r>
        <w:rPr>
          <w:rFonts w:ascii="Times New Roman" w:hAnsi="Times New Roman" w:cs="Times New Roman"/>
          <w:b/>
          <w:sz w:val="28"/>
          <w:szCs w:val="28"/>
        </w:rPr>
        <w:tab/>
      </w:r>
      <w:r>
        <w:rPr>
          <w:rFonts w:ascii="Times New Roman" w:hAnsi="Times New Roman" w:cs="Times New Roman"/>
          <w:b/>
          <w:sz w:val="28"/>
          <w:szCs w:val="28"/>
        </w:rPr>
        <w:t>INTEPRETATION OF SOLUBILITY TEST</w:t>
      </w:r>
    </w:p>
    <w:p w14:paraId="63850233">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from the solubility test, it was evident that all complexes and the ligand were slightly soluble in methanol. Solubility of the ligand and the co</w:t>
      </w:r>
      <w:r>
        <w:rPr>
          <w:rFonts w:hint="default" w:ascii="Times New Roman" w:hAnsi="Times New Roman" w:cs="Times New Roman"/>
          <w:sz w:val="28"/>
          <w:szCs w:val="28"/>
        </w:rPr>
        <w:t xml:space="preserve">mplexes were poor in ethanol </w:t>
      </w:r>
      <w:r>
        <w:rPr>
          <w:rFonts w:ascii="Times New Roman" w:hAnsi="Times New Roman" w:cs="Times New Roman"/>
          <w:sz w:val="28"/>
          <w:szCs w:val="28"/>
        </w:rPr>
        <w:t>, benzene, petroleum ether, acetone and chloroform.</w:t>
      </w:r>
    </w:p>
    <w:p w14:paraId="001097BE">
      <w:pPr>
        <w:spacing w:line="480" w:lineRule="auto"/>
        <w:jc w:val="both"/>
        <w:rPr>
          <w:rFonts w:ascii="Times New Roman" w:hAnsi="Times New Roman" w:cs="Times New Roman"/>
          <w:b/>
          <w:sz w:val="28"/>
          <w:szCs w:val="28"/>
        </w:rPr>
      </w:pPr>
      <w:r>
        <w:rPr>
          <w:rFonts w:ascii="Times New Roman" w:hAnsi="Times New Roman" w:cs="Times New Roman"/>
          <w:b/>
          <w:sz w:val="28"/>
          <w:szCs w:val="28"/>
        </w:rPr>
        <w:t>3.2</w:t>
      </w:r>
      <w:r>
        <w:rPr>
          <w:rFonts w:ascii="Times New Roman" w:hAnsi="Times New Roman" w:cs="Times New Roman"/>
          <w:b/>
          <w:sz w:val="28"/>
          <w:szCs w:val="28"/>
        </w:rPr>
        <w:tab/>
      </w:r>
      <w:r>
        <w:rPr>
          <w:rFonts w:ascii="Times New Roman" w:hAnsi="Times New Roman" w:cs="Times New Roman"/>
          <w:b/>
          <w:sz w:val="28"/>
          <w:szCs w:val="28"/>
        </w:rPr>
        <w:t>RESULTS OF MELTING POINT TEST</w:t>
      </w:r>
    </w:p>
    <w:tbl>
      <w:tblPr>
        <w:tblStyle w:val="11"/>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788"/>
        <w:gridCol w:w="4788"/>
      </w:tblGrid>
      <w:tr w14:paraId="26B12C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DBF008C">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COMPLEX </w:t>
            </w:r>
          </w:p>
        </w:tc>
        <w:tc>
          <w:tcPr>
            <w:tcW w:w="4788" w:type="dxa"/>
          </w:tcPr>
          <w:p w14:paraId="3F5A3ABD">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MELTING POINT RANGE</w:t>
            </w:r>
          </w:p>
        </w:tc>
      </w:tr>
      <w:tr w14:paraId="7A6ECA4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29EDF7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IBUPROFEN LIGAND</w:t>
            </w:r>
          </w:p>
        </w:tc>
        <w:tc>
          <w:tcPr>
            <w:tcW w:w="4788" w:type="dxa"/>
          </w:tcPr>
          <w:p w14:paraId="10F8CB95">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190-192</w:t>
            </w:r>
          </w:p>
        </w:tc>
      </w:tr>
      <w:tr w14:paraId="251B5A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D53A713">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IBNi(ii) COMPLEX</w:t>
            </w:r>
          </w:p>
        </w:tc>
        <w:tc>
          <w:tcPr>
            <w:tcW w:w="4788" w:type="dxa"/>
          </w:tcPr>
          <w:p w14:paraId="43815E6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158-160</w:t>
            </w:r>
          </w:p>
        </w:tc>
      </w:tr>
      <w:tr w14:paraId="005A41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322BBD1F">
            <w:pPr>
              <w:spacing w:after="0" w:line="480" w:lineRule="auto"/>
              <w:jc w:val="both"/>
              <w:rPr>
                <w:rFonts w:ascii="Times New Roman" w:hAnsi="Times New Roman" w:cs="Times New Roman"/>
                <w:sz w:val="28"/>
                <w:szCs w:val="28"/>
              </w:rPr>
            </w:pPr>
            <w:r>
              <w:rPr>
                <w:rFonts w:ascii="Times New Roman" w:hAnsi="Times New Roman" w:cs="Times New Roman"/>
                <w:sz w:val="28"/>
                <w:szCs w:val="28"/>
              </w:rPr>
              <w:t>IBCu(ii) COMPLEX</w:t>
            </w:r>
          </w:p>
        </w:tc>
        <w:tc>
          <w:tcPr>
            <w:tcW w:w="4788" w:type="dxa"/>
          </w:tcPr>
          <w:p w14:paraId="48FFD954">
            <w:pPr>
              <w:spacing w:after="0" w:line="480" w:lineRule="auto"/>
              <w:jc w:val="both"/>
              <w:rPr>
                <w:rFonts w:ascii="Times New Roman" w:hAnsi="Times New Roman" w:cs="Times New Roman"/>
                <w:sz w:val="28"/>
                <w:szCs w:val="28"/>
              </w:rPr>
            </w:pPr>
            <w:r>
              <w:rPr>
                <w:rFonts w:ascii="Times New Roman" w:hAnsi="Times New Roman" w:cs="Times New Roman"/>
                <w:sz w:val="28"/>
                <w:szCs w:val="28"/>
              </w:rPr>
              <w:t>160-162</w:t>
            </w:r>
          </w:p>
        </w:tc>
      </w:tr>
      <w:tr w14:paraId="1AF8A10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788" w:type="dxa"/>
          </w:tcPr>
          <w:p w14:paraId="5FD110A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 xml:space="preserve">IBFe(ii) COMPLEX </w:t>
            </w:r>
          </w:p>
        </w:tc>
        <w:tc>
          <w:tcPr>
            <w:tcW w:w="4788" w:type="dxa"/>
          </w:tcPr>
          <w:p w14:paraId="3740F64D">
            <w:pPr>
              <w:spacing w:after="0" w:line="480" w:lineRule="auto"/>
              <w:jc w:val="both"/>
              <w:rPr>
                <w:rFonts w:ascii="Times New Roman" w:hAnsi="Times New Roman" w:cs="Times New Roman"/>
                <w:sz w:val="28"/>
                <w:szCs w:val="28"/>
              </w:rPr>
            </w:pPr>
            <w:r>
              <w:rPr>
                <w:rFonts w:ascii="Times New Roman" w:hAnsi="Times New Roman" w:cs="Times New Roman"/>
                <w:sz w:val="28"/>
                <w:szCs w:val="28"/>
              </w:rPr>
              <w:t>211-213</w:t>
            </w:r>
          </w:p>
        </w:tc>
      </w:tr>
    </w:tbl>
    <w:p w14:paraId="3C8DE863">
      <w:pPr>
        <w:spacing w:line="480" w:lineRule="auto"/>
        <w:jc w:val="both"/>
        <w:rPr>
          <w:rFonts w:ascii="Times New Roman" w:hAnsi="Times New Roman" w:cs="Times New Roman"/>
          <w:b/>
          <w:sz w:val="28"/>
          <w:szCs w:val="28"/>
        </w:rPr>
      </w:pPr>
    </w:p>
    <w:p w14:paraId="6AFDDD38">
      <w:pPr>
        <w:spacing w:line="480" w:lineRule="auto"/>
        <w:jc w:val="both"/>
        <w:rPr>
          <w:rFonts w:ascii="Times New Roman" w:hAnsi="Times New Roman" w:cs="Times New Roman"/>
          <w:b/>
          <w:sz w:val="28"/>
          <w:szCs w:val="28"/>
        </w:rPr>
      </w:pPr>
      <w:r>
        <w:rPr>
          <w:rFonts w:ascii="Times New Roman" w:hAnsi="Times New Roman" w:cs="Times New Roman"/>
          <w:b/>
          <w:sz w:val="28"/>
          <w:szCs w:val="28"/>
        </w:rPr>
        <w:t>3.2.1</w:t>
      </w:r>
      <w:r>
        <w:rPr>
          <w:rFonts w:ascii="Times New Roman" w:hAnsi="Times New Roman" w:cs="Times New Roman"/>
          <w:b/>
          <w:sz w:val="28"/>
          <w:szCs w:val="28"/>
        </w:rPr>
        <w:tab/>
      </w:r>
      <w:r>
        <w:rPr>
          <w:rFonts w:ascii="Times New Roman" w:hAnsi="Times New Roman" w:cs="Times New Roman"/>
          <w:b/>
          <w:sz w:val="28"/>
          <w:szCs w:val="28"/>
        </w:rPr>
        <w:t>INTERPRETATION OF MELTING POINT RANGE</w:t>
      </w:r>
    </w:p>
    <w:p w14:paraId="4188E53D">
      <w:pPr>
        <w:spacing w:line="480" w:lineRule="auto"/>
        <w:jc w:val="both"/>
        <w:rPr>
          <w:rFonts w:ascii="Times New Roman" w:hAnsi="Times New Roman" w:cs="Times New Roman"/>
          <w:sz w:val="28"/>
          <w:szCs w:val="28"/>
        </w:rPr>
      </w:pPr>
      <w:r>
        <w:rPr>
          <w:rFonts w:ascii="Times New Roman" w:hAnsi="Times New Roman" w:cs="Times New Roman"/>
          <w:sz w:val="28"/>
          <w:szCs w:val="28"/>
        </w:rPr>
        <w:t>From the results obtained, it showed that the melting point of the complexes were higher than those of the ligand. This shows that there was coordination.</w:t>
      </w:r>
    </w:p>
    <w:p w14:paraId="588A4262">
      <w:pPr>
        <w:spacing w:line="480" w:lineRule="auto"/>
        <w:jc w:val="both"/>
        <w:rPr>
          <w:rFonts w:ascii="Times New Roman" w:hAnsi="Times New Roman" w:cs="Times New Roman"/>
          <w:b/>
          <w:sz w:val="28"/>
          <w:szCs w:val="28"/>
        </w:rPr>
      </w:pPr>
    </w:p>
    <w:p w14:paraId="59E26121">
      <w:pPr>
        <w:spacing w:line="480" w:lineRule="auto"/>
        <w:jc w:val="both"/>
        <w:rPr>
          <w:rFonts w:ascii="Times New Roman" w:hAnsi="Times New Roman" w:cs="Times New Roman"/>
          <w:b/>
          <w:sz w:val="28"/>
          <w:szCs w:val="28"/>
        </w:rPr>
      </w:pPr>
    </w:p>
    <w:p w14:paraId="67210F40">
      <w:pPr>
        <w:tabs>
          <w:tab w:val="left" w:pos="3435"/>
        </w:tabs>
        <w:jc w:val="both"/>
        <w:rPr>
          <w:rFonts w:ascii="Times New Roman" w:hAnsi="Times New Roman" w:cs="Times New Roman"/>
          <w:sz w:val="28"/>
          <w:szCs w:val="28"/>
        </w:rPr>
      </w:pPr>
    </w:p>
    <w:p w14:paraId="6763753C">
      <w:pPr>
        <w:tabs>
          <w:tab w:val="left" w:pos="3435"/>
        </w:tabs>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CHAPTER FOUR</w:t>
      </w:r>
    </w:p>
    <w:p w14:paraId="2045A42D">
      <w:pPr>
        <w:tabs>
          <w:tab w:val="left" w:pos="3435"/>
        </w:tabs>
        <w:jc w:val="both"/>
        <w:rPr>
          <w:rFonts w:ascii="Times New Roman" w:hAnsi="Times New Roman" w:cs="Times New Roman"/>
          <w:b/>
          <w:sz w:val="28"/>
          <w:szCs w:val="28"/>
        </w:rPr>
      </w:pPr>
      <w:r>
        <w:rPr>
          <w:rFonts w:ascii="Times New Roman" w:hAnsi="Times New Roman" w:cs="Times New Roman"/>
          <w:b/>
          <w:sz w:val="28"/>
          <w:szCs w:val="28"/>
        </w:rPr>
        <w:t xml:space="preserve">4.1        CONCLUSION </w:t>
      </w:r>
    </w:p>
    <w:p w14:paraId="175147F6">
      <w:pPr>
        <w:tabs>
          <w:tab w:val="left" w:pos="3435"/>
        </w:tabs>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Ibruprofen formed stable complexes with Ni (ii), Cu (ii) and Fe (ii) ions. The solubility test and melting point determination showed that coordination has taken place. </w:t>
      </w:r>
    </w:p>
    <w:p w14:paraId="76F87806">
      <w:pPr>
        <w:tabs>
          <w:tab w:val="left" w:pos="3435"/>
        </w:tabs>
        <w:spacing w:line="480" w:lineRule="auto"/>
        <w:jc w:val="both"/>
        <w:rPr>
          <w:rFonts w:ascii="Times New Roman" w:hAnsi="Times New Roman" w:cs="Times New Roman"/>
          <w:b/>
          <w:sz w:val="28"/>
          <w:szCs w:val="28"/>
        </w:rPr>
      </w:pPr>
    </w:p>
    <w:p w14:paraId="346099B6">
      <w:pPr>
        <w:tabs>
          <w:tab w:val="left" w:pos="3435"/>
        </w:tabs>
        <w:spacing w:line="480" w:lineRule="auto"/>
        <w:jc w:val="both"/>
        <w:rPr>
          <w:rFonts w:ascii="Times New Roman" w:hAnsi="Times New Roman" w:cs="Times New Roman"/>
          <w:b/>
          <w:sz w:val="28"/>
          <w:szCs w:val="28"/>
        </w:rPr>
      </w:pPr>
    </w:p>
    <w:p w14:paraId="6038F22E">
      <w:pPr>
        <w:tabs>
          <w:tab w:val="left" w:pos="3435"/>
        </w:tabs>
        <w:spacing w:line="480" w:lineRule="auto"/>
        <w:jc w:val="both"/>
        <w:rPr>
          <w:rFonts w:ascii="Times New Roman" w:hAnsi="Times New Roman" w:cs="Times New Roman"/>
          <w:b/>
          <w:sz w:val="28"/>
          <w:szCs w:val="28"/>
        </w:rPr>
      </w:pPr>
    </w:p>
    <w:p w14:paraId="2726DBEC">
      <w:pPr>
        <w:tabs>
          <w:tab w:val="left" w:pos="3435"/>
        </w:tabs>
        <w:spacing w:line="48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p>
    <w:p w14:paraId="58D50056">
      <w:pPr>
        <w:tabs>
          <w:tab w:val="left" w:pos="3435"/>
        </w:tabs>
        <w:spacing w:line="480" w:lineRule="auto"/>
        <w:jc w:val="both"/>
        <w:rPr>
          <w:rFonts w:hint="default" w:ascii="Times New Roman" w:hAnsi="Times New Roman" w:cs="Times New Roman"/>
          <w:b/>
          <w:sz w:val="28"/>
          <w:szCs w:val="28"/>
          <w:lang w:val="en-GB"/>
        </w:rPr>
      </w:pPr>
    </w:p>
    <w:p w14:paraId="4EA7FC4E">
      <w:pPr>
        <w:tabs>
          <w:tab w:val="left" w:pos="3435"/>
        </w:tabs>
        <w:spacing w:line="480" w:lineRule="auto"/>
        <w:jc w:val="both"/>
        <w:rPr>
          <w:rFonts w:hint="default" w:ascii="Times New Roman" w:hAnsi="Times New Roman" w:cs="Times New Roman"/>
          <w:b/>
          <w:sz w:val="28"/>
          <w:szCs w:val="28"/>
          <w:lang w:val="en-GB"/>
        </w:rPr>
      </w:pPr>
    </w:p>
    <w:p w14:paraId="65319439">
      <w:pPr>
        <w:tabs>
          <w:tab w:val="left" w:pos="3435"/>
        </w:tabs>
        <w:spacing w:line="480" w:lineRule="auto"/>
        <w:jc w:val="both"/>
        <w:rPr>
          <w:rFonts w:hint="default" w:ascii="Times New Roman" w:hAnsi="Times New Roman" w:cs="Times New Roman"/>
          <w:b/>
          <w:sz w:val="28"/>
          <w:szCs w:val="28"/>
          <w:lang w:val="en-GB"/>
        </w:rPr>
      </w:pPr>
    </w:p>
    <w:p w14:paraId="29413921">
      <w:pPr>
        <w:tabs>
          <w:tab w:val="left" w:pos="3435"/>
        </w:tabs>
        <w:spacing w:line="480" w:lineRule="auto"/>
        <w:jc w:val="both"/>
        <w:rPr>
          <w:rFonts w:hint="default" w:ascii="Times New Roman" w:hAnsi="Times New Roman" w:cs="Times New Roman"/>
          <w:b/>
          <w:sz w:val="28"/>
          <w:szCs w:val="28"/>
          <w:lang w:val="en-GB"/>
        </w:rPr>
      </w:pPr>
    </w:p>
    <w:p w14:paraId="23328BE4">
      <w:pPr>
        <w:tabs>
          <w:tab w:val="left" w:pos="3435"/>
        </w:tabs>
        <w:spacing w:line="480" w:lineRule="auto"/>
        <w:jc w:val="both"/>
        <w:rPr>
          <w:rFonts w:hint="default" w:ascii="Times New Roman" w:hAnsi="Times New Roman" w:cs="Times New Roman"/>
          <w:b/>
          <w:sz w:val="28"/>
          <w:szCs w:val="28"/>
          <w:lang w:val="en-GB"/>
        </w:rPr>
      </w:pPr>
    </w:p>
    <w:p w14:paraId="06017869">
      <w:pPr>
        <w:tabs>
          <w:tab w:val="left" w:pos="3435"/>
        </w:tabs>
        <w:spacing w:line="480" w:lineRule="auto"/>
        <w:jc w:val="both"/>
        <w:rPr>
          <w:rFonts w:hint="default" w:ascii="Times New Roman" w:hAnsi="Times New Roman" w:cs="Times New Roman"/>
          <w:b/>
          <w:sz w:val="28"/>
          <w:szCs w:val="28"/>
          <w:lang w:val="en-GB"/>
        </w:rPr>
      </w:pPr>
    </w:p>
    <w:p w14:paraId="5FB93388">
      <w:pPr>
        <w:tabs>
          <w:tab w:val="left" w:pos="3435"/>
        </w:tabs>
        <w:spacing w:line="480" w:lineRule="auto"/>
        <w:jc w:val="both"/>
        <w:rPr>
          <w:rFonts w:hint="default" w:ascii="Times New Roman" w:hAnsi="Times New Roman" w:cs="Times New Roman"/>
          <w:b/>
          <w:sz w:val="28"/>
          <w:szCs w:val="28"/>
          <w:lang w:val="en-GB"/>
        </w:rPr>
      </w:pPr>
    </w:p>
    <w:p w14:paraId="2C3D43D0">
      <w:pPr>
        <w:tabs>
          <w:tab w:val="left" w:pos="3435"/>
        </w:tabs>
        <w:spacing w:line="480" w:lineRule="auto"/>
        <w:jc w:val="both"/>
        <w:rPr>
          <w:rFonts w:hint="default" w:ascii="Times New Roman" w:hAnsi="Times New Roman" w:cs="Times New Roman"/>
          <w:b/>
          <w:sz w:val="28"/>
          <w:szCs w:val="28"/>
          <w:lang w:val="en-GB"/>
        </w:rPr>
      </w:pPr>
    </w:p>
    <w:p w14:paraId="3B70E3A2">
      <w:pPr>
        <w:tabs>
          <w:tab w:val="left" w:pos="3435"/>
        </w:tabs>
        <w:spacing w:line="48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 xml:space="preserve">                                                    </w:t>
      </w:r>
      <w:r>
        <w:rPr>
          <w:rFonts w:ascii="Times New Roman" w:hAnsi="Times New Roman" w:cs="Times New Roman"/>
          <w:b/>
          <w:sz w:val="28"/>
          <w:szCs w:val="28"/>
        </w:rPr>
        <w:t>CHAPTER F</w:t>
      </w:r>
      <w:r>
        <w:rPr>
          <w:rFonts w:hint="default" w:ascii="Times New Roman" w:hAnsi="Times New Roman" w:cs="Times New Roman"/>
          <w:b/>
          <w:sz w:val="28"/>
          <w:szCs w:val="28"/>
          <w:lang w:val="en-GB"/>
        </w:rPr>
        <w:t>IVE</w:t>
      </w:r>
    </w:p>
    <w:p w14:paraId="08C0F079">
      <w:pPr>
        <w:tabs>
          <w:tab w:val="left" w:pos="3435"/>
        </w:tabs>
        <w:spacing w:line="360" w:lineRule="auto"/>
        <w:jc w:val="both"/>
        <w:rPr>
          <w:rFonts w:hint="default" w:ascii="Times New Roman" w:hAnsi="Times New Roman" w:cs="Times New Roman"/>
          <w:b/>
          <w:sz w:val="28"/>
          <w:szCs w:val="28"/>
          <w:lang w:val="en-GB"/>
        </w:rPr>
      </w:pPr>
      <w:r>
        <w:rPr>
          <w:rFonts w:hint="default" w:ascii="Times New Roman" w:hAnsi="Times New Roman" w:cs="Times New Roman"/>
          <w:b/>
          <w:sz w:val="28"/>
          <w:szCs w:val="28"/>
          <w:lang w:val="en-GB"/>
        </w:rPr>
        <w:t>5.1 SUMMARY</w:t>
      </w:r>
    </w:p>
    <w:p w14:paraId="5A0281F4">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rPr>
        <w:t>Metal complexes of Ibuprofen have been extensively studied for their potential therapeutic applications. Here's a summary of the key findings:</w:t>
      </w:r>
    </w:p>
    <w:p w14:paraId="02CBE1B6">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5.1.1 </w:t>
      </w:r>
      <w:r>
        <w:rPr>
          <w:rFonts w:hint="default" w:ascii="Times New Roman" w:hAnsi="Times New Roman" w:cs="Times New Roman"/>
          <w:b/>
          <w:bCs w:val="0"/>
          <w:sz w:val="28"/>
          <w:szCs w:val="28"/>
        </w:rPr>
        <w:t>Synthesis and Characterization</w:t>
      </w:r>
    </w:p>
    <w:p w14:paraId="7AD021CD">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Metal complexes of Ibuprofen are synthesized through reactions involving the Ibuprofen molecule and metal ions such as copper(II), palladium(II), zinc(II), and others.</w:t>
      </w:r>
    </w:p>
    <w:p w14:paraId="4534C47B">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These complexes are characterized using various spectroscopic methods, including FT-IR, UV-Vis, EPR, and NMR spectroscopy.</w:t>
      </w:r>
    </w:p>
    <w:p w14:paraId="6425AF45">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 crystal structures of some complexes have been determined using single-crystal X-ray diffraction, revealing monomeric or dimeric structures depending on the metal ion and ligands used ¹ ² ³.</w:t>
      </w:r>
    </w:p>
    <w:p w14:paraId="0248F0AC">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5.1.2 </w:t>
      </w:r>
      <w:r>
        <w:rPr>
          <w:rFonts w:hint="default" w:ascii="Times New Roman" w:hAnsi="Times New Roman" w:cs="Times New Roman"/>
          <w:b/>
          <w:bCs w:val="0"/>
          <w:sz w:val="28"/>
          <w:szCs w:val="28"/>
        </w:rPr>
        <w:t>Coordination Chemistry Studies</w:t>
      </w:r>
    </w:p>
    <w:p w14:paraId="3FE36421">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Ibuprofen acts as a ligand, coordinating to metal ions through its carboxylate group.</w:t>
      </w:r>
    </w:p>
    <w:p w14:paraId="53CCFBD1">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 coordination chemistry of Ibuprofen complexes is influenced by the choice of metal ion, ligands, and reaction conditions.</w:t>
      </w:r>
    </w:p>
    <w:p w14:paraId="22A402AC">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 xml:space="preserve">- </w:t>
      </w:r>
      <w:r>
        <w:rPr>
          <w:rFonts w:hint="default" w:ascii="Times New Roman" w:hAnsi="Times New Roman" w:cs="Times New Roman"/>
          <w:b w:val="0"/>
          <w:bCs/>
          <w:sz w:val="28"/>
          <w:szCs w:val="28"/>
        </w:rPr>
        <w:t>Studies have shown that Ibuprofen complexes can exhibit varying geometries, such as square planar or octahedral, depending on the metal center and ligands ¹ ³.</w:t>
      </w:r>
    </w:p>
    <w:p w14:paraId="323B8403">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5.1.3 </w:t>
      </w:r>
      <w:r>
        <w:rPr>
          <w:rFonts w:hint="default" w:ascii="Times New Roman" w:hAnsi="Times New Roman" w:cs="Times New Roman"/>
          <w:b/>
          <w:bCs w:val="0"/>
          <w:sz w:val="28"/>
          <w:szCs w:val="28"/>
        </w:rPr>
        <w:t>Biological Applications</w:t>
      </w:r>
    </w:p>
    <w:p w14:paraId="6A389FDB">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Anticancer Properties: Some Ibuprofen metal complexes have demonstrated promising anticancer activity, with higher cytotoxicity than the parent Ibuprofen molecule against certain tumor cell lines.</w:t>
      </w:r>
    </w:p>
    <w:p w14:paraId="6A5B49E9">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Antimicrobial Activity: Ibuprofen complexes have also shown potential as antimicrobial agents, with activity against various bacteria and fungi.</w:t>
      </w:r>
    </w:p>
    <w:p w14:paraId="6280D94C">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Urease Inhibition: Certain Ibuprofen-derived thiourea complexes have been investigated for their urease inhibitory activity, which could be useful in treating gastrointestinal disorders ¹ ⁴ ⁵.</w:t>
      </w:r>
    </w:p>
    <w:p w14:paraId="55020E7C">
      <w:pPr>
        <w:tabs>
          <w:tab w:val="left" w:pos="3435"/>
        </w:tabs>
        <w:spacing w:line="360" w:lineRule="auto"/>
        <w:jc w:val="both"/>
        <w:rPr>
          <w:rFonts w:hint="default" w:ascii="Times New Roman" w:hAnsi="Times New Roman" w:cs="Times New Roman"/>
          <w:b/>
          <w:bCs w:val="0"/>
          <w:sz w:val="28"/>
          <w:szCs w:val="28"/>
        </w:rPr>
      </w:pPr>
      <w:r>
        <w:rPr>
          <w:rFonts w:hint="default" w:ascii="Times New Roman" w:hAnsi="Times New Roman" w:cs="Times New Roman"/>
          <w:b/>
          <w:bCs w:val="0"/>
          <w:sz w:val="28"/>
          <w:szCs w:val="28"/>
          <w:lang w:val="en-GB"/>
        </w:rPr>
        <w:t xml:space="preserve">5.1.4 </w:t>
      </w:r>
      <w:r>
        <w:rPr>
          <w:rFonts w:hint="default" w:ascii="Times New Roman" w:hAnsi="Times New Roman" w:cs="Times New Roman"/>
          <w:b/>
          <w:bCs w:val="0"/>
          <w:sz w:val="28"/>
          <w:szCs w:val="28"/>
        </w:rPr>
        <w:t>Potential Therapeutic Implications</w:t>
      </w:r>
    </w:p>
    <w:p w14:paraId="42D17156">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 xml:space="preserve">- </w:t>
      </w:r>
      <w:r>
        <w:rPr>
          <w:rFonts w:hint="default" w:ascii="Times New Roman" w:hAnsi="Times New Roman" w:cs="Times New Roman"/>
          <w:b w:val="0"/>
          <w:bCs/>
          <w:sz w:val="28"/>
          <w:szCs w:val="28"/>
        </w:rPr>
        <w:t>The development of Ibuprofen metal complexes offers opportunities for creating new therapeutic agents with improved efficacy and reduced side effects.</w:t>
      </w:r>
    </w:p>
    <w:p w14:paraId="5E63CC16">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These complexes may find applications in treating various diseases, including cancer, infections, and gastrointestinal disorders.</w:t>
      </w:r>
    </w:p>
    <w:p w14:paraId="0B64F4E7">
      <w:pPr>
        <w:tabs>
          <w:tab w:val="left" w:pos="3435"/>
        </w:tabs>
        <w:spacing w:line="360" w:lineRule="auto"/>
        <w:jc w:val="both"/>
        <w:rPr>
          <w:rFonts w:hint="default" w:ascii="Times New Roman" w:hAnsi="Times New Roman" w:cs="Times New Roman"/>
          <w:b w:val="0"/>
          <w:bCs/>
          <w:sz w:val="28"/>
          <w:szCs w:val="28"/>
        </w:rPr>
      </w:pPr>
      <w:r>
        <w:rPr>
          <w:rFonts w:hint="default" w:ascii="Times New Roman" w:hAnsi="Times New Roman" w:cs="Times New Roman"/>
          <w:b w:val="0"/>
          <w:bCs/>
          <w:sz w:val="28"/>
          <w:szCs w:val="28"/>
          <w:lang w:val="en-GB"/>
        </w:rPr>
        <w:t>-</w:t>
      </w:r>
      <w:r>
        <w:rPr>
          <w:rFonts w:hint="default" w:ascii="Times New Roman" w:hAnsi="Times New Roman" w:cs="Times New Roman"/>
          <w:b w:val="0"/>
          <w:bCs/>
          <w:sz w:val="28"/>
          <w:szCs w:val="28"/>
        </w:rPr>
        <w:t xml:space="preserve"> Further research is needed to fully explore the therapeutic potential of Ibuprofen metal complexes and to understand their mechanisms of action ¹ ⁴.</w:t>
      </w:r>
    </w:p>
    <w:p w14:paraId="46D17668">
      <w:pPr>
        <w:tabs>
          <w:tab w:val="left" w:pos="3435"/>
        </w:tabs>
        <w:spacing w:line="360" w:lineRule="auto"/>
        <w:jc w:val="both"/>
        <w:rPr>
          <w:rFonts w:hint="default" w:ascii="Times New Roman" w:hAnsi="Times New Roman" w:cs="Times New Roman"/>
          <w:b w:val="0"/>
          <w:bCs/>
          <w:sz w:val="28"/>
          <w:szCs w:val="28"/>
        </w:rPr>
      </w:pPr>
    </w:p>
    <w:p w14:paraId="3E4F2904">
      <w:pPr>
        <w:tabs>
          <w:tab w:val="left" w:pos="3435"/>
        </w:tabs>
        <w:spacing w:line="480" w:lineRule="auto"/>
        <w:jc w:val="both"/>
        <w:rPr>
          <w:rFonts w:hint="default" w:ascii="Times New Roman" w:hAnsi="Times New Roman" w:cs="Times New Roman"/>
          <w:b/>
          <w:sz w:val="28"/>
          <w:szCs w:val="28"/>
        </w:rPr>
      </w:pPr>
    </w:p>
    <w:p w14:paraId="5AAC9E30">
      <w:pPr>
        <w:tabs>
          <w:tab w:val="left" w:pos="3435"/>
        </w:tabs>
        <w:spacing w:line="480" w:lineRule="auto"/>
        <w:jc w:val="both"/>
        <w:rPr>
          <w:rFonts w:ascii="Times New Roman" w:hAnsi="Times New Roman" w:cs="Times New Roman"/>
          <w:b/>
          <w:sz w:val="28"/>
          <w:szCs w:val="28"/>
        </w:rPr>
      </w:pPr>
    </w:p>
    <w:p w14:paraId="70F292BB">
      <w:pPr>
        <w:tabs>
          <w:tab w:val="left" w:pos="3435"/>
        </w:tabs>
        <w:spacing w:line="480" w:lineRule="auto"/>
        <w:jc w:val="both"/>
        <w:rPr>
          <w:rFonts w:ascii="Times New Roman" w:hAnsi="Times New Roman" w:cs="Times New Roman"/>
          <w:b/>
          <w:sz w:val="28"/>
          <w:szCs w:val="28"/>
        </w:rPr>
      </w:pPr>
    </w:p>
    <w:p w14:paraId="05E2AD2B">
      <w:pPr>
        <w:tabs>
          <w:tab w:val="left" w:pos="3435"/>
        </w:tabs>
        <w:spacing w:line="480" w:lineRule="auto"/>
        <w:jc w:val="both"/>
        <w:rPr>
          <w:rFonts w:ascii="Times New Roman" w:hAnsi="Times New Roman" w:cs="Times New Roman"/>
          <w:b/>
          <w:sz w:val="28"/>
          <w:szCs w:val="28"/>
        </w:rPr>
      </w:pPr>
    </w:p>
    <w:p w14:paraId="28227C5A">
      <w:pPr>
        <w:tabs>
          <w:tab w:val="left" w:pos="3435"/>
        </w:tabs>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 xml:space="preserve">REFERENCES </w:t>
      </w:r>
    </w:p>
    <w:p w14:paraId="0F3220F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 Tripathi KD. Non steroidal anti inflammatory drugs and anti pyretic analgesics</w:t>
      </w:r>
    </w:p>
    <w:p w14:paraId="7DA470B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 Essentials of medical pharmacology. 5th edn., Jaypee Brothers, New Delhi,</w:t>
      </w:r>
    </w:p>
    <w:p w14:paraId="2ECB415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176.</w:t>
      </w:r>
    </w:p>
    <w:p w14:paraId="6FCFD46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 Abrahm P. KI KD. Nitro-argenine methyl ester, a non selective inhibitor of</w:t>
      </w:r>
    </w:p>
    <w:p w14:paraId="367C15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nitric oxide synthase reduces ibuprofen-induced gastric mucosal injury in the</w:t>
      </w:r>
    </w:p>
    <w:p w14:paraId="439A4FB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 Dig Dis 2005;50(9):1632-1640 .</w:t>
      </w:r>
    </w:p>
    <w:p w14:paraId="049EBDC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 Bradbury F. How important is the role of the physician in the correct use of a</w:t>
      </w:r>
    </w:p>
    <w:p w14:paraId="5EC37CD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 An observational cohort study in general practice. Int J Clin Prat 2004;</w:t>
      </w:r>
    </w:p>
    <w:p w14:paraId="1A77CB3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(144):27-32.</w:t>
      </w:r>
    </w:p>
    <w:p w14:paraId="0175315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 Chavez ML, DeKorte CJ. Valdecoxib: a review. Clin Ther 2003 Mar;25(3):817-</w:t>
      </w:r>
    </w:p>
    <w:p w14:paraId="78A56ED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851.</w:t>
      </w:r>
    </w:p>
    <w:p w14:paraId="6CC33BC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 Wahbi AA, Hassan E, Hamdy D, Khamis E, Barary M. Spectrophotometric</w:t>
      </w:r>
    </w:p>
    <w:p w14:paraId="505022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methods for the determination of Ibuprofen in tablets. Pak J Pharm Sci 2005</w:t>
      </w:r>
    </w:p>
    <w:p w14:paraId="185196D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Oct;18(4):1-6.</w:t>
      </w:r>
    </w:p>
    <w:p w14:paraId="357E4B7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 Roberts LK, Morrow JD. Analgesic antipyretic and anti inflammatory agents</w:t>
      </w:r>
    </w:p>
    <w:p w14:paraId="52317CB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drugs employed in treatment of gout. In: Hardman JG and Limbird LE</w:t>
      </w:r>
    </w:p>
    <w:p w14:paraId="3C6D1F6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Goodman and Gillman’s the pharmacological basis of therapeutics. 10th</w:t>
      </w:r>
    </w:p>
    <w:p w14:paraId="7136CAD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 McGraw hill, New York, Chicago, 2001.p. 711</w:t>
      </w:r>
    </w:p>
    <w:p w14:paraId="5A4FA0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 Ritter JM, Lewis L, Mant TG. Analgesics and the control of pain.In: A text</w:t>
      </w:r>
    </w:p>
    <w:p w14:paraId="1C92060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book of clinical pharmacology. 4th ed., Arnold London, 1999.p. 216</w:t>
      </w:r>
    </w:p>
    <w:p w14:paraId="38391B3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8. Herzfeld CD, Kummel R. Dissociation constant, solubilities and dissolution</w:t>
      </w:r>
    </w:p>
    <w:p w14:paraId="732175B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rate of some selective non steroidal anti inflammatory drugs. Drug Dev Ind</w:t>
      </w:r>
    </w:p>
    <w:p w14:paraId="155F391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 1983;9(5):767-793.</w:t>
      </w:r>
    </w:p>
    <w:p w14:paraId="6A74A2C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9. Ross JM, DeHoratius J. Non narcotic analgesics. In: DiPalma JR and DiGregorio GJ editors. Basic pharmacology in medicine 3rd ed, McGraw hill publishing company New York, 1990. p. 311-316.</w:t>
      </w:r>
    </w:p>
    <w:p w14:paraId="649C720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10. Antal EJ, Wright CE III, Brown BL, Albert KS, Aman LC, Levin NW. The</w:t>
      </w:r>
    </w:p>
    <w:p w14:paraId="2B64699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influence of hemodialysis on the pharmacokinetics of ibuprofen and its major</w:t>
      </w:r>
    </w:p>
    <w:p w14:paraId="1A590F9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metabolites.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1986 Mar;26(3):184-190.</w:t>
      </w:r>
    </w:p>
    <w:p w14:paraId="1D1DC47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11. Katzung BG, Furst DE. Non steroidal anti inflammatory drugs, disease</w:t>
      </w:r>
    </w:p>
    <w:p w14:paraId="6A44F55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miodifying anti rheumatic drugs, non opioid analgesics, drugs used in gout. In:</w:t>
      </w:r>
    </w:p>
    <w:p w14:paraId="3F7B2A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Katzung BG editor. Basic and clinical pharmacology, 7th ed., Appliton and Lang</w:t>
      </w:r>
    </w:p>
    <w:p w14:paraId="43A4715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Stamford, Connecticut, 1998. p.586, 1068</w:t>
      </w:r>
    </w:p>
    <w:p w14:paraId="04C258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12. Olive G. Analgesic/Antipyretic treatment: ibuprofen or acetaminophen? An</w:t>
      </w:r>
    </w:p>
    <w:p w14:paraId="18D0B9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update. Therapie 2006 Mar-Apr;61(2):151-160.</w:t>
      </w:r>
    </w:p>
    <w:p w14:paraId="1476E7A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13. Compreton EL, Glass RC, Hird ID. The pharmacokinetic of ibuprofen in</w:t>
      </w:r>
    </w:p>
    <w:p w14:paraId="2864697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elderly and young subjects. 1984 Boots research reports DT 84041.</w:t>
      </w:r>
    </w:p>
    <w:p w14:paraId="023D197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14. Senekjian HO, Lee C, Kuo TH, Krothapalli R. An absorption and disposition</w:t>
      </w:r>
    </w:p>
    <w:p w14:paraId="54ED31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in hemodialysed uremic patients. Eur J Rheumatism and</w:t>
      </w:r>
    </w:p>
    <w:p w14:paraId="32162E1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inflammation1983; 6(2):155-162.</w:t>
      </w:r>
    </w:p>
    <w:p w14:paraId="75DA01B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 Physician’s desk reference.51st ed., Published by Medical Economic Company, Inc. at Montvale, 1997. p. 1389-1391.</w:t>
      </w:r>
    </w:p>
    <w:p w14:paraId="40B5352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16. Moore N. Forty years of ibuprofen use. </w:t>
      </w:r>
      <w:r>
        <w:rPr>
          <w:rFonts w:ascii="Times New Roman" w:hAnsi="Times New Roman" w:cs="Times New Roman"/>
          <w:i/>
          <w:color w:val="000000"/>
          <w:sz w:val="28"/>
          <w:szCs w:val="28"/>
        </w:rPr>
        <w:t>Int J Clin Pract Suppl</w:t>
      </w:r>
      <w:r>
        <w:rPr>
          <w:rFonts w:ascii="Times New Roman" w:hAnsi="Times New Roman" w:cs="Times New Roman"/>
          <w:color w:val="000000"/>
          <w:sz w:val="28"/>
          <w:szCs w:val="28"/>
        </w:rPr>
        <w:t xml:space="preserve"> 2003</w:t>
      </w:r>
    </w:p>
    <w:p w14:paraId="2FE09F1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Apr;(135):28-31.</w:t>
      </w:r>
    </w:p>
    <w:p w14:paraId="6B30D55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17. Wood DM, Monaghal J, Streete P, Jones AL, Dargan PI. Fourty five years of</w:t>
      </w:r>
    </w:p>
    <w:p w14:paraId="321371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use. 2006 Critical care, 10: R 44.</w:t>
      </w:r>
    </w:p>
    <w:p w14:paraId="0E31E08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18. Nozu K. Flurbiprofen: highly potent inhibitor of prostaglandin synthesis.</w:t>
      </w:r>
    </w:p>
    <w:p w14:paraId="6CC5B3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Biochim Biophys Acta 1978 Jun;529(3):493-496.</w:t>
      </w:r>
    </w:p>
    <w:p w14:paraId="040E2BE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 Adams SS, McCullough KF, Nicholson JS. The pharmacological properties</w:t>
      </w:r>
    </w:p>
    <w:p w14:paraId="68D4A76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ibuprofen, an anti-inflammatory, analgesic and antipyretic agent. Arch Int</w:t>
      </w:r>
    </w:p>
    <w:p w14:paraId="3526CF5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Pharmacodyn Ther 1969 Mar;178(1):115-129.</w:t>
      </w:r>
    </w:p>
    <w:p w14:paraId="7C7B7B6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 Pottast H, Dressman JB, Junginger HE, Midha KK, Oestr H, Shah VP, et al.</w:t>
      </w:r>
    </w:p>
    <w:p w14:paraId="4F0B286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Biowaiver monographs for immediate release solid oral dosage forms: ibuprofen.</w:t>
      </w:r>
    </w:p>
    <w:p w14:paraId="781E28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J Pharm Sci</w:t>
      </w:r>
      <w:r>
        <w:rPr>
          <w:rFonts w:ascii="Times New Roman" w:hAnsi="Times New Roman" w:cs="Times New Roman"/>
          <w:color w:val="000000"/>
          <w:sz w:val="28"/>
          <w:szCs w:val="28"/>
        </w:rPr>
        <w:t xml:space="preserve"> 2005;94(10):2122.</w:t>
      </w:r>
    </w:p>
    <w:p w14:paraId="181FBF8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21. Bhattacharya SK, Sen P, Ray A. Central nervous system. In: Das PK editor.</w:t>
      </w:r>
    </w:p>
    <w:p w14:paraId="22FBF77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Pharmacology, 2nd ed., Elsevier, New Delhi, 2003 p. 268</w:t>
      </w:r>
    </w:p>
    <w:p w14:paraId="6055EE0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22. Sharma PK, Garg SK, Narang A. Pharmacokinetics of oral ibuprofen in</w:t>
      </w:r>
    </w:p>
    <w:p w14:paraId="47A36BB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premature infants. </w:t>
      </w:r>
      <w:r>
        <w:rPr>
          <w:rFonts w:ascii="Times New Roman" w:hAnsi="Times New Roman" w:cs="Times New Roman"/>
          <w:i/>
          <w:color w:val="000000"/>
          <w:sz w:val="28"/>
          <w:szCs w:val="28"/>
        </w:rPr>
        <w:t>J Clin Pharmacol</w:t>
      </w:r>
      <w:r>
        <w:rPr>
          <w:rFonts w:ascii="Times New Roman" w:hAnsi="Times New Roman" w:cs="Times New Roman"/>
          <w:color w:val="000000"/>
          <w:sz w:val="28"/>
          <w:szCs w:val="28"/>
        </w:rPr>
        <w:t xml:space="preserve"> 2003 Sep; 43(9):968-973.</w:t>
      </w:r>
    </w:p>
    <w:p w14:paraId="6012CD8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23. Kravs DM, Pharm JT. Neonatal therapy. In: Koda-Kimble MA, Young LV,</w:t>
      </w:r>
    </w:p>
    <w:p w14:paraId="7E714C3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Kradjan WA, Guglielmo BJ, Alldredge BK and Corelli RL editors Applied</w:t>
      </w:r>
    </w:p>
    <w:p w14:paraId="5EDAC5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therapeutics: the clinical use of drugs, 8th ed., Lipponcott William and Wilkins</w:t>
      </w:r>
    </w:p>
    <w:p w14:paraId="4FE454A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 Wolters Kluwer company Philadelphia New York, 2005. p. 94-23.</w:t>
      </w:r>
    </w:p>
    <w:p w14:paraId="3E3575B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24. Tan SC, Patel BK, Jackson SH, Swift CG, Hutt AJ. Ibuprofen stereochemistry:</w:t>
      </w:r>
    </w:p>
    <w:p w14:paraId="5655A30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double-the-trouble? Enantiomer 1999;4(3-4):195-203.</w:t>
      </w:r>
    </w:p>
    <w:p w14:paraId="72B9B7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25. Russell TM, Young LY. Arthritic disorders: gout and hyperurecemia. In: Koda-</w:t>
      </w:r>
    </w:p>
    <w:p w14:paraId="0830745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Kimble MA, Young LV, Kradjan WA, Guglielmo BJ, Alldredge BK and Corelli</w:t>
      </w:r>
    </w:p>
    <w:p w14:paraId="59D2169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RL editors. Applied therapeutics: the clinical use of drugs. 8th ed., Lipponcott</w:t>
      </w:r>
    </w:p>
    <w:p w14:paraId="3CEB979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William and Wilkins A Wolters Kluwer company Philadelphia New York,</w:t>
      </w:r>
    </w:p>
    <w:p w14:paraId="45ACF1F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2005. p. 42-45.</w:t>
      </w:r>
    </w:p>
    <w:p w14:paraId="4A5E8A1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26. Frank WA, Brown MM. Ibuprofen in acute poly articular gout. Arthritis</w:t>
      </w:r>
    </w:p>
    <w:p w14:paraId="591BCB3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 Arthritis Rheum. 1976;19(2):269.</w:t>
      </w:r>
    </w:p>
    <w:p w14:paraId="588F6DF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27. Wagner W, Khanna P, Furst DE. Non-steroidal-anti inflammatory drugs,</w:t>
      </w:r>
    </w:p>
    <w:p w14:paraId="3B5B6FD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modifying anti rheumatic drugs, non opioid analgesics and drugs used in</w:t>
      </w:r>
    </w:p>
    <w:p w14:paraId="21D48A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Gout. In: Katzung BG editor. Basic and clinical pharmacology 9th ed., McGraw</w:t>
      </w:r>
    </w:p>
    <w:p w14:paraId="6C98662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hill Booston, 2004. p. 585.</w:t>
      </w:r>
    </w:p>
    <w:p w14:paraId="5FD4789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28. Gall EP, Caperton EM, McComb JE, Messner R, Multz CV, O’Hanlan M, et al.</w:t>
      </w:r>
    </w:p>
    <w:p w14:paraId="7A1B2A0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Clinical comparison of ibuprofen, fenoprofen calcium, naproxen and tolmetin</w:t>
      </w:r>
    </w:p>
    <w:p w14:paraId="4C04B0F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sodium in rheumatoid arthritis. J Rheumatol 1982 May-Jun;9(3):402-407.</w:t>
      </w:r>
    </w:p>
    <w:p w14:paraId="2A98FD9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29. Winstanley P, Walley T. Drug for arthritis. In: Medical pharmacology: a clinical core text for integrated curriculum with self assessment. Churchill Livingstone, Adinburgh, 2002. p. 105-107.</w:t>
      </w:r>
    </w:p>
    <w:p w14:paraId="30254E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30. Calrk WG, Brater DC, Jhonson AR. Non steroidal anti inflammatory, anti</w:t>
      </w:r>
    </w:p>
    <w:p w14:paraId="3F1A5E8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pyretic analgesics. In: Goth’s medical pharmacology. 13th ed., Mosby year book.</w:t>
      </w:r>
    </w:p>
    <w:p w14:paraId="183A856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St: Louis Baltimore Booston. 1992.</w:t>
      </w:r>
    </w:p>
    <w:p w14:paraId="7B3CD73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31. Hollingworth P. The use of non-steroidal anti-inflammatory drugs in paediatric</w:t>
      </w:r>
    </w:p>
    <w:p w14:paraId="6812805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rheumatic diseases. Br J Rheumatol 1993 Jan;32(1):73-77.</w:t>
      </w:r>
    </w:p>
    <w:p w14:paraId="294E5A8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32. Nuki G, Ralston SH, Luqmani R. Diseases of connective tissues, joints and</w:t>
      </w:r>
    </w:p>
    <w:p w14:paraId="09D63A8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bones. In: Haslett C, Chilvers ER, Hunter JAA and Boon NA editors.</w:t>
      </w:r>
    </w:p>
    <w:p w14:paraId="284748D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Davidson’s principles and practice of medicine, 18th ed., Chirchil Livingstone</w:t>
      </w:r>
    </w:p>
    <w:p w14:paraId="6295BA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UK, 1999. p. 842-843.</w:t>
      </w:r>
    </w:p>
    <w:p w14:paraId="2880C9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33. Coussement W. Gastrointestinal toxicology: toxicological pathology and</w:t>
      </w:r>
    </w:p>
    <w:p w14:paraId="11C51F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sources of intestinal toxicity. In: Niesink RJM, DeVries J and Hollinger MA</w:t>
      </w:r>
    </w:p>
    <w:p w14:paraId="620EF2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editors. Toxicology: principles and applications CRC Press, Boca Raton, New</w:t>
      </w:r>
    </w:p>
    <w:p w14:paraId="0E6F01A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York, 1996. p. 655.</w:t>
      </w:r>
    </w:p>
    <w:p w14:paraId="50D6908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34. Konstan MW, Krenicky JE, Finney MR, Kirchner HL, Hilliard KA, Hilliard</w:t>
      </w:r>
    </w:p>
    <w:p w14:paraId="65203A5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JB, et al. Effect of ibuprofen on neutrophil migration in vivo in cystic fibrosis and</w:t>
      </w:r>
    </w:p>
    <w:p w14:paraId="15310F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healthy subjects. </w:t>
      </w:r>
      <w:r>
        <w:rPr>
          <w:rFonts w:ascii="Times New Roman" w:hAnsi="Times New Roman" w:cs="Times New Roman"/>
          <w:i/>
          <w:color w:val="000000"/>
          <w:sz w:val="28"/>
          <w:szCs w:val="28"/>
        </w:rPr>
        <w:t>J Pharmacol</w:t>
      </w:r>
      <w:r>
        <w:rPr>
          <w:rFonts w:ascii="Times New Roman" w:hAnsi="Times New Roman" w:cs="Times New Roman"/>
          <w:color w:val="000000"/>
          <w:sz w:val="28"/>
          <w:szCs w:val="28"/>
        </w:rPr>
        <w:t xml:space="preserve"> Exp Ther 2003 Sep;306(3):1086-1091.</w:t>
      </w:r>
    </w:p>
    <w:p w14:paraId="38A5029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35. Mackey JE, Anbar RD. High-dose ibuprofen therapy associated with esophageal ulceration after pneumonectomy in a patient with cystic fibrosis: a case report. BMC Pediatr 2004 Sep;4:19.</w:t>
      </w:r>
    </w:p>
    <w:p w14:paraId="739068E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36. Rifai N, Sakamoto M, Law T, Galpchian V, Harris N, Colin AA. Use of a rapid</w:t>
      </w:r>
    </w:p>
    <w:p w14:paraId="1D65B9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HPLC assay for determination of pharmacokinetic parameters of ibuprofen in</w:t>
      </w:r>
    </w:p>
    <w:p w14:paraId="035B9E2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patients with cystic fibrosis. Clin Chem 1996 Nov;42(11):1812-1816.</w:t>
      </w:r>
    </w:p>
    <w:p w14:paraId="5F7EB61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37. Zawada ET Jr. Renal consequences of nonsteroidal antiinflammatory drugs.</w:t>
      </w:r>
    </w:p>
    <w:p w14:paraId="2BAA9B0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Postgrad Med 1982 May;71(5):223-230.</w:t>
      </w:r>
    </w:p>
    <w:p w14:paraId="5BC52C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38. Volans G, Hartley V, McCrea S, Monagham J. Non opioid analgesic poisoning. Clinical medicine. Clin Med (Northfield IL) 2003;3(2):119-123.</w:t>
      </w:r>
    </w:p>
    <w:p w14:paraId="3F5A38B5">
      <w:pPr>
        <w:autoSpaceDE w:val="0"/>
        <w:autoSpaceDN w:val="0"/>
        <w:adjustRightInd w:val="0"/>
        <w:spacing w:after="0" w:line="480" w:lineRule="auto"/>
        <w:jc w:val="both"/>
        <w:rPr>
          <w:rFonts w:ascii="Times New Roman" w:hAnsi="Times New Roman" w:cs="Times New Roman"/>
          <w:i/>
          <w:iCs/>
          <w:color w:val="000000"/>
          <w:sz w:val="28"/>
          <w:szCs w:val="28"/>
        </w:rPr>
      </w:pPr>
      <w:r>
        <w:rPr>
          <w:rFonts w:ascii="Times New Roman" w:hAnsi="Times New Roman" w:cs="Times New Roman"/>
          <w:i/>
          <w:iCs/>
          <w:color w:val="000000"/>
          <w:sz w:val="28"/>
          <w:szCs w:val="28"/>
        </w:rPr>
        <w:t>An Overview of Clinical Pharmacology... Bushra &amp; Aslam</w:t>
      </w:r>
    </w:p>
    <w:p w14:paraId="4E7C2FF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39. Seifert SA, Bronstein AC, McGuire T. Massive ibuprofen ingestion with</w:t>
      </w:r>
    </w:p>
    <w:p w14:paraId="1D78EB9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survival. </w:t>
      </w:r>
      <w:r>
        <w:rPr>
          <w:rFonts w:ascii="Times New Roman" w:hAnsi="Times New Roman" w:cs="Times New Roman"/>
          <w:i/>
          <w:color w:val="000000"/>
          <w:sz w:val="28"/>
          <w:szCs w:val="28"/>
        </w:rPr>
        <w:t>J Toxicol Clin Toxicol</w:t>
      </w:r>
      <w:r>
        <w:rPr>
          <w:rFonts w:ascii="Times New Roman" w:hAnsi="Times New Roman" w:cs="Times New Roman"/>
          <w:color w:val="000000"/>
          <w:sz w:val="28"/>
          <w:szCs w:val="28"/>
        </w:rPr>
        <w:t xml:space="preserve"> 2000;38(1):55-57.</w:t>
      </w:r>
    </w:p>
    <w:p w14:paraId="415C729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40. Bhushan R, Martens J. Resolution of enantiomers of ibuprofen by liquid</w:t>
      </w:r>
    </w:p>
    <w:p w14:paraId="7635063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chromatography: a review. Biomed Chromatogr 1998 Nov-Dec;12(6):309-316.</w:t>
      </w:r>
    </w:p>
    <w:p w14:paraId="4E676BE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41. Moore T.A, Hersh EV. Celecoxib and refecoxib. The role of Cox-II inhibitors in dental practice. </w:t>
      </w:r>
      <w:r>
        <w:rPr>
          <w:rFonts w:ascii="Times New Roman" w:hAnsi="Times New Roman" w:cs="Times New Roman"/>
          <w:i/>
          <w:color w:val="000000"/>
          <w:sz w:val="28"/>
          <w:szCs w:val="28"/>
        </w:rPr>
        <w:t>J Am Dent Assoc</w:t>
      </w:r>
      <w:r>
        <w:rPr>
          <w:rFonts w:ascii="Times New Roman" w:hAnsi="Times New Roman" w:cs="Times New Roman"/>
          <w:color w:val="000000"/>
          <w:sz w:val="28"/>
          <w:szCs w:val="28"/>
        </w:rPr>
        <w:t xml:space="preserve"> 2011;132(4):451-456.</w:t>
      </w:r>
    </w:p>
    <w:p w14:paraId="53ED45A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42. Jones K, Seymour RA, Hawkesford J.E. Synergistic interactions between the</w:t>
      </w:r>
    </w:p>
    <w:p w14:paraId="1172DB4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dual serotonergic, noradrenergic reuptake inhibitor duloxetine and the nonsteroidal</w:t>
      </w:r>
    </w:p>
    <w:p w14:paraId="3843A45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anti-inflammatory drug ibuprofen in inflammatory pain in rodents.</w:t>
      </w:r>
    </w:p>
    <w:p w14:paraId="5493307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i/>
          <w:color w:val="000000"/>
          <w:sz w:val="28"/>
          <w:szCs w:val="28"/>
        </w:rPr>
        <w:t>British Journal of Oral and Maxilofacial surgey</w:t>
      </w:r>
      <w:r>
        <w:rPr>
          <w:rFonts w:ascii="Times New Roman" w:hAnsi="Times New Roman" w:cs="Times New Roman"/>
          <w:color w:val="000000"/>
          <w:sz w:val="28"/>
          <w:szCs w:val="28"/>
        </w:rPr>
        <w:t xml:space="preserve"> 1997; 35(3):173-176.</w:t>
      </w:r>
    </w:p>
    <w:p w14:paraId="1B7219A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43. Grimes DA, Hubacher D, Lopez LM, Schulz KF. Non steroidal anti</w:t>
      </w:r>
    </w:p>
    <w:p w14:paraId="35C0A22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inflammatory drugs for heavy bleeding or apin associated with intra uterinedevice</w:t>
      </w:r>
    </w:p>
    <w:p w14:paraId="36D309F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use. Cochrane Database Syst Rev 2006;18(4) .</w:t>
      </w:r>
    </w:p>
    <w:p w14:paraId="48ABA71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44. Pouresmail Z, Ibrahimzadeh R. Effects of acupressure and ibuprofen on the</w:t>
      </w:r>
    </w:p>
    <w:p w14:paraId="3D26C97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severity of primary dysmenorrhea. </w:t>
      </w:r>
      <w:r>
        <w:rPr>
          <w:rFonts w:ascii="Times New Roman" w:hAnsi="Times New Roman" w:cs="Times New Roman"/>
          <w:i/>
          <w:color w:val="000000"/>
          <w:sz w:val="28"/>
          <w:szCs w:val="28"/>
        </w:rPr>
        <w:t>J Tradit Chin Med</w:t>
      </w:r>
      <w:r>
        <w:rPr>
          <w:rFonts w:ascii="Times New Roman" w:hAnsi="Times New Roman" w:cs="Times New Roman"/>
          <w:color w:val="000000"/>
          <w:sz w:val="28"/>
          <w:szCs w:val="28"/>
        </w:rPr>
        <w:t xml:space="preserve"> 2002 Sep;22(3):205-210.</w:t>
      </w:r>
    </w:p>
    <w:p w14:paraId="4EE9D46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45. Aycock DG. Ibuprofen: a monograph. Am. Pharm., NS 1991; 31(1):46-49.</w:t>
      </w:r>
    </w:p>
    <w:p w14:paraId="006669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46. Milsom I, Minic M, Dawood MY, Akin MD, Spann J, Niland NF, et al.</w:t>
      </w:r>
    </w:p>
    <w:p w14:paraId="06BB6AC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Comparison of the efficacy and safety of nonprescription doses of naproxen and</w:t>
      </w:r>
    </w:p>
    <w:p w14:paraId="77133A9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naproxen sodium with ibuprofen, acetaminophen, and placebo in the treatment</w:t>
      </w:r>
    </w:p>
    <w:p w14:paraId="5168158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primary dysmenorrhea: a pooled analysis of five studies. Clin Ther 2002</w:t>
      </w:r>
    </w:p>
    <w:p w14:paraId="7147F52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Sep;24(9):1384-1400.</w:t>
      </w:r>
    </w:p>
    <w:p w14:paraId="7A36178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47. Dawood MY, Khan-Dawood FS. Clinical efficacy and differential inhibition</w:t>
      </w:r>
    </w:p>
    <w:p w14:paraId="6640A88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menstrual fluid prostaglandin F2alpha in a randomized, double-blind,</w:t>
      </w:r>
    </w:p>
    <w:p w14:paraId="7E112A7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crossover treatment with placebo, acetaminophen, and ibuprofen in primary</w:t>
      </w:r>
    </w:p>
    <w:p w14:paraId="7E2D407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dysmenorrhea. Am J Obstet Gynecol 2007 Jan;196(1):35, e1-e5.</w:t>
      </w:r>
    </w:p>
    <w:p w14:paraId="05576ED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48. Dawood MY. Primary dysmenorrhea: advances in pathogenesis and</w:t>
      </w:r>
    </w:p>
    <w:p w14:paraId="12C1DC0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management. Obstet Gynecol 2006 Aug;108(2):428-441.</w:t>
      </w:r>
    </w:p>
    <w:p w14:paraId="41D82F3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49. Karttunen P, Saano V, Paronen P, Peura P, Vidgren M. Pharmacokinetics of</w:t>
      </w:r>
    </w:p>
    <w:p w14:paraId="66B7C50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in man: a single-dose comparison of two over-the-counter, 200 mg</w:t>
      </w:r>
    </w:p>
    <w:p w14:paraId="3FF1A93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preparations. </w:t>
      </w:r>
      <w:r>
        <w:rPr>
          <w:rFonts w:ascii="Times New Roman" w:hAnsi="Times New Roman" w:cs="Times New Roman"/>
          <w:i/>
          <w:color w:val="000000"/>
          <w:sz w:val="28"/>
          <w:szCs w:val="28"/>
        </w:rPr>
        <w:t>Int J Clin Pharmacol Ther Toxicol</w:t>
      </w:r>
      <w:r>
        <w:rPr>
          <w:rFonts w:ascii="Times New Roman" w:hAnsi="Times New Roman" w:cs="Times New Roman"/>
          <w:color w:val="000000"/>
          <w:sz w:val="28"/>
          <w:szCs w:val="28"/>
        </w:rPr>
        <w:t xml:space="preserve"> 1990 Jun;28(6):251-255.</w:t>
      </w:r>
    </w:p>
    <w:p w14:paraId="3C36053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50. Diamond S, Freitag FG. The use of ibuprofen plus caffeine to treat tension-type</w:t>
      </w:r>
    </w:p>
    <w:p w14:paraId="219749A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headache. Curr Pain Headache Rep 2001 Oct;5(5):472-478.</w:t>
      </w:r>
    </w:p>
    <w:p w14:paraId="49E8F8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51. Schoenen J. Treatment of tension headache. Rev Neurol (Paris) 2000;156(4)</w:t>
      </w:r>
    </w:p>
    <w:p w14:paraId="6B01B9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(Suppl 4):S87-S92.</w:t>
      </w:r>
    </w:p>
    <w:p w14:paraId="12F1183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52. Erlewyn-Lajeunesse MD, Coppens K, Hunt LP, Chinnick PJ, Davies P,</w:t>
      </w:r>
    </w:p>
    <w:p w14:paraId="47279B1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Higginson IM, et al. Randomised controlled trial of combined paracetamol and</w:t>
      </w:r>
    </w:p>
    <w:p w14:paraId="02A35CC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ibuprofen for fever. Arch Dis Child 2006 May;91(5):414-416.</w:t>
      </w:r>
    </w:p>
    <w:p w14:paraId="2E0D7EA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53. Krishna S, Pukrittayakamee S, Supanaranond W, ter Kuile F, Ruprah M, Sura</w:t>
      </w:r>
    </w:p>
    <w:p w14:paraId="1E42B19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 et al. Fever in uncomplicated Plasmodium falciparum malaria: randomized</w:t>
      </w:r>
    </w:p>
    <w:p w14:paraId="5E01224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double-‘blind’ comparison of ibuprofen and paracetamol treatment. Trans R</w:t>
      </w:r>
    </w:p>
    <w:p w14:paraId="3FEE133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Soc Trop Med Hyg 1995 Sep-Oct;89(5):507-509.</w:t>
      </w:r>
    </w:p>
    <w:p w14:paraId="513B38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54. Evers S, Rahmann A, Kraemer C, Kurlemann G, Debus O, Husstedt IW, et al.</w:t>
      </w:r>
    </w:p>
    <w:p w14:paraId="7D698C4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Treatment of childhood migraine attacks with oral zolmitriptan and ibuprofen.</w:t>
      </w:r>
    </w:p>
    <w:p w14:paraId="36C0C28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Neurology 2006 Aug;67(3):497-499.</w:t>
      </w:r>
    </w:p>
    <w:p w14:paraId="6BFEF20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55. Melton LM, Keith AB, Davis S, Oakley AE, Edwardson JA, Morris CM.</w:t>
      </w:r>
    </w:p>
    <w:p w14:paraId="0CFCE77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Chronic glial activation, neurodegeneration, and APP immunoreactive</w:t>
      </w:r>
    </w:p>
    <w:p w14:paraId="1BBFE0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deposits following acute administration of double-stranded RNA. Glia 2003</w:t>
      </w:r>
    </w:p>
    <w:p w14:paraId="2BCC5E4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Oct;44(1):1-12.</w:t>
      </w:r>
    </w:p>
    <w:p w14:paraId="5693CC1C">
      <w:pPr>
        <w:autoSpaceDE w:val="0"/>
        <w:autoSpaceDN w:val="0"/>
        <w:adjustRightInd w:val="0"/>
        <w:spacing w:after="0" w:line="480" w:lineRule="auto"/>
        <w:jc w:val="both"/>
        <w:rPr>
          <w:rFonts w:ascii="Times New Roman" w:hAnsi="Times New Roman" w:cs="Times New Roman"/>
          <w:color w:val="000000"/>
          <w:sz w:val="28"/>
          <w:szCs w:val="28"/>
        </w:rPr>
      </w:pPr>
    </w:p>
    <w:p w14:paraId="2ADAA1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56. Casper D, Yaparpalvi U, Rempel N, Werner P. Ibuprofen protects dopaminergic</w:t>
      </w:r>
    </w:p>
    <w:p w14:paraId="3E005A5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neurons against glutamate toxicity in vitro. Neurosci Lett 2000 Aug;289(3):201-</w:t>
      </w:r>
    </w:p>
    <w:p w14:paraId="6C1FB76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204.</w:t>
      </w:r>
    </w:p>
    <w:p w14:paraId="0566366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57. Townsend KP, Praticò D. Novel therapeutic opportunities for Alzheimer’s</w:t>
      </w:r>
    </w:p>
    <w:p w14:paraId="6A36F32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disease: focus on nonsteroidal anti-inflammatory drugs. FASEB J 2005</w:t>
      </w:r>
    </w:p>
    <w:p w14:paraId="2D773AF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Oct;19(12):1592-1601.</w:t>
      </w:r>
    </w:p>
    <w:p w14:paraId="5EDB70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58. Ton TG, Heckbert SR, Longstreth WT Jr, Rossing MA, Kukull WA, Franklin</w:t>
      </w:r>
    </w:p>
    <w:p w14:paraId="5A2F759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GM, et al. Nonsteroidal anti-inflammatory drugs and risk of Parkinson’s disease.</w:t>
      </w:r>
    </w:p>
    <w:p w14:paraId="577885C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Mov Disord 2006 Jul;21(7):964-969.</w:t>
      </w:r>
    </w:p>
    <w:p w14:paraId="6C7B9F0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59. Chen H, Jacobs E, Schwarzschild MA, McCullough ML, Calle EE, Thun MJ, et</w:t>
      </w:r>
    </w:p>
    <w:p w14:paraId="0C916C8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al. Nonsteroidal antiinflammatory drug use and the risk for Parkinson’s disease.</w:t>
      </w:r>
    </w:p>
    <w:p w14:paraId="4F72EA6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Ann Neurol 2005 Dec;58(6):963-967.</w:t>
      </w:r>
    </w:p>
    <w:p w14:paraId="09300C9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60. Carrasco E, Casper D, Werner P. Dopaminergic neurotoxicity by 6-OHDA</w:t>
      </w:r>
    </w:p>
    <w:p w14:paraId="32F0660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and MPP+: differential requirement for neuronal cyclooxygenase activity. J</w:t>
      </w:r>
    </w:p>
    <w:p w14:paraId="2E3357D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Neurosci Res 2005 Jul;81(1):121-131.</w:t>
      </w:r>
    </w:p>
    <w:p w14:paraId="255126E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61. Elsisi NS, Darling-Reed S, Lee EY, Oriaku ET, Soliman KF. Ibuprofen and</w:t>
      </w:r>
    </w:p>
    <w:p w14:paraId="2FE3145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apigenin induce apoptosis and cell cycle arrest in activated microglia. Neurosci</w:t>
      </w:r>
    </w:p>
    <w:p w14:paraId="3FE556C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Lett 2005 Feb;375(2):91-96.</w:t>
      </w:r>
    </w:p>
    <w:p w14:paraId="05FF32C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62. Harris RE, Kasbari S, Farrar WB. Prospective study of nonsteroidal anti-inflammatory drugs and breast cancer. Oncol Rep 1999 Jan-Feb;6(1):71-73.</w:t>
      </w:r>
    </w:p>
    <w:p w14:paraId="631C2DF6">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63. Wilcox CM, Cryer B, Triadafilopoulos G. Patterns of use and public perception</w:t>
      </w:r>
    </w:p>
    <w:p w14:paraId="46F2424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of over-the-counter pain relievers: focus on nonsteroidal antiinflammatory</w:t>
      </w:r>
    </w:p>
    <w:p w14:paraId="5FDDF4B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J Rheumatol 2005 Nov;32(11):2218-2224.</w:t>
      </w:r>
    </w:p>
    <w:p w14:paraId="04DE47A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64. Bateman DN. NSAIDs: time to re-evaluate gut toxicity. Lancet 1994</w:t>
      </w:r>
    </w:p>
    <w:p w14:paraId="2B6D36D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Apr;343(8905):1051-1052.</w:t>
      </w:r>
    </w:p>
    <w:p w14:paraId="6B01401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65. Rocca GD, Chiarandini P, Pietropaoli P. Analgesia in PACU: nonsteroidal anti-inflammatory drugs. Curr Drug Targets 2005 Nov;6(7):781-787.</w:t>
      </w:r>
    </w:p>
    <w:p w14:paraId="788EE16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66. Tsokos M and Schmoldt A. Contribution of non steroidal anti inflammatory</w:t>
      </w:r>
    </w:p>
    <w:p w14:paraId="3B803EA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to death associated with peptic ulcer disease:a prospective toxicological</w:t>
      </w:r>
    </w:p>
    <w:p w14:paraId="6FAAAE7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analysis of autopsy blood samples. Arch Pathol gLab Med 2001; 125 (12):1572-</w:t>
      </w:r>
    </w:p>
    <w:p w14:paraId="7CE4581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1574.</w:t>
      </w:r>
    </w:p>
    <w:p w14:paraId="62288F83">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67. Dollery C. Therapeutic drugs 2nd ed., vol. 1, Churchill Livingstone Edinbugh</w:t>
      </w:r>
    </w:p>
    <w:p w14:paraId="6FADA7E8">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London, 1999. p. 12.</w:t>
      </w:r>
    </w:p>
    <w:p w14:paraId="326F6554">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68. Wolfe MM, Lichenstein DR, Signh G. Gastrointestinal toxicity of non steroidal</w:t>
      </w:r>
    </w:p>
    <w:p w14:paraId="3BF14E47">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anti inflammatory drugs. M. Engl.J.Med 1999; 340:1888(24)-1899.</w:t>
      </w:r>
    </w:p>
    <w:p w14:paraId="471113A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69. Oermann CM, Sockrider MM, Konstan MW. The use of anti-inflammatory</w:t>
      </w:r>
    </w:p>
    <w:p w14:paraId="6717067C">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medications in cystic fibrosis: trends and physician attitudes. Chest 1999</w:t>
      </w:r>
    </w:p>
    <w:p w14:paraId="0F8FD8C9">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Apr;115(4):1053-1058.</w:t>
      </w:r>
    </w:p>
    <w:p w14:paraId="68C3374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70. Gambero A, Becker TL, Zago AS, de Oliveira AF, Pedrazzoli J Jr. Comparative study of anti-inflammatory and ulcerogenic activities of different cyclooxygenase inhibitors. Inflammopharmacology 2005;13(5-6):441-454.</w:t>
      </w:r>
    </w:p>
    <w:p w14:paraId="2C3D0D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71. Fulcher EM, Soto CD, Fulcher RM. Medications for disorders of the</w:t>
      </w:r>
    </w:p>
    <w:p w14:paraId="32C53135">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musculoskeletal system. In: Principles and applications. A work text for allied</w:t>
      </w:r>
    </w:p>
    <w:p w14:paraId="3ABC89D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health professionals. Saunders, an imprint of Elsevier Science Philadelphia,</w:t>
      </w:r>
    </w:p>
    <w:p w14:paraId="767234F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2003. p. 510.</w:t>
      </w:r>
    </w:p>
    <w:p w14:paraId="1856AC2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72. Kennedy MJ. Inflammation and cystic fibrosis pulmonary disease.</w:t>
      </w:r>
    </w:p>
    <w:p w14:paraId="5DBEB10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Pharmacotherapy 2001 May;21(5):593-603.</w:t>
      </w:r>
    </w:p>
    <w:p w14:paraId="496F61FB">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73. Kovesi TA, Swartz R, MacDonald N. Transient renal failure due to simultaneous ibuprofen and aminoglycoside therapy in children with cystic fibrosis. N Engl J Med 1998 Jan;338(1):65-66.</w:t>
      </w:r>
    </w:p>
    <w:p w14:paraId="06E01F10">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74. Durkin E, Moran AP, Hanson PJ. Apoptosis induction in gastric mucous</w:t>
      </w:r>
    </w:p>
    <w:p w14:paraId="79BB253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cells in vitro: lesser potency of Helicobacter pylori than Escherichia coli</w:t>
      </w:r>
    </w:p>
    <w:p w14:paraId="02E44702">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lipopolysaccharide, but positive interaction with ibuprofen. </w:t>
      </w:r>
      <w:r>
        <w:rPr>
          <w:rFonts w:ascii="Times New Roman" w:hAnsi="Times New Roman" w:cs="Times New Roman"/>
          <w:i/>
          <w:color w:val="000000"/>
          <w:sz w:val="28"/>
          <w:szCs w:val="28"/>
        </w:rPr>
        <w:t>J Endotoxin Res</w:t>
      </w:r>
    </w:p>
    <w:p w14:paraId="30CC57E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2006;12(1):47-56.</w:t>
      </w:r>
    </w:p>
    <w:p w14:paraId="4D4D453D">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75. Vale JA, Meredith TJ. Acute poisoning due to non-steroidal anti-inflammatory</w:t>
      </w:r>
    </w:p>
    <w:p w14:paraId="46F80D2E">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drugs. Clinical features and management. </w:t>
      </w:r>
      <w:r>
        <w:rPr>
          <w:rFonts w:ascii="Times New Roman" w:hAnsi="Times New Roman" w:cs="Times New Roman"/>
          <w:i/>
          <w:color w:val="000000"/>
          <w:sz w:val="28"/>
          <w:szCs w:val="28"/>
        </w:rPr>
        <w:t>Med Toxicol</w:t>
      </w:r>
      <w:r>
        <w:rPr>
          <w:rFonts w:ascii="Times New Roman" w:hAnsi="Times New Roman" w:cs="Times New Roman"/>
          <w:color w:val="000000"/>
          <w:sz w:val="28"/>
          <w:szCs w:val="28"/>
        </w:rPr>
        <w:t xml:space="preserve"> 1986 Jan-Feb;1(1):12-31.</w:t>
      </w:r>
    </w:p>
    <w:p w14:paraId="6CB9D5EA">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76. Rossi S. (2004). Australian medicine hand book ISBN 0-9578521-4-2.</w:t>
      </w:r>
    </w:p>
    <w:p w14:paraId="794BEF71">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77. Rang HP, Dale MM, Ritter JM. Anti-inflammatory and immune suppressant</w:t>
      </w:r>
    </w:p>
    <w:p w14:paraId="7716D1CF">
      <w:pPr>
        <w:autoSpaceDE w:val="0"/>
        <w:autoSpaceDN w:val="0"/>
        <w:adjustRightInd w:val="0"/>
        <w:spacing w:after="0"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drugs. In: Pharmacology. 5th ed., Churchil Livingstone Edinburgh London,</w:t>
      </w:r>
    </w:p>
    <w:p w14:paraId="536D0B54">
      <w:pPr>
        <w:spacing w:line="48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1999. p. 248.</w:t>
      </w:r>
    </w:p>
    <w:p w14:paraId="53A73F07">
      <w:pPr>
        <w:spacing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78.Shoshani, Manar M.; Beck, Robert; Wang, Xiaoping; McLaughlin, Matthew J.; Johnson, Samuel A. (15 November 2017). "Synthesis of Surface-Analogue Square-79.Planar Tetranuclear Nickel Hydride Clusters and Bonding to μ4-NR, -O and -BH Ligands". </w:t>
      </w:r>
      <w:r>
        <w:rPr>
          <w:rFonts w:ascii="Times New Roman" w:hAnsi="Times New Roman" w:cs="Times New Roman"/>
          <w:i/>
          <w:iCs/>
          <w:color w:val="202122"/>
          <w:sz w:val="28"/>
          <w:szCs w:val="28"/>
          <w:shd w:val="clear" w:color="auto" w:fill="FFFFFF"/>
        </w:rPr>
        <w:t>Inorganic Chemistry</w:t>
      </w:r>
      <w:r>
        <w:rPr>
          <w:rFonts w:ascii="Times New Roman" w:hAnsi="Times New Roman" w:cs="Times New Roman"/>
          <w:color w:val="202122"/>
          <w:sz w:val="28"/>
          <w:szCs w:val="28"/>
          <w:shd w:val="clear" w:color="auto" w:fill="FFFFFF"/>
        </w:rPr>
        <w:t>. </w:t>
      </w:r>
      <w:r>
        <w:rPr>
          <w:rFonts w:ascii="Times New Roman" w:hAnsi="Times New Roman" w:cs="Times New Roman"/>
          <w:b/>
          <w:bCs/>
          <w:color w:val="202122"/>
          <w:sz w:val="28"/>
          <w:szCs w:val="28"/>
          <w:shd w:val="clear" w:color="auto" w:fill="FFFFFF"/>
        </w:rPr>
        <w:t>57</w:t>
      </w:r>
      <w:r>
        <w:rPr>
          <w:rFonts w:ascii="Times New Roman" w:hAnsi="Times New Roman" w:cs="Times New Roman"/>
          <w:color w:val="202122"/>
          <w:sz w:val="28"/>
          <w:szCs w:val="28"/>
          <w:shd w:val="clear" w:color="auto" w:fill="FFFFFF"/>
        </w:rPr>
        <w:t> (5):</w:t>
      </w:r>
    </w:p>
    <w:p w14:paraId="693AFF94">
      <w:pPr>
        <w:autoSpaceDE w:val="0"/>
        <w:autoSpaceDN w:val="0"/>
        <w:adjustRightInd w:val="0"/>
        <w:spacing w:after="0" w:line="480" w:lineRule="auto"/>
        <w:jc w:val="both"/>
        <w:rPr>
          <w:rFonts w:ascii="Times New Roman" w:hAnsi="Times New Roman" w:cs="Times New Roman"/>
          <w:color w:val="202122"/>
          <w:sz w:val="28"/>
          <w:szCs w:val="28"/>
          <w:shd w:val="clear" w:color="auto" w:fill="FFFFFF"/>
        </w:rPr>
      </w:pPr>
      <w:r>
        <w:rPr>
          <w:rFonts w:ascii="Times New Roman" w:hAnsi="Times New Roman" w:cs="Times New Roman"/>
          <w:color w:val="202122"/>
          <w:sz w:val="28"/>
          <w:szCs w:val="28"/>
          <w:shd w:val="clear" w:color="auto" w:fill="FFFFFF"/>
        </w:rPr>
        <w:t>Cotton and Wilkinson (1966). </w:t>
      </w:r>
      <w:r>
        <w:rPr>
          <w:rFonts w:ascii="Times New Roman" w:hAnsi="Times New Roman" w:cs="Times New Roman"/>
          <w:i/>
          <w:iCs/>
          <w:color w:val="202122"/>
          <w:sz w:val="28"/>
          <w:szCs w:val="28"/>
          <w:shd w:val="clear" w:color="auto" w:fill="FFFFFF"/>
        </w:rPr>
        <w:t>Advanced Inorganic Chemistry: A Comprehensive Treatise</w:t>
      </w:r>
      <w:r>
        <w:rPr>
          <w:rFonts w:ascii="Times New Roman" w:hAnsi="Times New Roman" w:cs="Times New Roman"/>
          <w:color w:val="202122"/>
          <w:sz w:val="28"/>
          <w:szCs w:val="28"/>
          <w:shd w:val="clear" w:color="auto" w:fill="FFFFFF"/>
        </w:rPr>
        <w:t>. John Wiley &amp; Sons. pp. 878–893.</w:t>
      </w:r>
    </w:p>
    <w:p w14:paraId="4463554C">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color w:val="202122"/>
          <w:sz w:val="28"/>
          <w:szCs w:val="28"/>
        </w:rPr>
        <w:t>80 </w:t>
      </w:r>
      <w:r>
        <w:rPr>
          <w:rFonts w:ascii="Times New Roman" w:hAnsi="Times New Roman" w:eastAsia="Times New Roman" w:cs="Times New Roman"/>
          <w:iCs/>
          <w:color w:val="202122"/>
          <w:sz w:val="28"/>
          <w:szCs w:val="28"/>
        </w:rPr>
        <w:t>Bonham, Maxine; O'Connor, Jacqueline M.; Hannigan, Bernadette M.; Strain, J.J. (2002). </w:t>
      </w:r>
      <w:r>
        <w:fldChar w:fldCharType="begin"/>
      </w:r>
      <w:r>
        <w:instrText xml:space="preserve"> HYPERLINK "https://doi.org/10.1079%2FBJN2002558" </w:instrText>
      </w:r>
      <w:r>
        <w:fldChar w:fldCharType="separate"/>
      </w:r>
      <w:r>
        <w:rPr>
          <w:rFonts w:ascii="Times New Roman" w:hAnsi="Times New Roman" w:eastAsia="Times New Roman" w:cs="Times New Roman"/>
          <w:iCs/>
          <w:sz w:val="28"/>
          <w:szCs w:val="28"/>
        </w:rPr>
        <w:t>"The immune system as a physiological indicator of marginal copper status?"</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w:t>
      </w:r>
      <w:r>
        <w:rPr>
          <w:rFonts w:ascii="Times New Roman" w:hAnsi="Times New Roman" w:eastAsia="Times New Roman" w:cs="Times New Roman"/>
          <w:iCs/>
          <w:color w:val="202122"/>
          <w:sz w:val="28"/>
          <w:szCs w:val="28"/>
        </w:rPr>
        <w:t> British Journal of Nutrition. </w:t>
      </w:r>
      <w:r>
        <w:rPr>
          <w:rFonts w:ascii="Times New Roman" w:hAnsi="Times New Roman" w:eastAsia="Times New Roman" w:cs="Times New Roman"/>
          <w:b/>
          <w:bCs/>
          <w:iCs/>
          <w:color w:val="202122"/>
          <w:sz w:val="28"/>
          <w:szCs w:val="28"/>
        </w:rPr>
        <w:t>87</w:t>
      </w:r>
      <w:r>
        <w:rPr>
          <w:rFonts w:ascii="Times New Roman" w:hAnsi="Times New Roman" w:eastAsia="Times New Roman" w:cs="Times New Roman"/>
          <w:iCs/>
          <w:color w:val="202122"/>
          <w:sz w:val="28"/>
          <w:szCs w:val="28"/>
        </w:rPr>
        <w:t> (5): 393–403. </w:t>
      </w:r>
    </w:p>
    <w:p w14:paraId="7956037B">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81</w:t>
      </w:r>
      <w:r>
        <w:rPr>
          <w:rFonts w:ascii="Times New Roman" w:hAnsi="Times New Roman" w:eastAsia="Times New Roman" w:cs="Times New Roman"/>
          <w:iCs/>
          <w:color w:val="202122"/>
          <w:sz w:val="28"/>
          <w:szCs w:val="28"/>
        </w:rPr>
        <w:t xml:space="preserve"> Li, Yunbo; Trush, Michael; Yager, James (1994). "DNA damage caused by reactive oxygen species originating from a copper-dependent oxidation of the 2-hydroxy catechol of estradiol". Carcinogenesis. </w:t>
      </w:r>
      <w:r>
        <w:rPr>
          <w:rFonts w:ascii="Times New Roman" w:hAnsi="Times New Roman" w:eastAsia="Times New Roman" w:cs="Times New Roman"/>
          <w:b/>
          <w:bCs/>
          <w:iCs/>
          <w:color w:val="202122"/>
          <w:sz w:val="28"/>
          <w:szCs w:val="28"/>
        </w:rPr>
        <w:t>15</w:t>
      </w:r>
      <w:r>
        <w:rPr>
          <w:rFonts w:ascii="Times New Roman" w:hAnsi="Times New Roman" w:eastAsia="Times New Roman" w:cs="Times New Roman"/>
          <w:iCs/>
          <w:color w:val="202122"/>
          <w:sz w:val="28"/>
          <w:szCs w:val="28"/>
        </w:rPr>
        <w:t> (7): 1421–1427</w:t>
      </w:r>
    </w:p>
    <w:p w14:paraId="7EF92097">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82</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iCs/>
          <w:color w:val="202122"/>
          <w:sz w:val="28"/>
          <w:szCs w:val="28"/>
        </w:rPr>
        <w:t>Gordon, Starkebaum; John, M. Harlan (April 1986). </w:t>
      </w:r>
      <w:r>
        <w:fldChar w:fldCharType="begin"/>
      </w:r>
      <w:r>
        <w:instrText xml:space="preserve"> HYPERLINK "https://www.ncbi.nlm.nih.gov/pmc/articles/PMC424498" </w:instrText>
      </w:r>
      <w:r>
        <w:fldChar w:fldCharType="separate"/>
      </w:r>
      <w:r>
        <w:rPr>
          <w:rFonts w:ascii="Times New Roman" w:hAnsi="Times New Roman" w:eastAsia="Times New Roman" w:cs="Times New Roman"/>
          <w:iCs/>
          <w:sz w:val="28"/>
          <w:szCs w:val="28"/>
        </w:rPr>
        <w:t>"Endothelial cell injury due to copper-catalyzed hydrogen peroxide generation from homocysteine</w:t>
      </w:r>
      <w:r>
        <w:rPr>
          <w:rFonts w:ascii="Times New Roman" w:hAnsi="Times New Roman" w:eastAsia="Times New Roman" w:cs="Times New Roman"/>
          <w:iCs/>
          <w:color w:val="0000FF"/>
          <w:sz w:val="28"/>
          <w:szCs w:val="28"/>
        </w:rPr>
        <w:t>"</w:t>
      </w:r>
      <w:r>
        <w:rPr>
          <w:rFonts w:ascii="Times New Roman" w:hAnsi="Times New Roman" w:eastAsia="Times New Roman" w:cs="Times New Roman"/>
          <w:iCs/>
          <w:color w:val="0000FF"/>
          <w:sz w:val="28"/>
          <w:szCs w:val="28"/>
        </w:rPr>
        <w:fldChar w:fldCharType="end"/>
      </w:r>
      <w:r>
        <w:rPr>
          <w:rFonts w:ascii="Times New Roman" w:hAnsi="Times New Roman" w:eastAsia="Times New Roman" w:cs="Times New Roman"/>
          <w:iCs/>
          <w:color w:val="202122"/>
          <w:sz w:val="28"/>
          <w:szCs w:val="28"/>
        </w:rPr>
        <w:t>. </w:t>
      </w:r>
      <w:r>
        <w:rPr>
          <w:rFonts w:ascii="Times New Roman" w:hAnsi="Times New Roman" w:eastAsia="Times New Roman" w:cs="Times New Roman"/>
          <w:i/>
          <w:iCs/>
          <w:color w:val="202122"/>
          <w:sz w:val="28"/>
          <w:szCs w:val="28"/>
        </w:rPr>
        <w:t>J. Clin. Invest.</w:t>
      </w:r>
      <w:r>
        <w:rPr>
          <w:rFonts w:ascii="Times New Roman" w:hAnsi="Times New Roman" w:eastAsia="Times New Roman" w:cs="Times New Roman"/>
          <w:iCs/>
          <w:color w:val="202122"/>
          <w:sz w:val="28"/>
          <w:szCs w:val="28"/>
        </w:rPr>
        <w:t> </w:t>
      </w:r>
      <w:r>
        <w:rPr>
          <w:rFonts w:ascii="Times New Roman" w:hAnsi="Times New Roman" w:eastAsia="Times New Roman" w:cs="Times New Roman"/>
          <w:b/>
          <w:bCs/>
          <w:iCs/>
          <w:color w:val="202122"/>
          <w:sz w:val="28"/>
          <w:szCs w:val="28"/>
        </w:rPr>
        <w:t>77</w:t>
      </w:r>
      <w:r>
        <w:rPr>
          <w:rFonts w:ascii="Times New Roman" w:hAnsi="Times New Roman" w:eastAsia="Times New Roman" w:cs="Times New Roman"/>
          <w:iCs/>
          <w:color w:val="202122"/>
          <w:sz w:val="28"/>
          <w:szCs w:val="28"/>
        </w:rPr>
        <w:t> (4): 1370–6. </w:t>
      </w:r>
    </w:p>
    <w:p w14:paraId="532C8DD4">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83</w:t>
      </w:r>
      <w:r>
        <w:rPr>
          <w:rFonts w:ascii="Times New Roman" w:hAnsi="Times New Roman" w:eastAsia="Times New Roman" w:cs="Times New Roman"/>
          <w:iCs/>
          <w:color w:val="202122"/>
          <w:sz w:val="28"/>
          <w:szCs w:val="28"/>
        </w:rPr>
        <w:t xml:space="preserve"> Cornell University. Retrieved 10 July 2008.</w:t>
      </w:r>
    </w:p>
    <w:p w14:paraId="6FE1F725">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84</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iCs/>
          <w:color w:val="202122"/>
          <w:sz w:val="28"/>
          <w:szCs w:val="28"/>
        </w:rPr>
        <w:t>Hunt, Charles E. &amp; William W. Carlton (1965). "Cardiovascular Lesions Associated with Experimental Copper Deficiency in the Rabbit". </w:t>
      </w:r>
      <w:r>
        <w:rPr>
          <w:rFonts w:ascii="Times New Roman" w:hAnsi="Times New Roman" w:eastAsia="Times New Roman" w:cs="Times New Roman"/>
          <w:i/>
          <w:iCs/>
          <w:color w:val="202122"/>
          <w:sz w:val="28"/>
          <w:szCs w:val="28"/>
        </w:rPr>
        <w:t>Journal of Nutrition. </w:t>
      </w:r>
      <w:r>
        <w:rPr>
          <w:rFonts w:ascii="Times New Roman" w:hAnsi="Times New Roman" w:eastAsia="Times New Roman" w:cs="Times New Roman"/>
          <w:b/>
          <w:bCs/>
          <w:iCs/>
          <w:color w:val="202122"/>
          <w:sz w:val="28"/>
          <w:szCs w:val="28"/>
        </w:rPr>
        <w:t>87</w:t>
      </w:r>
      <w:r>
        <w:rPr>
          <w:rFonts w:ascii="Times New Roman" w:hAnsi="Times New Roman" w:eastAsia="Times New Roman" w:cs="Times New Roman"/>
          <w:iCs/>
          <w:color w:val="202122"/>
          <w:sz w:val="28"/>
          <w:szCs w:val="28"/>
        </w:rPr>
        <w:t> (4): 385–394. </w:t>
      </w:r>
    </w:p>
    <w:p w14:paraId="08B1B3C6">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85</w:t>
      </w:r>
      <w:r>
        <w:rPr>
          <w:rFonts w:ascii="Times New Roman" w:hAnsi="Times New Roman" w:eastAsia="Times New Roman" w:cs="Times New Roman"/>
          <w:b/>
          <w:bCs/>
          <w:color w:val="0000FF"/>
          <w:sz w:val="28"/>
          <w:szCs w:val="28"/>
        </w:rPr>
        <w:t xml:space="preserve">   </w:t>
      </w:r>
      <w:r>
        <w:rPr>
          <w:rFonts w:ascii="Times New Roman" w:hAnsi="Times New Roman" w:eastAsia="Times New Roman" w:cs="Times New Roman"/>
          <w:iCs/>
          <w:color w:val="202122"/>
          <w:sz w:val="28"/>
          <w:szCs w:val="28"/>
        </w:rPr>
        <w:t>Ayyat M.S.; Marai I.F.M.; Alazab A.M. (1995). </w:t>
      </w:r>
      <w:r>
        <w:fldChar w:fldCharType="begin"/>
      </w:r>
      <w:r>
        <w:instrText xml:space="preserve"> HYPERLINK "http://riunet.upv.es/handle/10251/10503?locale-attribute=en" </w:instrText>
      </w:r>
      <w:r>
        <w:fldChar w:fldCharType="separate"/>
      </w:r>
      <w:r>
        <w:rPr>
          <w:rFonts w:ascii="Times New Roman" w:hAnsi="Times New Roman" w:eastAsia="Times New Roman" w:cs="Times New Roman"/>
          <w:iCs/>
          <w:sz w:val="28"/>
          <w:szCs w:val="28"/>
        </w:rPr>
        <w:t>"Copper-Protein Nutrition of New Zealand White Rabbits under Egyptian Conditions"</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color w:val="202122"/>
          <w:sz w:val="28"/>
          <w:szCs w:val="28"/>
        </w:rPr>
        <w:t>. World Rabbit Science. </w:t>
      </w:r>
      <w:r>
        <w:rPr>
          <w:rFonts w:ascii="Times New Roman" w:hAnsi="Times New Roman" w:eastAsia="Times New Roman" w:cs="Times New Roman"/>
          <w:b/>
          <w:bCs/>
          <w:iCs/>
          <w:color w:val="202122"/>
          <w:sz w:val="28"/>
          <w:szCs w:val="28"/>
        </w:rPr>
        <w:t>3</w:t>
      </w:r>
      <w:r>
        <w:rPr>
          <w:rFonts w:ascii="Times New Roman" w:hAnsi="Times New Roman" w:eastAsia="Times New Roman" w:cs="Times New Roman"/>
          <w:iCs/>
          <w:color w:val="202122"/>
          <w:sz w:val="28"/>
          <w:szCs w:val="28"/>
        </w:rPr>
        <w:t> (3): 113–118</w:t>
      </w:r>
    </w:p>
    <w:p w14:paraId="78259716">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86</w:t>
      </w:r>
      <w:r>
        <w:rPr>
          <w:rFonts w:ascii="Times New Roman" w:hAnsi="Times New Roman" w:eastAsia="Times New Roman" w:cs="Times New Roman"/>
          <w:b/>
          <w:bCs/>
          <w:color w:val="0000FF"/>
          <w:sz w:val="28"/>
          <w:szCs w:val="28"/>
          <w:u w:val="single"/>
        </w:rPr>
        <w:t xml:space="preserve"> </w:t>
      </w:r>
      <w:r>
        <w:rPr>
          <w:rFonts w:ascii="Times New Roman" w:hAnsi="Times New Roman" w:eastAsia="Times New Roman" w:cs="Times New Roman"/>
          <w:color w:val="202122"/>
          <w:sz w:val="28"/>
          <w:szCs w:val="28"/>
          <w:u w:val="single"/>
        </w:rPr>
        <w:t> </w:t>
      </w:r>
      <w:r>
        <w:rPr>
          <w:rFonts w:ascii="Times New Roman" w:hAnsi="Times New Roman" w:eastAsia="Times New Roman" w:cs="Times New Roman"/>
          <w:iCs/>
          <w:color w:val="202122"/>
          <w:sz w:val="28"/>
          <w:szCs w:val="28"/>
        </w:rPr>
        <w:t>Brewer GJ (March 2012). "Copper excess, zinc deficiency, and cognition loss in Alzheimer's disease". BioFactors (Review). </w:t>
      </w:r>
      <w:r>
        <w:rPr>
          <w:rFonts w:ascii="Times New Roman" w:hAnsi="Times New Roman" w:eastAsia="Times New Roman" w:cs="Times New Roman"/>
          <w:b/>
          <w:bCs/>
          <w:iCs/>
          <w:color w:val="202122"/>
          <w:sz w:val="28"/>
          <w:szCs w:val="28"/>
        </w:rPr>
        <w:t>38</w:t>
      </w:r>
      <w:r>
        <w:rPr>
          <w:rFonts w:ascii="Times New Roman" w:hAnsi="Times New Roman" w:eastAsia="Times New Roman" w:cs="Times New Roman"/>
          <w:iCs/>
          <w:color w:val="202122"/>
          <w:sz w:val="28"/>
          <w:szCs w:val="28"/>
        </w:rPr>
        <w:t> (2) 107-113</w:t>
      </w:r>
    </w:p>
    <w:p w14:paraId="78E19267">
      <w:pPr>
        <w:shd w:val="clear" w:color="auto" w:fill="FFFFFF"/>
        <w:spacing w:before="100" w:beforeAutospacing="1" w:after="24" w:line="480" w:lineRule="auto"/>
        <w:jc w:val="both"/>
        <w:rPr>
          <w:rFonts w:ascii="Times New Roman" w:hAnsi="Times New Roman" w:eastAsia="Times New Roman" w:cs="Times New Roman"/>
          <w:color w:val="202122"/>
          <w:sz w:val="28"/>
          <w:szCs w:val="28"/>
        </w:rPr>
      </w:pPr>
      <w:r>
        <w:rPr>
          <w:rFonts w:ascii="Times New Roman" w:hAnsi="Times New Roman" w:eastAsia="Times New Roman" w:cs="Times New Roman"/>
          <w:bCs/>
          <w:color w:val="202122"/>
          <w:sz w:val="28"/>
          <w:szCs w:val="28"/>
        </w:rPr>
        <w:t>87</w:t>
      </w:r>
      <w:r>
        <w:rPr>
          <w:rFonts w:ascii="Times New Roman" w:hAnsi="Times New Roman" w:eastAsia="Times New Roman" w:cs="Times New Roman"/>
          <w:b/>
          <w:bCs/>
          <w:color w:val="0000FF"/>
          <w:sz w:val="28"/>
          <w:szCs w:val="28"/>
        </w:rPr>
        <w:t xml:space="preserve"> </w:t>
      </w:r>
      <w:r>
        <w:fldChar w:fldCharType="begin"/>
      </w:r>
      <w:r>
        <w:instrText xml:space="preserve"> HYPERLINK "http://examine.com/supplements/Copper" \l "summary9-0" </w:instrText>
      </w:r>
      <w:r>
        <w:fldChar w:fldCharType="separate"/>
      </w:r>
      <w:r>
        <w:rPr>
          <w:rFonts w:ascii="Times New Roman" w:hAnsi="Times New Roman" w:eastAsia="Times New Roman" w:cs="Times New Roman"/>
          <w:iCs/>
          <w:sz w:val="28"/>
          <w:szCs w:val="28"/>
        </w:rPr>
        <w:t>Copper: Alzheimer's Disease"</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 </w:t>
      </w:r>
      <w:r>
        <w:fldChar w:fldCharType="begin"/>
      </w:r>
      <w:r>
        <w:instrText xml:space="preserve"> HYPERLINK "https://en.wikipedia.org/wiki/Examine.com" \o "Examine.com" </w:instrText>
      </w:r>
      <w:r>
        <w:fldChar w:fldCharType="separate"/>
      </w:r>
      <w:r>
        <w:rPr>
          <w:rFonts w:ascii="Times New Roman" w:hAnsi="Times New Roman" w:eastAsia="Times New Roman" w:cs="Times New Roman"/>
          <w:iCs/>
          <w:sz w:val="28"/>
          <w:szCs w:val="28"/>
        </w:rPr>
        <w:t>Examine.com</w:t>
      </w:r>
      <w:r>
        <w:rPr>
          <w:rFonts w:ascii="Times New Roman" w:hAnsi="Times New Roman" w:eastAsia="Times New Roman" w:cs="Times New Roman"/>
          <w:iCs/>
          <w:sz w:val="28"/>
          <w:szCs w:val="28"/>
        </w:rPr>
        <w:fldChar w:fldCharType="end"/>
      </w:r>
      <w:r>
        <w:rPr>
          <w:rFonts w:ascii="Times New Roman" w:hAnsi="Times New Roman" w:eastAsia="Times New Roman" w:cs="Times New Roman"/>
          <w:iCs/>
          <w:sz w:val="28"/>
          <w:szCs w:val="28"/>
        </w:rPr>
        <w:t>.</w:t>
      </w:r>
      <w:r>
        <w:rPr>
          <w:rFonts w:ascii="Times New Roman" w:hAnsi="Times New Roman" w:eastAsia="Times New Roman" w:cs="Times New Roman"/>
          <w:iCs/>
          <w:color w:val="202122"/>
          <w:sz w:val="28"/>
          <w:szCs w:val="28"/>
        </w:rPr>
        <w:t xml:space="preserve"> Retrieved 21 June 2015.</w:t>
      </w:r>
    </w:p>
    <w:p w14:paraId="4B4A1859">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sz w:val="28"/>
          <w:szCs w:val="28"/>
        </w:rPr>
        <w:t xml:space="preserve">88 </w:t>
      </w:r>
      <w:r>
        <w:rPr>
          <w:rStyle w:val="8"/>
          <w:rFonts w:ascii="Times New Roman" w:hAnsi="Times New Roman" w:cs="Times New Roman"/>
          <w:color w:val="202122"/>
          <w:sz w:val="28"/>
          <w:szCs w:val="28"/>
        </w:rPr>
        <w:t>Lu, Jun-Bo; Jian, Jiwen; Huang, Wei; Lin, Hailu; Li, Jun; Zhou, Mingfei (16 November 2016). "Experimental and theoretical identification of the Fe(VII) oxidation state in FeO</w:t>
      </w:r>
      <w:r>
        <w:rPr>
          <w:rStyle w:val="8"/>
          <w:rFonts w:ascii="Times New Roman" w:hAnsi="Times New Roman" w:cs="Times New Roman"/>
          <w:color w:val="202122"/>
          <w:sz w:val="28"/>
          <w:szCs w:val="28"/>
          <w:vertAlign w:val="subscript"/>
        </w:rPr>
        <w:t>4</w:t>
      </w:r>
      <w:r>
        <w:rPr>
          <w:rStyle w:val="8"/>
          <w:rFonts w:ascii="Times New Roman" w:hAnsi="Times New Roman" w:cs="Times New Roman"/>
          <w:color w:val="202122"/>
          <w:sz w:val="28"/>
          <w:szCs w:val="28"/>
          <w:vertAlign w:val="superscript"/>
        </w:rPr>
        <w:t>−</w:t>
      </w:r>
      <w:r>
        <w:rPr>
          <w:rStyle w:val="8"/>
          <w:rFonts w:ascii="Times New Roman" w:hAnsi="Times New Roman" w:cs="Times New Roman"/>
          <w:color w:val="202122"/>
          <w:sz w:val="28"/>
          <w:szCs w:val="28"/>
        </w:rPr>
        <w:t>". Phys. Chem. Chem. Phys. </w:t>
      </w:r>
      <w:r>
        <w:rPr>
          <w:rStyle w:val="8"/>
          <w:rFonts w:ascii="Times New Roman" w:hAnsi="Times New Roman" w:cs="Times New Roman"/>
          <w:b/>
          <w:bCs/>
          <w:color w:val="202122"/>
          <w:sz w:val="28"/>
          <w:szCs w:val="28"/>
        </w:rPr>
        <w:t>18</w:t>
      </w:r>
      <w:r>
        <w:rPr>
          <w:rStyle w:val="8"/>
          <w:rFonts w:ascii="Times New Roman" w:hAnsi="Times New Roman" w:cs="Times New Roman"/>
          <w:color w:val="202122"/>
          <w:sz w:val="28"/>
          <w:szCs w:val="28"/>
        </w:rPr>
        <w:t> (45): 31125–31131.</w:t>
      </w:r>
    </w:p>
    <w:p w14:paraId="41FBA6C2">
      <w:p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89 </w:t>
      </w:r>
      <w:r>
        <w:rPr>
          <w:rStyle w:val="8"/>
          <w:rFonts w:ascii="Times New Roman" w:hAnsi="Times New Roman" w:cs="Times New Roman"/>
          <w:color w:val="202122"/>
          <w:sz w:val="28"/>
          <w:szCs w:val="28"/>
        </w:rPr>
        <w:t>Nam, Wonwoo (2007). </w:t>
      </w:r>
      <w:r>
        <w:fldChar w:fldCharType="begin"/>
      </w:r>
      <w:r>
        <w:instrText xml:space="preserve"> HYPERLINK "https://web.archive.org/web/20210615123946/http:/cbs.ewha.ac.kr/pub/data/2007_07.pdf"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rPr>
        <w:t>High</w:t>
      </w:r>
      <w:r>
        <w:rPr>
          <w:rStyle w:val="9"/>
          <w:rFonts w:ascii="Times New Roman" w:hAnsi="Times New Roman" w:cs="Times New Roman"/>
          <w:iCs/>
          <w:color w:val="FF0000"/>
          <w:sz w:val="28"/>
          <w:szCs w:val="28"/>
        </w:rPr>
        <w:t>-</w:t>
      </w:r>
      <w:r>
        <w:rPr>
          <w:rStyle w:val="9"/>
          <w:rFonts w:ascii="Times New Roman" w:hAnsi="Times New Roman" w:cs="Times New Roman"/>
          <w:iCs/>
          <w:color w:val="auto"/>
          <w:sz w:val="28"/>
          <w:szCs w:val="28"/>
          <w:u w:val="none"/>
        </w:rPr>
        <w:t>Valent Iron(IV)–Oxo Complexes of Heme and Non-Heme Ligands in Oxygenation Reactions"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 Accounts of Chemical Research. </w:t>
      </w:r>
      <w:r>
        <w:rPr>
          <w:rStyle w:val="8"/>
          <w:rFonts w:ascii="Times New Roman" w:hAnsi="Times New Roman" w:cs="Times New Roman"/>
          <w:b/>
          <w:bCs/>
          <w:color w:val="202122"/>
          <w:sz w:val="28"/>
          <w:szCs w:val="28"/>
        </w:rPr>
        <w:t>40</w:t>
      </w:r>
      <w:r>
        <w:rPr>
          <w:rStyle w:val="8"/>
          <w:rFonts w:ascii="Times New Roman" w:hAnsi="Times New Roman" w:cs="Times New Roman"/>
          <w:color w:val="202122"/>
          <w:sz w:val="28"/>
          <w:szCs w:val="28"/>
        </w:rPr>
        <w:t> (7): 522–531.</w:t>
      </w:r>
    </w:p>
    <w:p w14:paraId="547A63F8">
      <w:pPr>
        <w:shd w:val="clear" w:color="auto" w:fill="FFFFFF"/>
        <w:spacing w:before="100" w:beforeAutospacing="1" w:after="24" w:line="480" w:lineRule="auto"/>
        <w:jc w:val="both"/>
        <w:rPr>
          <w:rStyle w:val="8"/>
          <w:rFonts w:ascii="Times New Roman" w:hAnsi="Times New Roman" w:cs="Times New Roman"/>
          <w:i w:val="0"/>
          <w:color w:val="202122"/>
          <w:sz w:val="28"/>
          <w:szCs w:val="28"/>
        </w:rPr>
      </w:pPr>
      <w:r>
        <w:rPr>
          <w:rStyle w:val="20"/>
          <w:rFonts w:ascii="Times New Roman" w:hAnsi="Times New Roman" w:cs="Times New Roman"/>
          <w:color w:val="202122"/>
          <w:sz w:val="28"/>
          <w:szCs w:val="28"/>
        </w:rPr>
        <w:t xml:space="preserve">90 </w:t>
      </w:r>
      <w:r>
        <w:rPr>
          <w:rStyle w:val="8"/>
          <w:rFonts w:ascii="Times New Roman" w:hAnsi="Times New Roman" w:cs="Times New Roman"/>
          <w:color w:val="202122"/>
          <w:sz w:val="28"/>
          <w:szCs w:val="28"/>
        </w:rPr>
        <w:t>Holleman, Arnold F.; Wiberg, Egon; Wiberg, Nils (1985). "Iron". Lehrbuch der Anorganischen Chemie (in German) (91–100 ed.). Walter de Gruyter. pp. 1125–46</w:t>
      </w:r>
    </w:p>
    <w:p w14:paraId="0FC41071">
      <w:pPr>
        <w:shd w:val="clear" w:color="auto" w:fill="FFFFFF"/>
        <w:spacing w:before="100" w:beforeAutospacing="1" w:after="24" w:line="480" w:lineRule="auto"/>
        <w:jc w:val="both"/>
        <w:rPr>
          <w:rStyle w:val="8"/>
          <w:rFonts w:ascii="Times New Roman" w:hAnsi="Times New Roman" w:cs="Times New Roman"/>
          <w:i w:val="0"/>
          <w:color w:val="202122"/>
          <w:sz w:val="28"/>
          <w:szCs w:val="28"/>
        </w:rPr>
      </w:pPr>
      <w:r>
        <w:rPr>
          <w:rStyle w:val="8"/>
          <w:rFonts w:ascii="Times New Roman" w:hAnsi="Times New Roman" w:cs="Times New Roman"/>
          <w:color w:val="202122"/>
          <w:sz w:val="28"/>
          <w:szCs w:val="28"/>
        </w:rPr>
        <w:t>9</w:t>
      </w:r>
      <w:r>
        <w:rPr>
          <w:rStyle w:val="8"/>
          <w:rFonts w:ascii="Times New Roman" w:hAnsi="Times New Roman" w:cs="Times New Roman"/>
          <w:sz w:val="28"/>
          <w:szCs w:val="28"/>
        </w:rPr>
        <w:t>1</w:t>
      </w:r>
      <w:r>
        <w:fldChar w:fldCharType="begin"/>
      </w:r>
      <w:r>
        <w:instrText xml:space="preserve"> HYPERLINK "https://en.wikipedia.org/wiki/Iron" \l "CITEREFGreenwoodEarnshaw1997" </w:instrText>
      </w:r>
      <w:r>
        <w:fldChar w:fldCharType="separate"/>
      </w:r>
      <w:r>
        <w:rPr>
          <w:rStyle w:val="9"/>
          <w:rFonts w:ascii="Times New Roman" w:hAnsi="Times New Roman" w:cs="Times New Roman"/>
          <w:color w:val="auto"/>
          <w:sz w:val="28"/>
          <w:szCs w:val="28"/>
          <w:u w:val="none"/>
          <w:shd w:val="clear" w:color="auto" w:fill="FFFFFF"/>
        </w:rPr>
        <w:t>Greenwood &amp; Earnshaw 1997</w:t>
      </w:r>
      <w:r>
        <w:rPr>
          <w:rStyle w:val="9"/>
          <w:rFonts w:ascii="Times New Roman" w:hAnsi="Times New Roman" w:cs="Times New Roman"/>
          <w:color w:val="auto"/>
          <w:sz w:val="28"/>
          <w:szCs w:val="28"/>
          <w:u w:val="none"/>
          <w:shd w:val="clear" w:color="auto" w:fill="FFFFFF"/>
        </w:rPr>
        <w:fldChar w:fldCharType="end"/>
      </w:r>
      <w:r>
        <w:rPr>
          <w:rFonts w:ascii="Times New Roman" w:hAnsi="Times New Roman" w:cs="Times New Roman"/>
          <w:color w:val="202122"/>
          <w:sz w:val="28"/>
          <w:szCs w:val="28"/>
          <w:shd w:val="clear" w:color="auto" w:fill="FFFFFF"/>
        </w:rPr>
        <w:t>, pp. 1075–79.</w:t>
      </w:r>
      <w:r>
        <w:rPr>
          <w:rStyle w:val="8"/>
          <w:rFonts w:ascii="Times New Roman" w:hAnsi="Times New Roman" w:cs="Times New Roman"/>
          <w:color w:val="202122"/>
          <w:sz w:val="28"/>
          <w:szCs w:val="28"/>
        </w:rPr>
        <w:t xml:space="preserve"> </w:t>
      </w:r>
    </w:p>
    <w:p w14:paraId="05C95AF9">
      <w:pPr>
        <w:shd w:val="clear" w:color="auto" w:fill="FFFFFF"/>
        <w:spacing w:before="100" w:beforeAutospacing="1" w:after="24" w:line="480" w:lineRule="auto"/>
        <w:jc w:val="both"/>
        <w:rPr>
          <w:rFonts w:ascii="Times New Roman" w:hAnsi="Times New Roman" w:cs="Times New Roman"/>
          <w:iCs/>
          <w:color w:val="202122"/>
          <w:sz w:val="28"/>
          <w:szCs w:val="28"/>
        </w:rPr>
      </w:pPr>
      <w:r>
        <w:rPr>
          <w:rStyle w:val="8"/>
          <w:rFonts w:ascii="Times New Roman" w:hAnsi="Times New Roman" w:cs="Times New Roman"/>
          <w:color w:val="202122"/>
          <w:sz w:val="28"/>
          <w:szCs w:val="28"/>
        </w:rPr>
        <w:t>92 Centers for Disease Control and Prevention (2002). </w:t>
      </w:r>
      <w:r>
        <w:fldChar w:fldCharType="begin"/>
      </w:r>
      <w:r>
        <w:instrText xml:space="preserve"> HYPERLINK "https://www.cdc.gov/mmwr/preview/mmwrhtml/mm5140a1.htm" </w:instrText>
      </w:r>
      <w:r>
        <w:fldChar w:fldCharType="separate"/>
      </w:r>
      <w:r>
        <w:rPr>
          <w:rStyle w:val="9"/>
          <w:rFonts w:ascii="Times New Roman" w:hAnsi="Times New Roman" w:cs="Times New Roman"/>
          <w:iCs/>
          <w:color w:val="auto"/>
          <w:sz w:val="28"/>
          <w:szCs w:val="28"/>
          <w:u w:val="none"/>
        </w:rPr>
        <w:t>"Iron deficiency – United States, 1999–2000"</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MMWR. </w:t>
      </w:r>
      <w:r>
        <w:rPr>
          <w:rStyle w:val="8"/>
          <w:rFonts w:ascii="Times New Roman" w:hAnsi="Times New Roman" w:cs="Times New Roman"/>
          <w:b/>
          <w:bCs/>
          <w:color w:val="202122"/>
          <w:sz w:val="28"/>
          <w:szCs w:val="28"/>
        </w:rPr>
        <w:t>51</w:t>
      </w:r>
      <w:r>
        <w:rPr>
          <w:rStyle w:val="8"/>
          <w:rFonts w:ascii="Times New Roman" w:hAnsi="Times New Roman" w:cs="Times New Roman"/>
          <w:color w:val="202122"/>
          <w:sz w:val="28"/>
          <w:szCs w:val="28"/>
        </w:rPr>
        <w:t> (40): 897–99. </w:t>
      </w:r>
    </w:p>
    <w:p w14:paraId="6C452885">
      <w:pPr>
        <w:pStyle w:val="12"/>
        <w:numPr>
          <w:ilvl w:val="0"/>
          <w:numId w:val="4"/>
        </w:numPr>
        <w:shd w:val="clear" w:color="auto" w:fill="FFFFFF"/>
        <w:spacing w:before="100" w:beforeAutospacing="1" w:after="24" w:line="480" w:lineRule="auto"/>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Hider, Robert C.; Kong, Xiaole (2013). "Chapter 8. Iron: Effect of Overload and Deficiency". In Astrid Sigel, Helmut Sigel and Roland K.O. Sigel (ed.). Interrelations between Essential Metal Ions and Human Diseases. Metal Ions in Life Sciences. Vol. 13. Springer. pp. 229–94.</w:t>
      </w:r>
    </w:p>
    <w:p w14:paraId="16BBC751">
      <w:pPr>
        <w:pStyle w:val="12"/>
        <w:numPr>
          <w:ilvl w:val="0"/>
          <w:numId w:val="4"/>
        </w:numPr>
        <w:shd w:val="clear" w:color="auto" w:fill="FFFFFF"/>
        <w:spacing w:before="100" w:beforeAutospacing="1" w:after="24" w:line="480" w:lineRule="auto"/>
        <w:jc w:val="both"/>
        <w:rPr>
          <w:rStyle w:val="23"/>
          <w:rFonts w:ascii="Times New Roman" w:hAnsi="Times New Roman" w:cs="Times New Roman"/>
          <w:color w:val="202122"/>
          <w:sz w:val="28"/>
          <w:szCs w:val="28"/>
        </w:rPr>
      </w:pPr>
      <w:r>
        <w:rPr>
          <w:rStyle w:val="8"/>
          <w:rFonts w:ascii="Times New Roman" w:hAnsi="Times New Roman" w:cs="Times New Roman"/>
          <w:color w:val="202122"/>
          <w:sz w:val="28"/>
          <w:szCs w:val="28"/>
        </w:rPr>
        <w:t>Dlouhy, Adrienne C.; Outten, Caryn E. (2013). "The Iron Metallome in Eukaryotic Organisms". In Banci, Lucia (ed.). Metallomics and the Cell. Metal Ions in Life Sciences. Vol. 12. Springer. pp. 241–78</w:t>
      </w:r>
    </w:p>
    <w:p w14:paraId="606D6C00">
      <w:pPr>
        <w:pStyle w:val="12"/>
        <w:numPr>
          <w:ilvl w:val="0"/>
          <w:numId w:val="4"/>
        </w:numPr>
        <w:shd w:val="clear" w:color="auto" w:fill="FFFFFF"/>
        <w:spacing w:before="100" w:beforeAutospacing="1" w:after="24" w:line="480" w:lineRule="auto"/>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8"/>
          <w:rFonts w:ascii="Times New Roman" w:hAnsi="Times New Roman" w:cs="Times New Roman"/>
          <w:color w:val="202122"/>
          <w:sz w:val="28"/>
          <w:szCs w:val="28"/>
        </w:rPr>
        <w:t>CDC Centers for Disease Control and Prevention (3 April 1998). </w:t>
      </w:r>
      <w:r>
        <w:fldChar w:fldCharType="begin"/>
      </w:r>
      <w:r>
        <w:instrText xml:space="preserve"> HYPERLINK "https://www.cdc.gov/mmwr/preview/mmwrhtml/00051880.htm"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u w:val="none"/>
        </w:rPr>
        <w:t>Recommendations to Prevent and Control Iron Deficiency in the United States"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Morbidity and Mortality Weekly Report. </w:t>
      </w:r>
      <w:r>
        <w:rPr>
          <w:rStyle w:val="8"/>
          <w:rFonts w:ascii="Times New Roman" w:hAnsi="Times New Roman" w:cs="Times New Roman"/>
          <w:b/>
          <w:bCs/>
          <w:color w:val="202122"/>
          <w:sz w:val="28"/>
          <w:szCs w:val="28"/>
        </w:rPr>
        <w:t>47</w:t>
      </w:r>
      <w:r>
        <w:rPr>
          <w:rStyle w:val="8"/>
          <w:rFonts w:ascii="Times New Roman" w:hAnsi="Times New Roman" w:cs="Times New Roman"/>
          <w:color w:val="202122"/>
          <w:sz w:val="28"/>
          <w:szCs w:val="28"/>
        </w:rPr>
        <w:t> (RR3): 1</w:t>
      </w:r>
      <w:r>
        <w:rPr>
          <w:rStyle w:val="21"/>
          <w:rFonts w:ascii="Times New Roman" w:hAnsi="Times New Roman" w:cs="Times New Roman"/>
          <w:iCs/>
          <w:color w:val="202122"/>
          <w:sz w:val="28"/>
          <w:szCs w:val="28"/>
        </w:rPr>
        <w:t>. Retrieved </w:t>
      </w:r>
      <w:r>
        <w:rPr>
          <w:rStyle w:val="22"/>
          <w:rFonts w:ascii="Times New Roman" w:hAnsi="Times New Roman" w:cs="Times New Roman"/>
          <w:iCs/>
          <w:color w:val="202122"/>
          <w:sz w:val="28"/>
          <w:szCs w:val="28"/>
        </w:rPr>
        <w:t>12 August</w:t>
      </w:r>
      <w:r>
        <w:rPr>
          <w:rStyle w:val="21"/>
          <w:rFonts w:ascii="Times New Roman" w:hAnsi="Times New Roman" w:cs="Times New Roman"/>
          <w:iCs/>
          <w:color w:val="202122"/>
          <w:sz w:val="28"/>
          <w:szCs w:val="28"/>
        </w:rPr>
        <w:t> 2014</w:t>
      </w:r>
      <w:r>
        <w:rPr>
          <w:rStyle w:val="8"/>
          <w:rFonts w:ascii="Times New Roman" w:hAnsi="Times New Roman" w:cs="Times New Roman"/>
          <w:color w:val="202122"/>
          <w:sz w:val="28"/>
          <w:szCs w:val="28"/>
        </w:rPr>
        <w:t>.</w:t>
      </w:r>
    </w:p>
    <w:p w14:paraId="4BCA3416">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Centers for Disease Control and Prevention. </w:t>
      </w:r>
      <w:r>
        <w:fldChar w:fldCharType="begin"/>
      </w:r>
      <w:r>
        <w:instrText xml:space="preserve"> HYPERLINK "https://www.cdc.gov/nutrition/everyone/basics/vitamins/iron.html" </w:instrText>
      </w:r>
      <w:r>
        <w:fldChar w:fldCharType="separate"/>
      </w:r>
      <w:r>
        <w:rPr>
          <w:rStyle w:val="9"/>
          <w:rFonts w:ascii="Times New Roman" w:hAnsi="Times New Roman" w:cs="Times New Roman"/>
          <w:iCs/>
          <w:color w:val="auto"/>
          <w:sz w:val="28"/>
          <w:szCs w:val="28"/>
          <w:u w:val="none"/>
        </w:rPr>
        <w:t>"Iron and Iron Deficiency"</w:t>
      </w:r>
      <w:r>
        <w:rPr>
          <w:rStyle w:val="9"/>
          <w:rFonts w:ascii="Times New Roman" w:hAnsi="Times New Roman" w:cs="Times New Roman"/>
          <w:iCs/>
          <w:color w:val="auto"/>
          <w:sz w:val="28"/>
          <w:szCs w:val="28"/>
          <w:u w:val="none"/>
        </w:rPr>
        <w:fldChar w:fldCharType="end"/>
      </w:r>
      <w:r>
        <w:rPr>
          <w:rStyle w:val="21"/>
          <w:rFonts w:ascii="Times New Roman" w:hAnsi="Times New Roman" w:cs="Times New Roman"/>
          <w:iCs/>
          <w:color w:val="202122"/>
          <w:sz w:val="28"/>
          <w:szCs w:val="28"/>
        </w:rPr>
        <w:t xml:space="preserve">. </w:t>
      </w:r>
    </w:p>
    <w:p w14:paraId="7501DC80">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Youdim, M. B.; Ben-Shachar, D.; Yehuda, S. (September 1989). </w:t>
      </w:r>
      <w:r>
        <w:fldChar w:fldCharType="begin"/>
      </w:r>
      <w:r>
        <w:instrText xml:space="preserve"> HYPERLINK "https://doi.org/10.1093%2Fajcn%2F50.3.607" </w:instrText>
      </w:r>
      <w:r>
        <w:fldChar w:fldCharType="separate"/>
      </w:r>
      <w:r>
        <w:rPr>
          <w:rStyle w:val="9"/>
          <w:rFonts w:ascii="Times New Roman" w:hAnsi="Times New Roman" w:cs="Times New Roman"/>
          <w:iCs/>
          <w:color w:val="auto"/>
          <w:sz w:val="28"/>
          <w:szCs w:val="28"/>
          <w:u w:val="none"/>
        </w:rPr>
        <w:t>"Putative biological mechanisms of the effect of iron deficiency on brain biochemistry and behavior"</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American Journal of Clinical Nutrition. </w:t>
      </w:r>
      <w:r>
        <w:rPr>
          <w:rStyle w:val="8"/>
          <w:rFonts w:ascii="Times New Roman" w:hAnsi="Times New Roman" w:cs="Times New Roman"/>
          <w:b/>
          <w:bCs/>
          <w:color w:val="202122"/>
          <w:sz w:val="28"/>
          <w:szCs w:val="28"/>
        </w:rPr>
        <w:t>50</w:t>
      </w:r>
      <w:r>
        <w:rPr>
          <w:rStyle w:val="8"/>
          <w:rFonts w:ascii="Times New Roman" w:hAnsi="Times New Roman" w:cs="Times New Roman"/>
          <w:color w:val="202122"/>
          <w:sz w:val="28"/>
          <w:szCs w:val="28"/>
        </w:rPr>
        <w:t> (3 Suppl): 607–615, discussion 615–617. .</w:t>
      </w:r>
    </w:p>
    <w:p w14:paraId="192E8F28">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Style w:val="8"/>
          <w:rFonts w:ascii="Times New Roman" w:hAnsi="Times New Roman" w:cs="Times New Roman"/>
          <w:color w:val="202122"/>
          <w:sz w:val="28"/>
          <w:szCs w:val="28"/>
        </w:rPr>
        <w:t>Erikson, K. M.; Pinero, D. J.; Connor, J. R.; Beard, J. L. (October 1997). </w:t>
      </w:r>
      <w:r>
        <w:fldChar w:fldCharType="begin"/>
      </w:r>
      <w:r>
        <w:instrText xml:space="preserve"> HYPERLINK "https://doi.org/10.1093%2Fjn%2F127.10.2030" </w:instrText>
      </w:r>
      <w:r>
        <w:fldChar w:fldCharType="separate"/>
      </w:r>
      <w:r>
        <w:rPr>
          <w:rStyle w:val="9"/>
          <w:rFonts w:ascii="Times New Roman" w:hAnsi="Times New Roman" w:cs="Times New Roman"/>
          <w:iCs/>
          <w:sz w:val="28"/>
          <w:szCs w:val="28"/>
        </w:rPr>
        <w:t>"</w:t>
      </w:r>
      <w:r>
        <w:rPr>
          <w:rStyle w:val="9"/>
          <w:rFonts w:ascii="Times New Roman" w:hAnsi="Times New Roman" w:cs="Times New Roman"/>
          <w:iCs/>
          <w:color w:val="auto"/>
          <w:sz w:val="28"/>
          <w:szCs w:val="28"/>
          <w:u w:val="none"/>
        </w:rPr>
        <w:t>Regional brain iron, ferritin and transferrin concentrations during iron deficiency and iron repletion in developing rats</w:t>
      </w:r>
      <w:r>
        <w:rPr>
          <w:rStyle w:val="9"/>
          <w:rFonts w:ascii="Times New Roman" w:hAnsi="Times New Roman" w:cs="Times New Roman"/>
          <w:iCs/>
          <w:sz w:val="28"/>
          <w:szCs w:val="28"/>
        </w:rPr>
        <w:t>"</w:t>
      </w:r>
      <w:r>
        <w:rPr>
          <w:rStyle w:val="9"/>
          <w:rFonts w:ascii="Times New Roman" w:hAnsi="Times New Roman" w:cs="Times New Roman"/>
          <w:iCs/>
          <w:sz w:val="28"/>
          <w:szCs w:val="28"/>
        </w:rPr>
        <w:fldChar w:fldCharType="end"/>
      </w:r>
      <w:r>
        <w:rPr>
          <w:rStyle w:val="8"/>
          <w:rFonts w:ascii="Times New Roman" w:hAnsi="Times New Roman" w:cs="Times New Roman"/>
          <w:color w:val="202122"/>
          <w:sz w:val="28"/>
          <w:szCs w:val="28"/>
        </w:rPr>
        <w:t>. The Journal of Nutrition. </w:t>
      </w:r>
      <w:r>
        <w:rPr>
          <w:rStyle w:val="8"/>
          <w:rFonts w:ascii="Times New Roman" w:hAnsi="Times New Roman" w:cs="Times New Roman"/>
          <w:b/>
          <w:bCs/>
          <w:color w:val="202122"/>
          <w:sz w:val="28"/>
          <w:szCs w:val="28"/>
        </w:rPr>
        <w:t>127</w:t>
      </w:r>
      <w:r>
        <w:rPr>
          <w:rStyle w:val="8"/>
          <w:rFonts w:ascii="Times New Roman" w:hAnsi="Times New Roman" w:cs="Times New Roman"/>
          <w:color w:val="202122"/>
          <w:sz w:val="28"/>
          <w:szCs w:val="28"/>
        </w:rPr>
        <w:t> (10): 2030–2038. </w:t>
      </w:r>
    </w:p>
    <w:p w14:paraId="21190525">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rPr>
          <w:rFonts w:ascii="Times New Roman" w:hAnsi="Times New Roman" w:cs="Times New Roman"/>
          <w:color w:val="202122"/>
          <w:sz w:val="28"/>
          <w:szCs w:val="28"/>
        </w:rPr>
        <w:t> </w:t>
      </w:r>
      <w:r>
        <w:rPr>
          <w:rStyle w:val="8"/>
          <w:rFonts w:ascii="Times New Roman" w:hAnsi="Times New Roman" w:cs="Times New Roman"/>
          <w:color w:val="202122"/>
          <w:sz w:val="28"/>
          <w:szCs w:val="28"/>
        </w:rPr>
        <w:t>Unger, Erica L.; Bianco, Laura E.; Jones, Byron C.; Allen, Richard P.; Earley, Christopher J. (November 2014).</w:t>
      </w:r>
      <w:r>
        <w:rPr>
          <w:rStyle w:val="8"/>
          <w:rFonts w:ascii="Times New Roman" w:hAnsi="Times New Roman" w:cs="Times New Roman"/>
          <w:sz w:val="28"/>
          <w:szCs w:val="28"/>
        </w:rPr>
        <w:t> </w:t>
      </w:r>
      <w:r>
        <w:fldChar w:fldCharType="begin"/>
      </w:r>
      <w:r>
        <w:instrText xml:space="preserve"> HYPERLINK "https://www.ncbi.nlm.nih.gov/pmc/articles/PMC4318655" </w:instrText>
      </w:r>
      <w:r>
        <w:fldChar w:fldCharType="separate"/>
      </w:r>
      <w:r>
        <w:rPr>
          <w:rStyle w:val="9"/>
          <w:rFonts w:ascii="Times New Roman" w:hAnsi="Times New Roman" w:cs="Times New Roman"/>
          <w:iCs/>
          <w:color w:val="auto"/>
          <w:sz w:val="28"/>
          <w:szCs w:val="28"/>
          <w:u w:val="none"/>
        </w:rPr>
        <w:t>"Low brain iron effects and reversibility on striatal dopamine dynamics"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Experimental Neurology. </w:t>
      </w:r>
      <w:r>
        <w:rPr>
          <w:rStyle w:val="8"/>
          <w:rFonts w:ascii="Times New Roman" w:hAnsi="Times New Roman" w:cs="Times New Roman"/>
          <w:b/>
          <w:bCs/>
          <w:color w:val="202122"/>
          <w:sz w:val="28"/>
          <w:szCs w:val="28"/>
        </w:rPr>
        <w:t>261</w:t>
      </w:r>
      <w:r>
        <w:rPr>
          <w:rStyle w:val="8"/>
          <w:rFonts w:ascii="Times New Roman" w:hAnsi="Times New Roman" w:cs="Times New Roman"/>
          <w:color w:val="202122"/>
          <w:sz w:val="28"/>
          <w:szCs w:val="28"/>
        </w:rPr>
        <w:t>: 462–468. Ward, Roberta J.; Zucca, Fabio A.; Duyn, Jeff H.; Crichton, Robert R.; Zecca, Luigi (October 2014).</w:t>
      </w:r>
      <w:r>
        <w:rPr>
          <w:rStyle w:val="8"/>
          <w:rFonts w:ascii="Times New Roman" w:hAnsi="Times New Roman" w:cs="Times New Roman"/>
          <w:sz w:val="28"/>
          <w:szCs w:val="28"/>
        </w:rPr>
        <w:t> </w:t>
      </w:r>
      <w:r>
        <w:fldChar w:fldCharType="begin"/>
      </w:r>
      <w:r>
        <w:instrText xml:space="preserve"> HYPERLINK "https://www.ncbi.nlm.nih.gov/pmc/articles/PMC5672917" </w:instrText>
      </w:r>
      <w:r>
        <w:fldChar w:fldCharType="separate"/>
      </w:r>
      <w:r>
        <w:rPr>
          <w:rStyle w:val="9"/>
          <w:rFonts w:ascii="Times New Roman" w:hAnsi="Times New Roman" w:cs="Times New Roman"/>
          <w:iCs/>
          <w:color w:val="auto"/>
          <w:sz w:val="28"/>
          <w:szCs w:val="28"/>
          <w:u w:val="none"/>
        </w:rPr>
        <w:t>"The role of iron in brain ageing and neurodegenerative disorders"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Lancet. Neurology. </w:t>
      </w:r>
      <w:r>
        <w:rPr>
          <w:rStyle w:val="8"/>
          <w:rFonts w:ascii="Times New Roman" w:hAnsi="Times New Roman" w:cs="Times New Roman"/>
          <w:b/>
          <w:bCs/>
          <w:color w:val="202122"/>
          <w:sz w:val="28"/>
          <w:szCs w:val="28"/>
        </w:rPr>
        <w:t>13</w:t>
      </w:r>
      <w:r>
        <w:rPr>
          <w:rStyle w:val="8"/>
          <w:rFonts w:ascii="Times New Roman" w:hAnsi="Times New Roman" w:cs="Times New Roman"/>
          <w:color w:val="202122"/>
          <w:sz w:val="28"/>
          <w:szCs w:val="28"/>
        </w:rPr>
        <w:t> (10): 1045–1060. </w:t>
      </w:r>
    </w:p>
    <w:p w14:paraId="1932409F">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fldChar w:fldCharType="begin"/>
      </w:r>
      <w:r>
        <w:instrText xml:space="preserve"> HYPERLINK "https://en.wikipedia.org/wiki/Iron" \l "cite_ref-182" \o "Jump up" </w:instrText>
      </w:r>
      <w:r>
        <w:fldChar w:fldCharType="separate"/>
      </w:r>
      <w:r>
        <w:rPr>
          <w:rStyle w:val="9"/>
          <w:rFonts w:ascii="Times New Roman" w:hAnsi="Times New Roman" w:cs="Times New Roman"/>
          <w:b/>
          <w:bCs/>
          <w:sz w:val="28"/>
          <w:szCs w:val="28"/>
        </w:rPr>
        <w:t>^</w:t>
      </w:r>
      <w:r>
        <w:rPr>
          <w:rStyle w:val="9"/>
          <w:rFonts w:ascii="Times New Roman" w:hAnsi="Times New Roman" w:cs="Times New Roman"/>
          <w:b/>
          <w:bCs/>
          <w:sz w:val="28"/>
          <w:szCs w:val="28"/>
        </w:rPr>
        <w:fldChar w:fldCharType="end"/>
      </w:r>
      <w:r>
        <w:rPr>
          <w:rFonts w:ascii="Times New Roman" w:hAnsi="Times New Roman" w:cs="Times New Roman"/>
          <w:color w:val="202122"/>
          <w:sz w:val="28"/>
          <w:szCs w:val="28"/>
        </w:rPr>
        <w:t> </w:t>
      </w:r>
      <w:r>
        <w:rPr>
          <w:rStyle w:val="8"/>
          <w:rFonts w:ascii="Times New Roman" w:hAnsi="Times New Roman" w:cs="Times New Roman"/>
          <w:color w:val="202122"/>
          <w:sz w:val="28"/>
          <w:szCs w:val="28"/>
        </w:rPr>
        <w:t>Pino, Jessica M. V.; da Luz, Marcio H. M.; Antunes, Hanna K. M.; Giampá, Sara Q. de Campos; Martins, Vilma R.; Lee, Kil S. (17 May 2017)</w:t>
      </w:r>
      <w:r>
        <w:rPr>
          <w:rStyle w:val="8"/>
          <w:rFonts w:ascii="Times New Roman" w:hAnsi="Times New Roman" w:cs="Times New Roman"/>
          <w:sz w:val="28"/>
          <w:szCs w:val="28"/>
        </w:rPr>
        <w:t>. </w:t>
      </w:r>
      <w:r>
        <w:fldChar w:fldCharType="begin"/>
      </w:r>
      <w:r>
        <w:instrText xml:space="preserve"> HYPERLINK "https://www.ncbi.nlm.nih.gov/pmc/articles/PMC5434142" </w:instrText>
      </w:r>
      <w:r>
        <w:fldChar w:fldCharType="separate"/>
      </w:r>
      <w:r>
        <w:rPr>
          <w:rStyle w:val="9"/>
          <w:rFonts w:ascii="Times New Roman" w:hAnsi="Times New Roman" w:cs="Times New Roman"/>
          <w:iCs/>
          <w:color w:val="auto"/>
          <w:sz w:val="28"/>
          <w:szCs w:val="28"/>
          <w:u w:val="none"/>
        </w:rPr>
        <w:t>"Iron-Restricted Diet Affects Brain Ferritin Levels, Dopamine Metabolism and Cellular Prion Protein in a Region-Specific Manner"</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Frontiers in Molecular Neuroscience. </w:t>
      </w:r>
      <w:r>
        <w:rPr>
          <w:rStyle w:val="8"/>
          <w:rFonts w:ascii="Times New Roman" w:hAnsi="Times New Roman" w:cs="Times New Roman"/>
          <w:b/>
          <w:bCs/>
          <w:color w:val="202122"/>
          <w:sz w:val="28"/>
          <w:szCs w:val="28"/>
        </w:rPr>
        <w:t>10</w:t>
      </w:r>
      <w:r>
        <w:rPr>
          <w:rStyle w:val="8"/>
          <w:rFonts w:ascii="Times New Roman" w:hAnsi="Times New Roman" w:cs="Times New Roman"/>
          <w:color w:val="202122"/>
          <w:sz w:val="28"/>
          <w:szCs w:val="28"/>
        </w:rPr>
        <w:t>: 145. </w:t>
      </w:r>
    </w:p>
    <w:p w14:paraId="552F7F9C">
      <w:pPr>
        <w:numPr>
          <w:ilvl w:val="0"/>
          <w:numId w:val="4"/>
        </w:numPr>
        <w:shd w:val="clear" w:color="auto" w:fill="FFFFFF"/>
        <w:spacing w:before="100" w:beforeAutospacing="1" w:after="24" w:line="480" w:lineRule="auto"/>
        <w:ind w:left="768"/>
        <w:jc w:val="both"/>
        <w:rPr>
          <w:rFonts w:ascii="Times New Roman" w:hAnsi="Times New Roman" w:cs="Times New Roman"/>
          <w:color w:val="202122"/>
          <w:sz w:val="28"/>
          <w:szCs w:val="28"/>
        </w:rPr>
      </w:pPr>
      <w:r>
        <w:fldChar w:fldCharType="begin"/>
      </w:r>
      <w:r>
        <w:instrText xml:space="preserve"> HYPERLINK "https://en.wikipedia.org/wiki/Iron" \l "cite_ref-183" \o "Jump up" </w:instrText>
      </w:r>
      <w:r>
        <w:fldChar w:fldCharType="separate"/>
      </w:r>
      <w:r>
        <w:rPr>
          <w:rStyle w:val="9"/>
          <w:rFonts w:ascii="Times New Roman" w:hAnsi="Times New Roman" w:cs="Times New Roman"/>
          <w:b/>
          <w:bCs/>
          <w:sz w:val="28"/>
          <w:szCs w:val="28"/>
        </w:rPr>
        <w:t>^</w:t>
      </w:r>
      <w:r>
        <w:rPr>
          <w:rStyle w:val="9"/>
          <w:rFonts w:ascii="Times New Roman" w:hAnsi="Times New Roman" w:cs="Times New Roman"/>
          <w:b/>
          <w:bCs/>
          <w:sz w:val="28"/>
          <w:szCs w:val="28"/>
        </w:rPr>
        <w:fldChar w:fldCharType="end"/>
      </w:r>
      <w:r>
        <w:rPr>
          <w:rFonts w:ascii="Times New Roman" w:hAnsi="Times New Roman" w:cs="Times New Roman"/>
          <w:color w:val="202122"/>
          <w:sz w:val="28"/>
          <w:szCs w:val="28"/>
        </w:rPr>
        <w:t> </w:t>
      </w:r>
      <w:r>
        <w:rPr>
          <w:rStyle w:val="8"/>
          <w:rFonts w:ascii="Times New Roman" w:hAnsi="Times New Roman" w:cs="Times New Roman"/>
          <w:color w:val="202122"/>
          <w:sz w:val="28"/>
          <w:szCs w:val="28"/>
        </w:rPr>
        <w:t>Beard, John; Erikson, Keith M.; Jones, Byron C. (1 April 2003)</w:t>
      </w:r>
      <w:r>
        <w:rPr>
          <w:rStyle w:val="8"/>
          <w:rFonts w:ascii="Times New Roman" w:hAnsi="Times New Roman" w:cs="Times New Roman"/>
          <w:sz w:val="28"/>
          <w:szCs w:val="28"/>
        </w:rPr>
        <w:t>. </w:t>
      </w:r>
      <w:r>
        <w:fldChar w:fldCharType="begin"/>
      </w:r>
      <w:r>
        <w:instrText xml:space="preserve"> HYPERLINK "https://doi.org/10.1093%2Fjn%2F133.4.1174" </w:instrText>
      </w:r>
      <w:r>
        <w:fldChar w:fldCharType="separate"/>
      </w:r>
      <w:r>
        <w:rPr>
          <w:rStyle w:val="9"/>
          <w:rFonts w:ascii="Times New Roman" w:hAnsi="Times New Roman" w:cs="Times New Roman"/>
          <w:iCs/>
          <w:color w:val="auto"/>
          <w:sz w:val="28"/>
          <w:szCs w:val="28"/>
          <w:u w:val="none"/>
        </w:rPr>
        <w:t>"Neonatal Iron Deficiency Results in Irreversible Changes in Dopamine Function in Rats"</w:t>
      </w:r>
      <w:r>
        <w:rPr>
          <w:rStyle w:val="9"/>
          <w:rFonts w:ascii="Times New Roman" w:hAnsi="Times New Roman" w:cs="Times New Roman"/>
          <w:iCs/>
          <w:color w:val="auto"/>
          <w:sz w:val="28"/>
          <w:szCs w:val="28"/>
          <w:u w:val="none"/>
        </w:rPr>
        <w:fldChar w:fldCharType="end"/>
      </w:r>
      <w:r>
        <w:rPr>
          <w:rStyle w:val="8"/>
          <w:rFonts w:ascii="Times New Roman" w:hAnsi="Times New Roman" w:cs="Times New Roman"/>
          <w:color w:val="202122"/>
          <w:sz w:val="28"/>
          <w:szCs w:val="28"/>
        </w:rPr>
        <w:t>. The Journal of Nutrition. </w:t>
      </w:r>
      <w:r>
        <w:rPr>
          <w:rStyle w:val="8"/>
          <w:rFonts w:ascii="Times New Roman" w:hAnsi="Times New Roman" w:cs="Times New Roman"/>
          <w:b/>
          <w:bCs/>
          <w:color w:val="202122"/>
          <w:sz w:val="28"/>
          <w:szCs w:val="28"/>
        </w:rPr>
        <w:t>133</w:t>
      </w:r>
      <w:r>
        <w:rPr>
          <w:rStyle w:val="8"/>
          <w:rFonts w:ascii="Times New Roman" w:hAnsi="Times New Roman" w:cs="Times New Roman"/>
          <w:color w:val="202122"/>
          <w:sz w:val="28"/>
          <w:szCs w:val="28"/>
        </w:rPr>
        <w:t> (4): 1174–1179.</w:t>
      </w:r>
    </w:p>
    <w:p w14:paraId="6463F6AB">
      <w:pPr>
        <w:shd w:val="clear" w:color="auto" w:fill="FFFFFF"/>
        <w:spacing w:before="100" w:beforeAutospacing="1" w:after="24" w:line="480" w:lineRule="auto"/>
        <w:jc w:val="both"/>
        <w:rPr>
          <w:rFonts w:ascii="Times New Roman" w:hAnsi="Times New Roman" w:cs="Times New Roman"/>
          <w:color w:val="202122"/>
          <w:sz w:val="28"/>
          <w:szCs w:val="28"/>
        </w:rPr>
      </w:pPr>
    </w:p>
    <w:p w14:paraId="0F8D72DB">
      <w:pPr>
        <w:spacing w:line="480" w:lineRule="auto"/>
        <w:jc w:val="both"/>
        <w:rPr>
          <w:rFonts w:ascii="Times New Roman" w:hAnsi="Times New Roman" w:cs="Times New Roman"/>
          <w:sz w:val="28"/>
          <w:szCs w:val="28"/>
        </w:rPr>
      </w:pPr>
    </w:p>
    <w:p w14:paraId="51564B44">
      <w:pPr>
        <w:tabs>
          <w:tab w:val="left" w:pos="3435"/>
        </w:tabs>
        <w:jc w:val="both"/>
        <w:rPr>
          <w:rFonts w:ascii="Times New Roman" w:hAnsi="Times New Roman" w:cs="Times New Roman"/>
          <w:sz w:val="28"/>
          <w:szCs w:val="28"/>
        </w:rPr>
      </w:pPr>
    </w:p>
    <w:sectPr>
      <w:headerReference r:id="rId9" w:type="default"/>
      <w:footerReference r:id="rId10" w:type="default"/>
      <w:pgSz w:w="12240" w:h="15840"/>
      <w:pgMar w:top="1440" w:right="1440" w:bottom="1440" w:left="1440" w:header="720" w:footer="720" w:gutter="0"/>
      <w:pgNumType w:fmt="decimal"/>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A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0002AFF" w:usb1="C000247B" w:usb2="00000009" w:usb3="00000000" w:csb0="200001FF" w:csb1="00000000"/>
  </w:font>
  <w:font w:name="Calibri">
    <w:panose1 w:val="020F0502020204030204"/>
    <w:charset w:val="00"/>
    <w:family w:val="auto"/>
    <w:pitch w:val="default"/>
    <w:sig w:usb0="E0002A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AJensonPro-Regular">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8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D5091C">
    <w:pPr>
      <w:pStyle w:val="6"/>
      <w:jc w:val="center"/>
    </w:pPr>
    <w:r>
      <w:rPr>
        <w:sz w:val="22"/>
      </w:rPr>
      <w:pict>
        <v:shape id="_x0000_s2063" o:spid="_x0000_s206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5D7A807">
                <w:pPr>
                  <w:pStyle w:val="6"/>
                </w:pPr>
                <w:r>
                  <w:fldChar w:fldCharType="begin"/>
                </w:r>
                <w:r>
                  <w:instrText xml:space="preserve"> PAGE  \* MERGEFORMAT </w:instrText>
                </w:r>
                <w:r>
                  <w:fldChar w:fldCharType="separate"/>
                </w:r>
                <w:r>
                  <w:t>I</w:t>
                </w:r>
                <w:r>
                  <w:fldChar w:fldCharType="end"/>
                </w:r>
              </w:p>
            </w:txbxContent>
          </v:textbox>
        </v:shape>
      </w:pict>
    </w:r>
  </w:p>
  <w:p w14:paraId="288158C8">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BF31A4">
    <w:pPr>
      <w:pStyle w:val="6"/>
      <w:jc w:val="center"/>
    </w:pPr>
    <w:r>
      <w:rPr>
        <w:sz w:val="22"/>
      </w:rPr>
      <w:pict>
        <v:shape id="_x0000_s2064" o:spid="_x0000_s2064"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557B7AF9">
                <w:pPr>
                  <w:pStyle w:val="6"/>
                </w:pPr>
                <w:r>
                  <w:fldChar w:fldCharType="begin"/>
                </w:r>
                <w:r>
                  <w:instrText xml:space="preserve"> PAGE  \* MERGEFORMAT </w:instrText>
                </w:r>
                <w:r>
                  <w:fldChar w:fldCharType="separate"/>
                </w:r>
                <w:r>
                  <w:t>IV</w:t>
                </w:r>
                <w:r>
                  <w:fldChar w:fldCharType="end"/>
                </w:r>
              </w:p>
            </w:txbxContent>
          </v:textbox>
        </v:shape>
      </w:pict>
    </w:r>
  </w:p>
  <w:p w14:paraId="71BBEF0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31443">
    <w:pPr>
      <w:pStyle w:val="6"/>
      <w:jc w:val="center"/>
    </w:pPr>
    <w:r>
      <w:rPr>
        <w:sz w:val="22"/>
      </w:rPr>
      <w:pict>
        <v:shape id="_x0000_s2065" o:spid="_x0000_s206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F14EC3D">
                <w:pPr>
                  <w:pStyle w:val="6"/>
                </w:pPr>
                <w:r>
                  <w:fldChar w:fldCharType="begin"/>
                </w:r>
                <w:r>
                  <w:instrText xml:space="preserve"> PAGE  \* MERGEFORMAT </w:instrText>
                </w:r>
                <w:r>
                  <w:fldChar w:fldCharType="separate"/>
                </w:r>
                <w:r>
                  <w:t>V</w:t>
                </w:r>
                <w:r>
                  <w:fldChar w:fldCharType="end"/>
                </w:r>
              </w:p>
            </w:txbxContent>
          </v:textbox>
        </v:shape>
      </w:pict>
    </w:r>
  </w:p>
  <w:p w14:paraId="36B6253A">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E87FDA">
    <w:pPr>
      <w:pStyle w:val="7"/>
      <w:jc w:val="center"/>
    </w:pPr>
  </w:p>
  <w:p w14:paraId="5B983345">
    <w:pPr>
      <w:pStyle w:val="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92289">
    <w:pPr>
      <w:pStyle w:val="7"/>
      <w:jc w:val="center"/>
    </w:pPr>
  </w:p>
  <w:p w14:paraId="11DC0B21">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D688A">
    <w:pPr>
      <w:pStyle w:val="7"/>
      <w:jc w:val="center"/>
    </w:pPr>
  </w:p>
  <w:p w14:paraId="60CF4D98">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27144"/>
    <w:multiLevelType w:val="multilevel"/>
    <w:tmpl w:val="0C927144"/>
    <w:lvl w:ilvl="0" w:tentative="0">
      <w:start w:val="1"/>
      <w:numFmt w:val="decimal"/>
      <w:lvlText w:val="%1"/>
      <w:lvlJc w:val="left"/>
      <w:pPr>
        <w:ind w:left="720" w:hanging="720"/>
      </w:pPr>
      <w:rPr>
        <w:rFonts w:hint="default"/>
      </w:rPr>
    </w:lvl>
    <w:lvl w:ilvl="1" w:tentative="0">
      <w:start w:val="1"/>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
    <w:nsid w:val="36AF13E1"/>
    <w:multiLevelType w:val="multilevel"/>
    <w:tmpl w:val="36AF13E1"/>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4BB10815"/>
    <w:multiLevelType w:val="multilevel"/>
    <w:tmpl w:val="4BB10815"/>
    <w:lvl w:ilvl="0" w:tentative="0">
      <w:start w:val="93"/>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66A35A60"/>
    <w:multiLevelType w:val="multilevel"/>
    <w:tmpl w:val="66A35A60"/>
    <w:lvl w:ilvl="0" w:tentative="0">
      <w:start w:val="1"/>
      <w:numFmt w:val="lowerRoman"/>
      <w:lvlText w:val="(%1)"/>
      <w:lvlJc w:val="left"/>
      <w:pPr>
        <w:ind w:left="1080" w:hanging="7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0E5842"/>
    <w:rsid w:val="0000139B"/>
    <w:rsid w:val="00002CE4"/>
    <w:rsid w:val="00023781"/>
    <w:rsid w:val="00032D1C"/>
    <w:rsid w:val="00052223"/>
    <w:rsid w:val="0006705C"/>
    <w:rsid w:val="000678C2"/>
    <w:rsid w:val="000B0B27"/>
    <w:rsid w:val="000E5842"/>
    <w:rsid w:val="0010290E"/>
    <w:rsid w:val="001332AE"/>
    <w:rsid w:val="0017286D"/>
    <w:rsid w:val="001840BA"/>
    <w:rsid w:val="00190761"/>
    <w:rsid w:val="001A77A4"/>
    <w:rsid w:val="001C2A96"/>
    <w:rsid w:val="001C6357"/>
    <w:rsid w:val="001C7804"/>
    <w:rsid w:val="001D448D"/>
    <w:rsid w:val="001E1B37"/>
    <w:rsid w:val="001F4A32"/>
    <w:rsid w:val="002008AB"/>
    <w:rsid w:val="00214CDE"/>
    <w:rsid w:val="002609BD"/>
    <w:rsid w:val="002A1BEA"/>
    <w:rsid w:val="002E2395"/>
    <w:rsid w:val="0030148D"/>
    <w:rsid w:val="003041C4"/>
    <w:rsid w:val="0030795D"/>
    <w:rsid w:val="003172CB"/>
    <w:rsid w:val="0032647A"/>
    <w:rsid w:val="003674ED"/>
    <w:rsid w:val="00383AEB"/>
    <w:rsid w:val="003968F9"/>
    <w:rsid w:val="003B5DF0"/>
    <w:rsid w:val="003E38AB"/>
    <w:rsid w:val="003F4EED"/>
    <w:rsid w:val="004162E7"/>
    <w:rsid w:val="004357C2"/>
    <w:rsid w:val="00460979"/>
    <w:rsid w:val="00495846"/>
    <w:rsid w:val="004C6F67"/>
    <w:rsid w:val="004D0521"/>
    <w:rsid w:val="004D4758"/>
    <w:rsid w:val="004E4BBC"/>
    <w:rsid w:val="004F0E09"/>
    <w:rsid w:val="005079D0"/>
    <w:rsid w:val="00510962"/>
    <w:rsid w:val="005178F8"/>
    <w:rsid w:val="005348EE"/>
    <w:rsid w:val="00541FC9"/>
    <w:rsid w:val="0055325C"/>
    <w:rsid w:val="00561904"/>
    <w:rsid w:val="00577F24"/>
    <w:rsid w:val="00581FFC"/>
    <w:rsid w:val="0058296C"/>
    <w:rsid w:val="005855A1"/>
    <w:rsid w:val="005A35CC"/>
    <w:rsid w:val="005A7809"/>
    <w:rsid w:val="005C259B"/>
    <w:rsid w:val="00624466"/>
    <w:rsid w:val="00645D03"/>
    <w:rsid w:val="006846D1"/>
    <w:rsid w:val="00696F94"/>
    <w:rsid w:val="006B7D22"/>
    <w:rsid w:val="006D0CDB"/>
    <w:rsid w:val="006D2D67"/>
    <w:rsid w:val="00707569"/>
    <w:rsid w:val="007344AE"/>
    <w:rsid w:val="00740C92"/>
    <w:rsid w:val="007819A5"/>
    <w:rsid w:val="008006F6"/>
    <w:rsid w:val="00811B98"/>
    <w:rsid w:val="00820E16"/>
    <w:rsid w:val="00826655"/>
    <w:rsid w:val="0086285B"/>
    <w:rsid w:val="00865E4B"/>
    <w:rsid w:val="008742C1"/>
    <w:rsid w:val="00891153"/>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C34F8"/>
    <w:rsid w:val="00BC3511"/>
    <w:rsid w:val="00BD0A91"/>
    <w:rsid w:val="00BF6E77"/>
    <w:rsid w:val="00C1691D"/>
    <w:rsid w:val="00C637F3"/>
    <w:rsid w:val="00C8429E"/>
    <w:rsid w:val="00C85CCF"/>
    <w:rsid w:val="00CC3D23"/>
    <w:rsid w:val="00CC7916"/>
    <w:rsid w:val="00CD185A"/>
    <w:rsid w:val="00CD6D46"/>
    <w:rsid w:val="00CE4D90"/>
    <w:rsid w:val="00D33A37"/>
    <w:rsid w:val="00D356F1"/>
    <w:rsid w:val="00D4769B"/>
    <w:rsid w:val="00D74229"/>
    <w:rsid w:val="00DA0D54"/>
    <w:rsid w:val="00DF6E19"/>
    <w:rsid w:val="00E00A6B"/>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4ED1825"/>
    <w:rsid w:val="074D008A"/>
    <w:rsid w:val="07F01A92"/>
    <w:rsid w:val="0910058F"/>
    <w:rsid w:val="0E045C9D"/>
    <w:rsid w:val="0FF65006"/>
    <w:rsid w:val="128D0644"/>
    <w:rsid w:val="1B7627C1"/>
    <w:rsid w:val="1C9B70FD"/>
    <w:rsid w:val="22105FB5"/>
    <w:rsid w:val="24D14878"/>
    <w:rsid w:val="279C5F0C"/>
    <w:rsid w:val="287E64FF"/>
    <w:rsid w:val="2D9A4A11"/>
    <w:rsid w:val="2E7B72D6"/>
    <w:rsid w:val="2FDB4C6B"/>
    <w:rsid w:val="33540C46"/>
    <w:rsid w:val="34D634EA"/>
    <w:rsid w:val="37CE7E2C"/>
    <w:rsid w:val="3BA05455"/>
    <w:rsid w:val="3EDC6612"/>
    <w:rsid w:val="41511E05"/>
    <w:rsid w:val="45773005"/>
    <w:rsid w:val="47B1338E"/>
    <w:rsid w:val="4825267D"/>
    <w:rsid w:val="48DA5C15"/>
    <w:rsid w:val="4DC537A4"/>
    <w:rsid w:val="4F117D8D"/>
    <w:rsid w:val="50FA6AF3"/>
    <w:rsid w:val="525E4232"/>
    <w:rsid w:val="56B70EC3"/>
    <w:rsid w:val="5ACA3526"/>
    <w:rsid w:val="5CCF1F21"/>
    <w:rsid w:val="61DA7B4A"/>
    <w:rsid w:val="66A616A6"/>
    <w:rsid w:val="67E46C83"/>
    <w:rsid w:val="6A075683"/>
    <w:rsid w:val="6D995421"/>
    <w:rsid w:val="70DE4037"/>
    <w:rsid w:val="74C16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qFormat="1"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3"/>
    <w:basedOn w:val="1"/>
    <w:link w:val="16"/>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3"/>
    <w:semiHidden/>
    <w:unhideWhenUsed/>
    <w:uiPriority w:val="99"/>
    <w:pPr>
      <w:spacing w:after="0" w:line="240" w:lineRule="auto"/>
    </w:pPr>
    <w:rPr>
      <w:rFonts w:ascii="Tahoma" w:hAnsi="Tahoma" w:cs="Tahoma"/>
      <w:sz w:val="16"/>
      <w:szCs w:val="16"/>
    </w:rPr>
  </w:style>
  <w:style w:type="paragraph" w:styleId="6">
    <w:name w:val="footer"/>
    <w:basedOn w:val="1"/>
    <w:link w:val="19"/>
    <w:unhideWhenUsed/>
    <w:uiPriority w:val="99"/>
    <w:pPr>
      <w:tabs>
        <w:tab w:val="center" w:pos="4680"/>
        <w:tab w:val="right" w:pos="9360"/>
      </w:tabs>
      <w:spacing w:after="0" w:line="240" w:lineRule="auto"/>
    </w:pPr>
  </w:style>
  <w:style w:type="paragraph" w:styleId="7">
    <w:name w:val="header"/>
    <w:basedOn w:val="1"/>
    <w:link w:val="18"/>
    <w:unhideWhenUsed/>
    <w:uiPriority w:val="99"/>
    <w:pPr>
      <w:tabs>
        <w:tab w:val="center" w:pos="4680"/>
        <w:tab w:val="right" w:pos="9360"/>
      </w:tabs>
      <w:spacing w:after="0" w:line="240" w:lineRule="auto"/>
    </w:pPr>
  </w:style>
  <w:style w:type="character" w:styleId="8">
    <w:name w:val="HTML Cite"/>
    <w:basedOn w:val="3"/>
    <w:semiHidden/>
    <w:unhideWhenUsed/>
    <w:qFormat/>
    <w:uiPriority w:val="99"/>
    <w:rPr>
      <w:i/>
      <w:iCs/>
    </w:rPr>
  </w:style>
  <w:style w:type="character" w:styleId="9">
    <w:name w:val="Hyperlink"/>
    <w:basedOn w:val="3"/>
    <w:semiHidden/>
    <w:unhideWhenUsed/>
    <w:qFormat/>
    <w:uiPriority w:val="99"/>
    <w:rPr>
      <w:color w:val="0000FF"/>
      <w:u w:val="single"/>
    </w:rPr>
  </w:style>
  <w:style w:type="paragraph" w:styleId="10">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table" w:styleId="11">
    <w:name w:val="Table Grid"/>
    <w:basedOn w:val="4"/>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Balloon Text Char"/>
    <w:basedOn w:val="3"/>
    <w:link w:val="5"/>
    <w:semiHidden/>
    <w:uiPriority w:val="99"/>
    <w:rPr>
      <w:rFonts w:ascii="Tahoma" w:hAnsi="Tahoma" w:cs="Tahoma"/>
      <w:sz w:val="16"/>
      <w:szCs w:val="16"/>
    </w:rPr>
  </w:style>
  <w:style w:type="character" w:customStyle="1" w:styleId="14">
    <w:name w:val="chemf"/>
    <w:basedOn w:val="3"/>
    <w:uiPriority w:val="0"/>
  </w:style>
  <w:style w:type="character" w:customStyle="1" w:styleId="15">
    <w:name w:val="mwe-math-mathml-inline"/>
    <w:basedOn w:val="3"/>
    <w:uiPriority w:val="0"/>
  </w:style>
  <w:style w:type="character" w:customStyle="1" w:styleId="16">
    <w:name w:val="Heading 3 Char"/>
    <w:basedOn w:val="3"/>
    <w:link w:val="2"/>
    <w:qFormat/>
    <w:uiPriority w:val="9"/>
    <w:rPr>
      <w:rFonts w:ascii="Times New Roman" w:hAnsi="Times New Roman" w:eastAsia="Times New Roman" w:cs="Times New Roman"/>
      <w:b/>
      <w:bCs/>
      <w:sz w:val="27"/>
      <w:szCs w:val="27"/>
    </w:rPr>
  </w:style>
  <w:style w:type="character" w:customStyle="1" w:styleId="17">
    <w:name w:val="mw-headline"/>
    <w:basedOn w:val="3"/>
    <w:qFormat/>
    <w:uiPriority w:val="0"/>
  </w:style>
  <w:style w:type="character" w:customStyle="1" w:styleId="18">
    <w:name w:val="Header Char"/>
    <w:basedOn w:val="3"/>
    <w:link w:val="7"/>
    <w:qFormat/>
    <w:uiPriority w:val="99"/>
  </w:style>
  <w:style w:type="character" w:customStyle="1" w:styleId="19">
    <w:name w:val="Footer Char"/>
    <w:basedOn w:val="3"/>
    <w:link w:val="6"/>
    <w:uiPriority w:val="99"/>
  </w:style>
  <w:style w:type="character" w:customStyle="1" w:styleId="20">
    <w:name w:val="mw-cite-backlink"/>
    <w:basedOn w:val="3"/>
    <w:uiPriority w:val="0"/>
  </w:style>
  <w:style w:type="character" w:customStyle="1" w:styleId="21">
    <w:name w:val="reference-accessdate"/>
    <w:basedOn w:val="3"/>
    <w:uiPriority w:val="0"/>
  </w:style>
  <w:style w:type="character" w:customStyle="1" w:styleId="22">
    <w:name w:val="nowrap"/>
    <w:basedOn w:val="3"/>
    <w:qFormat/>
    <w:uiPriority w:val="0"/>
  </w:style>
  <w:style w:type="character" w:customStyle="1" w:styleId="23">
    <w:name w:val="reference-text"/>
    <w:basedOn w:val="3"/>
    <w:uiPriority w:val="0"/>
  </w:style>
  <w:style w:type="paragraph" w:customStyle="1" w:styleId="24">
    <w:name w:val="normal"/>
    <w:uiPriority w:val="0"/>
    <w:pPr>
      <w:spacing w:after="200" w:line="276" w:lineRule="auto"/>
    </w:pPr>
    <w:rPr>
      <w:rFonts w:ascii="Calibri" w:hAnsi="Calibri" w:eastAsia="Calibri" w:cs="Calibr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63" textRotate="1"/>
    <customShpInfo spid="_x0000_s2064" textRotate="1"/>
    <customShpInfo spid="_x0000_s206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8100</Words>
  <Characters>46175</Characters>
  <Lines>384</Lines>
  <Paragraphs>108</Paragraphs>
  <TotalTime>58</TotalTime>
  <ScaleCrop>false</ScaleCrop>
  <LinksUpToDate>false</LinksUpToDate>
  <CharactersWithSpaces>54167</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2024-06-16T11:29:00Z</dcterms:created>
  <dc:creator>OGUNYEMI PC</dc:creator>
  <cp:lastModifiedBy>HP</cp:lastModifiedBy>
  <cp:lastPrinted>2025-08-11T11:23:24Z</cp:lastPrinted>
  <dcterms:modified xsi:type="dcterms:W3CDTF">2025-08-11T13:42:46Z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A927467C8B73404DAE486AAA5D90F71D_12</vt:lpwstr>
  </property>
</Properties>
</file>