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29" w:rsidRDefault="005C3829" w:rsidP="005C3829">
      <w:pPr>
        <w:spacing w:before="1" w:line="480" w:lineRule="auto"/>
        <w:jc w:val="center"/>
        <w:rPr>
          <w:b/>
          <w:sz w:val="24"/>
        </w:rPr>
      </w:pPr>
      <w:r>
        <w:rPr>
          <w:b/>
          <w:sz w:val="24"/>
        </w:rPr>
        <w:t>CHAPTER ONE</w:t>
      </w:r>
    </w:p>
    <w:p w:rsidR="005C3829" w:rsidRDefault="005C3829" w:rsidP="00ED7A39">
      <w:pPr>
        <w:spacing w:before="1" w:line="480" w:lineRule="auto"/>
        <w:rPr>
          <w:b/>
          <w:sz w:val="24"/>
        </w:rPr>
      </w:pPr>
      <w:r>
        <w:rPr>
          <w:b/>
          <w:sz w:val="24"/>
        </w:rPr>
        <w:t>1.0</w:t>
      </w:r>
      <w:r>
        <w:rPr>
          <w:b/>
          <w:sz w:val="24"/>
        </w:rPr>
        <w:tab/>
        <w:t>BACKGROUND TO THESTUDY</w:t>
      </w:r>
    </w:p>
    <w:p w:rsidR="005C3829" w:rsidRDefault="005C3829" w:rsidP="00ED7A39">
      <w:pPr>
        <w:pStyle w:val="BodyText"/>
        <w:spacing w:line="480" w:lineRule="auto"/>
        <w:jc w:val="both"/>
        <w:rPr>
          <w:sz w:val="20"/>
        </w:rPr>
      </w:pPr>
      <w:r>
        <w:t xml:space="preserve">Investment is the laying down of capital in the present to enjoy future benefits or monetaryreturns,eitherasalumpsumorinastreamofinstalments(MCORealEstate, 2016). </w:t>
      </w:r>
      <w:r>
        <w:rPr>
          <w:spacing w:val="-3"/>
        </w:rPr>
        <w:t xml:space="preserve">It </w:t>
      </w:r>
      <w:r>
        <w:t xml:space="preserve">means different things to different sectors. Investment in real estate can be defined as the current input of financial capital into property and any form of improvement on land, in order to redeem future monetary benefits from </w:t>
      </w:r>
      <w:r>
        <w:rPr>
          <w:spacing w:val="3"/>
        </w:rPr>
        <w:t xml:space="preserve">the </w:t>
      </w:r>
      <w:r>
        <w:t>asset in question (Barbara &amp; Jing,20</w:t>
      </w:r>
      <w:r w:rsidR="00ED7A39">
        <w:t>21</w:t>
      </w:r>
      <w:r>
        <w:t>)</w:t>
      </w:r>
      <w:r>
        <w:rPr>
          <w:sz w:val="20"/>
        </w:rPr>
        <w:t>.</w:t>
      </w:r>
    </w:p>
    <w:p w:rsidR="005C3829" w:rsidRDefault="005C3829" w:rsidP="005C3829">
      <w:pPr>
        <w:pStyle w:val="BodyText"/>
        <w:spacing w:before="232" w:line="480" w:lineRule="auto"/>
        <w:jc w:val="both"/>
      </w:pPr>
      <w:r>
        <w:t>Investments can come in various forms. The various classifications of investment include: real estate; a commodity that entails a building being traded at a certain price, shares; a part ownership of a publicly quoted company, bonds; a document stating a debtpaymentwithinteresttothecreditor,pensionfunds;apooloffundsgatheredfrom activelyemployedindividualsandthenreinvestedbythepensionmanagers,andahost of other investmentmedia.</w:t>
      </w:r>
    </w:p>
    <w:p w:rsidR="005C3829" w:rsidRDefault="005C3829" w:rsidP="005C3829">
      <w:pPr>
        <w:pStyle w:val="BodyText"/>
      </w:pPr>
    </w:p>
    <w:p w:rsidR="005C3829" w:rsidRDefault="005C3829" w:rsidP="00ED7A39">
      <w:pPr>
        <w:pStyle w:val="BodyText"/>
        <w:spacing w:line="480" w:lineRule="auto"/>
        <w:jc w:val="both"/>
      </w:pPr>
      <w:r>
        <w:t xml:space="preserve">According to a report by NAIFA </w:t>
      </w:r>
      <w:r w:rsidR="00ED7A39">
        <w:t>(2020</w:t>
      </w:r>
      <w:r>
        <w:t>), the investment pattern in Nigeria can be deemed an intensive one. The level of risk attached to shares and stocks quoted in the Nigerian Stock Exchange has forced investors to carry out deep analysis before investing. In the event that a stock is anticipated to perform well on “the floor”, an investor will likely lay down a large amount of capital seeing as most stocks are currently not performing relatively well on the stock exchange (NAIFA, 20</w:t>
      </w:r>
      <w:r w:rsidR="00ED7A39">
        <w:t>20</w:t>
      </w:r>
      <w:r>
        <w:t>). Furthermore, a report by Estate Intel (</w:t>
      </w:r>
      <w:r w:rsidR="00ED7A39">
        <w:t>2021</w:t>
      </w:r>
      <w:r>
        <w:t>) states that the current economic downturn in the country has created a scenario where the risk-prone investor shies away from stocks and bonds due to the unavailability of funds and uncertainty attached to the investment medium. The tendency is for investors to take the safest route and invest in realestatewhichistangibleandalsobearsthecharacteristicofhedgingagainstinflation (increases in value overtime irrespective of inflation) (Estate Intel,</w:t>
      </w:r>
      <w:r w:rsidR="00ED7A39">
        <w:t>2021</w:t>
      </w:r>
      <w:r>
        <w:t>).</w:t>
      </w:r>
    </w:p>
    <w:p w:rsidR="005C3829" w:rsidRDefault="005C3829" w:rsidP="00ED7A39">
      <w:pPr>
        <w:pStyle w:val="BodyText"/>
        <w:spacing w:line="480" w:lineRule="auto"/>
        <w:jc w:val="both"/>
      </w:pPr>
      <w:r>
        <w:lastRenderedPageBreak/>
        <w:t>During the “boom years” (20</w:t>
      </w:r>
      <w:r w:rsidR="00ED7A39">
        <w:t>19</w:t>
      </w:r>
      <w:r>
        <w:t xml:space="preserve"> – 20</w:t>
      </w:r>
      <w:r w:rsidR="00ED7A39">
        <w:t>23</w:t>
      </w:r>
      <w:r>
        <w:t xml:space="preserve">), investors' confidence was high and decisions on investments during the period was based on an “optimistic rule of the thumb” (Umeh, </w:t>
      </w:r>
      <w:r w:rsidR="00ED7A39">
        <w:t>2022</w:t>
      </w:r>
      <w:r>
        <w:t xml:space="preserve">). Eventually, these boom years came to an abrupt end as a result of the crash in 2007 resulting from the Sub-Prime Mortgage Crisis in the U.S, Nigerian Banking Crisis, Sovereign debt crisis, amongst others (Umeh, </w:t>
      </w:r>
      <w:r w:rsidR="00ED7A39">
        <w:t>2022</w:t>
      </w:r>
      <w:r>
        <w:t xml:space="preserve">). The Nigerian market witnessed a downturn in capitalization and All-Share Index between 2007 and 2008; birthing the burst years which caused both local and foreign investors to lose confidence in the capital and real estate market (Umeh, </w:t>
      </w:r>
      <w:r w:rsidR="00ED7A39">
        <w:t>2022</w:t>
      </w:r>
      <w:r>
        <w:t xml:space="preserve">). That being said, the current economic recession has without a doubt reduced the level of confidence local and foreign investors have in the Nigerian economy. The level of corruption within all levels of government coupled with the poor state of foreign exchange have negatively affected Nigeria’s investment environment (Trading Economics, </w:t>
      </w:r>
      <w:r w:rsidR="00ED7A39">
        <w:t>2021</w:t>
      </w:r>
      <w:r>
        <w:t>).</w:t>
      </w:r>
    </w:p>
    <w:p w:rsidR="005C3829" w:rsidRDefault="005C3829" w:rsidP="005C3829">
      <w:pPr>
        <w:pStyle w:val="BodyText"/>
        <w:spacing w:before="1"/>
      </w:pPr>
    </w:p>
    <w:p w:rsidR="005C3829" w:rsidRDefault="005C3829" w:rsidP="005C3829">
      <w:pPr>
        <w:pStyle w:val="BodyText"/>
        <w:spacing w:line="480" w:lineRule="auto"/>
        <w:jc w:val="both"/>
      </w:pPr>
      <w:r>
        <w:t>Real estate continues to be in high demand indicative of investor’s confidence since it meetstheneedofthepublicconsumer(EstateIntel,</w:t>
      </w:r>
      <w:r w:rsidR="00ED7A39">
        <w:t>2021</w:t>
      </w:r>
      <w:r>
        <w:t xml:space="preserve">).Ahotel,commercialoffice, residential estate or retail park will continue to perform well, whether on the basis of sales or rents as long as the product meets the needs of the consumer in terms of location, price and quality (Estate Intel, </w:t>
      </w:r>
      <w:r w:rsidR="00ED7A39">
        <w:t>2021</w:t>
      </w:r>
      <w:r>
        <w:t>). The author explains further that a look attheRetailShoppingMallsubmarket,showsthatthelevelofperformanceofthisclass of real estate investment is very profitable to the average investor. Investment powerhouses (such as RMB Westport, Actis, Argentil and Primrose) continuously invest in this asset class, proving that the outcome of real estate investments inNigeria isstillverypositive(EstateIntel,</w:t>
      </w:r>
      <w:r w:rsidR="00ED7A39">
        <w:t>2021</w:t>
      </w:r>
      <w:r>
        <w:t>).Thesamehowever cannotbesaidofthestock market as all asset classes within the stock market have a large impact on each other. For instance, a change in the price of oil can affect other valuable commodities traded on the stockmarket.</w:t>
      </w:r>
    </w:p>
    <w:p w:rsidR="005C3829" w:rsidRDefault="005C3829" w:rsidP="005C3829">
      <w:pPr>
        <w:pStyle w:val="BodyText"/>
      </w:pPr>
    </w:p>
    <w:p w:rsidR="005C3829" w:rsidRDefault="005C3829" w:rsidP="005C3829">
      <w:pPr>
        <w:pStyle w:val="BodyText"/>
        <w:spacing w:line="480" w:lineRule="auto"/>
        <w:jc w:val="both"/>
      </w:pPr>
      <w:r>
        <w:t xml:space="preserve">MCO Real Estate (2016) states that the two most preferable types of investment in Nigeria are </w:t>
      </w:r>
      <w:r>
        <w:lastRenderedPageBreak/>
        <w:t>real estate and shares of oil companies. Firstly, real estate is attractive to any investor as it is tangible and immovable, thus strengthening the safety andsecurity of such an asset. Secondly, the oil market is still attractive to the average investor despite the current fall in oil prices. The reason being that knowledgeable investors believe that the level of demand for oil will still remain on the rise for a long time to come (Trading Economics,</w:t>
      </w:r>
      <w:r w:rsidR="00ED7A39">
        <w:t>2021</w:t>
      </w:r>
      <w:r>
        <w:t>).</w:t>
      </w:r>
    </w:p>
    <w:p w:rsidR="005C3829" w:rsidRDefault="005C3829" w:rsidP="005C3829">
      <w:pPr>
        <w:pStyle w:val="BodyText"/>
        <w:spacing w:before="1"/>
      </w:pPr>
    </w:p>
    <w:p w:rsidR="005C3829" w:rsidRDefault="005C3829" w:rsidP="005C3829">
      <w:pPr>
        <w:pStyle w:val="BodyText"/>
        <w:spacing w:line="480" w:lineRule="auto"/>
        <w:jc w:val="both"/>
      </w:pPr>
      <w:r>
        <w:t>Nigeriapresentssomanychallengestoalltypesofinvestorsirrespectiveofthelevelof investment capital which may be at their disposal. Foreign investors will tend to avoid Nigeria for various reasons without actually taking a minute to analyse the potentials entailed in the Nigerian economy. It is therefore the aim of this study to not only appraise the confidence investors have in the Nigerian real estate market, but to also identify the factors which may have caused such confidence levels, and to also come up with probable solutions in the event that investor confidence in Nigeria islow.</w:t>
      </w:r>
    </w:p>
    <w:p w:rsidR="005C3829" w:rsidRDefault="005C3829" w:rsidP="005C3829">
      <w:pPr>
        <w:pStyle w:val="Heading2"/>
        <w:numPr>
          <w:ilvl w:val="1"/>
          <w:numId w:val="1"/>
        </w:numPr>
        <w:ind w:left="0" w:firstLine="0"/>
      </w:pPr>
      <w:r>
        <w:t>STATEMENT OF THEPROBLEM</w:t>
      </w:r>
    </w:p>
    <w:p w:rsidR="005C3829" w:rsidRDefault="005C3829" w:rsidP="005C3829">
      <w:pPr>
        <w:pStyle w:val="BodyText"/>
        <w:spacing w:before="7"/>
        <w:rPr>
          <w:b/>
          <w:sz w:val="23"/>
        </w:rPr>
      </w:pPr>
    </w:p>
    <w:p w:rsidR="005C3829" w:rsidRDefault="005C3829" w:rsidP="005C3829">
      <w:pPr>
        <w:pStyle w:val="BodyText"/>
        <w:spacing w:line="480" w:lineRule="auto"/>
        <w:jc w:val="both"/>
      </w:pPr>
      <w:r>
        <w:t xml:space="preserve">The amount of risk associated with real estate investments can be termed as long-term and also volatile in nature. It is long term due to the fact that real estate can only come into existence after a development is completed. Inherent in these procedures are various forms of risk such as statutory/institutional risk. This comes in the form of planning approval and zoning laws which the subject property must conform-to before further construction can take place. All these inherent forms of risk are deterrents to realestateinvestmentsbyinvestorsandthusreducestheirlevelofconfidenceandtrust in the real estate sector regardless of the amount of potential derivable from such an investment. While in terms of volatility, the real estate sector tends to be affected gravely due to changes in other external factors. As stated earlier in this study, the overpricing of financial securities such as stocks, combined with the continuous mortgage loan approvals without repayment, led to the global financial meltdown in 2008, thus expressing how sensitive real estate investments are in </w:t>
      </w:r>
      <w:r>
        <w:lastRenderedPageBreak/>
        <w:t>anyeconomy.</w:t>
      </w:r>
    </w:p>
    <w:p w:rsidR="005C3829" w:rsidRDefault="005C3829" w:rsidP="005C3829">
      <w:pPr>
        <w:pStyle w:val="BodyText"/>
        <w:spacing w:before="1" w:line="480" w:lineRule="auto"/>
        <w:jc w:val="both"/>
      </w:pPr>
      <w:r>
        <w:t>A common problem faced by investors in Nigeria during the course of developing a property is the risk of inflation. This is exclusive of the internal characteristics of a subject property being invested in, as it concerns the value of a loan taken for the actualisation of a real estate project. In the event that the initial value of the loan taken by a developer drops overtime due to inflation, the interest rate charged over such a loan will be too high and hence not beneficial to the developer.</w:t>
      </w:r>
    </w:p>
    <w:p w:rsidR="005C3829" w:rsidRDefault="005C3829" w:rsidP="005C3829">
      <w:pPr>
        <w:pStyle w:val="BodyText"/>
        <w:spacing w:line="480" w:lineRule="auto"/>
        <w:jc w:val="both"/>
      </w:pPr>
      <w:r>
        <w:t>Other problems peculiar to the Nigerian scene, which determines an investor’s behaviourtowardstherealestatesectoristheproblemofmanagementandopportunity cost. The latter refers to the various alternative investment opportunities the investor might have invested in rather the selected real estate sector. An investor and his financial advisory team must ensure that the opportunity cost associated with the real estate investment is kept to the minimum. This will in-turn encourage such an investor to make future financial commitments to real estate investment opportunities. Management risk also poses a problem to the completion of a project. Failure to supervisetheconstructionmethodsandmaterialsbeingusedinaprojectcandetermine it’s success orfailure.</w:t>
      </w:r>
    </w:p>
    <w:p w:rsidR="005C3829" w:rsidRDefault="005C3829" w:rsidP="005C3829">
      <w:pPr>
        <w:pStyle w:val="BodyText"/>
        <w:spacing w:before="74" w:line="480" w:lineRule="auto"/>
        <w:jc w:val="both"/>
      </w:pPr>
      <w:r>
        <w:t>The Nigerian real estate sector faces a lot of challenges, and it’s improvement is imminenttonotjustimprovingthelocalandforeigninvestor’sconfidence,butalsothe Nigerianeconomy.Regardlessoftheabovementionedproblems,thisstudywillassess therealestateinvestorandhisinvestmentattitude,inorderproffersolutionswhichwill improve investor confidence in the nearfuture.</w:t>
      </w:r>
    </w:p>
    <w:p w:rsidR="005C3829" w:rsidRDefault="005C3829" w:rsidP="005C3829">
      <w:pPr>
        <w:pStyle w:val="BodyText"/>
        <w:spacing w:before="5"/>
      </w:pPr>
    </w:p>
    <w:p w:rsidR="005C3829" w:rsidRDefault="005C3829" w:rsidP="005C3829">
      <w:pPr>
        <w:pStyle w:val="Heading2"/>
        <w:numPr>
          <w:ilvl w:val="1"/>
          <w:numId w:val="1"/>
        </w:numPr>
        <w:ind w:left="0" w:firstLine="0"/>
      </w:pPr>
      <w:r>
        <w:t>RESEARCHQUESTIONS</w:t>
      </w:r>
    </w:p>
    <w:p w:rsidR="005C3829" w:rsidRDefault="005C3829" w:rsidP="005C3829">
      <w:pPr>
        <w:pStyle w:val="BodyText"/>
        <w:spacing w:before="7"/>
        <w:rPr>
          <w:b/>
          <w:sz w:val="23"/>
        </w:rPr>
      </w:pPr>
    </w:p>
    <w:p w:rsidR="005C3829" w:rsidRDefault="005C3829" w:rsidP="005C3829">
      <w:pPr>
        <w:pStyle w:val="BodyText"/>
        <w:spacing w:line="480" w:lineRule="auto"/>
        <w:jc w:val="both"/>
      </w:pPr>
      <w:r>
        <w:t>This study will aim to answer the following questions:</w:t>
      </w:r>
    </w:p>
    <w:p w:rsidR="005C3829" w:rsidRDefault="005C3829" w:rsidP="005C3829">
      <w:pPr>
        <w:pStyle w:val="ListParagraph"/>
        <w:numPr>
          <w:ilvl w:val="2"/>
          <w:numId w:val="1"/>
        </w:numPr>
        <w:spacing w:line="480" w:lineRule="auto"/>
        <w:ind w:left="630" w:hanging="361"/>
        <w:jc w:val="both"/>
        <w:rPr>
          <w:sz w:val="24"/>
        </w:rPr>
      </w:pPr>
      <w:r>
        <w:rPr>
          <w:sz w:val="24"/>
        </w:rPr>
        <w:t>What are the predominant types of investments/investors inNigeria?</w:t>
      </w:r>
    </w:p>
    <w:p w:rsidR="005C3829" w:rsidRPr="005C3829" w:rsidRDefault="005C3829" w:rsidP="005C3829">
      <w:pPr>
        <w:pStyle w:val="ListParagraph"/>
        <w:numPr>
          <w:ilvl w:val="2"/>
          <w:numId w:val="1"/>
        </w:numPr>
        <w:spacing w:line="480" w:lineRule="auto"/>
        <w:ind w:left="630" w:hanging="361"/>
        <w:jc w:val="both"/>
        <w:rPr>
          <w:sz w:val="24"/>
        </w:rPr>
      </w:pPr>
      <w:r>
        <w:rPr>
          <w:sz w:val="24"/>
        </w:rPr>
        <w:t>What are an investor’s preference factors for other dominant investmentsin</w:t>
      </w:r>
      <w:r>
        <w:t xml:space="preserve">comparison with </w:t>
      </w:r>
      <w:r>
        <w:lastRenderedPageBreak/>
        <w:t>real estate?</w:t>
      </w:r>
    </w:p>
    <w:p w:rsidR="005C3829" w:rsidRDefault="005C3829" w:rsidP="005C3829">
      <w:pPr>
        <w:pStyle w:val="ListParagraph"/>
        <w:numPr>
          <w:ilvl w:val="2"/>
          <w:numId w:val="1"/>
        </w:numPr>
        <w:spacing w:line="480" w:lineRule="auto"/>
        <w:ind w:left="630" w:hanging="361"/>
        <w:jc w:val="both"/>
        <w:rPr>
          <w:sz w:val="24"/>
        </w:rPr>
      </w:pPr>
      <w:r>
        <w:rPr>
          <w:sz w:val="24"/>
        </w:rPr>
        <w:t>What is the behaviour/attitude of investors towards the Nigerian real estatesector?</w:t>
      </w:r>
    </w:p>
    <w:p w:rsidR="005C3829" w:rsidRDefault="005C3829" w:rsidP="005C3829">
      <w:pPr>
        <w:pStyle w:val="ListParagraph"/>
        <w:numPr>
          <w:ilvl w:val="2"/>
          <w:numId w:val="1"/>
        </w:numPr>
        <w:spacing w:line="480" w:lineRule="auto"/>
        <w:ind w:left="630"/>
        <w:rPr>
          <w:sz w:val="24"/>
        </w:rPr>
      </w:pPr>
      <w:r>
        <w:rPr>
          <w:sz w:val="24"/>
        </w:rPr>
        <w:t>WhatistheaverageamountofcapitalinvestedannuallybytheGovernmentandthe private sector in the Nigerian real estate sectors.</w:t>
      </w:r>
    </w:p>
    <w:p w:rsidR="005C3829" w:rsidRDefault="005C3829" w:rsidP="005C3829">
      <w:pPr>
        <w:pStyle w:val="Heading2"/>
        <w:numPr>
          <w:ilvl w:val="1"/>
          <w:numId w:val="1"/>
        </w:numPr>
        <w:spacing w:before="1"/>
        <w:ind w:left="0" w:firstLine="0"/>
      </w:pPr>
      <w:r>
        <w:t>AIM ANDOBJECTIVES</w:t>
      </w:r>
    </w:p>
    <w:p w:rsidR="005C3829" w:rsidRDefault="005C3829" w:rsidP="005C3829">
      <w:pPr>
        <w:pStyle w:val="BodyText"/>
        <w:spacing w:before="6"/>
        <w:rPr>
          <w:b/>
          <w:sz w:val="23"/>
        </w:rPr>
      </w:pPr>
    </w:p>
    <w:p w:rsidR="005C3829" w:rsidRDefault="005C3829" w:rsidP="005C3829">
      <w:pPr>
        <w:pStyle w:val="BodyText"/>
        <w:spacing w:line="480" w:lineRule="auto"/>
        <w:jc w:val="both"/>
      </w:pPr>
      <w:r>
        <w:t xml:space="preserve">Theaimofthisstudyistoassess/appraisethelevelofconfidencetheaverageNigerian investor has in the Nigerian real estate sector, with a view to improving real estate investment. </w:t>
      </w:r>
      <w:r>
        <w:rPr>
          <w:spacing w:val="-3"/>
        </w:rPr>
        <w:t xml:space="preserve">In </w:t>
      </w:r>
      <w:r>
        <w:t>attaining the aforementioned aim, this study will achieve the following objectives:</w:t>
      </w:r>
    </w:p>
    <w:p w:rsidR="005C3829" w:rsidRDefault="005C3829" w:rsidP="005C3829">
      <w:pPr>
        <w:pStyle w:val="ListParagraph"/>
        <w:numPr>
          <w:ilvl w:val="2"/>
          <w:numId w:val="1"/>
        </w:numPr>
        <w:spacing w:before="1" w:line="480" w:lineRule="auto"/>
        <w:ind w:left="720" w:hanging="361"/>
        <w:jc w:val="both"/>
        <w:rPr>
          <w:sz w:val="24"/>
        </w:rPr>
      </w:pPr>
      <w:r>
        <w:rPr>
          <w:sz w:val="24"/>
        </w:rPr>
        <w:t>To identify the predominant types of investments/investors inNigeria.</w:t>
      </w:r>
    </w:p>
    <w:p w:rsidR="005C3829" w:rsidRDefault="005C3829" w:rsidP="005C3829">
      <w:pPr>
        <w:pStyle w:val="ListParagraph"/>
        <w:numPr>
          <w:ilvl w:val="2"/>
          <w:numId w:val="1"/>
        </w:numPr>
        <w:spacing w:line="480" w:lineRule="auto"/>
        <w:ind w:left="720"/>
        <w:rPr>
          <w:sz w:val="24"/>
        </w:rPr>
      </w:pPr>
      <w:r>
        <w:rPr>
          <w:sz w:val="24"/>
        </w:rPr>
        <w:t>To identify their preference factors for other dominant investments in comparison with realestate.</w:t>
      </w:r>
    </w:p>
    <w:p w:rsidR="005C3829" w:rsidRDefault="005C3829" w:rsidP="005C3829">
      <w:pPr>
        <w:pStyle w:val="ListParagraph"/>
        <w:numPr>
          <w:ilvl w:val="2"/>
          <w:numId w:val="1"/>
        </w:numPr>
        <w:spacing w:line="480" w:lineRule="auto"/>
        <w:ind w:left="720"/>
        <w:rPr>
          <w:sz w:val="24"/>
        </w:rPr>
      </w:pPr>
      <w:r>
        <w:rPr>
          <w:sz w:val="24"/>
        </w:rPr>
        <w:t>To ascertain the behaviour/attitude of investors towards the Nigerian real estate sector.</w:t>
      </w:r>
    </w:p>
    <w:p w:rsidR="005C3829" w:rsidRPr="005C3829" w:rsidRDefault="005C3829" w:rsidP="005C3829">
      <w:pPr>
        <w:pStyle w:val="ListParagraph"/>
        <w:numPr>
          <w:ilvl w:val="2"/>
          <w:numId w:val="1"/>
        </w:numPr>
        <w:spacing w:line="480" w:lineRule="auto"/>
        <w:ind w:left="720"/>
        <w:rPr>
          <w:sz w:val="24"/>
        </w:rPr>
      </w:pPr>
      <w:r w:rsidRPr="005C3829">
        <w:rPr>
          <w:sz w:val="24"/>
        </w:rPr>
        <w:t>To determine the average amount of capital invested annually by the Government and the private sector in the Nigerian real estatesector.</w:t>
      </w:r>
    </w:p>
    <w:p w:rsidR="005C3829" w:rsidRDefault="005C3829" w:rsidP="005C3829">
      <w:pPr>
        <w:pStyle w:val="Heading2"/>
        <w:numPr>
          <w:ilvl w:val="1"/>
          <w:numId w:val="1"/>
        </w:numPr>
        <w:spacing w:before="1"/>
        <w:ind w:left="0" w:firstLine="0"/>
      </w:pPr>
      <w:r>
        <w:t>SCOPE OFSTUDY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t>This study focuses mainly on the various types of versatile investors who invest inreal estateandothertypesofinvestments.Theycanbeclassifiedinvariouswaysaswillbe seen later on in the literature review, but this study will focus mostly on their classification based on perception of risk i.e risk adverse, prone or indifferent. Mainly, the study will focus on the level of confidence the predominant class of investor in Nigeria has in the Nigerian real estatesector.</w:t>
      </w:r>
    </w:p>
    <w:p w:rsidR="005C3829" w:rsidRDefault="005C3829" w:rsidP="00B8371C">
      <w:pPr>
        <w:pStyle w:val="BodyText"/>
        <w:spacing w:line="480" w:lineRule="auto"/>
        <w:jc w:val="both"/>
      </w:pPr>
      <w:r>
        <w:t xml:space="preserve">Geographically, this study will look at the Investor confidence in </w:t>
      </w:r>
      <w:r w:rsidR="00B8371C">
        <w:t>Ilorin</w:t>
      </w:r>
      <w:r>
        <w:t>; more specifically Victoria Island. Recognition will also be given to foreign investors within thecountryandtheirreasonsandperceptionsforinvestinginNigeria’spropertymarket andalsodeterminetheirperceptionoftheNigerianrealestatemarketinthenearfuture.</w:t>
      </w:r>
    </w:p>
    <w:p w:rsidR="005C3829" w:rsidRDefault="005C3829" w:rsidP="005C3829">
      <w:pPr>
        <w:pStyle w:val="Heading2"/>
        <w:numPr>
          <w:ilvl w:val="1"/>
          <w:numId w:val="1"/>
        </w:numPr>
        <w:spacing w:before="1"/>
        <w:ind w:left="0" w:firstLine="0"/>
      </w:pPr>
      <w:r>
        <w:t>SIGNIFICANCE OFSTUDY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lastRenderedPageBreak/>
        <w:t xml:space="preserve">Real estate thrives in Nigeria due to its high demand, which is as a result of the rapid increase in population (NAIFA, </w:t>
      </w:r>
      <w:r w:rsidR="00ED7A39">
        <w:t>2020</w:t>
      </w:r>
      <w:r>
        <w:t>). This population includes families, traders and investorsthatviewNigeriaasthecommercialhubofnotjustwestAfricabuttheentire African continent (NAIFA,</w:t>
      </w:r>
      <w:r w:rsidR="00ED7A39">
        <w:t>2020</w:t>
      </w:r>
      <w:r>
        <w:t>).</w:t>
      </w:r>
    </w:p>
    <w:p w:rsidR="005C3829" w:rsidRDefault="005C3829" w:rsidP="005C3829">
      <w:pPr>
        <w:pStyle w:val="BodyText"/>
        <w:spacing w:line="480" w:lineRule="auto"/>
        <w:jc w:val="both"/>
      </w:pPr>
      <w:r>
        <w:t>In assessing the level of confidence the average Nigerian Investor has in the realestate sector, the research will determine what drives those real estate investors towards investing in this sector and in the event that it is asserted that most investors shy away from the real estate sector, this research will proffer possible solutions needed to mitigate those factors which discourage investment in the Nigerian real estatemarket.</w:t>
      </w:r>
    </w:p>
    <w:p w:rsidR="005C3829" w:rsidRDefault="005C3829" w:rsidP="005C3829">
      <w:pPr>
        <w:pStyle w:val="BodyText"/>
        <w:spacing w:before="74" w:line="480" w:lineRule="auto"/>
        <w:jc w:val="both"/>
      </w:pPr>
      <w:r>
        <w:t>There is a need to have documented information on the performance and current level ofconfidenceoftheseinvestorsandthisresearchwillprovidethatinformationandwill be beneficial to stakeholders in real estate such as real estate practitioners as it would bringtotheirawarenessthestateoflocalandforeignrealestateinvestmentsinNigeria. It would also benefit the Government so as to enable them determine what sectors of theeconomytoinvestinwithprioritybeinggiventoinfrastructuraldevelopment.</w:t>
      </w:r>
      <w:r>
        <w:rPr>
          <w:spacing w:val="-3"/>
        </w:rPr>
        <w:t>It</w:t>
      </w:r>
      <w:r>
        <w:t>can also enable them determine if foreign investors are making the real estate market unfavourable for indigenes of Nigeria. As for the academia that would carry out researchinthisarea,therewouldbedatafortheresearcherandalsoforthosewhowish to further thisresearch.</w:t>
      </w:r>
    </w:p>
    <w:p w:rsidR="005C3829" w:rsidRDefault="005C3829" w:rsidP="005C3829">
      <w:pPr>
        <w:pStyle w:val="BodyText"/>
        <w:spacing w:before="5"/>
      </w:pPr>
    </w:p>
    <w:p w:rsidR="005C3829" w:rsidRDefault="005C3829" w:rsidP="005C3829">
      <w:pPr>
        <w:pStyle w:val="Heading2"/>
        <w:numPr>
          <w:ilvl w:val="1"/>
          <w:numId w:val="1"/>
        </w:numPr>
        <w:spacing w:before="1"/>
        <w:ind w:left="0" w:firstLine="0"/>
      </w:pPr>
      <w:r>
        <w:t>DEFINITION OFTERMS</w:t>
      </w:r>
    </w:p>
    <w:p w:rsidR="005C3829" w:rsidRDefault="005C3829" w:rsidP="005C3829">
      <w:pPr>
        <w:pStyle w:val="BodyText"/>
        <w:spacing w:before="6"/>
        <w:rPr>
          <w:b/>
          <w:sz w:val="23"/>
        </w:rPr>
      </w:pPr>
    </w:p>
    <w:p w:rsidR="005C3829" w:rsidRPr="005C3829" w:rsidRDefault="005C3829" w:rsidP="005C3829">
      <w:pPr>
        <w:shd w:val="clear" w:color="auto" w:fill="FFFFFF"/>
        <w:spacing w:after="150" w:line="480" w:lineRule="auto"/>
        <w:jc w:val="both"/>
        <w:rPr>
          <w:rFonts w:asciiTheme="majorBidi" w:hAnsiTheme="majorBidi" w:cstheme="majorBidi"/>
          <w:sz w:val="24"/>
          <w:szCs w:val="24"/>
          <w:shd w:val="clear" w:color="auto" w:fill="FFFFFF"/>
        </w:rPr>
      </w:pPr>
      <w:r w:rsidRPr="005C3829">
        <w:rPr>
          <w:rFonts w:asciiTheme="majorBidi" w:hAnsiTheme="majorBidi" w:cstheme="majorBidi"/>
          <w:b/>
          <w:bCs/>
          <w:sz w:val="24"/>
          <w:szCs w:val="24"/>
          <w:shd w:val="clear" w:color="auto" w:fill="FFFFFF"/>
        </w:rPr>
        <w:t>Appraisal:</w:t>
      </w:r>
      <w:r w:rsidRPr="005C3829">
        <w:rPr>
          <w:rFonts w:asciiTheme="majorBidi" w:hAnsiTheme="majorBidi" w:cstheme="majorBidi"/>
          <w:sz w:val="24"/>
          <w:szCs w:val="24"/>
        </w:rPr>
        <w:t>an </w:t>
      </w:r>
      <w:hyperlink r:id="rId7" w:tooltip="examination" w:history="1">
        <w:r w:rsidRPr="005C3829">
          <w:rPr>
            <w:rStyle w:val="Hyperlink"/>
            <w:rFonts w:asciiTheme="majorBidi" w:hAnsiTheme="majorBidi" w:cstheme="majorBidi"/>
            <w:color w:val="auto"/>
            <w:sz w:val="24"/>
            <w:szCs w:val="24"/>
            <w:u w:val="none"/>
          </w:rPr>
          <w:t>examination</w:t>
        </w:r>
      </w:hyperlink>
      <w:r w:rsidRPr="005C3829">
        <w:rPr>
          <w:rFonts w:asciiTheme="majorBidi" w:hAnsiTheme="majorBidi" w:cstheme="majorBidi"/>
          <w:sz w:val="24"/>
          <w:szCs w:val="24"/>
        </w:rPr>
        <w:t> of the </w:t>
      </w:r>
      <w:hyperlink r:id="rId8" w:tooltip="value" w:history="1">
        <w:r w:rsidRPr="005C3829">
          <w:rPr>
            <w:rStyle w:val="Hyperlink"/>
            <w:rFonts w:asciiTheme="majorBidi" w:hAnsiTheme="majorBidi" w:cstheme="majorBidi"/>
            <w:color w:val="auto"/>
            <w:sz w:val="24"/>
            <w:szCs w:val="24"/>
            <w:u w:val="none"/>
          </w:rPr>
          <w:t>value</w:t>
        </w:r>
      </w:hyperlink>
      <w:r w:rsidRPr="005C3829">
        <w:rPr>
          <w:rFonts w:asciiTheme="majorBidi" w:hAnsiTheme="majorBidi" w:cstheme="majorBidi"/>
          <w:sz w:val="24"/>
          <w:szCs w:val="24"/>
        </w:rPr>
        <w:t>, </w:t>
      </w:r>
      <w:hyperlink r:id="rId9" w:tooltip="condition" w:history="1">
        <w:r w:rsidRPr="005C3829">
          <w:rPr>
            <w:rStyle w:val="Hyperlink"/>
            <w:rFonts w:asciiTheme="majorBidi" w:hAnsiTheme="majorBidi" w:cstheme="majorBidi"/>
            <w:color w:val="auto"/>
            <w:sz w:val="24"/>
            <w:szCs w:val="24"/>
            <w:u w:val="none"/>
          </w:rPr>
          <w:t>condition</w:t>
        </w:r>
      </w:hyperlink>
      <w:r w:rsidRPr="005C3829">
        <w:rPr>
          <w:rFonts w:asciiTheme="majorBidi" w:hAnsiTheme="majorBidi" w:cstheme="majorBidi"/>
          <w:sz w:val="24"/>
          <w:szCs w:val="24"/>
        </w:rPr>
        <w:t>, </w:t>
      </w:r>
      <w:hyperlink r:id="rId10" w:tooltip="qualities" w:history="1">
        <w:r w:rsidRPr="005C3829">
          <w:rPr>
            <w:rStyle w:val="Hyperlink"/>
            <w:rFonts w:asciiTheme="majorBidi" w:hAnsiTheme="majorBidi" w:cstheme="majorBidi"/>
            <w:color w:val="auto"/>
            <w:sz w:val="24"/>
            <w:szCs w:val="24"/>
            <w:u w:val="none"/>
          </w:rPr>
          <w:t>qualities</w:t>
        </w:r>
      </w:hyperlink>
      <w:r w:rsidRPr="005C3829">
        <w:rPr>
          <w:rFonts w:asciiTheme="majorBidi" w:hAnsiTheme="majorBidi" w:cstheme="majorBidi"/>
          <w:sz w:val="24"/>
          <w:szCs w:val="24"/>
        </w:rPr>
        <w:t>, etc. of something</w:t>
      </w:r>
    </w:p>
    <w:p w:rsidR="005C3829" w:rsidRDefault="005C3829" w:rsidP="005C3829">
      <w:pPr>
        <w:pStyle w:val="BodyText"/>
        <w:spacing w:line="480" w:lineRule="auto"/>
        <w:jc w:val="both"/>
      </w:pPr>
      <w:r>
        <w:rPr>
          <w:b/>
        </w:rPr>
        <w:t xml:space="preserve">Investor: </w:t>
      </w:r>
      <w:r>
        <w:t>This is an individual or group of individuals who presently put in financial capital into an asset, in order to receive returns; monetary or otherwise, from the asset in the future.</w:t>
      </w:r>
    </w:p>
    <w:p w:rsidR="005C3829" w:rsidRDefault="005C3829" w:rsidP="005C3829">
      <w:pPr>
        <w:pStyle w:val="BodyText"/>
        <w:spacing w:before="1"/>
      </w:pPr>
    </w:p>
    <w:p w:rsidR="005C3829" w:rsidRDefault="005C3829" w:rsidP="005C3829">
      <w:pPr>
        <w:pStyle w:val="BodyText"/>
      </w:pPr>
    </w:p>
    <w:p w:rsidR="005C3829" w:rsidRDefault="005C3829" w:rsidP="005C3829">
      <w:pPr>
        <w:pStyle w:val="BodyText"/>
        <w:spacing w:before="1" w:line="480" w:lineRule="auto"/>
        <w:jc w:val="both"/>
      </w:pPr>
      <w:r>
        <w:rPr>
          <w:b/>
        </w:rPr>
        <w:lastRenderedPageBreak/>
        <w:t xml:space="preserve">Confidence: </w:t>
      </w:r>
      <w:r>
        <w:t>This is the level of trust an investor has in the future performance of the Nigerian real estate market with respect to the financial benefits that investor will receive from the market.</w:t>
      </w:r>
    </w:p>
    <w:p w:rsidR="005C3829" w:rsidRDefault="005C3829" w:rsidP="005C3829">
      <w:pPr>
        <w:pStyle w:val="BodyText"/>
        <w:spacing w:line="480" w:lineRule="auto"/>
        <w:jc w:val="both"/>
      </w:pPr>
      <w:r>
        <w:rPr>
          <w:b/>
        </w:rPr>
        <w:t>RealEstateMarket:</w:t>
      </w:r>
      <w:r>
        <w:t>Thisisanyformof</w:t>
      </w:r>
      <w:r w:rsidR="00794B08">
        <w:t>interaction</w:t>
      </w:r>
      <w:r w:rsidR="00794B08">
        <w:rPr>
          <w:spacing w:val="-12"/>
        </w:rPr>
        <w:t>s that exists between a willing buyer and a willing seller of real property, in an arm’s length transaction, after adequate marketing of the property, and after both parties have</w:t>
      </w:r>
      <w:r>
        <w:t xml:space="preserve"> acted prudently and without compulsion.</w:t>
      </w:r>
    </w:p>
    <w:p w:rsidR="005C3829" w:rsidRPr="005C3829" w:rsidRDefault="005C3829" w:rsidP="005C3829">
      <w:pPr>
        <w:pStyle w:val="BodyText"/>
        <w:spacing w:before="1" w:line="480" w:lineRule="auto"/>
        <w:jc w:val="both"/>
        <w:rPr>
          <w:rFonts w:asciiTheme="majorBidi" w:hAnsiTheme="majorBidi" w:cstheme="majorBidi"/>
        </w:rPr>
      </w:pPr>
      <w:r w:rsidRPr="005C3829">
        <w:rPr>
          <w:rFonts w:asciiTheme="majorBidi" w:hAnsiTheme="majorBidi" w:cstheme="majorBidi"/>
          <w:b/>
          <w:bCs/>
          <w:bdr w:val="none" w:sz="0" w:space="0" w:color="auto" w:frame="1"/>
        </w:rPr>
        <w:t>Sector:</w:t>
      </w:r>
      <w:r w:rsidRPr="005C3829">
        <w:rPr>
          <w:rFonts w:asciiTheme="majorBidi" w:hAnsiTheme="majorBidi" w:cstheme="majorBidi"/>
          <w:b/>
          <w:bCs/>
        </w:rPr>
        <w:t> </w:t>
      </w:r>
      <w:r w:rsidRPr="005C3829">
        <w:rPr>
          <w:rFonts w:asciiTheme="majorBidi" w:hAnsiTheme="majorBidi" w:cstheme="majorBidi"/>
        </w:rPr>
        <w:t>is a large group is a smaller group which is part of it.</w:t>
      </w:r>
    </w:p>
    <w:p w:rsidR="00B8371C" w:rsidRDefault="00B8371C">
      <w:pPr>
        <w:widowControl/>
        <w:autoSpaceDE/>
        <w:autoSpaceDN/>
        <w:spacing w:after="200" w:line="276" w:lineRule="auto"/>
        <w:rPr>
          <w:b/>
          <w:bCs/>
          <w:sz w:val="24"/>
          <w:szCs w:val="24"/>
        </w:rPr>
      </w:pPr>
      <w:r>
        <w:br w:type="page"/>
      </w:r>
    </w:p>
    <w:p w:rsidR="00E12064" w:rsidRDefault="00E12064" w:rsidP="00E12064">
      <w:pPr>
        <w:pStyle w:val="Heading2"/>
        <w:spacing w:before="78" w:line="480" w:lineRule="auto"/>
        <w:ind w:left="0" w:right="-20"/>
        <w:jc w:val="center"/>
      </w:pPr>
      <w:r>
        <w:lastRenderedPageBreak/>
        <w:t>CHAPTER TWO</w:t>
      </w:r>
    </w:p>
    <w:p w:rsidR="00E12064" w:rsidRDefault="00E12064" w:rsidP="00E12064">
      <w:pPr>
        <w:pStyle w:val="Heading2"/>
        <w:spacing w:before="78" w:line="480" w:lineRule="auto"/>
        <w:ind w:left="0" w:right="-20"/>
        <w:jc w:val="center"/>
      </w:pPr>
      <w:r>
        <w:t>LITERATURE REVIEW</w:t>
      </w:r>
    </w:p>
    <w:p w:rsidR="00E12064" w:rsidRDefault="00E12064" w:rsidP="00E12064">
      <w:pPr>
        <w:pStyle w:val="BodyText"/>
        <w:ind w:right="-20"/>
        <w:rPr>
          <w:b/>
          <w:sz w:val="20"/>
        </w:rPr>
      </w:pPr>
    </w:p>
    <w:p w:rsidR="00E12064" w:rsidRDefault="00E12064" w:rsidP="00E12064">
      <w:pPr>
        <w:pStyle w:val="ListParagraph"/>
        <w:numPr>
          <w:ilvl w:val="1"/>
          <w:numId w:val="11"/>
        </w:numPr>
        <w:spacing w:before="90" w:line="480" w:lineRule="auto"/>
        <w:ind w:left="0" w:right="-20" w:firstLine="0"/>
        <w:rPr>
          <w:b/>
          <w:sz w:val="24"/>
        </w:rPr>
      </w:pPr>
      <w:r>
        <w:rPr>
          <w:b/>
          <w:sz w:val="24"/>
        </w:rPr>
        <w:t>INTRODUCTION</w:t>
      </w:r>
    </w:p>
    <w:p w:rsidR="00E12064" w:rsidRDefault="00E12064" w:rsidP="00E12064">
      <w:pPr>
        <w:pStyle w:val="BodyText"/>
        <w:spacing w:line="480" w:lineRule="auto"/>
        <w:ind w:right="-20"/>
        <w:jc w:val="both"/>
      </w:pPr>
      <w:r>
        <w:t>Thissectionofthestudy,isconcernedwiththevariousconceptsrelatedtotheresearch topic. Areas such as types of investors, general investments and more specifically real estate investments, nature of Nigeria’s investment climate, behavioural characteristics of investor’s, will be discussed here based on past studies carried out byresearchers.</w:t>
      </w:r>
    </w:p>
    <w:p w:rsidR="00E12064" w:rsidRDefault="00E12064" w:rsidP="00E12064">
      <w:pPr>
        <w:pStyle w:val="Heading2"/>
        <w:numPr>
          <w:ilvl w:val="1"/>
          <w:numId w:val="11"/>
        </w:numPr>
        <w:spacing w:before="222" w:line="480" w:lineRule="auto"/>
        <w:ind w:left="0" w:right="-20" w:firstLine="0"/>
      </w:pPr>
      <w:r>
        <w:t>CONCEPT OF REAL ESTATE/PROPERTY ANDDEVELOPMENT</w:t>
      </w:r>
    </w:p>
    <w:p w:rsidR="00E12064" w:rsidRDefault="00E12064" w:rsidP="00ED7A39">
      <w:pPr>
        <w:pStyle w:val="BodyText"/>
        <w:spacing w:before="213" w:line="480" w:lineRule="auto"/>
        <w:ind w:right="-20"/>
        <w:jc w:val="both"/>
      </w:pPr>
      <w:r>
        <w:t>Real estate is the physical land and other natural and man-made improvements and attachments to the land. Accordi</w:t>
      </w:r>
      <w:r w:rsidR="00ED7A39">
        <w:t>ng to Ogedengbe and Adesopo (2021</w:t>
      </w:r>
      <w:r>
        <w:t>), ‘Real property refers to the interests, benefits and inherent right in the ownership of the physical land (realestate)’.Theyalsodefineddevelopmentasbeingtheapplicationofcapital,labour, managerial skill and entrepreneurial ability to land resources for the purpose of improving its productive capacity. Development of a piece of land involves a process which starts even before the actual construction of the site, even before the design of the project and continues after construction is completed till it is occupied. Development of real estate entails the improvement or construction of structures on bare land, or the rehabilitation of existing structures to increase itsvalue.</w:t>
      </w:r>
    </w:p>
    <w:p w:rsidR="00E12064" w:rsidRDefault="00E12064" w:rsidP="00E12064">
      <w:pPr>
        <w:pStyle w:val="Heading2"/>
        <w:numPr>
          <w:ilvl w:val="1"/>
          <w:numId w:val="11"/>
        </w:numPr>
        <w:spacing w:line="480" w:lineRule="auto"/>
        <w:ind w:left="0" w:right="-20" w:firstLine="0"/>
      </w:pPr>
      <w:r>
        <w:t>REAL ESTATEINVESTMENT</w:t>
      </w:r>
    </w:p>
    <w:p w:rsidR="00E12064" w:rsidRDefault="00E12064" w:rsidP="00ED7A39">
      <w:pPr>
        <w:pStyle w:val="BodyText"/>
        <w:spacing w:before="213" w:line="480" w:lineRule="auto"/>
        <w:ind w:right="-20"/>
        <w:jc w:val="both"/>
      </w:pPr>
      <w:r>
        <w:t>Real Estate investment is the laying down of capital towards the construction of real estatewiththeexpectationofgettingseriesofincomethroughrentoralumpsumfrom thesalethereafter.Investmentgenerallyisthegivingupofacertainsumwiththehope ofmakingaprofitinthefuture.Kalu(20</w:t>
      </w:r>
      <w:r w:rsidR="00ED7A39">
        <w:t>20</w:t>
      </w:r>
      <w:r>
        <w:t xml:space="preserve">),opinedthatforaninvestortoinvestin real estate, a huge capital outlay is needed which with the right entrepreneurial ingenuity will enable adequate </w:t>
      </w:r>
      <w:r>
        <w:lastRenderedPageBreak/>
        <w:t>return.</w:t>
      </w:r>
    </w:p>
    <w:p w:rsidR="00E12064" w:rsidRDefault="00E12064" w:rsidP="00ED7A39">
      <w:pPr>
        <w:pStyle w:val="BodyText"/>
        <w:spacing w:line="480" w:lineRule="auto"/>
        <w:ind w:right="-20"/>
        <w:jc w:val="both"/>
      </w:pPr>
      <w:r>
        <w:t>Kalu</w:t>
      </w:r>
      <w:r w:rsidR="00ED7A39">
        <w:t>(2020</w:t>
      </w:r>
      <w:r>
        <w:t>),alsostatedthatthedecisiontoengageinrealpropertyinvestmentisamong themostdifficultandcriticaldecisionsaninvestorhastomake.Thisisnotonlybecause of the large capital outlay and long period it takes to develop, but also because real estateisafixedassetwhichmeansitcannoteasilybechangedto</w:t>
      </w:r>
      <w:r w:rsidR="00ED7A39">
        <w:t>form</w:t>
      </w:r>
      <w:r>
        <w:t xml:space="preserve">i.ecash. Hence, once a real estate investment decision is taken, an error which may result if </w:t>
      </w:r>
      <w:r w:rsidR="00ED7A39">
        <w:t>discovered</w:t>
      </w:r>
      <w:r>
        <w:t xml:space="preserve"> can hardly be remedied. Investment decisions in securities, share or real property are often made based on the expectation of future returns. There are other forms of investments namely; stocks/shares, bonds, valuable items (gold, art) and certificate of deposit (Kalu et al,</w:t>
      </w:r>
      <w:r w:rsidR="00ED7A39">
        <w:t>2020</w:t>
      </w:r>
      <w:r>
        <w:t>).</w:t>
      </w:r>
    </w:p>
    <w:p w:rsidR="00B8371C" w:rsidRPr="00B8371C" w:rsidRDefault="00B8371C" w:rsidP="00B8371C">
      <w:pPr>
        <w:pStyle w:val="BodyText"/>
        <w:spacing w:line="480" w:lineRule="auto"/>
        <w:ind w:right="-20"/>
        <w:jc w:val="both"/>
        <w:rPr>
          <w:rFonts w:asciiTheme="majorBidi" w:hAnsiTheme="majorBidi" w:cstheme="majorBidi"/>
        </w:rPr>
      </w:pPr>
      <w:r w:rsidRPr="00B8371C">
        <w:rPr>
          <w:rFonts w:asciiTheme="majorBidi" w:hAnsiTheme="majorBidi" w:cstheme="majorBidi"/>
        </w:rPr>
        <w:t xml:space="preserve">The number of investors in </w:t>
      </w:r>
      <w:r>
        <w:rPr>
          <w:rFonts w:asciiTheme="majorBidi" w:hAnsiTheme="majorBidi" w:cstheme="majorBidi"/>
        </w:rPr>
        <w:t>Ilorin</w:t>
      </w:r>
      <w:r w:rsidRPr="00B8371C">
        <w:rPr>
          <w:rFonts w:asciiTheme="majorBidi" w:hAnsiTheme="majorBidi" w:cstheme="majorBidi"/>
        </w:rPr>
        <w:t xml:space="preserve"> can fluctuate and is influenced by various factors, including economic conditions, local business initiatives, and available investment opportunities. For accurate and up-to-date statistics, you might consider reaching out to local business chambers, investment promotion agencies, or conducting surveys within the community.</w:t>
      </w:r>
    </w:p>
    <w:p w:rsidR="00E12064" w:rsidRDefault="00E12064" w:rsidP="00E12064">
      <w:pPr>
        <w:pStyle w:val="Heading2"/>
        <w:numPr>
          <w:ilvl w:val="1"/>
          <w:numId w:val="11"/>
        </w:numPr>
        <w:ind w:left="0" w:right="-20" w:firstLine="0"/>
      </w:pPr>
      <w:r>
        <w:t>DIRECT AND INDIRECT INVESTMENT IN REALESTATE</w:t>
      </w:r>
    </w:p>
    <w:p w:rsidR="00E12064" w:rsidRDefault="00E12064" w:rsidP="00E12064">
      <w:pPr>
        <w:pStyle w:val="BodyText"/>
        <w:spacing w:before="213" w:line="480" w:lineRule="auto"/>
        <w:ind w:right="-20"/>
        <w:jc w:val="both"/>
      </w:pPr>
      <w:r>
        <w:t xml:space="preserve">Wong (2015) states that an investor in real estate can choose to invest in real estate either directly or indirectly. Furthermore, the author explains that direct investment enables the investor to own the property and the responsibility of managing it, he has the right to use and dispose at will. On the other hand, an indirect investment in real estate does not give the investor the right to own the property, but he is simply lending the money to the Property Company or individual who will invest directly in the property. A way of investing in real estate indirectly is by investing in Real Estate Investment Trusts (REITs). It involves working with a company that owns real estate investments, instead of buying your own. Investment in REITs can either be an ownershipinvestmentwhichgivesyouashareinrealestateitself(inbuyingashareof a REIT means buying a physical asset) or a lending investment which is investing in the mortgage of the real estate. </w:t>
      </w:r>
    </w:p>
    <w:p w:rsidR="00E12064" w:rsidRDefault="00E12064" w:rsidP="00E12064">
      <w:pPr>
        <w:pStyle w:val="BodyText"/>
        <w:spacing w:before="213" w:line="480" w:lineRule="auto"/>
        <w:ind w:right="-20"/>
        <w:jc w:val="both"/>
      </w:pPr>
      <w:r>
        <w:lastRenderedPageBreak/>
        <w:t>There are various classes of direct real property investments. They are the residential, commercial, industrial, special and institutional properties. An investor will have to select the class of property that will meet target objectives as an investor. Investing directlyinanyofthesetypesofrealestateinvolvesthephysicalstructurewhichcanbe located andmanage.</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Wong (2015) explains that the real estate investor considers various characteristics when investing in real estate. He normally would consider the class of real estate it belongs to, whether residential, commercial or industrial for example. In choosing residential properties there are various types such as detached, semi-detached, tenement, bungalows, flats and terrace buildings. One type of residential property can perform better than the others due to high demand for that particular type. The government’s sole objective for investing in residential properties (housing) is to provideaccommodationforthemasses.Furthermore,hestatedthattheprivateinvestor that chooses to invest in residential properties aims at recouping the capital invested with profit. The National Housing Policy is aware of the positive performance of the private sector in housing and has encouraged future participation in recent reforms. However, the private sector does not invest in housing based on policies set by the government, but examine and ask questions on past accomplishments and future strategies (Udoetuk,20</w:t>
      </w:r>
      <w:r w:rsidR="00ED7A39">
        <w:t>19</w:t>
      </w:r>
      <w:r>
        <w:t>).</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Some other investors consider the security of financing the investment. Sources of financing real estate projects include banks, pension funds and insurance companies. BelloandAdewusi(20</w:t>
      </w:r>
      <w:r w:rsidR="00ED7A39">
        <w:t>21</w:t>
      </w:r>
      <w:r>
        <w:t xml:space="preserve">)opinedthatsecurityisnotintendedtobetheprimarysource of repayment, but only as a means of repaying the loan should the primary source of repayment fail. Lenders view security as an insurance against events that may hinder therepayment.Furthermore,theauthorsexplainthattraditionally,financialinstitutions accept valuable assets as security for loans which include real estate (residential, commercial, industrial, </w:t>
      </w:r>
      <w:r>
        <w:lastRenderedPageBreak/>
        <w:t>or recreational) and financial assets (shares, life assurance policy,guarantee,pledge,indemnitypolicy,specialaccountandtimedeposit).Lenders are concerned about the value of the asset and the ease with which they can dispose of it and also its ability to hedge againstinflation.</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Real estate is composed of several distinct areas of investment opportunities such as residential, commercial, industrial, agricultural or recreational investment. Traditionally, financial institutions accept real estate as a security for loan, the most probable reason being its ability to preserve wealth against inflation. The lenders usually engage the service of a valuer and other professionals who by training are familiar with economics of landed resources (Bello &amp;Adewusi, 20</w:t>
      </w:r>
      <w:r w:rsidR="00ED7A39">
        <w:t>1</w:t>
      </w:r>
      <w:r>
        <w:t>9). The authors also state that their value estimate forms the basis of the lender’s decision to lend and how much to advance to the borrowers.</w:t>
      </w:r>
    </w:p>
    <w:p w:rsidR="00E12064" w:rsidRDefault="00E12064" w:rsidP="00ED7A39">
      <w:pPr>
        <w:pStyle w:val="BodyText"/>
        <w:spacing w:before="74" w:line="480" w:lineRule="auto"/>
        <w:ind w:right="-20"/>
        <w:jc w:val="both"/>
      </w:pPr>
      <w:r>
        <w:t>Real estate has some shortcomings as a security for loan which include; if poorly located it may be difficult to exercise the right of sale and it is also subject to various State and Local laws and rates. Real estate despite these shortcomings is adjudged a better security asset for loan in an economy where things change rapidly (Bello &amp;Adewusi, 20</w:t>
      </w:r>
      <w:r w:rsidR="00ED7A39">
        <w:t>1</w:t>
      </w:r>
      <w:r>
        <w:t>9).</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According to Olusegun (20</w:t>
      </w:r>
      <w:r w:rsidR="00ED7A39">
        <w:t>23</w:t>
      </w:r>
      <w:r>
        <w:t>) factors such as the absence of workable and well organized real estate development finance system have made the process of obtaining funds a difficult one. There are numerous shortcomings of the existing sources of finance,thecriticalonesbeingthatifthewealthoftherealestatedevelopersarebrought together it would hardly be enough when compared with the nature of property development or the debt funds from money markets that are unable to grant long-term credits due to the nature of theiroperation.</w:t>
      </w:r>
    </w:p>
    <w:p w:rsidR="00E12064" w:rsidRDefault="00E12064" w:rsidP="00E12064">
      <w:pPr>
        <w:pStyle w:val="BodyText"/>
        <w:ind w:right="-20"/>
        <w:rPr>
          <w:sz w:val="21"/>
        </w:rPr>
      </w:pPr>
    </w:p>
    <w:p w:rsidR="00E12064" w:rsidRDefault="00E12064" w:rsidP="00E12064">
      <w:pPr>
        <w:pStyle w:val="Heading2"/>
        <w:numPr>
          <w:ilvl w:val="1"/>
          <w:numId w:val="11"/>
        </w:numPr>
        <w:spacing w:line="480" w:lineRule="auto"/>
        <w:ind w:left="0" w:right="-20" w:firstLine="0"/>
      </w:pPr>
      <w:r>
        <w:t>INVESTMENT PERFORMANCE EVALAUTION</w:t>
      </w:r>
    </w:p>
    <w:p w:rsidR="00E12064" w:rsidRDefault="00E12064" w:rsidP="00ED7A39">
      <w:pPr>
        <w:pStyle w:val="BodyText"/>
        <w:spacing w:before="1" w:line="480" w:lineRule="auto"/>
        <w:ind w:right="-20"/>
        <w:jc w:val="both"/>
      </w:pPr>
      <w:r>
        <w:t>Kalu (20</w:t>
      </w:r>
      <w:r w:rsidR="00ED7A39">
        <w:t>21</w:t>
      </w:r>
      <w:r>
        <w:t xml:space="preserve">) opined that for an investment strategy, the investment performance measurement </w:t>
      </w:r>
      <w:r>
        <w:lastRenderedPageBreak/>
        <w:t>should be done frequently, as it helps investors gain insight into the portfolio,andknowwhatisresponsiblefortheperformanceoftheportfolio.Itislogical for any investor to enquire about his past achievements and future strategies. He mentionedthefollowingasreasonswhypropertyperformancemeasurementisneeded: communication, accountability, actual performance against goals and basis for future action.</w:t>
      </w:r>
    </w:p>
    <w:p w:rsidR="00E12064" w:rsidRDefault="00E12064" w:rsidP="00E12064">
      <w:pPr>
        <w:pStyle w:val="ListParagraph"/>
        <w:numPr>
          <w:ilvl w:val="2"/>
          <w:numId w:val="11"/>
        </w:numPr>
        <w:spacing w:line="480" w:lineRule="auto"/>
        <w:ind w:left="0" w:right="-20" w:firstLine="0"/>
        <w:jc w:val="both"/>
        <w:rPr>
          <w:sz w:val="24"/>
        </w:rPr>
      </w:pPr>
      <w:r>
        <w:rPr>
          <w:b/>
          <w:sz w:val="24"/>
        </w:rPr>
        <w:t>Communication</w:t>
      </w:r>
      <w:r>
        <w:rPr>
          <w:sz w:val="24"/>
        </w:rPr>
        <w:t>: Investors need to be advised on the strategy for theimprovement of their portfolio. Performance measurement will provide quantitative rather than qualitative descriptive of the property's performance; and thus provide a reliable basis for measuring the investorsachievements.</w:t>
      </w:r>
    </w:p>
    <w:p w:rsidR="00E12064" w:rsidRPr="00B8371C" w:rsidRDefault="00E12064" w:rsidP="00B8371C">
      <w:pPr>
        <w:pStyle w:val="ListParagraph"/>
        <w:numPr>
          <w:ilvl w:val="2"/>
          <w:numId w:val="11"/>
        </w:numPr>
        <w:spacing w:before="1" w:line="480" w:lineRule="auto"/>
        <w:ind w:left="0" w:right="-20" w:firstLine="0"/>
        <w:jc w:val="both"/>
        <w:rPr>
          <w:sz w:val="24"/>
        </w:rPr>
      </w:pPr>
      <w:r>
        <w:rPr>
          <w:b/>
          <w:sz w:val="24"/>
        </w:rPr>
        <w:t>Accountability</w:t>
      </w:r>
      <w:r>
        <w:rPr>
          <w:sz w:val="24"/>
        </w:rPr>
        <w:t>: Investors are now more informed and sophisticated thanbefore.</w:t>
      </w:r>
      <w:r w:rsidR="00B8371C">
        <w:t xml:space="preserve">Thus, </w:t>
      </w:r>
      <w:r>
        <w:t>they now require the right reports from investment analysis and professionals. Thishasplacedtheburdenofaccountabilityonadvisors,asinvestorshavetobeassured of the liability of future investmentanalysis.</w:t>
      </w:r>
    </w:p>
    <w:p w:rsidR="00E12064" w:rsidRDefault="00E12064" w:rsidP="00E12064">
      <w:pPr>
        <w:pStyle w:val="ListParagraph"/>
        <w:numPr>
          <w:ilvl w:val="2"/>
          <w:numId w:val="11"/>
        </w:numPr>
        <w:spacing w:line="480" w:lineRule="auto"/>
        <w:ind w:left="0" w:right="-20" w:firstLine="0"/>
        <w:jc w:val="both"/>
        <w:rPr>
          <w:sz w:val="24"/>
        </w:rPr>
      </w:pPr>
      <w:r>
        <w:rPr>
          <w:b/>
          <w:sz w:val="24"/>
        </w:rPr>
        <w:t>Initial expectations versus the Actual Performance of an Asset</w:t>
      </w:r>
      <w:r>
        <w:rPr>
          <w:sz w:val="24"/>
        </w:rPr>
        <w:t xml:space="preserve">: It is crucial to examine how individual investments, sectors and the portfolio have performedrelative to initial expectations. </w:t>
      </w:r>
      <w:r>
        <w:rPr>
          <w:spacing w:val="-3"/>
          <w:sz w:val="24"/>
        </w:rPr>
        <w:t xml:space="preserve">It </w:t>
      </w:r>
      <w:r>
        <w:rPr>
          <w:sz w:val="24"/>
        </w:rPr>
        <w:t xml:space="preserve">is necessary for one to know how far he has come. </w:t>
      </w:r>
      <w:r>
        <w:rPr>
          <w:spacing w:val="-3"/>
          <w:sz w:val="24"/>
        </w:rPr>
        <w:t xml:space="preserve">It </w:t>
      </w:r>
      <w:r>
        <w:rPr>
          <w:spacing w:val="3"/>
          <w:sz w:val="24"/>
        </w:rPr>
        <w:t xml:space="preserve">is </w:t>
      </w:r>
      <w:r>
        <w:rPr>
          <w:sz w:val="24"/>
        </w:rPr>
        <w:t>usual forinvestorstohaveanexpectationorsettargetandaperformanceappraisalwillenable them know how well their assets have done against their originalexpectation.</w:t>
      </w:r>
    </w:p>
    <w:p w:rsidR="00E12064" w:rsidRDefault="00E12064" w:rsidP="00E12064">
      <w:pPr>
        <w:pStyle w:val="ListParagraph"/>
        <w:numPr>
          <w:ilvl w:val="2"/>
          <w:numId w:val="11"/>
        </w:numPr>
        <w:spacing w:before="1" w:line="480" w:lineRule="auto"/>
        <w:ind w:left="0" w:right="-20" w:firstLine="0"/>
        <w:jc w:val="both"/>
        <w:rPr>
          <w:sz w:val="24"/>
        </w:rPr>
      </w:pPr>
      <w:r>
        <w:rPr>
          <w:b/>
          <w:sz w:val="24"/>
        </w:rPr>
        <w:t>Basis for future action</w:t>
      </w:r>
      <w:r>
        <w:rPr>
          <w:sz w:val="24"/>
        </w:rPr>
        <w:t>: the analysis can prompt a decision to alter the sectional investment strategy of the investor or geographical spread. Knowing how well a property performance does helps future planning in ways such as helping the fund managersinfutureactions,supportingthesaleorrestructuringoftheleasearrangement of an underperformingproperty.</w:t>
      </w:r>
    </w:p>
    <w:p w:rsidR="00E12064" w:rsidRDefault="00E12064" w:rsidP="00E12064">
      <w:pPr>
        <w:pStyle w:val="BodyText"/>
        <w:spacing w:before="1" w:line="480" w:lineRule="auto"/>
        <w:ind w:right="-20"/>
        <w:jc w:val="both"/>
      </w:pPr>
      <w:r>
        <w:t xml:space="preserve">Kalu (2001) further listed the objectives of performance measurement as including the following: The measurement of the rate of return, assessment of how these rates </w:t>
      </w:r>
      <w:r>
        <w:lastRenderedPageBreak/>
        <w:t>comparewithotherassetsintheportfolio,examinationofthetimingofassetacquisition and consistency in achieving goodperformance.</w:t>
      </w:r>
    </w:p>
    <w:p w:rsidR="00E12064" w:rsidRDefault="00E12064" w:rsidP="00B8371C">
      <w:pPr>
        <w:pStyle w:val="Heading2"/>
        <w:numPr>
          <w:ilvl w:val="2"/>
          <w:numId w:val="10"/>
        </w:numPr>
        <w:spacing w:before="114"/>
        <w:ind w:left="0" w:right="-20" w:firstLine="0"/>
      </w:pPr>
      <w:r>
        <w:t>ASSESSING THE PERFORMANCE OF REAL ESATTEINVESTMENTS</w:t>
      </w:r>
    </w:p>
    <w:p w:rsidR="00E12064" w:rsidRDefault="00E12064" w:rsidP="00ED7A39">
      <w:pPr>
        <w:pStyle w:val="BodyText"/>
        <w:spacing w:before="213" w:line="480" w:lineRule="auto"/>
        <w:ind w:right="-20"/>
        <w:jc w:val="both"/>
      </w:pPr>
      <w:r>
        <w:t>According to Renae (20</w:t>
      </w:r>
      <w:r w:rsidR="00ED7A39">
        <w:t>19</w:t>
      </w:r>
      <w:r>
        <w:t>), investment performance is the quantitative measurement of the extent to which the portfolio has met the investor’s objectives in terms of return andrisktrade-off.Itinvolvesthein-depthanalysisofthe‘strengths’and‘shortcomings’ ofeitherasingleassetoragroupofindividualassets(aportfolio).Theauthorfurtherly states that portfolio performance appraisal can be done in absolute terms (in relationto itself) or in relation to the performance of otherportfolios.</w:t>
      </w:r>
    </w:p>
    <w:p w:rsidR="00E12064" w:rsidRDefault="00E12064" w:rsidP="00ED7A39">
      <w:pPr>
        <w:pStyle w:val="BodyText"/>
        <w:spacing w:before="1" w:line="480" w:lineRule="auto"/>
        <w:ind w:right="-20"/>
        <w:jc w:val="both"/>
      </w:pPr>
      <w:r>
        <w:t>The performance of a property investment is judged on the basis of rental income or growth and capital value growth. Return is measured in terms of the internal rate of return, which the assets produce over a period of time and reflects the intrinsic quality of the properties held. Basic methods of performance appraisal proposed by investors includeTheHoldingPeriodReturn(HPR)model,wasdefinedastherateofreturnover agiveninvestmentperiod,andcanbeusedincalculatingperformanceofanassetwhose return is not fluctuating (Kalu, 20</w:t>
      </w:r>
      <w:r w:rsidR="00ED7A39">
        <w:t>2</w:t>
      </w:r>
      <w:r>
        <w:t>1). But in a case whereby return fluctuates, as it should in real life, three measures of performance can be used, namely; Money weighted rate of return, Geometric mean return or Time-weighted average return and the Arithmetic mean return (Kalu,20</w:t>
      </w:r>
      <w:r w:rsidR="00ED7A39">
        <w:t>20</w:t>
      </w:r>
      <w:r>
        <w:t>).</w:t>
      </w:r>
    </w:p>
    <w:p w:rsidR="00E12064" w:rsidRDefault="00E12064" w:rsidP="00E12064">
      <w:pPr>
        <w:pStyle w:val="BodyText"/>
        <w:spacing w:line="480" w:lineRule="auto"/>
        <w:ind w:right="-20"/>
        <w:jc w:val="both"/>
      </w:pPr>
      <w:r>
        <w:t>In carrying out the eval</w:t>
      </w:r>
      <w:r w:rsidR="00ED7A39">
        <w:t>uation of investments, Kalu (202</w:t>
      </w:r>
      <w:r>
        <w:t>1) states that there has been disagreement between the property investment analysts about the suitable method for measuringperformance.Thisdisagreementisbasedonwhetherportfoliotheoryshould be used to measure risk or league table to be constructed, and also what index is to be usedforcomparison.However,availableperformancemeasurementsystemrecognises the need to measure return (rental growth and capital growth) from theinvestments.</w:t>
      </w:r>
    </w:p>
    <w:p w:rsidR="00E12064" w:rsidRDefault="00E12064" w:rsidP="00E12064">
      <w:pPr>
        <w:pStyle w:val="BodyText"/>
        <w:spacing w:before="74" w:line="480" w:lineRule="auto"/>
        <w:ind w:right="-20"/>
        <w:jc w:val="both"/>
      </w:pPr>
      <w:r>
        <w:t xml:space="preserve">Rental value, Income and outgoings, details of leases, Capital value and Property market </w:t>
      </w:r>
      <w:r>
        <w:lastRenderedPageBreak/>
        <w:t>indicators are data required for property performance measurement.</w:t>
      </w:r>
    </w:p>
    <w:p w:rsidR="00B8371C" w:rsidRDefault="00E12064" w:rsidP="00ED7A39">
      <w:pPr>
        <w:pStyle w:val="BodyText"/>
        <w:spacing w:line="480" w:lineRule="auto"/>
        <w:ind w:right="-20"/>
        <w:jc w:val="both"/>
      </w:pPr>
      <w:r>
        <w:t>The study of performance of real estate provides reliable data for estate surveyors and Valuers to advice their clients more efficiently and the investing public should be educated on the need to employ estate and surveyors for their professional advice, before embarking on an investment. Property investment data should always be up-to- date,andinformationonpropertytransactionsshouldnotbekeptasecret(Kalu,20</w:t>
      </w:r>
      <w:r w:rsidR="00ED7A39">
        <w:t>20</w:t>
      </w:r>
      <w:r>
        <w:t>).</w:t>
      </w:r>
    </w:p>
    <w:p w:rsidR="00E12064" w:rsidRDefault="00E12064" w:rsidP="00E12064">
      <w:pPr>
        <w:pStyle w:val="Heading2"/>
        <w:numPr>
          <w:ilvl w:val="2"/>
          <w:numId w:val="10"/>
        </w:numPr>
        <w:spacing w:line="480" w:lineRule="auto"/>
        <w:ind w:left="0" w:right="-20" w:firstLine="90"/>
      </w:pPr>
      <w:r>
        <w:t>COMPONENTS, MODES AND STAGES OF INVESTMENT PORTFOLIO PERFORMANCEAPPRAISAL</w:t>
      </w:r>
    </w:p>
    <w:p w:rsidR="00E12064" w:rsidRDefault="00E12064" w:rsidP="00E12064">
      <w:pPr>
        <w:pStyle w:val="BodyText"/>
        <w:spacing w:before="5"/>
        <w:ind w:right="-20"/>
        <w:rPr>
          <w:b/>
          <w:sz w:val="20"/>
        </w:rPr>
      </w:pPr>
    </w:p>
    <w:p w:rsidR="00E12064" w:rsidRDefault="00ED7A39" w:rsidP="00E12064">
      <w:pPr>
        <w:pStyle w:val="BodyText"/>
        <w:spacing w:line="480" w:lineRule="auto"/>
        <w:ind w:right="-20"/>
        <w:jc w:val="both"/>
      </w:pPr>
      <w:r>
        <w:t>According to Renae (2019</w:t>
      </w:r>
      <w:r w:rsidR="00E12064">
        <w:t>), there the components of portfolio investment appraisal involves two main aspects:</w:t>
      </w:r>
    </w:p>
    <w:p w:rsidR="00E12064" w:rsidRDefault="00E12064" w:rsidP="00E12064">
      <w:pPr>
        <w:pStyle w:val="BodyText"/>
        <w:spacing w:before="11"/>
        <w:ind w:right="-20"/>
        <w:rPr>
          <w:sz w:val="20"/>
        </w:rPr>
      </w:pPr>
    </w:p>
    <w:p w:rsidR="00E12064" w:rsidRDefault="00E12064" w:rsidP="00B8371C">
      <w:pPr>
        <w:pStyle w:val="ListParagraph"/>
        <w:numPr>
          <w:ilvl w:val="3"/>
          <w:numId w:val="10"/>
        </w:numPr>
        <w:spacing w:line="360" w:lineRule="auto"/>
        <w:ind w:left="630" w:right="-20"/>
        <w:rPr>
          <w:sz w:val="24"/>
        </w:rPr>
      </w:pPr>
      <w:r>
        <w:rPr>
          <w:sz w:val="24"/>
        </w:rPr>
        <w:t>Measurement of the analysis;and</w:t>
      </w:r>
    </w:p>
    <w:p w:rsidR="00E12064" w:rsidRDefault="00E12064" w:rsidP="00B8371C">
      <w:pPr>
        <w:pStyle w:val="ListParagraph"/>
        <w:numPr>
          <w:ilvl w:val="3"/>
          <w:numId w:val="10"/>
        </w:numPr>
        <w:spacing w:line="360" w:lineRule="auto"/>
        <w:ind w:left="630" w:right="-20"/>
        <w:rPr>
          <w:sz w:val="24"/>
        </w:rPr>
      </w:pPr>
      <w:r>
        <w:rPr>
          <w:sz w:val="24"/>
        </w:rPr>
        <w:t>Analysis.</w:t>
      </w:r>
    </w:p>
    <w:p w:rsidR="00E12064" w:rsidRDefault="00E12064" w:rsidP="00B8371C">
      <w:pPr>
        <w:pStyle w:val="ListParagraph"/>
        <w:numPr>
          <w:ilvl w:val="0"/>
          <w:numId w:val="9"/>
        </w:numPr>
        <w:spacing w:line="360" w:lineRule="auto"/>
        <w:ind w:left="1080" w:right="-20"/>
        <w:jc w:val="both"/>
        <w:rPr>
          <w:sz w:val="24"/>
        </w:rPr>
      </w:pPr>
      <w:r>
        <w:rPr>
          <w:sz w:val="24"/>
        </w:rPr>
        <w:t>Measurement of the Assessment; This entails the quantification of the achievement of the portfolio in absolute terms as well as relative to an establishedbenchmark.</w:t>
      </w:r>
    </w:p>
    <w:p w:rsidR="00E12064" w:rsidRDefault="00E12064" w:rsidP="00B8371C">
      <w:pPr>
        <w:pStyle w:val="ListParagraph"/>
        <w:numPr>
          <w:ilvl w:val="0"/>
          <w:numId w:val="9"/>
        </w:numPr>
        <w:spacing w:before="1" w:line="360" w:lineRule="auto"/>
        <w:ind w:left="1080" w:right="-20"/>
        <w:jc w:val="both"/>
        <w:rPr>
          <w:sz w:val="24"/>
        </w:rPr>
      </w:pPr>
      <w:r>
        <w:rPr>
          <w:sz w:val="24"/>
        </w:rPr>
        <w:t>Analysis; Here, the investor attempts to establish the reasons behind portfolio performance. The investor also determines the contribution of each component or asset, to the overall performance of theportfolio.</w:t>
      </w:r>
    </w:p>
    <w:p w:rsidR="00E12064" w:rsidRDefault="00E12064" w:rsidP="00E12064">
      <w:pPr>
        <w:pStyle w:val="BodyText"/>
        <w:spacing w:before="10"/>
        <w:ind w:right="-20"/>
        <w:rPr>
          <w:sz w:val="20"/>
        </w:rPr>
      </w:pPr>
    </w:p>
    <w:p w:rsidR="00E12064" w:rsidRDefault="00E12064" w:rsidP="00E12064">
      <w:pPr>
        <w:pStyle w:val="BodyText"/>
        <w:spacing w:line="480" w:lineRule="auto"/>
        <w:ind w:right="-20"/>
        <w:jc w:val="both"/>
      </w:pPr>
      <w:r>
        <w:t>The modes of investment as outlined by Edwin (</w:t>
      </w:r>
      <w:r w:rsidR="00ED7A39">
        <w:t>2022</w:t>
      </w:r>
      <w:r>
        <w:t xml:space="preserve">) include the historic or retrospective mode, and the prospective mode. The historic mode looks at past data relating to the behaviour of an asset or an overall portfolio, and then utilising this data as a basis for carrying out analysis of current asset or portfolio investments (Edwin, </w:t>
      </w:r>
      <w:r w:rsidR="00ED7A39">
        <w:t>2022</w:t>
      </w:r>
      <w:r>
        <w:t>). The author goes ahead to define the prospective mode of investment performanceappraisalastheanalysisoffutureeconomicandinvestmenttrendssuchas expected rate of return, expected risk level, anticipated market capitalisation rate, inflation rate, and soon.</w:t>
      </w:r>
    </w:p>
    <w:p w:rsidR="00E12064" w:rsidRDefault="00E12064" w:rsidP="00E12064">
      <w:pPr>
        <w:pStyle w:val="BodyText"/>
        <w:spacing w:line="480" w:lineRule="auto"/>
        <w:ind w:right="-20"/>
        <w:jc w:val="both"/>
      </w:pPr>
      <w:r>
        <w:t>The stages involved in investment performance appraisal according to Kim (</w:t>
      </w:r>
      <w:r w:rsidR="00ED7A39">
        <w:t>2020</w:t>
      </w:r>
      <w:r>
        <w:t xml:space="preserve">), involve:appraisaloftheindividualassets;appraisalofthesectorsinwhichthoseassets comprise; and </w:t>
      </w:r>
      <w:r>
        <w:lastRenderedPageBreak/>
        <w:t>the analysis of the portfolioitself.</w:t>
      </w:r>
    </w:p>
    <w:p w:rsidR="00E12064" w:rsidRDefault="00E12064" w:rsidP="00E12064">
      <w:pPr>
        <w:pStyle w:val="BodyText"/>
        <w:spacing w:before="4"/>
        <w:ind w:right="-20"/>
        <w:rPr>
          <w:sz w:val="21"/>
        </w:rPr>
      </w:pPr>
    </w:p>
    <w:p w:rsidR="00E12064" w:rsidRDefault="00E12064" w:rsidP="00E12064">
      <w:pPr>
        <w:pStyle w:val="Heading2"/>
        <w:numPr>
          <w:ilvl w:val="2"/>
          <w:numId w:val="10"/>
        </w:numPr>
        <w:ind w:left="0" w:right="-20" w:firstLine="0"/>
      </w:pPr>
      <w:r>
        <w:t>METHODS OF INVESTMENTAPPRAISAL</w:t>
      </w:r>
    </w:p>
    <w:p w:rsidR="00E12064" w:rsidRDefault="00E12064" w:rsidP="00E12064">
      <w:pPr>
        <w:pStyle w:val="BodyText"/>
        <w:ind w:right="-20"/>
        <w:rPr>
          <w:b/>
          <w:sz w:val="26"/>
        </w:rPr>
      </w:pPr>
    </w:p>
    <w:p w:rsidR="00E12064" w:rsidRDefault="00E12064" w:rsidP="00ED7A39">
      <w:pPr>
        <w:pStyle w:val="BodyText"/>
        <w:spacing w:before="212" w:line="480" w:lineRule="auto"/>
        <w:ind w:right="-20"/>
        <w:jc w:val="both"/>
      </w:pPr>
      <w:r>
        <w:t xml:space="preserve">Manyinvestorsmistakenlybasethesuccessoftheirportfoliosonreturnsalone(Pareto, </w:t>
      </w:r>
      <w:r w:rsidR="00ED7A39">
        <w:t>2021</w:t>
      </w:r>
      <w:r>
        <w:t xml:space="preserve">). Furthermore, the author states that few investors consider the risk that theytake to </w:t>
      </w:r>
      <w:hyperlink r:id="rId11">
        <w:r>
          <w:t xml:space="preserve">achieve those returns. </w:t>
        </w:r>
      </w:hyperlink>
      <w:r>
        <w:t>Since the 1960s, investors have known how to quantify and measure risk with the variability of returns, but no single measure actually looked     atbothriskandreturntogether(Pareto,</w:t>
      </w:r>
      <w:r w:rsidR="00ED7A39">
        <w:t>2021</w:t>
      </w:r>
      <w:r>
        <w:t>).Today,mostinvestorsmakeuseofthree sets of investment performance measurement tools to assist with portf</w:t>
      </w:r>
      <w:r w:rsidR="00ED7A39">
        <w:t>olio evaluations (Afrinvest, 2020</w:t>
      </w:r>
      <w:r>
        <w:t xml:space="preserve">). They include: </w:t>
      </w:r>
      <w:hyperlink r:id="rId12">
        <w:r>
          <w:t xml:space="preserve">Treynor, </w:t>
        </w:r>
      </w:hyperlink>
      <w:hyperlink r:id="rId13">
        <w:r>
          <w:t xml:space="preserve">Sharpe </w:t>
        </w:r>
      </w:hyperlink>
      <w:r>
        <w:t xml:space="preserve">and </w:t>
      </w:r>
      <w:hyperlink r:id="rId14">
        <w:r>
          <w:t xml:space="preserve">Jensen ratios </w:t>
        </w:r>
      </w:hyperlink>
      <w:r>
        <w:t>combine risk and returnperformanceintoasinglevalue,butwitheachmethodslightlydifferentfromthe oth</w:t>
      </w:r>
      <w:r w:rsidR="00ED7A39">
        <w:t>er. Traditionally, Koleosho (2021</w:t>
      </w:r>
      <w:r>
        <w:t>) explains (as seen below) that there are five methods of investment performance appraisal that are still relevant, though limited in use to the modern day investor. One of such limitations according to Dwain (</w:t>
      </w:r>
      <w:r w:rsidR="00ED7A39">
        <w:t>2022</w:t>
      </w:r>
      <w:r>
        <w:t>) is the fact that the yield method doesn’t recognise the income from capital value appreciationofanassetovertime.Thesetraditionalmethodsinclude:Theyieldmethod; Comparison with random portfolios, direct comparison with market performance; League tables; and Simulationapproach.</w:t>
      </w:r>
    </w:p>
    <w:p w:rsidR="00E12064" w:rsidRDefault="00E12064" w:rsidP="00E12064">
      <w:pPr>
        <w:pStyle w:val="ListParagraph"/>
        <w:numPr>
          <w:ilvl w:val="0"/>
          <w:numId w:val="8"/>
        </w:numPr>
        <w:spacing w:before="74" w:line="480" w:lineRule="auto"/>
        <w:ind w:left="0" w:right="-20" w:firstLine="0"/>
        <w:jc w:val="both"/>
        <w:rPr>
          <w:sz w:val="24"/>
        </w:rPr>
      </w:pPr>
      <w:r>
        <w:rPr>
          <w:b/>
          <w:sz w:val="24"/>
        </w:rPr>
        <w:t xml:space="preserve">The yield method; </w:t>
      </w:r>
      <w:r>
        <w:rPr>
          <w:sz w:val="24"/>
        </w:rPr>
        <w:t>This is the earliest approach and simply involves determining the yield of the investment portfolio. Key advantages of using this method include the ease in which it can be used, and the ease in acquiring data needed for it’s analysis. The formula can simply be illustrated asfollows:</w:t>
      </w:r>
    </w:p>
    <w:p w:rsidR="00E12064" w:rsidRDefault="00E12064" w:rsidP="00E12064">
      <w:pPr>
        <w:pStyle w:val="BodyText"/>
        <w:spacing w:before="2"/>
        <w:ind w:right="-20"/>
        <w:jc w:val="both"/>
      </w:pPr>
      <w:r>
        <w:rPr>
          <w:u w:val="single"/>
        </w:rPr>
        <w:t>2 x Income received during the year</w:t>
      </w:r>
    </w:p>
    <w:p w:rsidR="00E12064" w:rsidRDefault="00E12064" w:rsidP="00E12064">
      <w:pPr>
        <w:pStyle w:val="BodyText"/>
        <w:spacing w:before="135"/>
        <w:ind w:right="-20"/>
        <w:jc w:val="both"/>
      </w:pPr>
      <w:r>
        <w:t>V</w:t>
      </w:r>
      <w:r>
        <w:rPr>
          <w:sz w:val="14"/>
        </w:rPr>
        <w:t xml:space="preserve">B </w:t>
      </w:r>
      <w:r>
        <w:t>+ V</w:t>
      </w:r>
      <w:r>
        <w:rPr>
          <w:sz w:val="14"/>
        </w:rPr>
        <w:t xml:space="preserve">E </w:t>
      </w:r>
      <w:r>
        <w:t>+ (Income Received during the year)</w:t>
      </w:r>
    </w:p>
    <w:p w:rsidR="00E12064" w:rsidRDefault="00E12064" w:rsidP="00E12064">
      <w:pPr>
        <w:pStyle w:val="BodyText"/>
        <w:spacing w:before="11"/>
        <w:ind w:right="-20"/>
        <w:rPr>
          <w:sz w:val="23"/>
        </w:rPr>
      </w:pPr>
    </w:p>
    <w:p w:rsidR="00E12064" w:rsidRDefault="00E12064" w:rsidP="00E12064">
      <w:pPr>
        <w:pStyle w:val="BodyText"/>
        <w:ind w:right="-20"/>
      </w:pPr>
      <w:r>
        <w:t>Where: V</w:t>
      </w:r>
      <w:r>
        <w:rPr>
          <w:sz w:val="14"/>
        </w:rPr>
        <w:t xml:space="preserve">B </w:t>
      </w:r>
      <w:r>
        <w:t>= Book Value (Capital Value) of the portfolio at the beginning of the year.</w:t>
      </w:r>
    </w:p>
    <w:p w:rsidR="00E12064" w:rsidRDefault="00E12064" w:rsidP="00E12064">
      <w:pPr>
        <w:pStyle w:val="BodyText"/>
        <w:spacing w:before="1"/>
        <w:ind w:right="-20"/>
      </w:pPr>
    </w:p>
    <w:p w:rsidR="00E12064" w:rsidRDefault="00E12064" w:rsidP="00E12064">
      <w:pPr>
        <w:pStyle w:val="BodyText"/>
        <w:ind w:right="-20"/>
      </w:pPr>
      <w:r>
        <w:t>V</w:t>
      </w:r>
      <w:r>
        <w:rPr>
          <w:sz w:val="14"/>
        </w:rPr>
        <w:t xml:space="preserve">E </w:t>
      </w:r>
      <w:r>
        <w:t>= Book Value (Capital Value) of the portfolio at the end of the year.</w:t>
      </w:r>
    </w:p>
    <w:p w:rsidR="00E12064" w:rsidRDefault="00E12064" w:rsidP="00E12064">
      <w:pPr>
        <w:pStyle w:val="BodyText"/>
        <w:ind w:right="-20"/>
        <w:rPr>
          <w:sz w:val="26"/>
        </w:rPr>
      </w:pPr>
    </w:p>
    <w:p w:rsidR="00E12064" w:rsidRDefault="00E12064" w:rsidP="00E12064">
      <w:pPr>
        <w:pStyle w:val="BodyText"/>
        <w:spacing w:line="480" w:lineRule="auto"/>
        <w:ind w:right="-20"/>
        <w:jc w:val="both"/>
      </w:pPr>
      <w:r>
        <w:t xml:space="preserve">Animportantconcepttonoteduringtheuseofthismethodisthefactthatthefigure 2ismultipliedwiththeincomereceivedduringtheyear,seeingastheformulatakes cognisanceofvaluestwiceduringtheyeari.ebeginningandendoftheyear(Pareto, </w:t>
      </w:r>
      <w:r w:rsidR="00ED7A39">
        <w:t>2021</w:t>
      </w:r>
      <w:r>
        <w:t>).</w:t>
      </w:r>
    </w:p>
    <w:p w:rsidR="00E12064" w:rsidRDefault="00E12064" w:rsidP="00E12064">
      <w:pPr>
        <w:pStyle w:val="ListParagraph"/>
        <w:numPr>
          <w:ilvl w:val="0"/>
          <w:numId w:val="8"/>
        </w:numPr>
        <w:spacing w:before="1" w:line="480" w:lineRule="auto"/>
        <w:ind w:left="0" w:right="-20" w:firstLine="0"/>
        <w:jc w:val="both"/>
        <w:rPr>
          <w:sz w:val="24"/>
        </w:rPr>
      </w:pPr>
      <w:r>
        <w:rPr>
          <w:b/>
          <w:sz w:val="24"/>
        </w:rPr>
        <w:t xml:space="preserve">Comparison with random portfolios; </w:t>
      </w:r>
      <w:r>
        <w:rPr>
          <w:sz w:val="24"/>
        </w:rPr>
        <w:t>Investment performance can be measured by comparing the subject portfolio with that of randomly selected portfolios in the capital market, but which are of similar size to the subject portfolio. The author furtherly explains that the method is based on the theory that a randomly chosen portfolio, should not outperform the subject portfolio it’s being comparedto.</w:t>
      </w:r>
    </w:p>
    <w:p w:rsidR="00E12064" w:rsidRDefault="00E12064" w:rsidP="00E12064">
      <w:pPr>
        <w:pStyle w:val="ListParagraph"/>
        <w:numPr>
          <w:ilvl w:val="0"/>
          <w:numId w:val="8"/>
        </w:numPr>
        <w:spacing w:line="480" w:lineRule="auto"/>
        <w:ind w:left="0" w:right="-20" w:firstLine="0"/>
        <w:jc w:val="both"/>
        <w:rPr>
          <w:sz w:val="24"/>
        </w:rPr>
      </w:pPr>
      <w:r>
        <w:rPr>
          <w:b/>
          <w:sz w:val="24"/>
        </w:rPr>
        <w:t>Directcomparisonoftheportfoliowithmarketperformance;</w:t>
      </w:r>
      <w:r>
        <w:rPr>
          <w:sz w:val="24"/>
        </w:rPr>
        <w:t>Dwain(</w:t>
      </w:r>
      <w:r w:rsidR="00ED7A39">
        <w:rPr>
          <w:sz w:val="24"/>
        </w:rPr>
        <w:t>2022</w:t>
      </w:r>
      <w:r>
        <w:rPr>
          <w:sz w:val="24"/>
        </w:rPr>
        <w:t>) states that this method is based on the assumption that the investor’s portfolio is constructed, based on a strategy which will reflect an investor’s objectives, risk targets and return targets. Furthermore, the author states that in using this approach of investment performance appraisal, a time interval is chosen over which the investor compares the market and subject portfolios insuccession.</w:t>
      </w:r>
    </w:p>
    <w:p w:rsidR="00E12064" w:rsidRDefault="00E12064" w:rsidP="00E12064">
      <w:pPr>
        <w:pStyle w:val="ListParagraph"/>
        <w:numPr>
          <w:ilvl w:val="0"/>
          <w:numId w:val="8"/>
        </w:numPr>
        <w:spacing w:before="74" w:line="480" w:lineRule="auto"/>
        <w:ind w:left="0" w:right="-20" w:firstLine="0"/>
        <w:jc w:val="both"/>
        <w:rPr>
          <w:sz w:val="24"/>
        </w:rPr>
      </w:pPr>
      <w:r>
        <w:rPr>
          <w:sz w:val="24"/>
        </w:rPr>
        <w:t>This comparison will indicate how superior or inferior the subject portfolio’s returnis,incomparisonwiththemarketportfolioi.easelectedportfoliodirectly similartothecompositionofthesubjectportfolio.Thisapproachwillalsoshow the portfolio risk characteristics of the subjectportfolio.</w:t>
      </w:r>
    </w:p>
    <w:p w:rsidR="00E12064" w:rsidRDefault="00E12064" w:rsidP="00E12064">
      <w:pPr>
        <w:pStyle w:val="ListParagraph"/>
        <w:numPr>
          <w:ilvl w:val="0"/>
          <w:numId w:val="8"/>
        </w:numPr>
        <w:spacing w:line="480" w:lineRule="auto"/>
        <w:ind w:left="0" w:right="-20" w:firstLine="0"/>
        <w:jc w:val="both"/>
        <w:rPr>
          <w:sz w:val="24"/>
        </w:rPr>
      </w:pPr>
      <w:r>
        <w:rPr>
          <w:b/>
          <w:sz w:val="24"/>
        </w:rPr>
        <w:t xml:space="preserve">League tables; </w:t>
      </w:r>
      <w:r>
        <w:rPr>
          <w:sz w:val="24"/>
        </w:rPr>
        <w:t>According to Kim (</w:t>
      </w:r>
      <w:r w:rsidR="00ED7A39">
        <w:rPr>
          <w:sz w:val="24"/>
        </w:rPr>
        <w:t>2020</w:t>
      </w:r>
      <w:r>
        <w:rPr>
          <w:sz w:val="24"/>
        </w:rPr>
        <w:t>), some investment consulting firms offerinvestmentcomparisonservices,basedonvariousportfolioperformances, categorisedunderaleaguetable.Thistablecanalsoserveasaguideastowhere to invest in. The greatest disadvantages of this method include the non- consideration of investment objectives, risk characteristics and the size of the funds (Babalola,</w:t>
      </w:r>
      <w:r w:rsidR="00ED7A39">
        <w:rPr>
          <w:sz w:val="24"/>
        </w:rPr>
        <w:t>2020</w:t>
      </w:r>
      <w:r>
        <w:rPr>
          <w:sz w:val="24"/>
        </w:rPr>
        <w:t>).</w:t>
      </w:r>
    </w:p>
    <w:p w:rsidR="00B8371C" w:rsidRDefault="00E12064" w:rsidP="00ED7A39">
      <w:pPr>
        <w:pStyle w:val="ListParagraph"/>
        <w:numPr>
          <w:ilvl w:val="1"/>
          <w:numId w:val="11"/>
        </w:numPr>
        <w:spacing w:before="221" w:line="477" w:lineRule="auto"/>
        <w:ind w:left="0" w:right="-20" w:firstLine="0"/>
        <w:jc w:val="both"/>
        <w:rPr>
          <w:sz w:val="24"/>
        </w:rPr>
      </w:pPr>
      <w:r w:rsidRPr="00B8371C">
        <w:rPr>
          <w:b/>
          <w:sz w:val="24"/>
        </w:rPr>
        <w:t xml:space="preserve">Simulation Approach; </w:t>
      </w:r>
      <w:r w:rsidRPr="00B8371C">
        <w:rPr>
          <w:sz w:val="24"/>
        </w:rPr>
        <w:t>Though Kim (201</w:t>
      </w:r>
      <w:r w:rsidR="00ED7A39">
        <w:rPr>
          <w:sz w:val="24"/>
        </w:rPr>
        <w:t>9</w:t>
      </w:r>
      <w:r w:rsidRPr="00B8371C">
        <w:rPr>
          <w:sz w:val="24"/>
        </w:rPr>
        <w:t xml:space="preserve">) classifies the simulation approach as non-traditional due to it’s evolution over the years, it’s original use dates as </w:t>
      </w:r>
      <w:r w:rsidRPr="00B8371C">
        <w:rPr>
          <w:sz w:val="24"/>
        </w:rPr>
        <w:lastRenderedPageBreak/>
        <w:t>farbackastheaforementionedmethodsi.ethe1960’s.Themethodisnotuseful for comparison per se, but it can be used to assess future performance or future returns of a portfolio (Daniels, 20</w:t>
      </w:r>
      <w:r w:rsidR="00ED7A39">
        <w:rPr>
          <w:sz w:val="24"/>
        </w:rPr>
        <w:t>1</w:t>
      </w:r>
      <w:r w:rsidRPr="00B8371C">
        <w:rPr>
          <w:sz w:val="24"/>
        </w:rPr>
        <w:t xml:space="preserve">9). In this method, future cash flows are inputed based on their probability distribution and then simulating the future expected returns, using the various probabilities derived. This is attained using a sensitivity analysis known as the Monte Carlo Process. The result of the simulation will provide the probability distribution of the various returns ofthe portfolio. Hence, it helps determine future performance of a portfolio (Dwain, </w:t>
      </w:r>
      <w:r w:rsidR="00ED7A39">
        <w:rPr>
          <w:sz w:val="24"/>
        </w:rPr>
        <w:t>2022</w:t>
      </w:r>
      <w:r w:rsidRPr="00B8371C">
        <w:rPr>
          <w:sz w:val="24"/>
        </w:rPr>
        <w:t xml:space="preserve">). </w:t>
      </w:r>
    </w:p>
    <w:p w:rsidR="00E12064" w:rsidRPr="00B8371C" w:rsidRDefault="00E12064" w:rsidP="00ED7A39">
      <w:pPr>
        <w:pStyle w:val="ListParagraph"/>
        <w:numPr>
          <w:ilvl w:val="1"/>
          <w:numId w:val="11"/>
        </w:numPr>
        <w:spacing w:before="221" w:line="477" w:lineRule="auto"/>
        <w:ind w:left="0" w:right="-20" w:firstLine="0"/>
        <w:jc w:val="both"/>
        <w:rPr>
          <w:sz w:val="24"/>
        </w:rPr>
      </w:pPr>
      <w:r w:rsidRPr="00B8371C">
        <w:rPr>
          <w:b/>
          <w:sz w:val="24"/>
        </w:rPr>
        <w:t xml:space="preserve">TYPESOFINVESTORSANDTHEIRBEHAVIOURIALCHARACTERISTICS </w:t>
      </w:r>
      <w:r w:rsidRPr="00B8371C">
        <w:rPr>
          <w:sz w:val="24"/>
        </w:rPr>
        <w:t>Afrinvest (20</w:t>
      </w:r>
      <w:r w:rsidR="00ED7A39">
        <w:rPr>
          <w:sz w:val="24"/>
        </w:rPr>
        <w:t>21</w:t>
      </w:r>
      <w:r w:rsidRPr="00B8371C">
        <w:rPr>
          <w:sz w:val="24"/>
        </w:rPr>
        <w:t>) states that investors can be classified based on various criteria. They canbeclassifiedaccordingtotheexpecteddurationoftheirinvestment.</w:t>
      </w:r>
      <w:r w:rsidRPr="00B8371C">
        <w:rPr>
          <w:spacing w:val="-3"/>
          <w:sz w:val="24"/>
        </w:rPr>
        <w:t>In</w:t>
      </w:r>
      <w:r w:rsidRPr="00B8371C">
        <w:rPr>
          <w:sz w:val="24"/>
        </w:rPr>
        <w:t xml:space="preserve">thiscasewe willhave:long-terminvestors,short-terminvestorsandmedium-terminvestors.Asthe </w:t>
      </w:r>
      <w:r>
        <w:t>names imply, the long-term investor is willing to take up investments which will only accrue a reasonable amount of profit over a long period of time i.e five to ten years. Whiletheshort-termandmedium-terminvestorsarerisktakers,astheyseektoacquire their profit over a short period of time and this can only be attained riskyinvestments.</w:t>
      </w:r>
    </w:p>
    <w:p w:rsidR="00E12064" w:rsidRDefault="00E12064" w:rsidP="00E12064">
      <w:pPr>
        <w:pStyle w:val="BodyText"/>
        <w:spacing w:before="161" w:line="480" w:lineRule="auto"/>
        <w:ind w:right="-20"/>
        <w:jc w:val="both"/>
      </w:pPr>
      <w:r>
        <w:t>But to the average investment analyst, investors can be classified mainly under three headings:</w:t>
      </w:r>
    </w:p>
    <w:p w:rsidR="00E12064" w:rsidRPr="00DC078F" w:rsidRDefault="00E12064" w:rsidP="00DC078F">
      <w:pPr>
        <w:pStyle w:val="Heading2"/>
        <w:numPr>
          <w:ilvl w:val="0"/>
          <w:numId w:val="6"/>
        </w:numPr>
        <w:spacing w:before="164" w:line="480" w:lineRule="auto"/>
        <w:ind w:left="720" w:right="-20" w:hanging="361"/>
        <w:jc w:val="both"/>
        <w:rPr>
          <w:b w:val="0"/>
          <w:bCs w:val="0"/>
        </w:rPr>
      </w:pPr>
      <w:r w:rsidRPr="00DC078F">
        <w:rPr>
          <w:b w:val="0"/>
          <w:bCs w:val="0"/>
        </w:rPr>
        <w:t>Risk ProneInvestor.</w:t>
      </w:r>
    </w:p>
    <w:p w:rsidR="00E12064" w:rsidRPr="00DC078F" w:rsidRDefault="00E12064" w:rsidP="00DC078F">
      <w:pPr>
        <w:pStyle w:val="ListParagraph"/>
        <w:numPr>
          <w:ilvl w:val="0"/>
          <w:numId w:val="6"/>
        </w:numPr>
        <w:spacing w:line="480" w:lineRule="auto"/>
        <w:ind w:left="720" w:right="-20" w:hanging="361"/>
        <w:jc w:val="both"/>
        <w:rPr>
          <w:sz w:val="24"/>
        </w:rPr>
      </w:pPr>
      <w:r w:rsidRPr="00DC078F">
        <w:rPr>
          <w:sz w:val="24"/>
        </w:rPr>
        <w:t>Risk Averseinvestor</w:t>
      </w:r>
    </w:p>
    <w:p w:rsidR="00E12064" w:rsidRPr="00DC078F" w:rsidRDefault="00E12064" w:rsidP="00DC078F">
      <w:pPr>
        <w:pStyle w:val="ListParagraph"/>
        <w:numPr>
          <w:ilvl w:val="0"/>
          <w:numId w:val="6"/>
        </w:numPr>
        <w:spacing w:line="480" w:lineRule="auto"/>
        <w:ind w:left="720" w:right="-20" w:hanging="361"/>
        <w:rPr>
          <w:sz w:val="24"/>
        </w:rPr>
      </w:pPr>
      <w:r w:rsidRPr="00DC078F">
        <w:rPr>
          <w:sz w:val="24"/>
        </w:rPr>
        <w:t>Risk Indifferent/Neutralinvestor</w:t>
      </w: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Prone Investor: </w:t>
      </w:r>
      <w:r>
        <w:rPr>
          <w:sz w:val="24"/>
        </w:rPr>
        <w:t>The risk prone investor as the name implies refers to individualswhoarealways willingtoinvestinanyassetirrespectiveofthelevelof risk attached to such an asset. Sectors in which they invest in include the financial securities sector. In this sector assets such as shares, bonds, stocks, debentures and so on serve as the common commodity for acquisition and disposal by these investors (Afrinvest,20</w:t>
      </w:r>
      <w:r w:rsidR="00ED7A39">
        <w:rPr>
          <w:sz w:val="24"/>
        </w:rPr>
        <w:t>21</w:t>
      </w:r>
      <w:r>
        <w:rPr>
          <w:sz w:val="24"/>
        </w:rPr>
        <w:t>).</w:t>
      </w:r>
    </w:p>
    <w:p w:rsidR="00E12064" w:rsidRDefault="00E12064" w:rsidP="00E12064">
      <w:pPr>
        <w:pStyle w:val="BodyText"/>
        <w:ind w:right="-20"/>
      </w:pPr>
    </w:p>
    <w:p w:rsidR="00E12064" w:rsidRDefault="00E12064" w:rsidP="00ED7A39">
      <w:pPr>
        <w:pStyle w:val="BodyText"/>
        <w:spacing w:before="1" w:line="480" w:lineRule="auto"/>
        <w:ind w:right="-20"/>
        <w:jc w:val="both"/>
      </w:pPr>
      <w:r>
        <w:lastRenderedPageBreak/>
        <w:t>They also invest in other risky sectors which are highly regulated by laws and regulationssuchasthemineralsandotherpreciousmetals.The</w:t>
      </w:r>
      <w:r w:rsidR="00ED7A39">
        <w:t>priceoftheseassets tends</w:t>
      </w:r>
      <w:r>
        <w:t xml:space="preserve"> to be volatile on the stock market as a drop in the price of one, may cause an increase in the price of another. A perfect example is the current global market for crudeoilwhichhasexperiencedadeclinein</w:t>
      </w:r>
      <w:r w:rsidR="00ED7A39">
        <w:t>its</w:t>
      </w:r>
      <w:r>
        <w:t>price.Thisdropinglobaloilprice, has caused risk prone investors to shift their attention towards gold, therefore pushing the global price of gold upward (Afrinvest,20</w:t>
      </w:r>
      <w:r w:rsidR="00ED7A39">
        <w:t>21</w:t>
      </w:r>
      <w:r>
        <w:t>).</w:t>
      </w:r>
    </w:p>
    <w:p w:rsidR="00E12064" w:rsidRDefault="00E12064" w:rsidP="00ED7A39">
      <w:pPr>
        <w:pStyle w:val="BodyText"/>
        <w:spacing w:before="74" w:line="480" w:lineRule="auto"/>
        <w:ind w:right="-20"/>
        <w:jc w:val="both"/>
      </w:pPr>
      <w:r>
        <w:t xml:space="preserve">They can also be engaged in the sector of an economy which trades precious </w:t>
      </w:r>
      <w:r w:rsidR="00ED7A39">
        <w:t>artifacts</w:t>
      </w:r>
      <w:r>
        <w:t>. Though not common in Nigeria, this sector requires a large capital base (a common feature of risk prone investors as they can deal with any potential loss of their investment) and the reward upon selling such artefacts in the future is attractive to the risk prone investor. The risk attached to this asset is the fact that it can easily be stolen or damaged by fire or any other form of disaster (Afrinvest, 20</w:t>
      </w:r>
      <w:r w:rsidR="00ED7A39">
        <w:t>21</w:t>
      </w:r>
      <w:r>
        <w:t>).</w:t>
      </w:r>
    </w:p>
    <w:p w:rsidR="00E12064" w:rsidRDefault="00E12064" w:rsidP="00E12064">
      <w:pPr>
        <w:pStyle w:val="BodyText"/>
        <w:ind w:right="-20"/>
      </w:pPr>
    </w:p>
    <w:p w:rsidR="00E12064" w:rsidRDefault="00E12064" w:rsidP="00ED7A39">
      <w:pPr>
        <w:pStyle w:val="ListParagraph"/>
        <w:numPr>
          <w:ilvl w:val="0"/>
          <w:numId w:val="5"/>
        </w:numPr>
        <w:spacing w:before="1" w:line="480" w:lineRule="auto"/>
        <w:ind w:left="0" w:right="-20" w:firstLine="0"/>
        <w:jc w:val="both"/>
        <w:rPr>
          <w:sz w:val="24"/>
        </w:rPr>
      </w:pPr>
      <w:r>
        <w:rPr>
          <w:b/>
          <w:sz w:val="24"/>
        </w:rPr>
        <w:t>RiskAverseInvestor:</w:t>
      </w:r>
      <w:r>
        <w:rPr>
          <w:sz w:val="24"/>
        </w:rPr>
        <w:t>Theriskaverseinvestoristhecompleteoppositeoftherisk proneinvestor.Thisinvestorinmostinstancespossessesasmallcapitalbaseandis not necessarily investing for returns in the near future. Such investors are usually classified under the “elderly-independent” demographic, as they usually invest solely for the benefit of their children and other dependent family members. These investors usually invest in the insurance sector, pension fund sector, real estate sector, zero-coupon bonds, and gilt-edge securities (low-risk investments). They may also invest in the money market, but only for a lon</w:t>
      </w:r>
      <w:r w:rsidR="00ED7A39">
        <w:rPr>
          <w:sz w:val="24"/>
        </w:rPr>
        <w:t>g-term basis (Afrinvest, 2021</w:t>
      </w:r>
      <w:r>
        <w:rPr>
          <w:sz w:val="24"/>
        </w:rPr>
        <w:t>).</w:t>
      </w:r>
    </w:p>
    <w:p w:rsidR="00E12064" w:rsidRDefault="00E12064" w:rsidP="00E12064">
      <w:pPr>
        <w:pStyle w:val="BodyText"/>
        <w:ind w:right="-20"/>
      </w:pP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indifferent/neutral Investor: </w:t>
      </w:r>
      <w:r>
        <w:rPr>
          <w:sz w:val="24"/>
        </w:rPr>
        <w:t xml:space="preserve">The risk-indifferent investor has nopreference towards the sector he invests in. he also usually has a large capital base to initiate his investments and in most instances may be involved in consociate funding (moving funds between his </w:t>
      </w:r>
      <w:r>
        <w:rPr>
          <w:sz w:val="24"/>
        </w:rPr>
        <w:lastRenderedPageBreak/>
        <w:t>businesses). Such an investor is basically involved in most sectors of the economy, such as: the commodities sector, capital market(long term loans), money market (short-term loans), real estate sector (both directly - actual construction and indirectly – Real Estate Investment Trusts), telecommunications sector, and so on (Afrinvest,20</w:t>
      </w:r>
      <w:r w:rsidR="00ED7A39">
        <w:rPr>
          <w:sz w:val="24"/>
        </w:rPr>
        <w:t>21</w:t>
      </w:r>
      <w:r>
        <w:rPr>
          <w:sz w:val="24"/>
        </w:rPr>
        <w:t>).</w:t>
      </w:r>
    </w:p>
    <w:p w:rsidR="00E12064" w:rsidRDefault="00E12064" w:rsidP="00DC078F">
      <w:pPr>
        <w:pStyle w:val="Heading2"/>
        <w:numPr>
          <w:ilvl w:val="1"/>
          <w:numId w:val="11"/>
        </w:numPr>
        <w:spacing w:before="114" w:line="480" w:lineRule="auto"/>
        <w:ind w:left="0" w:right="-20" w:firstLine="0"/>
      </w:pPr>
      <w:r>
        <w:t>INVESTOR CONFIDENCE IN THE NIGERIANECONOMY</w:t>
      </w:r>
    </w:p>
    <w:p w:rsidR="00E12064" w:rsidRDefault="00E12064" w:rsidP="00ED7A39">
      <w:pPr>
        <w:pStyle w:val="BodyText"/>
        <w:spacing w:line="480" w:lineRule="auto"/>
        <w:ind w:right="-20"/>
        <w:jc w:val="both"/>
      </w:pPr>
      <w:r>
        <w:t>With the economy underperforming its potential, the oft-repeated investment case for Nigeria has shifted from the resilient economy with unexploited natural and human resources, attractive demographic features and high profit margins to confidence metrics such as, policy consistency, sound governance, regulation and reforms (Afrinvest, 20</w:t>
      </w:r>
      <w:r w:rsidR="00ED7A39">
        <w:t>21</w:t>
      </w:r>
      <w:r>
        <w:t>).</w:t>
      </w:r>
    </w:p>
    <w:p w:rsidR="00E12064" w:rsidRDefault="00E12064" w:rsidP="00ED7A39">
      <w:pPr>
        <w:pStyle w:val="BodyText"/>
        <w:spacing w:before="159" w:line="480" w:lineRule="auto"/>
        <w:ind w:right="-20"/>
        <w:jc w:val="both"/>
      </w:pPr>
      <w:r>
        <w:t>In addition, significantly weaker asset prices with no buyers in sight aptly captures the degreeofpessimismintheNigerianeconomyandmarketsbyinvestors,producersand consum</w:t>
      </w:r>
      <w:r w:rsidR="00ED7A39">
        <w:t>ers. Accordingly, Afrinvest (2021</w:t>
      </w:r>
      <w:r>
        <w:t>) believes that restoring confidence in regulation, policies, markets and governance appears to be the single most important factor required to rekindle investors' interest in the Nigerian economy and financial markets. The authors are also of the view that rebuilding confidence in the Nigerian marketswouldrequirebroad-basedpolicymeasuresencompassingfiscalandmonetary policyaswellasfurtherstructuralreforms.Theyhighlightthefollowingasimperatives.</w:t>
      </w:r>
    </w:p>
    <w:p w:rsidR="00E12064" w:rsidRDefault="00E12064" w:rsidP="00ED7A39">
      <w:pPr>
        <w:pStyle w:val="ListParagraph"/>
        <w:numPr>
          <w:ilvl w:val="0"/>
          <w:numId w:val="4"/>
        </w:numPr>
        <w:spacing w:before="162" w:line="480" w:lineRule="auto"/>
        <w:ind w:left="0" w:right="-20" w:firstLine="0"/>
        <w:jc w:val="both"/>
        <w:rPr>
          <w:sz w:val="24"/>
        </w:rPr>
      </w:pPr>
      <w:r>
        <w:rPr>
          <w:b/>
          <w:sz w:val="24"/>
        </w:rPr>
        <w:t>Ensure Monetary and Fiscal Policy Co-ordination</w:t>
      </w:r>
      <w:r>
        <w:rPr>
          <w:sz w:val="24"/>
        </w:rPr>
        <w:t xml:space="preserve">: We think there is an urgent requirement for the economic managers to re-organize recent policy actions to ensure both fiscal and monetary policies are in harmony. More importantly, efforts must be put in place to ensure policy actions are prudent, predictable and consistent going forward. In addition, we recommend a complete liberalization of the foreign exchange market, devoid of any suspected invisible control of the CBN. Having delayed adjustment to a flexible Foreign Exchange framework, the CBN needs to consciously ensure regulatory consistency and stay the course of its new Foreign </w:t>
      </w:r>
      <w:r>
        <w:rPr>
          <w:sz w:val="24"/>
        </w:rPr>
        <w:lastRenderedPageBreak/>
        <w:t>Exchange framework to regain lost credibility and boost confidence among investors (Afrinvest, 20</w:t>
      </w:r>
      <w:r w:rsidR="00ED7A39">
        <w:rPr>
          <w:sz w:val="24"/>
        </w:rPr>
        <w:t>21</w:t>
      </w:r>
      <w:r>
        <w:rPr>
          <w:sz w:val="24"/>
        </w:rPr>
        <w:t>).</w:t>
      </w:r>
    </w:p>
    <w:p w:rsidR="00E12064" w:rsidRDefault="00E12064" w:rsidP="00B8371C">
      <w:pPr>
        <w:pStyle w:val="BodyText"/>
        <w:spacing w:before="74" w:line="480" w:lineRule="auto"/>
        <w:ind w:right="-20"/>
        <w:jc w:val="both"/>
      </w:pPr>
      <w:r>
        <w:t>The huge spread between the official and parallel market Foreign Exchange rates is a source of concern and continues to form the basis upon which most foreign investors perceive the true value of the naira. We think that after over one year of excluding 41 items from accessing forex from the interbank window, the fiscal authorities should have either banned or increased duties on these items by now. This would remove one of the major factors driving the parallel exchange rate lower and leading expectations oflowerexchangerateattheofficialmarket.</w:t>
      </w:r>
    </w:p>
    <w:p w:rsidR="00E12064" w:rsidRPr="00DC078F" w:rsidRDefault="00E12064" w:rsidP="00DC078F">
      <w:pPr>
        <w:pStyle w:val="ListParagraph"/>
        <w:numPr>
          <w:ilvl w:val="0"/>
          <w:numId w:val="4"/>
        </w:numPr>
        <w:spacing w:before="162" w:line="480" w:lineRule="auto"/>
        <w:ind w:left="0" w:right="-20" w:firstLine="0"/>
        <w:jc w:val="both"/>
        <w:rPr>
          <w:sz w:val="24"/>
        </w:rPr>
      </w:pPr>
      <w:r>
        <w:rPr>
          <w:b/>
          <w:sz w:val="24"/>
        </w:rPr>
        <w:t>Fix the Niger-Delta Crisis and Press OPEC Further to Cut Supply</w:t>
      </w:r>
      <w:r>
        <w:rPr>
          <w:sz w:val="24"/>
        </w:rPr>
        <w:t>: Oil prices and production volume remain indirect nominal anchors of foreign capital inflowsinto Nigeria. With the protracted crisis in the currency market, we think it is pertinent for the federal government to urgently find a long lasting solution to the lingering crisis in the Niger-Delta region in view of developments in the global oil market. Perhaps adoptingamorediplomaticapproachratherthanforcemaysavetheeconomyafew</w:t>
      </w:r>
      <w:r>
        <w:t xml:space="preserve">more barrels of crude while still keeping dialogue open. Beyond recent efforts to restructure the Nigerian National Petroleum Corporation for efficiency and the partial deregulation of the downstream oil and gas, we reiterate our advocacy for a comprehensive reform of the oil industry and privatisation of the Nigerian National PetroleumCorporation.Thiswillgoalongwaytowardsnippingtherecurringmilitancy issue in the bud while immediately unlocking latent value to the Government in new revenue opportunities. </w:t>
      </w:r>
    </w:p>
    <w:p w:rsidR="00E12064" w:rsidRDefault="00E12064" w:rsidP="00DC078F">
      <w:pPr>
        <w:pStyle w:val="ListParagraph"/>
        <w:numPr>
          <w:ilvl w:val="0"/>
          <w:numId w:val="4"/>
        </w:numPr>
        <w:spacing w:before="74" w:line="480" w:lineRule="auto"/>
        <w:ind w:left="0" w:right="-20" w:firstLine="0"/>
        <w:jc w:val="both"/>
      </w:pPr>
      <w:r w:rsidRPr="00DC078F">
        <w:rPr>
          <w:b/>
          <w:sz w:val="24"/>
        </w:rPr>
        <w:t>Structural Reforms to drive Self-Reliance</w:t>
      </w:r>
      <w:r w:rsidRPr="00DC078F">
        <w:rPr>
          <w:sz w:val="24"/>
        </w:rPr>
        <w:t xml:space="preserve">: Current trade policies of the federal government and Foreign Exchange policy of the Central Bank of Nigeria, suggests a policy environment focused on import substitution (and demand management) as opposed to export-led growth. We think less emphasis needs to be placed on import substitution as a strategy but propping non-oil export industries via promotional campaigns and infrastructure support programmes. The need to improve infrastructure stock of the country was captured in the 2016 </w:t>
      </w:r>
      <w:r w:rsidRPr="00DC078F">
        <w:rPr>
          <w:sz w:val="24"/>
        </w:rPr>
        <w:lastRenderedPageBreak/>
        <w:t>budget with more allocations going to capitalprojects.“Yet,Nigeriathinksinfrastructurespendingneedstobemorestrategic withanoverarchingfocustopromoteagriculture,industryandservices</w:t>
      </w:r>
      <w:r w:rsidR="00DC078F">
        <w:rPr>
          <w:sz w:val="24"/>
        </w:rPr>
        <w:t>.</w:t>
      </w:r>
    </w:p>
    <w:p w:rsidR="00E12064" w:rsidRDefault="00E12064" w:rsidP="00DC078F">
      <w:pPr>
        <w:pStyle w:val="ListParagraph"/>
        <w:numPr>
          <w:ilvl w:val="0"/>
          <w:numId w:val="4"/>
        </w:numPr>
        <w:spacing w:before="161" w:line="480" w:lineRule="auto"/>
        <w:ind w:left="0" w:right="-20" w:firstLine="0"/>
        <w:jc w:val="both"/>
        <w:rPr>
          <w:sz w:val="24"/>
        </w:rPr>
      </w:pPr>
      <w:r>
        <w:rPr>
          <w:b/>
          <w:sz w:val="24"/>
        </w:rPr>
        <w:t>Unwavering Commitment to Sustained Economic Reforms</w:t>
      </w:r>
      <w:r>
        <w:rPr>
          <w:sz w:val="24"/>
        </w:rPr>
        <w:t xml:space="preserve">: The Nigerian government must signal actual commitment to long term economic reforms by accordingthesamelevelofseriousnessithasshowninthefightagainstcorruptionand insurgency towards resolving the current economic challenges. Given the urgency of theneed,governmentmustworkextrahardtodispeltheseeminglygrowingperception that it lacks the requisite knowledge and managerial nous needed to take the economy out of its present challenges. Indeed, with the first anniversary of the appointment of the current cabinet fast approaching, it may be useful to undertake a broad assessment of the performance of government at the institutional level, as well as a  more  detailed evaluation of the performance of ministers as individuals. </w:t>
      </w:r>
    </w:p>
    <w:p w:rsidR="00E12064" w:rsidRDefault="00E12064" w:rsidP="00DC078F">
      <w:pPr>
        <w:pStyle w:val="ListParagraph"/>
        <w:numPr>
          <w:ilvl w:val="0"/>
          <w:numId w:val="4"/>
        </w:numPr>
        <w:spacing w:before="160" w:line="480" w:lineRule="auto"/>
        <w:ind w:left="0" w:right="-20" w:firstLine="0"/>
        <w:jc w:val="both"/>
        <w:rPr>
          <w:sz w:val="24"/>
        </w:rPr>
      </w:pPr>
      <w:r w:rsidRPr="00DC078F">
        <w:rPr>
          <w:b/>
          <w:sz w:val="24"/>
        </w:rPr>
        <w:t>Wanted: An Economic Blueprint and Turnaround Experts</w:t>
      </w:r>
      <w:r w:rsidRPr="00DC078F">
        <w:rPr>
          <w:sz w:val="24"/>
        </w:rPr>
        <w:t xml:space="preserve">: Rather than spend energy launching social programmes, the government urgently needs to commission a team of experts to layout a comprehensive economic blueprint for Nigeria within weeks. This should be complemented by appointing a handful of individuals that have proven experience and credentials to implement such a plan. </w:t>
      </w:r>
    </w:p>
    <w:p w:rsidR="00B8371C" w:rsidRPr="00B8371C" w:rsidRDefault="00B8371C" w:rsidP="00B8371C">
      <w:pPr>
        <w:widowControl/>
        <w:autoSpaceDE/>
        <w:autoSpaceDN/>
        <w:spacing w:after="200" w:line="276" w:lineRule="auto"/>
        <w:jc w:val="both"/>
        <w:rPr>
          <w:b/>
          <w:bCs/>
        </w:rPr>
      </w:pPr>
      <w:r w:rsidRPr="00B8371C">
        <w:rPr>
          <w:b/>
          <w:bCs/>
        </w:rPr>
        <w:t xml:space="preserve">CONCLUSION </w:t>
      </w:r>
    </w:p>
    <w:p w:rsidR="00B8371C" w:rsidRPr="00B8371C" w:rsidRDefault="00B8371C" w:rsidP="00B8371C">
      <w:pPr>
        <w:widowControl/>
        <w:autoSpaceDE/>
        <w:autoSpaceDN/>
        <w:spacing w:after="200" w:line="480" w:lineRule="auto"/>
        <w:jc w:val="both"/>
        <w:rPr>
          <w:sz w:val="24"/>
          <w:szCs w:val="24"/>
        </w:rPr>
      </w:pPr>
      <w:r w:rsidRPr="00B8371C">
        <w:rPr>
          <w:sz w:val="24"/>
          <w:szCs w:val="24"/>
        </w:rPr>
        <w:t>Investors who focus on institutions like the University of Ilorin (UNILORIN) usually include a mixture of individuals, groups, and organizations. Here are some potential types of investors and stakeholders that may invest in or support initiatives at the University of Ilorin:</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1. </w:t>
      </w:r>
      <w:r w:rsidRPr="00B8371C">
        <w:rPr>
          <w:b/>
          <w:bCs/>
          <w:sz w:val="24"/>
          <w:szCs w:val="24"/>
        </w:rPr>
        <w:t>Alumni</w:t>
      </w:r>
      <w:r w:rsidRPr="00B8371C">
        <w:rPr>
          <w:sz w:val="24"/>
          <w:szCs w:val="24"/>
        </w:rPr>
        <w:t>: Graduates of the university often contribute to development projects, scholarships, and initiatives to enhance the university's facilities or programs.</w:t>
      </w:r>
    </w:p>
    <w:p w:rsidR="00B8371C" w:rsidRPr="00B8371C" w:rsidRDefault="00B8371C" w:rsidP="00B8371C">
      <w:pPr>
        <w:widowControl/>
        <w:autoSpaceDE/>
        <w:autoSpaceDN/>
        <w:spacing w:after="200" w:line="480" w:lineRule="auto"/>
        <w:jc w:val="both"/>
        <w:rPr>
          <w:sz w:val="24"/>
          <w:szCs w:val="24"/>
        </w:rPr>
      </w:pPr>
      <w:r>
        <w:rPr>
          <w:sz w:val="24"/>
          <w:szCs w:val="24"/>
        </w:rPr>
        <w:lastRenderedPageBreak/>
        <w:t xml:space="preserve">2. </w:t>
      </w:r>
      <w:r w:rsidRPr="00B8371C">
        <w:rPr>
          <w:b/>
          <w:bCs/>
          <w:sz w:val="24"/>
          <w:szCs w:val="24"/>
        </w:rPr>
        <w:t>Corporate Sponsors</w:t>
      </w:r>
      <w:r w:rsidRPr="00B8371C">
        <w:rPr>
          <w:sz w:val="24"/>
          <w:szCs w:val="24"/>
        </w:rPr>
        <w:t>: Local and national businesses may sponsor events, research projects, or infrastructure development at the university. Companies may have a vested interest in partnerships that can provide mutual benefits, such as internships for students or research collaborations.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3. </w:t>
      </w:r>
      <w:r w:rsidRPr="00B8371C">
        <w:rPr>
          <w:b/>
          <w:bCs/>
          <w:sz w:val="24"/>
          <w:szCs w:val="24"/>
        </w:rPr>
        <w:t>Philanthropists</w:t>
      </w:r>
      <w:r w:rsidRPr="00B8371C">
        <w:rPr>
          <w:sz w:val="24"/>
          <w:szCs w:val="24"/>
        </w:rPr>
        <w:t>: Individuals interested in education and community development may donate to the university for specific programs or projects.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4. </w:t>
      </w:r>
      <w:r w:rsidRPr="00B8371C">
        <w:rPr>
          <w:b/>
          <w:bCs/>
          <w:sz w:val="24"/>
          <w:szCs w:val="24"/>
        </w:rPr>
        <w:t>Government Grants and Programs</w:t>
      </w:r>
      <w:r w:rsidRPr="00B8371C">
        <w:rPr>
          <w:sz w:val="24"/>
          <w:szCs w:val="24"/>
        </w:rPr>
        <w:t>: The Nigerian government and educational bodies may provide funding for various initiatives in higher education, including infrastructure development, research, and development programs.</w:t>
      </w:r>
    </w:p>
    <w:p w:rsidR="00B8371C" w:rsidRPr="00B8371C" w:rsidRDefault="00B8371C" w:rsidP="00B8371C">
      <w:pPr>
        <w:widowControl/>
        <w:autoSpaceDE/>
        <w:autoSpaceDN/>
        <w:spacing w:after="200" w:line="480" w:lineRule="auto"/>
        <w:jc w:val="both"/>
        <w:rPr>
          <w:sz w:val="24"/>
          <w:szCs w:val="24"/>
        </w:rPr>
      </w:pPr>
    </w:p>
    <w:p w:rsidR="00B8371C" w:rsidRPr="00B8371C" w:rsidRDefault="00B8371C" w:rsidP="00B8371C">
      <w:pPr>
        <w:widowControl/>
        <w:autoSpaceDE/>
        <w:autoSpaceDN/>
        <w:spacing w:after="200" w:line="480" w:lineRule="auto"/>
        <w:jc w:val="both"/>
        <w:rPr>
          <w:sz w:val="24"/>
          <w:szCs w:val="24"/>
        </w:rPr>
      </w:pPr>
      <w:r>
        <w:rPr>
          <w:sz w:val="24"/>
          <w:szCs w:val="24"/>
        </w:rPr>
        <w:t xml:space="preserve">5. </w:t>
      </w:r>
      <w:r w:rsidRPr="00B8371C">
        <w:rPr>
          <w:b/>
          <w:bCs/>
          <w:sz w:val="24"/>
          <w:szCs w:val="24"/>
        </w:rPr>
        <w:t>Research Grants</w:t>
      </w:r>
      <w:r w:rsidRPr="00B8371C">
        <w:rPr>
          <w:sz w:val="24"/>
          <w:szCs w:val="24"/>
        </w:rPr>
        <w:t>: Organizations, both local and international, often provide research grants for academic projects at universities. These can be from foundations, NGOs, or international research organizations.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6. </w:t>
      </w:r>
      <w:r w:rsidRPr="00B8371C">
        <w:rPr>
          <w:b/>
          <w:bCs/>
          <w:sz w:val="24"/>
          <w:szCs w:val="24"/>
        </w:rPr>
        <w:t>Incubation and Innovation Hubs</w:t>
      </w:r>
      <w:r w:rsidRPr="00B8371C">
        <w:rPr>
          <w:sz w:val="24"/>
          <w:szCs w:val="24"/>
        </w:rPr>
        <w:t>: These organizations often invest in university-owned startups or research projects that have commercial potential.</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7. </w:t>
      </w:r>
      <w:r w:rsidRPr="00B8371C">
        <w:rPr>
          <w:b/>
          <w:bCs/>
          <w:sz w:val="24"/>
          <w:szCs w:val="24"/>
        </w:rPr>
        <w:t>Development Agencies</w:t>
      </w:r>
      <w:r w:rsidRPr="00B8371C">
        <w:rPr>
          <w:sz w:val="24"/>
          <w:szCs w:val="24"/>
        </w:rPr>
        <w:t>: National and international development agencies may invest in educational programs or initiatives that align with their objectives in Nigeria.</w:t>
      </w:r>
    </w:p>
    <w:p w:rsidR="00B8371C" w:rsidRPr="00B8371C" w:rsidRDefault="00B8371C" w:rsidP="00B8371C">
      <w:pPr>
        <w:widowControl/>
        <w:autoSpaceDE/>
        <w:autoSpaceDN/>
        <w:spacing w:after="200" w:line="480" w:lineRule="auto"/>
        <w:jc w:val="both"/>
        <w:rPr>
          <w:b/>
          <w:bCs/>
          <w:sz w:val="26"/>
          <w:szCs w:val="26"/>
        </w:rPr>
      </w:pPr>
      <w:r w:rsidRPr="00B8371C">
        <w:rPr>
          <w:sz w:val="24"/>
          <w:szCs w:val="24"/>
        </w:rPr>
        <w:t>To find specific investors or partners associated with the University of Ilorin, checking the university's official communication channels, partnerships, and alumni networks can be beneficial. University events and academic conferences might also attract potential investors who are interested in academic collaboration and support.</w:t>
      </w:r>
      <w:r w:rsidRPr="00B8371C">
        <w:rPr>
          <w:sz w:val="24"/>
          <w:szCs w:val="24"/>
        </w:rPr>
        <w:br w:type="page"/>
      </w:r>
    </w:p>
    <w:p w:rsidR="007A470E" w:rsidRDefault="007A470E" w:rsidP="007A470E">
      <w:pPr>
        <w:pStyle w:val="Heading2"/>
        <w:spacing w:before="78" w:line="480" w:lineRule="auto"/>
        <w:ind w:left="0" w:right="-20"/>
        <w:jc w:val="center"/>
      </w:pPr>
      <w:r>
        <w:lastRenderedPageBreak/>
        <w:t>CHAPTER THREE</w:t>
      </w:r>
    </w:p>
    <w:p w:rsidR="007A470E" w:rsidRDefault="007A470E" w:rsidP="007A470E">
      <w:pPr>
        <w:pStyle w:val="Heading2"/>
        <w:spacing w:before="78" w:line="480" w:lineRule="auto"/>
        <w:ind w:left="0" w:right="-20"/>
        <w:jc w:val="center"/>
      </w:pPr>
      <w:r>
        <w:t>RESEARCH METHODS</w:t>
      </w:r>
    </w:p>
    <w:p w:rsidR="007A470E" w:rsidRDefault="007A470E" w:rsidP="00E35EB2">
      <w:pPr>
        <w:pStyle w:val="ListParagraph"/>
        <w:numPr>
          <w:ilvl w:val="1"/>
          <w:numId w:val="3"/>
        </w:numPr>
        <w:spacing w:before="207" w:line="480" w:lineRule="auto"/>
        <w:ind w:left="0" w:right="-20" w:firstLine="0"/>
        <w:rPr>
          <w:b/>
          <w:sz w:val="24"/>
        </w:rPr>
      </w:pPr>
      <w:r>
        <w:rPr>
          <w:b/>
          <w:sz w:val="24"/>
        </w:rPr>
        <w:t>INTRODUCTION</w:t>
      </w:r>
    </w:p>
    <w:p w:rsidR="007A470E" w:rsidRDefault="007A470E" w:rsidP="007A470E">
      <w:pPr>
        <w:pStyle w:val="BodyText"/>
        <w:spacing w:line="480" w:lineRule="auto"/>
        <w:ind w:right="-20"/>
        <w:jc w:val="both"/>
      </w:pPr>
      <w:r>
        <w:t>Thischapterofthestudylooksatvariousaspectsofthestudy,withcognisancegiven to the research area, the methods and processes involved in sampling of the respondents to whom the questionnaires ate to be administered to, the nature of the questionnaires with respect to the aim and objectives of the research, and also the methods of data analysis to be adopted. All these details are to aid in determining the analysis of data collated from the respondents, and to ensure ease in the presentation ofdata.</w:t>
      </w:r>
    </w:p>
    <w:p w:rsidR="007A470E" w:rsidRDefault="007A470E" w:rsidP="00E35EB2">
      <w:pPr>
        <w:pStyle w:val="Heading2"/>
        <w:numPr>
          <w:ilvl w:val="1"/>
          <w:numId w:val="3"/>
        </w:numPr>
        <w:spacing w:before="167" w:line="480" w:lineRule="auto"/>
        <w:ind w:left="0" w:right="-20" w:firstLine="0"/>
      </w:pPr>
      <w:r>
        <w:t>RESEARCHDESIGN</w:t>
      </w:r>
    </w:p>
    <w:p w:rsidR="007A470E" w:rsidRDefault="007A470E" w:rsidP="00632E34">
      <w:pPr>
        <w:pStyle w:val="BodyText"/>
        <w:spacing w:line="480" w:lineRule="auto"/>
        <w:ind w:right="-20"/>
        <w:jc w:val="both"/>
      </w:pPr>
      <w:r>
        <w:t xml:space="preserve">In order to achieve the aim of this study, the research methods employed was qualitativeinnature.Aqualitativeanalysisgivesadescriptionofthevariousfactors or determinants which drive or cause a shortfall in investor confidence within the Nigerian real estate sector. This tool focuses on the various data presented in the tables, and the </w:t>
      </w:r>
      <w:r w:rsidR="00632E34">
        <w:tab/>
      </w:r>
      <w:r>
        <w:t>gives an in-depth look into the responses stated, in order to assess theaverageinvestor’sattitudeorperceptionintoallclassesoftheNigerianrealestate sector.</w:t>
      </w:r>
    </w:p>
    <w:p w:rsidR="007A470E" w:rsidRDefault="007A470E" w:rsidP="00133B8C">
      <w:pPr>
        <w:pStyle w:val="Heading2"/>
        <w:numPr>
          <w:ilvl w:val="1"/>
          <w:numId w:val="3"/>
        </w:numPr>
        <w:spacing w:before="167" w:line="480" w:lineRule="auto"/>
        <w:ind w:left="0" w:right="-20" w:firstLine="0"/>
      </w:pPr>
      <w:r>
        <w:t>RESEARCHAREA</w:t>
      </w:r>
    </w:p>
    <w:p w:rsidR="00632E34" w:rsidRPr="00133B8C" w:rsidRDefault="00632E34" w:rsidP="00133B8C">
      <w:pPr>
        <w:pStyle w:val="BodyText"/>
        <w:spacing w:before="74" w:line="480" w:lineRule="auto"/>
        <w:ind w:right="-20"/>
        <w:jc w:val="both"/>
        <w:rPr>
          <w:rFonts w:asciiTheme="majorBidi" w:hAnsiTheme="majorBidi" w:cstheme="majorBidi"/>
          <w:bCs/>
          <w:shd w:val="clear" w:color="auto" w:fill="FFFFFF"/>
        </w:rPr>
      </w:pPr>
      <w:r w:rsidRPr="00133B8C">
        <w:rPr>
          <w:rFonts w:asciiTheme="majorBidi" w:hAnsiTheme="majorBidi" w:cstheme="majorBidi"/>
          <w:bCs/>
          <w:shd w:val="clear" w:color="auto" w:fill="FFFFFF"/>
        </w:rPr>
        <w:t>The </w:t>
      </w:r>
      <w:r w:rsidRPr="00133B8C">
        <w:rPr>
          <w:rFonts w:asciiTheme="majorBidi" w:hAnsiTheme="majorBidi" w:cstheme="majorBidi"/>
          <w:bCs/>
          <w:bdr w:val="none" w:sz="0" w:space="0" w:color="auto" w:frame="1"/>
          <w:shd w:val="clear" w:color="auto" w:fill="FFFFFF"/>
        </w:rPr>
        <w:t>University of Ilorin</w:t>
      </w:r>
      <w:r w:rsidRPr="00133B8C">
        <w:rPr>
          <w:rFonts w:asciiTheme="majorBidi" w:hAnsiTheme="majorBidi" w:cstheme="majorBidi"/>
          <w:bCs/>
          <w:shd w:val="clear" w:color="auto" w:fill="FFFFFF"/>
        </w:rPr>
        <w:t>, also known as </w:t>
      </w:r>
      <w:r w:rsidRPr="00133B8C">
        <w:rPr>
          <w:rFonts w:asciiTheme="majorBidi" w:hAnsiTheme="majorBidi" w:cstheme="majorBidi"/>
          <w:bCs/>
          <w:bdr w:val="none" w:sz="0" w:space="0" w:color="auto" w:frame="1"/>
          <w:shd w:val="clear" w:color="auto" w:fill="FFFFFF"/>
        </w:rPr>
        <w:t>Unilorin</w:t>
      </w:r>
      <w:r w:rsidRPr="00133B8C">
        <w:rPr>
          <w:rFonts w:asciiTheme="majorBidi" w:hAnsiTheme="majorBidi" w:cstheme="majorBidi"/>
          <w:bCs/>
          <w:shd w:val="clear" w:color="auto" w:fill="FFFFFF"/>
        </w:rPr>
        <w:t>, is a university in Ilorin, Nigeria.</w:t>
      </w:r>
      <w:r w:rsidRPr="00133B8C">
        <w:rPr>
          <w:rFonts w:asciiTheme="majorBidi" w:hAnsiTheme="majorBidi" w:cstheme="majorBidi"/>
          <w:bCs/>
        </w:rPr>
        <w:br/>
      </w:r>
      <w:r w:rsidRPr="00133B8C">
        <w:rPr>
          <w:rFonts w:asciiTheme="majorBidi" w:hAnsiTheme="majorBidi" w:cstheme="majorBidi"/>
          <w:bCs/>
          <w:shd w:val="clear" w:color="auto" w:fill="FFFFFF"/>
        </w:rPr>
        <w:t xml:space="preserve">It was established by a decree of the Federal Military Government in 1975 and is a federal government owned tertiary institution of education located in Ilorin, Kwara State, western Nigeria. The university began as a University College affiliated to the oldest university in Nigeria in 1975 under the leadership of the then principal, Dr T.N. Tamuno. The first set of 200 students, selected following an entrance examination, were admitted into residence on 23 October 1976, while academic work started on 25 October after the Principal’s address. The </w:t>
      </w:r>
      <w:r w:rsidRPr="00133B8C">
        <w:rPr>
          <w:rFonts w:asciiTheme="majorBidi" w:hAnsiTheme="majorBidi" w:cstheme="majorBidi"/>
          <w:bCs/>
          <w:shd w:val="clear" w:color="auto" w:fill="FFFFFF"/>
        </w:rPr>
        <w:lastRenderedPageBreak/>
        <w:t>University College started with three academic faculties of Arts, Science and Education.</w:t>
      </w:r>
    </w:p>
    <w:p w:rsidR="007F7C28" w:rsidRDefault="00133B8C" w:rsidP="009C4CE7">
      <w:pPr>
        <w:pStyle w:val="Heading2"/>
        <w:spacing w:before="164" w:line="480" w:lineRule="auto"/>
        <w:ind w:left="0" w:right="-20"/>
        <w:jc w:val="both"/>
      </w:pPr>
      <w:r w:rsidRPr="00133B8C">
        <w:rPr>
          <w:rFonts w:asciiTheme="majorBidi" w:hAnsiTheme="majorBidi" w:cstheme="majorBidi"/>
          <w:b w:val="0"/>
          <w:shd w:val="clear" w:color="auto" w:fill="FFFFFF"/>
        </w:rPr>
        <w:t>The establishment aimed to implement one of the educational directives of the Third National Development Plan, which was aimed at providing more opportunities for Nigerians aspiring to acquire </w:t>
      </w:r>
      <w:hyperlink r:id="rId15" w:tooltip="University education" w:history="1">
        <w:r w:rsidRPr="00133B8C">
          <w:rPr>
            <w:rStyle w:val="Hyperlink"/>
            <w:rFonts w:asciiTheme="majorBidi" w:hAnsiTheme="majorBidi" w:cstheme="majorBidi"/>
            <w:b w:val="0"/>
            <w:color w:val="auto"/>
            <w:u w:val="none"/>
            <w:shd w:val="clear" w:color="auto" w:fill="FFFFFF"/>
          </w:rPr>
          <w:t>university education</w:t>
        </w:r>
      </w:hyperlink>
      <w:r w:rsidRPr="00133B8C">
        <w:rPr>
          <w:rFonts w:asciiTheme="majorBidi" w:hAnsiTheme="majorBidi" w:cstheme="majorBidi"/>
          <w:b w:val="0"/>
          <w:shd w:val="clear" w:color="auto" w:fill="FFFFFF"/>
        </w:rPr>
        <w:t> and to generate high-level </w:t>
      </w:r>
      <w:hyperlink r:id="rId16" w:tooltip="Human resources" w:history="1">
        <w:r w:rsidRPr="00133B8C">
          <w:rPr>
            <w:rStyle w:val="Hyperlink"/>
            <w:rFonts w:asciiTheme="majorBidi" w:hAnsiTheme="majorBidi" w:cstheme="majorBidi"/>
            <w:b w:val="0"/>
            <w:color w:val="auto"/>
            <w:u w:val="none"/>
            <w:shd w:val="clear" w:color="auto" w:fill="FFFFFF"/>
          </w:rPr>
          <w:t>manpower</w:t>
        </w:r>
      </w:hyperlink>
      <w:r w:rsidRPr="00133B8C">
        <w:rPr>
          <w:rFonts w:asciiTheme="majorBidi" w:hAnsiTheme="majorBidi" w:cstheme="majorBidi"/>
          <w:b w:val="0"/>
          <w:shd w:val="clear" w:color="auto" w:fill="FFFFFF"/>
        </w:rPr>
        <w:t>, which is vital for the rapidly expanding economy. Compare</w:t>
      </w:r>
      <w:hyperlink r:id="rId17" w:anchor="cite_note-6" w:history="1"/>
      <w:r w:rsidRPr="00133B8C">
        <w:rPr>
          <w:rFonts w:asciiTheme="majorBidi" w:hAnsiTheme="majorBidi" w:cstheme="majorBidi"/>
          <w:b w:val="0"/>
          <w:shd w:val="clear" w:color="auto" w:fill="FFFFFF"/>
        </w:rPr>
        <w:t> to other higher institutions of learning in the country, the institution has one of the largest land areas, covering approximately 15,000 hectares of land.</w:t>
      </w:r>
    </w:p>
    <w:p w:rsidR="007A470E" w:rsidRDefault="007F7C28" w:rsidP="00133B8C">
      <w:pPr>
        <w:pStyle w:val="Heading2"/>
        <w:spacing w:before="164" w:line="480" w:lineRule="auto"/>
        <w:ind w:left="0" w:right="-20"/>
        <w:jc w:val="both"/>
      </w:pPr>
      <w:r>
        <w:t xml:space="preserve">3.3 </w:t>
      </w:r>
      <w:r>
        <w:tab/>
      </w:r>
      <w:r w:rsidR="007A470E">
        <w:t>DATA TYPE ANDSOURCES</w:t>
      </w:r>
    </w:p>
    <w:p w:rsidR="007A470E" w:rsidRDefault="007A470E" w:rsidP="00133B8C">
      <w:pPr>
        <w:pStyle w:val="BodyText"/>
        <w:spacing w:line="480" w:lineRule="auto"/>
        <w:ind w:right="-20"/>
        <w:jc w:val="both"/>
      </w:pPr>
      <w:r>
        <w:t xml:space="preserve">The data used for this study </w:t>
      </w:r>
      <w:r w:rsidR="00133B8C">
        <w:t xml:space="preserve">were </w:t>
      </w:r>
      <w:r>
        <w:t xml:space="preserve">obtained from </w:t>
      </w:r>
      <w:r w:rsidR="00133B8C">
        <w:t>the main source, which was called Secondary source</w:t>
      </w:r>
      <w:r>
        <w:t>data.</w:t>
      </w:r>
    </w:p>
    <w:p w:rsidR="007A470E" w:rsidRDefault="007F7C28" w:rsidP="00E35EB2">
      <w:pPr>
        <w:pStyle w:val="Heading2"/>
        <w:spacing w:before="78" w:line="480" w:lineRule="auto"/>
        <w:ind w:left="0" w:right="-20"/>
      </w:pPr>
      <w:r>
        <w:t>SecondarySource</w:t>
      </w:r>
    </w:p>
    <w:p w:rsidR="007A470E" w:rsidRDefault="007A470E" w:rsidP="00E35EB2">
      <w:pPr>
        <w:pStyle w:val="BodyText"/>
        <w:spacing w:line="480" w:lineRule="auto"/>
        <w:ind w:right="-20"/>
        <w:jc w:val="both"/>
      </w:pPr>
      <w:r>
        <w:t>The secondary data for the study was obtained from relevant literature including conference papers, journals, magazines and other documents existing in the public domain</w:t>
      </w:r>
      <w:r w:rsidR="00133B8C">
        <w:t xml:space="preserve"> with a view to knowing theirroles and current level of contribution towards real estate financing and property development amongst other sectors of investment in Nigerian </w:t>
      </w:r>
      <w:r>
        <w:t>whichwereaccessiblethroughconsultationaswellasfromtheinternet.</w:t>
      </w:r>
    </w:p>
    <w:p w:rsidR="007A470E" w:rsidRDefault="007A470E" w:rsidP="007F7C28">
      <w:pPr>
        <w:pStyle w:val="Heading2"/>
        <w:numPr>
          <w:ilvl w:val="1"/>
          <w:numId w:val="15"/>
        </w:numPr>
        <w:spacing w:before="164"/>
        <w:ind w:right="-20"/>
      </w:pPr>
      <w:r>
        <w:t>SAMPLINGTECHNIQUE</w:t>
      </w:r>
    </w:p>
    <w:p w:rsidR="007A470E" w:rsidRDefault="007A470E" w:rsidP="007A470E">
      <w:pPr>
        <w:pStyle w:val="BodyText"/>
        <w:spacing w:before="7"/>
        <w:ind w:right="-20"/>
        <w:rPr>
          <w:b/>
          <w:sz w:val="37"/>
        </w:rPr>
      </w:pPr>
    </w:p>
    <w:p w:rsidR="007A470E" w:rsidRDefault="007A470E" w:rsidP="00A81A7C">
      <w:pPr>
        <w:pStyle w:val="BodyText"/>
        <w:spacing w:line="480" w:lineRule="auto"/>
        <w:ind w:right="-20"/>
        <w:jc w:val="both"/>
      </w:pPr>
      <w:r>
        <w:t>Thesimplerandomsamplingtechniquewasadoptedtodrawasampleframefromthe population. The simple random sampling method was chosen so as to give equal chancestonotjustrealestateinvestors,butalsoawiderangeofotherinvestorgroups selectedforassessmentbytheresearcher.Upondeterminingasampleframe,thesampling methodwas used to determine the sample size of investment firms to be assessed by theresearcher.</w:t>
      </w:r>
    </w:p>
    <w:p w:rsidR="00E35EB2" w:rsidRDefault="00A81A7C" w:rsidP="00A81A7C">
      <w:pPr>
        <w:pStyle w:val="BodyText"/>
        <w:spacing w:line="480" w:lineRule="auto"/>
        <w:ind w:right="-20"/>
        <w:jc w:val="both"/>
      </w:pPr>
      <w:r>
        <w:t>Unilorin was established by a decree of the federal Military Government in 1975 and is a federal government owned teritiary institution of education located in Ilorin, Kwara State, WesternNigieran.</w:t>
      </w:r>
    </w:p>
    <w:p w:rsidR="007A470E" w:rsidRDefault="007A470E" w:rsidP="007F7C28">
      <w:pPr>
        <w:pStyle w:val="Heading2"/>
        <w:numPr>
          <w:ilvl w:val="1"/>
          <w:numId w:val="15"/>
        </w:numPr>
        <w:spacing w:line="480" w:lineRule="auto"/>
        <w:ind w:left="0" w:right="-20" w:firstLine="0"/>
      </w:pPr>
      <w:r>
        <w:lastRenderedPageBreak/>
        <w:t>METHOD OF DATACOLLECTION</w:t>
      </w:r>
    </w:p>
    <w:p w:rsidR="007A470E" w:rsidRDefault="007A470E" w:rsidP="007A470E">
      <w:pPr>
        <w:pStyle w:val="BodyText"/>
        <w:spacing w:line="480" w:lineRule="auto"/>
        <w:ind w:right="-20"/>
        <w:jc w:val="both"/>
      </w:pPr>
      <w:r>
        <w:t>Responseswerecollectedaftertherespondentsadequatelyfilledthequestionnairesto thesatisfactionoftheresearcher.Otherresponseswerealsoretrievedimmediatelyand included those administered by oralinterview.</w:t>
      </w:r>
    </w:p>
    <w:p w:rsidR="007A470E" w:rsidRPr="007A470E" w:rsidRDefault="007A470E" w:rsidP="007F7C28">
      <w:pPr>
        <w:pStyle w:val="Heading2"/>
        <w:numPr>
          <w:ilvl w:val="1"/>
          <w:numId w:val="15"/>
        </w:numPr>
        <w:spacing w:before="166" w:line="480" w:lineRule="auto"/>
        <w:ind w:left="0" w:right="-20" w:hanging="1"/>
      </w:pPr>
      <w:r>
        <w:t>INSTRUMENT OF DATACOLLECTION</w:t>
      </w:r>
    </w:p>
    <w:p w:rsidR="007A470E" w:rsidRDefault="007A470E" w:rsidP="007A470E">
      <w:pPr>
        <w:pStyle w:val="BodyText"/>
        <w:spacing w:line="480" w:lineRule="auto"/>
        <w:ind w:right="-20"/>
        <w:jc w:val="both"/>
      </w:pPr>
      <w:r>
        <w:t>The questionnaire administered to respondents contained two sections. Section A comprised personal information, while section B comprised technical questions which adequately provided necessary information needed for the fulfilment of this research. Simple nominal questions were included within the latter section, and also ordinal tables were included, and rated with the use of a Likert Scale. This aided in providing the level or degree of significance of the variables stated within such ordinal tables.</w:t>
      </w:r>
    </w:p>
    <w:p w:rsidR="007A470E" w:rsidRDefault="007A470E" w:rsidP="007A470E">
      <w:pPr>
        <w:pStyle w:val="BodyText"/>
        <w:spacing w:before="74" w:line="480" w:lineRule="auto"/>
        <w:ind w:right="-20"/>
        <w:jc w:val="both"/>
      </w:pPr>
      <w:r>
        <w:t xml:space="preserve">Various characteristics of any investment, such as initial cost of investment, payback period,rateofreturn,liquidationofanasset,risk,mobility,hedgeagainstinflation,ease of transfer, and the level of security of such an asset, was measured against various investment sectors of the Nigerian economy, in order to determine the level of significance of each variable within each sector, and measure this significance against that of the real estate sector. Also, another ordinal table was included to show the </w:t>
      </w:r>
      <w:r>
        <w:rPr>
          <w:spacing w:val="-4"/>
        </w:rPr>
        <w:t xml:space="preserve">level </w:t>
      </w:r>
      <w:r>
        <w:t>of preference shown by investors towards the Nigerian real estate sector as against all other sectors of the Nigerianeconomy.</w:t>
      </w:r>
    </w:p>
    <w:p w:rsidR="007A470E" w:rsidRDefault="007A470E" w:rsidP="007F7C28">
      <w:pPr>
        <w:pStyle w:val="Heading2"/>
        <w:numPr>
          <w:ilvl w:val="1"/>
          <w:numId w:val="15"/>
        </w:numPr>
        <w:spacing w:before="166"/>
        <w:ind w:left="0" w:right="-20" w:firstLine="0"/>
      </w:pPr>
      <w:r>
        <w:t>METHOD OF DATA</w:t>
      </w:r>
      <w:r w:rsidR="00CC4FCE">
        <w:t>ANALYSIS</w:t>
      </w:r>
    </w:p>
    <w:p w:rsidR="007A470E" w:rsidRDefault="007A470E" w:rsidP="007A470E">
      <w:pPr>
        <w:pStyle w:val="BodyText"/>
        <w:spacing w:before="4"/>
        <w:ind w:right="-20"/>
        <w:rPr>
          <w:b/>
          <w:sz w:val="37"/>
        </w:rPr>
      </w:pPr>
    </w:p>
    <w:p w:rsidR="007A470E" w:rsidRDefault="007A470E" w:rsidP="007A470E">
      <w:pPr>
        <w:pStyle w:val="BodyText"/>
        <w:spacing w:line="480" w:lineRule="auto"/>
        <w:ind w:right="-20"/>
        <w:jc w:val="both"/>
      </w:pPr>
      <w:r>
        <w:t>The questionnaires collected and the interviews conducted, were carefully scrutinized and made ready for analysis. The data was analysed using univariate analysis (percentage distribution table). This was achieved through the use of the Statistical Package for the Social Science (SPSS): a computer window provider with user’s interface that makes statistical analysis more accessible and more convenient, whichis suitable for a study of thisnature.</w:t>
      </w:r>
      <w:bookmarkStart w:id="0" w:name="_GoBack"/>
      <w:bookmarkEnd w:id="0"/>
    </w:p>
    <w:p w:rsidR="002D4D5D" w:rsidRDefault="002D4D5D" w:rsidP="002D4D5D">
      <w:pPr>
        <w:pStyle w:val="Heading2"/>
        <w:spacing w:before="78" w:line="480" w:lineRule="auto"/>
        <w:ind w:left="0"/>
        <w:jc w:val="center"/>
      </w:pPr>
      <w:r>
        <w:lastRenderedPageBreak/>
        <w:t>CHAPTER FOUR</w:t>
      </w:r>
    </w:p>
    <w:p w:rsidR="002D4D5D" w:rsidRDefault="002D4D5D" w:rsidP="002D4D5D">
      <w:pPr>
        <w:pStyle w:val="Heading2"/>
        <w:spacing w:before="78" w:line="480" w:lineRule="auto"/>
        <w:ind w:left="0"/>
        <w:jc w:val="center"/>
      </w:pPr>
      <w:r>
        <w:t>DATA ANALYSIS AND PRESENTATION</w:t>
      </w:r>
    </w:p>
    <w:p w:rsidR="002D4D5D" w:rsidRDefault="002D4D5D" w:rsidP="002D4D5D">
      <w:pPr>
        <w:pStyle w:val="BodyText"/>
        <w:spacing w:line="480" w:lineRule="auto"/>
        <w:jc w:val="both"/>
      </w:pPr>
      <w:r>
        <w:t>The presentation of data aids in simplifying the analysis of information retrieved from the respondents as regards the level of investor confidence towards the Nigerian real estate sector. The respondents selected were not strictly real estate investors, but rather versatile investors within the industry. Nominal and ordinal scales were used in the tables below, where ordinal scale ranks variables according to how frequently they were selected, while nominal scale simply presents data with the use of frequency distribution tables and their percentages.</w:t>
      </w:r>
    </w:p>
    <w:p w:rsidR="002D4D5D" w:rsidRDefault="002D4D5D" w:rsidP="002D4D5D">
      <w:pPr>
        <w:pStyle w:val="Heading2"/>
        <w:spacing w:before="164"/>
        <w:ind w:left="0"/>
        <w:jc w:val="both"/>
      </w:pPr>
      <w:r>
        <w:t>Table 4.1 Number of Investment Companies</w:t>
      </w:r>
    </w:p>
    <w:p w:rsidR="002D4D5D" w:rsidRDefault="002D4D5D" w:rsidP="002D4D5D">
      <w:pPr>
        <w:pStyle w:val="BodyText"/>
        <w:spacing w:before="8"/>
        <w:jc w:val="both"/>
        <w:rPr>
          <w:b/>
        </w:rPr>
      </w:pPr>
    </w:p>
    <w:tbl>
      <w:tblPr>
        <w:tblW w:w="0" w:type="auto"/>
        <w:tblInd w:w="167" w:type="dxa"/>
        <w:tblLayout w:type="fixed"/>
        <w:tblCellMar>
          <w:left w:w="0" w:type="dxa"/>
          <w:right w:w="0" w:type="dxa"/>
        </w:tblCellMar>
        <w:tblLook w:val="01E0"/>
      </w:tblPr>
      <w:tblGrid>
        <w:gridCol w:w="2690"/>
        <w:gridCol w:w="1563"/>
        <w:gridCol w:w="1614"/>
      </w:tblGrid>
      <w:tr w:rsidR="002D4D5D" w:rsidTr="007A14BB">
        <w:trPr>
          <w:trHeight w:val="1103"/>
        </w:trPr>
        <w:tc>
          <w:tcPr>
            <w:tcW w:w="2690" w:type="dxa"/>
            <w:tcBorders>
              <w:top w:val="single" w:sz="4" w:space="0" w:color="7F7F7F"/>
              <w:bottom w:val="single" w:sz="4" w:space="0" w:color="7F7F7F"/>
            </w:tcBorders>
          </w:tcPr>
          <w:p w:rsidR="002D4D5D" w:rsidRDefault="002D4D5D" w:rsidP="007A14BB">
            <w:pPr>
              <w:pStyle w:val="TableParagraph"/>
              <w:spacing w:before="0"/>
              <w:ind w:left="0"/>
              <w:jc w:val="both"/>
              <w:rPr>
                <w:b/>
                <w:sz w:val="24"/>
              </w:rPr>
            </w:pPr>
            <w:r>
              <w:rPr>
                <w:b/>
                <w:sz w:val="24"/>
              </w:rPr>
              <w:t>Number of investment</w:t>
            </w:r>
          </w:p>
          <w:p w:rsidR="002D4D5D" w:rsidRDefault="002D4D5D" w:rsidP="007A14BB">
            <w:pPr>
              <w:pStyle w:val="TableParagraph"/>
              <w:spacing w:before="0"/>
              <w:ind w:left="0"/>
              <w:jc w:val="both"/>
              <w:rPr>
                <w:b/>
                <w:sz w:val="24"/>
              </w:rPr>
            </w:pPr>
          </w:p>
          <w:p w:rsidR="002D4D5D" w:rsidRDefault="002D4D5D" w:rsidP="007A14BB">
            <w:pPr>
              <w:pStyle w:val="TableParagraph"/>
              <w:spacing w:before="0"/>
              <w:ind w:left="0"/>
              <w:jc w:val="both"/>
              <w:rPr>
                <w:b/>
                <w:sz w:val="24"/>
              </w:rPr>
            </w:pPr>
            <w:r>
              <w:rPr>
                <w:b/>
                <w:sz w:val="24"/>
              </w:rPr>
              <w:t>companies</w:t>
            </w:r>
          </w:p>
        </w:tc>
        <w:tc>
          <w:tcPr>
            <w:tcW w:w="1563" w:type="dxa"/>
            <w:tcBorders>
              <w:top w:val="single" w:sz="4" w:space="0" w:color="7F7F7F"/>
              <w:bottom w:val="single" w:sz="4" w:space="0" w:color="7F7F7F"/>
            </w:tcBorders>
          </w:tcPr>
          <w:p w:rsidR="002D4D5D" w:rsidRDefault="002D4D5D" w:rsidP="007A14BB">
            <w:pPr>
              <w:pStyle w:val="TableParagraph"/>
              <w:spacing w:before="0"/>
              <w:ind w:left="0"/>
              <w:jc w:val="both"/>
              <w:rPr>
                <w:b/>
                <w:sz w:val="24"/>
              </w:rPr>
            </w:pPr>
            <w:r>
              <w:rPr>
                <w:b/>
                <w:sz w:val="24"/>
              </w:rPr>
              <w:t>Frequency</w:t>
            </w:r>
          </w:p>
        </w:tc>
        <w:tc>
          <w:tcPr>
            <w:tcW w:w="1614" w:type="dxa"/>
            <w:tcBorders>
              <w:top w:val="single" w:sz="4" w:space="0" w:color="7F7F7F"/>
              <w:bottom w:val="single" w:sz="4" w:space="0" w:color="7F7F7F"/>
            </w:tcBorders>
          </w:tcPr>
          <w:p w:rsidR="002D4D5D" w:rsidRDefault="002D4D5D" w:rsidP="007A14BB">
            <w:pPr>
              <w:pStyle w:val="TableParagraph"/>
              <w:spacing w:before="0"/>
              <w:ind w:left="0"/>
              <w:jc w:val="both"/>
              <w:rPr>
                <w:b/>
                <w:sz w:val="24"/>
              </w:rPr>
            </w:pPr>
            <w:r>
              <w:rPr>
                <w:b/>
                <w:sz w:val="24"/>
              </w:rPr>
              <w:t>Percent (%)</w:t>
            </w:r>
          </w:p>
        </w:tc>
      </w:tr>
      <w:tr w:rsidR="002D4D5D" w:rsidTr="007A14BB">
        <w:trPr>
          <w:trHeight w:val="411"/>
        </w:trPr>
        <w:tc>
          <w:tcPr>
            <w:tcW w:w="2690" w:type="dxa"/>
            <w:tcBorders>
              <w:top w:val="single" w:sz="4" w:space="0" w:color="7F7F7F"/>
            </w:tcBorders>
          </w:tcPr>
          <w:p w:rsidR="002D4D5D" w:rsidRDefault="002D4D5D" w:rsidP="007A14BB">
            <w:pPr>
              <w:pStyle w:val="TableParagraph"/>
              <w:spacing w:before="0"/>
              <w:ind w:left="0"/>
              <w:jc w:val="both"/>
              <w:rPr>
                <w:sz w:val="24"/>
              </w:rPr>
            </w:pPr>
            <w:r>
              <w:rPr>
                <w:sz w:val="24"/>
              </w:rPr>
              <w:t>Number of companies</w:t>
            </w:r>
          </w:p>
        </w:tc>
        <w:tc>
          <w:tcPr>
            <w:tcW w:w="1563" w:type="dxa"/>
            <w:tcBorders>
              <w:top w:val="single" w:sz="4" w:space="0" w:color="7F7F7F"/>
            </w:tcBorders>
          </w:tcPr>
          <w:p w:rsidR="002D4D5D" w:rsidRDefault="002D4D5D" w:rsidP="007A14BB">
            <w:pPr>
              <w:pStyle w:val="TableParagraph"/>
              <w:spacing w:before="0"/>
              <w:ind w:left="0"/>
              <w:jc w:val="both"/>
              <w:rPr>
                <w:sz w:val="24"/>
              </w:rPr>
            </w:pPr>
            <w:r>
              <w:rPr>
                <w:sz w:val="24"/>
              </w:rPr>
              <w:t>23</w:t>
            </w:r>
          </w:p>
        </w:tc>
        <w:tc>
          <w:tcPr>
            <w:tcW w:w="1614" w:type="dxa"/>
            <w:tcBorders>
              <w:top w:val="single" w:sz="4" w:space="0" w:color="7F7F7F"/>
            </w:tcBorders>
          </w:tcPr>
          <w:p w:rsidR="002D4D5D" w:rsidRDefault="002D4D5D" w:rsidP="007A14BB">
            <w:pPr>
              <w:pStyle w:val="TableParagraph"/>
              <w:spacing w:before="0"/>
              <w:ind w:left="0"/>
              <w:jc w:val="both"/>
              <w:rPr>
                <w:sz w:val="24"/>
              </w:rPr>
            </w:pPr>
            <w:r>
              <w:rPr>
                <w:sz w:val="24"/>
              </w:rPr>
              <w:t>81.5</w:t>
            </w:r>
          </w:p>
        </w:tc>
      </w:tr>
      <w:tr w:rsidR="002D4D5D" w:rsidTr="007A14BB">
        <w:trPr>
          <w:trHeight w:val="1104"/>
        </w:trPr>
        <w:tc>
          <w:tcPr>
            <w:tcW w:w="2690" w:type="dxa"/>
          </w:tcPr>
          <w:p w:rsidR="002D4D5D" w:rsidRDefault="002D4D5D" w:rsidP="007A14BB">
            <w:pPr>
              <w:pStyle w:val="TableParagraph"/>
              <w:ind w:left="0"/>
              <w:jc w:val="both"/>
              <w:rPr>
                <w:sz w:val="24"/>
              </w:rPr>
            </w:pPr>
            <w:r>
              <w:rPr>
                <w:sz w:val="24"/>
              </w:rPr>
              <w:t>(Assessed)</w:t>
            </w:r>
          </w:p>
          <w:p w:rsidR="002D4D5D" w:rsidRDefault="002D4D5D" w:rsidP="007A14BB">
            <w:pPr>
              <w:pStyle w:val="TableParagraph"/>
              <w:spacing w:before="0"/>
              <w:ind w:left="0"/>
              <w:jc w:val="both"/>
              <w:rPr>
                <w:b/>
                <w:sz w:val="24"/>
              </w:rPr>
            </w:pPr>
          </w:p>
          <w:p w:rsidR="002D4D5D" w:rsidRDefault="002D4D5D" w:rsidP="007A14BB">
            <w:pPr>
              <w:pStyle w:val="TableParagraph"/>
              <w:spacing w:before="0"/>
              <w:ind w:left="0"/>
              <w:jc w:val="both"/>
              <w:rPr>
                <w:sz w:val="24"/>
              </w:rPr>
            </w:pPr>
            <w:r>
              <w:rPr>
                <w:sz w:val="24"/>
              </w:rPr>
              <w:t>Number of companies</w:t>
            </w:r>
          </w:p>
        </w:tc>
        <w:tc>
          <w:tcPr>
            <w:tcW w:w="1563" w:type="dxa"/>
          </w:tcPr>
          <w:p w:rsidR="002D4D5D" w:rsidRDefault="002D4D5D" w:rsidP="007A14BB">
            <w:pPr>
              <w:pStyle w:val="TableParagraph"/>
              <w:spacing w:before="0"/>
              <w:ind w:left="0"/>
              <w:jc w:val="both"/>
              <w:rPr>
                <w:b/>
                <w:sz w:val="26"/>
              </w:rPr>
            </w:pPr>
          </w:p>
          <w:p w:rsidR="002D4D5D" w:rsidRDefault="002D4D5D" w:rsidP="007A14BB">
            <w:pPr>
              <w:pStyle w:val="TableParagraph"/>
              <w:spacing w:before="6"/>
              <w:ind w:left="0"/>
              <w:jc w:val="both"/>
              <w:rPr>
                <w:b/>
                <w:sz w:val="33"/>
              </w:rPr>
            </w:pPr>
          </w:p>
          <w:p w:rsidR="002D4D5D" w:rsidRDefault="002D4D5D" w:rsidP="007A14BB">
            <w:pPr>
              <w:pStyle w:val="TableParagraph"/>
              <w:spacing w:before="0"/>
              <w:ind w:left="0"/>
              <w:jc w:val="both"/>
              <w:rPr>
                <w:sz w:val="24"/>
              </w:rPr>
            </w:pPr>
            <w:r>
              <w:rPr>
                <w:sz w:val="24"/>
              </w:rPr>
              <w:t>35</w:t>
            </w:r>
          </w:p>
        </w:tc>
        <w:tc>
          <w:tcPr>
            <w:tcW w:w="1614" w:type="dxa"/>
          </w:tcPr>
          <w:p w:rsidR="002D4D5D" w:rsidRDefault="002D4D5D" w:rsidP="007A14BB">
            <w:pPr>
              <w:pStyle w:val="TableParagraph"/>
              <w:spacing w:before="0"/>
              <w:ind w:left="0"/>
              <w:jc w:val="both"/>
              <w:rPr>
                <w:b/>
                <w:sz w:val="26"/>
              </w:rPr>
            </w:pPr>
          </w:p>
          <w:p w:rsidR="002D4D5D" w:rsidRDefault="002D4D5D" w:rsidP="007A14BB">
            <w:pPr>
              <w:pStyle w:val="TableParagraph"/>
              <w:spacing w:before="6"/>
              <w:ind w:left="0"/>
              <w:jc w:val="both"/>
              <w:rPr>
                <w:b/>
                <w:sz w:val="33"/>
              </w:rPr>
            </w:pPr>
          </w:p>
          <w:p w:rsidR="002D4D5D" w:rsidRDefault="002D4D5D" w:rsidP="007A14BB">
            <w:pPr>
              <w:pStyle w:val="TableParagraph"/>
              <w:spacing w:before="0"/>
              <w:ind w:left="0"/>
              <w:jc w:val="both"/>
              <w:rPr>
                <w:sz w:val="24"/>
              </w:rPr>
            </w:pPr>
            <w:r>
              <w:rPr>
                <w:sz w:val="24"/>
              </w:rPr>
              <w:t>100.0</w:t>
            </w:r>
          </w:p>
        </w:tc>
      </w:tr>
      <w:tr w:rsidR="002D4D5D" w:rsidTr="007A14BB">
        <w:trPr>
          <w:trHeight w:val="408"/>
        </w:trPr>
        <w:tc>
          <w:tcPr>
            <w:tcW w:w="2690" w:type="dxa"/>
          </w:tcPr>
          <w:p w:rsidR="002D4D5D" w:rsidRDefault="002D4D5D" w:rsidP="007A14BB">
            <w:pPr>
              <w:pStyle w:val="TableParagraph"/>
              <w:ind w:left="0"/>
              <w:jc w:val="both"/>
              <w:rPr>
                <w:sz w:val="24"/>
              </w:rPr>
            </w:pPr>
            <w:r>
              <w:rPr>
                <w:sz w:val="24"/>
              </w:rPr>
              <w:t>(Total)</w:t>
            </w:r>
          </w:p>
        </w:tc>
        <w:tc>
          <w:tcPr>
            <w:tcW w:w="1563" w:type="dxa"/>
          </w:tcPr>
          <w:p w:rsidR="002D4D5D" w:rsidRDefault="002D4D5D" w:rsidP="007A14BB">
            <w:pPr>
              <w:pStyle w:val="TableParagraph"/>
              <w:spacing w:before="0"/>
              <w:ind w:left="0"/>
              <w:jc w:val="both"/>
              <w:rPr>
                <w:sz w:val="24"/>
              </w:rPr>
            </w:pPr>
          </w:p>
        </w:tc>
        <w:tc>
          <w:tcPr>
            <w:tcW w:w="1614" w:type="dxa"/>
          </w:tcPr>
          <w:p w:rsidR="002D4D5D" w:rsidRDefault="002D4D5D" w:rsidP="007A14BB">
            <w:pPr>
              <w:pStyle w:val="TableParagraph"/>
              <w:spacing w:before="0"/>
              <w:ind w:left="0"/>
              <w:jc w:val="both"/>
              <w:rPr>
                <w:sz w:val="24"/>
              </w:rPr>
            </w:pPr>
          </w:p>
        </w:tc>
      </w:tr>
    </w:tbl>
    <w:p w:rsidR="002D4D5D" w:rsidRDefault="002D4D5D" w:rsidP="002D4D5D">
      <w:pPr>
        <w:pStyle w:val="BodyText"/>
        <w:spacing w:before="6"/>
        <w:jc w:val="both"/>
        <w:rPr>
          <w:b/>
          <w:sz w:val="21"/>
        </w:rPr>
      </w:pPr>
      <w:r w:rsidRPr="00940107">
        <w:rPr>
          <w:noProof/>
        </w:rPr>
        <w:pict>
          <v:rect id="Rectangle 27" o:spid="_x0000_s1028" style="position:absolute;left:0;text-align:left;margin-left:71.3pt;margin-top:14.3pt;width:294.15pt;height:.5pt;z-index:-25165619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dfwIAAPsEAAAOAAAAZHJzL2Uyb0RvYy54bWysVNuO0zAQfUfiHyy/d3PZpGmiTVe7LUVI&#10;C6xY+ADXdhoLxw6223RB/Dtjpy0t8IAQreTYnvHxmZkzvrnddxLtuLFCqxonVzFGXFHNhNrU+NPH&#10;1WSGkXVEMSK14jV+5hbfzl++uBn6iqe61ZJxgwBE2Wroa9w611dRZGnLO2KvdM8VGBttOuJgaTYR&#10;M2QA9E5GaRxPo0Eb1htNubWwuxyNeB7wm4ZT975pLHdI1hi4uTCaMK79GM1vSLUxpG8FPdAg/8Ci&#10;I0LBpSeoJXEEbY34DaoT1GirG3dFdRfpphGUhxggmiT+JZqnlvQ8xALJsf0pTfb/wdJ3u0eDBKtx&#10;WmCkSAc1+gBZI2ojOYI9SNDQ2wr8nvpH40O0/YOmny1SetGCG78zRg8tJwxoJd4/ujjgFxaOovXw&#10;VjOAJ1unQ672jek8IGQB7UNJnk8l4XuHKGxeF9d5EecYUbBNr/NQsYhUx7O9se411x3ykxoboB6w&#10;ye7BOs+FVEeXwF1LwVZCyrAwm/VCGrQjII5i5f+BPoR47iaVd1baHxsRxx2gCHd4mycbiv2tTNIs&#10;vk/LyWo6KybZKssnZRHPJnFS3pfTOCuz5eq7J5hkVSsY4+pBKH4UXpL9XWEPLTBKJkgPDTUu8zQP&#10;sV+wt+dBxuH3pyA74aAPpehqPDs5kcqX9ZViEDapHBFynEeX9EOWIQfHb8hKEIGv+6iftWbPoAGj&#10;oUjQh/BiwKTV5itGA3Rfje2XLTEcI/lGgY7KJMt8u4ZFlhcpLMy5ZX1uIYoCVI0dRuN04cYW3/ZG&#10;bFq4KQmJUfoOtNeIIAyvy5HVQbHQYSGCw2vgW/h8Hbx+vlnzHwAAAP//AwBQSwMEFAAGAAgAAAAh&#10;ACZNgvDbAAAACQEAAA8AAABkcnMvZG93bnJldi54bWxMj0FPwzAMhe9I/IfISNxYQkGlK02nCcQZ&#10;MRBcvca01RqnatKt8OsxJzhZz356/l61WfygjjTFPrCF65UBRdwE13Nr4e316aoAFROywyEwWfii&#10;CJv6/KzC0oUTv9Bxl1olIRxLtNClNJZax6Yjj3EVRmK5fYbJYxI5tdpNeJJwP+jMmFx77Fk+dDjS&#10;Q0fNYTd7C/OBTV6Yj7hwF7a9w8fnd/629vJi2d6DSrSkPzP84gs61MK0DzO7qAbRt1kuVgtZIVMM&#10;dzdmDWovi3UOuq70/wb1DwAAAP//AwBQSwECLQAUAAYACAAAACEAtoM4kv4AAADhAQAAEwAAAAAA&#10;AAAAAAAAAAAAAAAAW0NvbnRlbnRfVHlwZXNdLnhtbFBLAQItABQABgAIAAAAIQA4/SH/1gAAAJQB&#10;AAALAAAAAAAAAAAAAAAAAC8BAABfcmVscy8ucmVsc1BLAQItABQABgAIAAAAIQDze/jdfwIAAPsE&#10;AAAOAAAAAAAAAAAAAAAAAC4CAABkcnMvZTJvRG9jLnhtbFBLAQItABQABgAIAAAAIQAmTYLw2wAA&#10;AAkBAAAPAAAAAAAAAAAAAAAAANkEAABkcnMvZG93bnJldi54bWxQSwUGAAAAAAQABADzAAAA4QUA&#10;AAAA&#10;" fillcolor="#7f7f7f" stroked="f">
            <w10:wrap type="topAndBottom" anchorx="page"/>
          </v:rect>
        </w:pict>
      </w:r>
    </w:p>
    <w:p w:rsidR="002D4D5D" w:rsidRDefault="002D4D5D" w:rsidP="002D4D5D">
      <w:pPr>
        <w:pStyle w:val="BodyText"/>
        <w:jc w:val="both"/>
        <w:rPr>
          <w:b/>
          <w:sz w:val="26"/>
        </w:rPr>
      </w:pPr>
    </w:p>
    <w:p w:rsidR="002D4D5D" w:rsidRDefault="002D4D5D" w:rsidP="002D4D5D">
      <w:pPr>
        <w:pStyle w:val="BodyText"/>
        <w:spacing w:before="216" w:line="480" w:lineRule="auto"/>
        <w:jc w:val="both"/>
      </w:pPr>
      <w:r>
        <w:t>Accordingtotable4.1,therequirednumberofinvestmentcompanieswhichoughttohavebeen coveredsumsuptoatotalof65firms.Rather,anefficientsamplesizeof53firmswasassessed; 81.5%, exceeding the basic requirement of covering at least 60% of any required samplesize.</w:t>
      </w:r>
    </w:p>
    <w:p w:rsidR="002D4D5D" w:rsidRDefault="002D4D5D" w:rsidP="002D4D5D">
      <w:pPr>
        <w:widowControl/>
        <w:autoSpaceDE/>
        <w:autoSpaceDN/>
        <w:spacing w:after="200" w:line="276" w:lineRule="auto"/>
        <w:rPr>
          <w:b/>
          <w:bCs/>
          <w:sz w:val="24"/>
          <w:szCs w:val="24"/>
        </w:rPr>
      </w:pPr>
      <w:r>
        <w:br w:type="page"/>
      </w:r>
    </w:p>
    <w:p w:rsidR="002D4D5D" w:rsidRDefault="002D4D5D" w:rsidP="002D4D5D">
      <w:pPr>
        <w:pStyle w:val="Heading2"/>
        <w:ind w:left="0"/>
        <w:jc w:val="both"/>
      </w:pPr>
      <w:r>
        <w:lastRenderedPageBreak/>
        <w:t>Table 4.2 Risk Attitude</w:t>
      </w:r>
    </w:p>
    <w:p w:rsidR="002D4D5D" w:rsidRDefault="002D4D5D" w:rsidP="002D4D5D">
      <w:pPr>
        <w:pStyle w:val="BodyText"/>
        <w:spacing w:before="9"/>
        <w:jc w:val="both"/>
        <w:rPr>
          <w:b/>
        </w:rPr>
      </w:pPr>
    </w:p>
    <w:tbl>
      <w:tblPr>
        <w:tblW w:w="0" w:type="auto"/>
        <w:tblInd w:w="167" w:type="dxa"/>
        <w:tblLayout w:type="fixed"/>
        <w:tblCellMar>
          <w:left w:w="0" w:type="dxa"/>
          <w:right w:w="0" w:type="dxa"/>
        </w:tblCellMar>
        <w:tblLook w:val="01E0"/>
      </w:tblPr>
      <w:tblGrid>
        <w:gridCol w:w="2738"/>
        <w:gridCol w:w="1617"/>
        <w:gridCol w:w="1742"/>
      </w:tblGrid>
      <w:tr w:rsidR="002D4D5D" w:rsidTr="007A14BB">
        <w:trPr>
          <w:trHeight w:val="551"/>
        </w:trPr>
        <w:tc>
          <w:tcPr>
            <w:tcW w:w="2738"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Risk attitude</w:t>
            </w:r>
          </w:p>
        </w:tc>
        <w:tc>
          <w:tcPr>
            <w:tcW w:w="1617"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Frequency</w:t>
            </w:r>
          </w:p>
        </w:tc>
        <w:tc>
          <w:tcPr>
            <w:tcW w:w="1742"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Percent (%)</w:t>
            </w:r>
          </w:p>
        </w:tc>
      </w:tr>
      <w:tr w:rsidR="002D4D5D" w:rsidTr="007A14BB">
        <w:trPr>
          <w:trHeight w:val="410"/>
        </w:trPr>
        <w:tc>
          <w:tcPr>
            <w:tcW w:w="2738"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Risk prone</w:t>
            </w:r>
          </w:p>
        </w:tc>
        <w:tc>
          <w:tcPr>
            <w:tcW w:w="1617"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19</w:t>
            </w:r>
          </w:p>
        </w:tc>
        <w:tc>
          <w:tcPr>
            <w:tcW w:w="1742"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35.9</w:t>
            </w:r>
          </w:p>
        </w:tc>
      </w:tr>
      <w:tr w:rsidR="002D4D5D" w:rsidTr="007A14BB">
        <w:trPr>
          <w:trHeight w:val="552"/>
        </w:trPr>
        <w:tc>
          <w:tcPr>
            <w:tcW w:w="2738" w:type="dxa"/>
          </w:tcPr>
          <w:p w:rsidR="002D4D5D" w:rsidRDefault="002D4D5D" w:rsidP="007A14BB">
            <w:pPr>
              <w:pStyle w:val="TableParagraph"/>
              <w:ind w:left="0"/>
              <w:jc w:val="both"/>
              <w:rPr>
                <w:sz w:val="24"/>
              </w:rPr>
            </w:pPr>
            <w:r>
              <w:rPr>
                <w:sz w:val="24"/>
              </w:rPr>
              <w:t>Risk adverse</w:t>
            </w:r>
          </w:p>
        </w:tc>
        <w:tc>
          <w:tcPr>
            <w:tcW w:w="1617" w:type="dxa"/>
          </w:tcPr>
          <w:p w:rsidR="002D4D5D" w:rsidRDefault="002D4D5D" w:rsidP="007A14BB">
            <w:pPr>
              <w:pStyle w:val="TableParagraph"/>
              <w:ind w:left="0"/>
              <w:jc w:val="both"/>
              <w:rPr>
                <w:sz w:val="24"/>
              </w:rPr>
            </w:pPr>
            <w:r>
              <w:rPr>
                <w:sz w:val="24"/>
              </w:rPr>
              <w:t>22</w:t>
            </w:r>
          </w:p>
        </w:tc>
        <w:tc>
          <w:tcPr>
            <w:tcW w:w="1742" w:type="dxa"/>
          </w:tcPr>
          <w:p w:rsidR="002D4D5D" w:rsidRDefault="002D4D5D" w:rsidP="007A14BB">
            <w:pPr>
              <w:pStyle w:val="TableParagraph"/>
              <w:ind w:left="0"/>
              <w:jc w:val="both"/>
              <w:rPr>
                <w:sz w:val="24"/>
              </w:rPr>
            </w:pPr>
            <w:r>
              <w:rPr>
                <w:sz w:val="24"/>
              </w:rPr>
              <w:t>41.5</w:t>
            </w:r>
          </w:p>
        </w:tc>
      </w:tr>
      <w:tr w:rsidR="002D4D5D" w:rsidTr="007A14BB">
        <w:trPr>
          <w:trHeight w:val="552"/>
        </w:trPr>
        <w:tc>
          <w:tcPr>
            <w:tcW w:w="2738" w:type="dxa"/>
          </w:tcPr>
          <w:p w:rsidR="002D4D5D" w:rsidRDefault="002D4D5D" w:rsidP="007A14BB">
            <w:pPr>
              <w:pStyle w:val="TableParagraph"/>
              <w:ind w:left="0"/>
              <w:jc w:val="both"/>
              <w:rPr>
                <w:sz w:val="24"/>
              </w:rPr>
            </w:pPr>
            <w:r>
              <w:rPr>
                <w:sz w:val="24"/>
              </w:rPr>
              <w:t>Risk indifferent</w:t>
            </w:r>
          </w:p>
        </w:tc>
        <w:tc>
          <w:tcPr>
            <w:tcW w:w="1617" w:type="dxa"/>
          </w:tcPr>
          <w:p w:rsidR="002D4D5D" w:rsidRDefault="002D4D5D" w:rsidP="007A14BB">
            <w:pPr>
              <w:pStyle w:val="TableParagraph"/>
              <w:ind w:left="0"/>
              <w:jc w:val="both"/>
              <w:rPr>
                <w:sz w:val="24"/>
              </w:rPr>
            </w:pPr>
            <w:r>
              <w:rPr>
                <w:sz w:val="24"/>
              </w:rPr>
              <w:t>12</w:t>
            </w:r>
          </w:p>
        </w:tc>
        <w:tc>
          <w:tcPr>
            <w:tcW w:w="1742" w:type="dxa"/>
          </w:tcPr>
          <w:p w:rsidR="002D4D5D" w:rsidRDefault="002D4D5D" w:rsidP="007A14BB">
            <w:pPr>
              <w:pStyle w:val="TableParagraph"/>
              <w:ind w:left="0"/>
              <w:jc w:val="both"/>
              <w:rPr>
                <w:sz w:val="24"/>
              </w:rPr>
            </w:pPr>
            <w:r>
              <w:rPr>
                <w:sz w:val="24"/>
              </w:rPr>
              <w:t>22.6</w:t>
            </w:r>
          </w:p>
        </w:tc>
      </w:tr>
      <w:tr w:rsidR="002D4D5D" w:rsidTr="007A14BB">
        <w:trPr>
          <w:trHeight w:val="551"/>
        </w:trPr>
        <w:tc>
          <w:tcPr>
            <w:tcW w:w="2738" w:type="dxa"/>
          </w:tcPr>
          <w:p w:rsidR="002D4D5D" w:rsidRDefault="002D4D5D" w:rsidP="007A14BB">
            <w:pPr>
              <w:pStyle w:val="TableParagraph"/>
              <w:ind w:left="0"/>
              <w:jc w:val="both"/>
              <w:rPr>
                <w:sz w:val="24"/>
              </w:rPr>
            </w:pPr>
            <w:r>
              <w:rPr>
                <w:sz w:val="24"/>
              </w:rPr>
              <w:t>Number ofrespondents</w:t>
            </w:r>
          </w:p>
        </w:tc>
        <w:tc>
          <w:tcPr>
            <w:tcW w:w="1617" w:type="dxa"/>
          </w:tcPr>
          <w:p w:rsidR="002D4D5D" w:rsidRDefault="002D4D5D" w:rsidP="007A14BB">
            <w:pPr>
              <w:pStyle w:val="TableParagraph"/>
              <w:ind w:left="0"/>
              <w:jc w:val="both"/>
              <w:rPr>
                <w:sz w:val="24"/>
              </w:rPr>
            </w:pPr>
            <w:r>
              <w:rPr>
                <w:sz w:val="24"/>
              </w:rPr>
              <w:t>53</w:t>
            </w:r>
          </w:p>
        </w:tc>
        <w:tc>
          <w:tcPr>
            <w:tcW w:w="1742" w:type="dxa"/>
          </w:tcPr>
          <w:p w:rsidR="002D4D5D" w:rsidRDefault="002D4D5D" w:rsidP="007A14BB">
            <w:pPr>
              <w:pStyle w:val="TableParagraph"/>
              <w:ind w:left="0"/>
              <w:jc w:val="both"/>
              <w:rPr>
                <w:sz w:val="24"/>
              </w:rPr>
            </w:pPr>
            <w:r>
              <w:rPr>
                <w:sz w:val="24"/>
              </w:rPr>
              <w:t>100.0</w:t>
            </w:r>
          </w:p>
        </w:tc>
      </w:tr>
      <w:tr w:rsidR="002D4D5D" w:rsidTr="007A14BB">
        <w:trPr>
          <w:trHeight w:val="409"/>
        </w:trPr>
        <w:tc>
          <w:tcPr>
            <w:tcW w:w="2738" w:type="dxa"/>
          </w:tcPr>
          <w:p w:rsidR="002D4D5D" w:rsidRDefault="002D4D5D" w:rsidP="007A14BB">
            <w:pPr>
              <w:pStyle w:val="TableParagraph"/>
              <w:spacing w:line="256" w:lineRule="exact"/>
              <w:ind w:left="0"/>
              <w:jc w:val="both"/>
              <w:rPr>
                <w:sz w:val="24"/>
              </w:rPr>
            </w:pPr>
            <w:r>
              <w:rPr>
                <w:sz w:val="24"/>
              </w:rPr>
              <w:t>(Assessed)</w:t>
            </w:r>
          </w:p>
        </w:tc>
        <w:tc>
          <w:tcPr>
            <w:tcW w:w="1617" w:type="dxa"/>
          </w:tcPr>
          <w:p w:rsidR="002D4D5D" w:rsidRDefault="002D4D5D" w:rsidP="007A14BB">
            <w:pPr>
              <w:pStyle w:val="TableParagraph"/>
              <w:spacing w:before="0"/>
              <w:ind w:left="0"/>
              <w:jc w:val="both"/>
              <w:rPr>
                <w:sz w:val="24"/>
              </w:rPr>
            </w:pPr>
          </w:p>
        </w:tc>
        <w:tc>
          <w:tcPr>
            <w:tcW w:w="1742" w:type="dxa"/>
          </w:tcPr>
          <w:p w:rsidR="002D4D5D" w:rsidRDefault="002D4D5D" w:rsidP="007A14BB">
            <w:pPr>
              <w:pStyle w:val="TableParagraph"/>
              <w:spacing w:before="0"/>
              <w:ind w:left="0"/>
              <w:jc w:val="both"/>
              <w:rPr>
                <w:sz w:val="24"/>
              </w:rPr>
            </w:pPr>
          </w:p>
        </w:tc>
      </w:tr>
    </w:tbl>
    <w:p w:rsidR="002D4D5D" w:rsidRDefault="002D4D5D" w:rsidP="002D4D5D">
      <w:pPr>
        <w:pStyle w:val="BodyText"/>
        <w:spacing w:before="3"/>
        <w:jc w:val="both"/>
        <w:rPr>
          <w:b/>
          <w:sz w:val="21"/>
        </w:rPr>
      </w:pPr>
      <w:r w:rsidRPr="00940107">
        <w:rPr>
          <w:noProof/>
        </w:rPr>
        <w:pict>
          <v:shape id="Freeform 20" o:spid="_x0000_s1029" style="position:absolute;left:0;text-align:left;margin-left:1in;margin-top:14.2pt;width:304.85pt;height:.5pt;z-index:-251655168;visibility:visible;mso-wrap-distance-left:0;mso-wrap-distance-right:0;mso-position-horizontal-relative:page;mso-position-vertical-relative:text" coordsize="6097,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496gAYAAI8cAAAOAAAAZHJzL2Uyb0RvYy54bWysWX+Pm0YQ/b9SvwPiz1YXG1h+WfFFTdKr&#10;KqVtpGw/AAf4jIpZCtz50qrfvTML65slTIyq5hQbm+fhzXvMsrvz+s3zqXaeyq6vVLN3vVdb1ymb&#10;XBVV87B3f5d3N4nr9EPWFFmtmnLvfi57983tt9+8Pre70ldHVRdl50CQpt+d2717HIZ2t9n0+bE8&#10;Zf0r1ZYNnDyo7pQN8LF72BRddobop3rjb7fR5qy6ou1UXvY9fPt+POne6viHQ5kPvx0OfTk49d4F&#10;boN+7fTrPb5ubl9nu4cua49VPtHI/gOLU1Y1cNFLqPfZkDmPXfVFqFOVd6pXh+FVrk4bdThUealz&#10;gGy87SybT8esLXUuIE7fXmTq/7+w+a9PHzunKvauD/I02Qk8uuvKEhV34CvQ59z2O4B9aj92mGHf&#10;flD5Hz2c2Fhn8EMPGOf+/IsqIEz2OCityfOhO+EvIVvnWUv/+SJ9+Tw4OXwZJLEXpqHr5HAuCkJ9&#10;5U22M7/NH/vhp1LpONnTh34YjSvgSMteTNwlZHE41eDh9zfO1hFeEDmeEMboC8wzsO82jtw6Zyfa&#10;pvF0N1xAvgHpWH4iHPg/BwUGBJEQcnS8L64mDGYMFMRikRSkP3JHUoIhFRnQ10jFBvQVUlCZRCk/&#10;iJZJpQaGpBKGFKRsBVuWyqOqc1p5M9U5Xh4VXno+x2ymPcOMSs8ys6XH22rRRo+qL72IYzYzgGFG&#10;9eeYYe0SL1lmPjVA+ux9P7MgXbzxfWqAD5ilO9+fyc+56VMDpM/d/L5tAV4VNJmXpE8NYJnN5GeZ&#10;UQOkz1VAYFvAMAuoARyzYCY/N1wE1AAZcBUQzCxY1iygBrDMbPnZ0TWgBkgYgpfH12BmAcOMGsAx&#10;gxGeVgDLTFADJBTwMjMxs2C5NgU1gKtNYcsvPLH8RBLUACm4ChC2BXjVhQoQ1ACWmS0/rxk1QAqu&#10;AuCZTS1gmIXUAI5ZaMvPMgupATLkKiC0LWBqM6QGcPdZaMvPuhlSA2TIVUBoW8AxowZwzCJbfpZZ&#10;RA2QEVcBkW0B42ZEDeDcjGz54zCIF5+bETVAwnRkuTYj2wKOGTWAZWbLHyYiXGZGDZARVwGxbQHD&#10;LKYGcMxiW/4wCZaZxdQAGXMVENsWcMyoASwzW372PoupATLmKiC2LeCYUQM4ZoktP8ssoQbIhKuA&#10;xLaAqc2EGsDVJkxR6NDIuplQAyQM7csVkNgWcMyoASwzW362AhJqgEy4CkhtCxhmKTWAY5ba8rOj&#10;RkoNkClXAaltAceMGsAys+XnmVEDZMpVQGpbwFRASg2gFQCL5AezDM6OZmWcPzfT0hiOnAx3Y7Z6&#10;Md6qHhfhEiyAlbYMcO4MIQCF62gGDKogWC+Qr4KBKIJhsbcmNC7jNDxcBwdNNTxdBccFD8JhrbKG&#10;DK5CNHxdpv6UKszq10TH+TpGh6n2KviUarAuVZzZYnSYlK6JjtNNDV+XqphShenbmug4McPoMKda&#10;BZ9SDdelilMYjA6zjzXRcV6h4etSjaZU4Tm9Jjo+gTF6vC5VfCxq+LpU8VmFcHjMrCGDDxANX5cq&#10;juoIhwF5TXQcajV8XaqwoTbCrVTH8WManDrYoJ1vzXauA1uz98go27XZgGOaOXTOsDuIO3XOEXab&#10;xxHtpJ5KqTRiwKHNj1IYoIGn2UN8AdQNBaa4MiY4c9a8tzpcilsYV1Hw3FuJGXcHQQVzGfNuX+4a&#10;bOJ+BXbRYi3OaGZI5bXqS+3Ei4ojUT/erpP5wmEe21xjimdsu0bVXHctbn5ZPqXxziI+vuRsc4Wd&#10;v7HQ5rFnsAB3tEk8c9q8M0qa0+Z9BruSuDBXvYYzSVzBXVRZi5uLYgSHex7LWc83LnWNwwHZ2+9V&#10;XRV3VV1jPffdw/27unOeMujexHf4N41TFqzWU5dG4c/GYWz8BnoL09CBXQbdjfk79XyxfeunN3dR&#10;Et+IOxHepPE2udl66ds02opUvL/7BydKntgdq6Iomw9VU5rOkCfWdV6mHtXY09G9IRy40hDmFzov&#10;Nsmt/reUZKcem0IX4rHMih+n4yGr6vF4YzPWIkPa5l0LoRs22KMZmzr3qvgM/ZpOjV0x6OLBwVF1&#10;f7nOGTpie7f/8zHrStepf26g5ZTqPooz6A8ijHHTuaNn7umZrMkh1N4dXJh94uG7YWy7PbZd9XCE&#10;K3lai0b9AH2iQ4UNHc1vZDV9gK6XzmDq0GFbjX7WqJc+4u2/AAAA//8DAFBLAwQUAAYACAAAACEA&#10;/9Z0698AAAAJAQAADwAAAGRycy9kb3ducmV2LnhtbEyPwU7DMBBE70j8g7VIXCrqUEwTQpwKKvUE&#10;B2j5ACdZkkC8jmy3DXx9tyc4zuxo9k2xmuwgDuhD70jD7TwBgVS7pqdWw8duc5OBCNFQYwZHqOEH&#10;A6zKy4vC5I070jsetrEVXEIhNxq6GMdcylB3aE2YuxGJb5/OWxNZ+lY23hy53A5ykSRLaU1P/KEz&#10;I647rL+3e6vhK1u+PcvZy0alr7/Oz3Z+rXyl9fXV9PQIIuIU/8Jwxmd0KJmpcntqghhYK8VbooZF&#10;pkBwIL2/S0FUbDwokGUh/y8oTwAAAP//AwBQSwECLQAUAAYACAAAACEAtoM4kv4AAADhAQAAEwAA&#10;AAAAAAAAAAAAAAAAAAAAW0NvbnRlbnRfVHlwZXNdLnhtbFBLAQItABQABgAIAAAAIQA4/SH/1gAA&#10;AJQBAAALAAAAAAAAAAAAAAAAAC8BAABfcmVscy8ucmVsc1BLAQItABQABgAIAAAAIQB4j496gAYA&#10;AI8cAAAOAAAAAAAAAAAAAAAAAC4CAABkcnMvZTJvRG9jLnhtbFBLAQItABQABgAIAAAAIQD/1nTr&#10;3wAAAAkBAAAPAAAAAAAAAAAAAAAAANoIAABkcnMvZG93bnJldi54bWxQSwUGAAAAAAQABADzAAAA&#10;5gkAAAAA&#10;" adj="0,,0" path="m2696,l934,,924,,,,,10r924,l934,10r1762,l2696,xm2706,r-10,l2696,10r10,l2706,xm6097,l4405,r-10,l2706,r,10l4395,10r10,l6097,10r,-10xe" fillcolor="#7f7f7f" stroked="f">
            <v:stroke joinstyle="round"/>
            <v:formulas/>
            <v:path arrowok="t" o:connecttype="custom" o:connectlocs="1711960,180340;593090,180340;586740,180340;586740,180340;0,180340;0,186690;586740,186690;586740,186690;593090,186690;1711960,186690;1711960,180340;1718310,180340;1711960,180340;1711960,186690;1718310,186690;1718310,180340;3871595,180340;2797175,180340;2790825,180340;1718310,180340;1718310,186690;2790825,186690;2797175,186690;3871595,186690;3871595,180340" o:connectangles="0,0,0,0,0,0,0,0,0,0,0,0,0,0,0,0,0,0,0,0,0,0,0,0,0"/>
            <w10:wrap type="topAndBottom" anchorx="page"/>
          </v:shape>
        </w:pict>
      </w:r>
    </w:p>
    <w:p w:rsidR="002D4D5D" w:rsidRDefault="002D4D5D" w:rsidP="002D4D5D">
      <w:pPr>
        <w:pStyle w:val="BodyText"/>
        <w:jc w:val="both"/>
        <w:rPr>
          <w:b/>
          <w:sz w:val="26"/>
        </w:rPr>
      </w:pPr>
    </w:p>
    <w:p w:rsidR="002D4D5D" w:rsidRDefault="002D4D5D" w:rsidP="002D4D5D">
      <w:pPr>
        <w:pStyle w:val="BodyText"/>
        <w:spacing w:before="216" w:line="480" w:lineRule="auto"/>
        <w:jc w:val="both"/>
      </w:pPr>
      <w:r>
        <w:t>According to table 4.2, the risk attitude of most respondents within financial investment servicessectoristailoredtowardstheriskadversecategory;41.5%.Whileriskproneinvestors are also of a significant percentage, constituting 35.9% of the total number of respondents assessed. 22.6% of the respondents on the other hand have an indifferent attitude towards investments. This table generally looks at the average investor’s attitude towards all classesof investments, and not specifically real estate. This partially shows that as regards general investment classes and the investment attitude of the average investor, the level of confidence shown by such investors towards the Nigerian investment market is negative.</w:t>
      </w:r>
    </w:p>
    <w:p w:rsidR="002D4D5D" w:rsidRPr="00D85A53" w:rsidRDefault="002D4D5D" w:rsidP="002D4D5D">
      <w:pPr>
        <w:pStyle w:val="BodyText"/>
        <w:spacing w:before="216" w:line="480" w:lineRule="auto"/>
        <w:jc w:val="both"/>
        <w:rPr>
          <w:b/>
          <w:bCs/>
        </w:rPr>
      </w:pPr>
      <w:r w:rsidRPr="00D85A53">
        <w:rPr>
          <w:b/>
          <w:bCs/>
        </w:rPr>
        <w:t>Table 4.</w:t>
      </w:r>
      <w:r>
        <w:rPr>
          <w:b/>
          <w:bCs/>
        </w:rPr>
        <w:t>3</w:t>
      </w:r>
      <w:r w:rsidRPr="00D85A53">
        <w:rPr>
          <w:b/>
          <w:bCs/>
        </w:rPr>
        <w:t xml:space="preserve">   Type of Investor (Based on Coverage of Activities) Typeof investor</w:t>
      </w:r>
    </w:p>
    <w:tbl>
      <w:tblPr>
        <w:tblW w:w="0" w:type="auto"/>
        <w:tblInd w:w="167" w:type="dxa"/>
        <w:tblLayout w:type="fixed"/>
        <w:tblCellMar>
          <w:left w:w="0" w:type="dxa"/>
          <w:right w:w="0" w:type="dxa"/>
        </w:tblCellMar>
        <w:tblLook w:val="01E0"/>
      </w:tblPr>
      <w:tblGrid>
        <w:gridCol w:w="4963"/>
        <w:gridCol w:w="1440"/>
        <w:gridCol w:w="1260"/>
      </w:tblGrid>
      <w:tr w:rsidR="002D4D5D" w:rsidTr="007A14BB">
        <w:trPr>
          <w:trHeight w:val="551"/>
        </w:trPr>
        <w:tc>
          <w:tcPr>
            <w:tcW w:w="4963" w:type="dxa"/>
            <w:tcBorders>
              <w:top w:val="single" w:sz="4" w:space="0" w:color="7F7F7F"/>
              <w:bottom w:val="single" w:sz="4" w:space="0" w:color="7F7F7F"/>
            </w:tcBorders>
          </w:tcPr>
          <w:p w:rsidR="002D4D5D" w:rsidRPr="00DC7457" w:rsidRDefault="002D4D5D" w:rsidP="007A14BB">
            <w:pPr>
              <w:pStyle w:val="TableParagraph"/>
              <w:spacing w:before="0" w:line="360" w:lineRule="auto"/>
              <w:ind w:left="0"/>
              <w:jc w:val="both"/>
              <w:rPr>
                <w:b/>
                <w:bCs/>
                <w:sz w:val="24"/>
              </w:rPr>
            </w:pPr>
            <w:r w:rsidRPr="00DC7457">
              <w:rPr>
                <w:b/>
                <w:bCs/>
              </w:rPr>
              <w:t>Typeof investor</w:t>
            </w:r>
          </w:p>
        </w:tc>
        <w:tc>
          <w:tcPr>
            <w:tcW w:w="1440" w:type="dxa"/>
            <w:tcBorders>
              <w:top w:val="single" w:sz="4" w:space="0" w:color="7F7F7F"/>
              <w:bottom w:val="single" w:sz="4" w:space="0" w:color="7F7F7F"/>
            </w:tcBorders>
          </w:tcPr>
          <w:p w:rsidR="002D4D5D" w:rsidRDefault="002D4D5D" w:rsidP="007A14BB">
            <w:pPr>
              <w:pStyle w:val="TableParagraph"/>
              <w:spacing w:before="0" w:line="360" w:lineRule="auto"/>
              <w:ind w:left="0"/>
              <w:jc w:val="both"/>
              <w:rPr>
                <w:b/>
                <w:sz w:val="24"/>
              </w:rPr>
            </w:pPr>
            <w:r>
              <w:rPr>
                <w:b/>
                <w:sz w:val="24"/>
              </w:rPr>
              <w:t>Frequency</w:t>
            </w:r>
          </w:p>
        </w:tc>
        <w:tc>
          <w:tcPr>
            <w:tcW w:w="1260" w:type="dxa"/>
            <w:tcBorders>
              <w:top w:val="single" w:sz="4" w:space="0" w:color="7F7F7F"/>
              <w:bottom w:val="single" w:sz="4" w:space="0" w:color="7F7F7F"/>
            </w:tcBorders>
          </w:tcPr>
          <w:p w:rsidR="002D4D5D" w:rsidRDefault="002D4D5D" w:rsidP="007A14BB">
            <w:pPr>
              <w:pStyle w:val="TableParagraph"/>
              <w:spacing w:before="0" w:line="360" w:lineRule="auto"/>
              <w:ind w:left="0"/>
              <w:jc w:val="both"/>
              <w:rPr>
                <w:b/>
                <w:sz w:val="24"/>
              </w:rPr>
            </w:pPr>
            <w:r>
              <w:rPr>
                <w:b/>
                <w:sz w:val="24"/>
              </w:rPr>
              <w:t>Percent (%)</w:t>
            </w:r>
          </w:p>
        </w:tc>
      </w:tr>
      <w:tr w:rsidR="002D4D5D" w:rsidTr="007A14BB">
        <w:trPr>
          <w:trHeight w:val="410"/>
        </w:trPr>
        <w:tc>
          <w:tcPr>
            <w:tcW w:w="4963" w:type="dxa"/>
            <w:tcBorders>
              <w:top w:val="single" w:sz="4" w:space="0" w:color="7F7F7F"/>
            </w:tcBorders>
          </w:tcPr>
          <w:p w:rsidR="002D4D5D" w:rsidRDefault="002D4D5D" w:rsidP="007A14BB">
            <w:pPr>
              <w:pStyle w:val="BodyText"/>
              <w:spacing w:line="360" w:lineRule="auto"/>
              <w:jc w:val="both"/>
            </w:pPr>
            <w:r>
              <w:t xml:space="preserve">Local investor </w:t>
            </w:r>
            <w:r>
              <w:rPr>
                <w:spacing w:val="-2"/>
              </w:rPr>
              <w:t>(investments</w:t>
            </w:r>
          </w:p>
          <w:p w:rsidR="002D4D5D" w:rsidRDefault="002D4D5D" w:rsidP="007A14BB">
            <w:pPr>
              <w:pStyle w:val="BodyText"/>
              <w:spacing w:line="360" w:lineRule="auto"/>
              <w:jc w:val="both"/>
            </w:pPr>
            <w:r>
              <w:t>are strictly in Nigeria)</w:t>
            </w:r>
          </w:p>
        </w:tc>
        <w:tc>
          <w:tcPr>
            <w:tcW w:w="1440" w:type="dxa"/>
            <w:tcBorders>
              <w:top w:val="single" w:sz="4" w:space="0" w:color="7F7F7F"/>
            </w:tcBorders>
          </w:tcPr>
          <w:p w:rsidR="002D4D5D" w:rsidRDefault="002D4D5D" w:rsidP="007A14BB">
            <w:pPr>
              <w:pStyle w:val="TableParagraph"/>
              <w:spacing w:before="0" w:line="360" w:lineRule="auto"/>
              <w:ind w:left="0"/>
              <w:jc w:val="both"/>
              <w:rPr>
                <w:sz w:val="24"/>
              </w:rPr>
            </w:pPr>
            <w:r>
              <w:t>37</w:t>
            </w:r>
          </w:p>
        </w:tc>
        <w:tc>
          <w:tcPr>
            <w:tcW w:w="1260" w:type="dxa"/>
            <w:tcBorders>
              <w:top w:val="single" w:sz="4" w:space="0" w:color="7F7F7F"/>
            </w:tcBorders>
          </w:tcPr>
          <w:p w:rsidR="002D4D5D" w:rsidRDefault="002D4D5D" w:rsidP="007A14BB">
            <w:pPr>
              <w:pStyle w:val="TableParagraph"/>
              <w:spacing w:before="0" w:line="360" w:lineRule="auto"/>
              <w:ind w:left="0"/>
              <w:jc w:val="both"/>
              <w:rPr>
                <w:sz w:val="24"/>
              </w:rPr>
            </w:pPr>
            <w:r>
              <w:rPr>
                <w:sz w:val="24"/>
              </w:rPr>
              <w:t>69.8</w:t>
            </w:r>
          </w:p>
        </w:tc>
      </w:tr>
      <w:tr w:rsidR="002D4D5D" w:rsidTr="007A14BB">
        <w:trPr>
          <w:trHeight w:val="552"/>
        </w:trPr>
        <w:tc>
          <w:tcPr>
            <w:tcW w:w="4963" w:type="dxa"/>
          </w:tcPr>
          <w:p w:rsidR="002D4D5D" w:rsidRDefault="002D4D5D" w:rsidP="007A14BB">
            <w:pPr>
              <w:pStyle w:val="TableParagraph"/>
              <w:spacing w:line="360" w:lineRule="auto"/>
              <w:ind w:left="0"/>
              <w:jc w:val="both"/>
              <w:rPr>
                <w:sz w:val="24"/>
              </w:rPr>
            </w:pPr>
            <w:r>
              <w:rPr>
                <w:sz w:val="24"/>
              </w:rPr>
              <w:t>International investor(Investments are based inboth Nigeria and foreign</w:t>
            </w:r>
          </w:p>
        </w:tc>
        <w:tc>
          <w:tcPr>
            <w:tcW w:w="1440" w:type="dxa"/>
          </w:tcPr>
          <w:p w:rsidR="002D4D5D" w:rsidRDefault="002D4D5D" w:rsidP="007A14BB">
            <w:pPr>
              <w:pStyle w:val="TableParagraph"/>
              <w:spacing w:line="360" w:lineRule="auto"/>
              <w:ind w:left="0"/>
              <w:jc w:val="both"/>
              <w:rPr>
                <w:sz w:val="24"/>
              </w:rPr>
            </w:pPr>
            <w:r>
              <w:rPr>
                <w:sz w:val="24"/>
              </w:rPr>
              <w:t>16</w:t>
            </w:r>
          </w:p>
        </w:tc>
        <w:tc>
          <w:tcPr>
            <w:tcW w:w="1260" w:type="dxa"/>
          </w:tcPr>
          <w:p w:rsidR="002D4D5D" w:rsidRDefault="002D4D5D" w:rsidP="007A14BB">
            <w:pPr>
              <w:pStyle w:val="TableParagraph"/>
              <w:spacing w:line="360" w:lineRule="auto"/>
              <w:ind w:left="0"/>
              <w:jc w:val="both"/>
              <w:rPr>
                <w:sz w:val="24"/>
              </w:rPr>
            </w:pPr>
            <w:r>
              <w:rPr>
                <w:sz w:val="24"/>
              </w:rPr>
              <w:t>30.2</w:t>
            </w:r>
          </w:p>
        </w:tc>
      </w:tr>
      <w:tr w:rsidR="002D4D5D" w:rsidTr="007A14BB">
        <w:trPr>
          <w:trHeight w:val="551"/>
        </w:trPr>
        <w:tc>
          <w:tcPr>
            <w:tcW w:w="4963" w:type="dxa"/>
          </w:tcPr>
          <w:p w:rsidR="002D4D5D" w:rsidRDefault="002D4D5D" w:rsidP="007A14BB">
            <w:pPr>
              <w:pStyle w:val="TableParagraph"/>
              <w:spacing w:line="360" w:lineRule="auto"/>
              <w:ind w:left="0"/>
              <w:jc w:val="both"/>
              <w:rPr>
                <w:sz w:val="24"/>
              </w:rPr>
            </w:pPr>
            <w:r>
              <w:rPr>
                <w:sz w:val="24"/>
              </w:rPr>
              <w:t>Number of respondents</w:t>
            </w:r>
          </w:p>
        </w:tc>
        <w:tc>
          <w:tcPr>
            <w:tcW w:w="1440" w:type="dxa"/>
          </w:tcPr>
          <w:p w:rsidR="002D4D5D" w:rsidRDefault="002D4D5D" w:rsidP="007A14BB">
            <w:pPr>
              <w:pStyle w:val="TableParagraph"/>
              <w:spacing w:line="360" w:lineRule="auto"/>
              <w:ind w:left="0"/>
              <w:jc w:val="both"/>
              <w:rPr>
                <w:sz w:val="24"/>
              </w:rPr>
            </w:pPr>
            <w:r>
              <w:rPr>
                <w:sz w:val="24"/>
              </w:rPr>
              <w:t>53</w:t>
            </w:r>
          </w:p>
        </w:tc>
        <w:tc>
          <w:tcPr>
            <w:tcW w:w="1260" w:type="dxa"/>
          </w:tcPr>
          <w:p w:rsidR="002D4D5D" w:rsidRDefault="002D4D5D" w:rsidP="007A14BB">
            <w:pPr>
              <w:pStyle w:val="TableParagraph"/>
              <w:spacing w:line="360" w:lineRule="auto"/>
              <w:ind w:left="0"/>
              <w:jc w:val="both"/>
              <w:rPr>
                <w:sz w:val="24"/>
              </w:rPr>
            </w:pPr>
            <w:r>
              <w:rPr>
                <w:sz w:val="24"/>
              </w:rPr>
              <w:t>100.0</w:t>
            </w:r>
          </w:p>
        </w:tc>
      </w:tr>
      <w:tr w:rsidR="002D4D5D" w:rsidTr="007A14BB">
        <w:trPr>
          <w:trHeight w:val="409"/>
        </w:trPr>
        <w:tc>
          <w:tcPr>
            <w:tcW w:w="4963" w:type="dxa"/>
          </w:tcPr>
          <w:p w:rsidR="002D4D5D" w:rsidRDefault="002D4D5D" w:rsidP="007A14BB">
            <w:pPr>
              <w:pStyle w:val="TableParagraph"/>
              <w:spacing w:line="360" w:lineRule="auto"/>
              <w:ind w:left="0"/>
              <w:jc w:val="both"/>
              <w:rPr>
                <w:sz w:val="24"/>
              </w:rPr>
            </w:pPr>
            <w:r>
              <w:rPr>
                <w:sz w:val="24"/>
              </w:rPr>
              <w:t>(Assessed)</w:t>
            </w:r>
          </w:p>
        </w:tc>
        <w:tc>
          <w:tcPr>
            <w:tcW w:w="1440" w:type="dxa"/>
          </w:tcPr>
          <w:p w:rsidR="002D4D5D" w:rsidRDefault="002D4D5D" w:rsidP="007A14BB">
            <w:pPr>
              <w:pStyle w:val="TableParagraph"/>
              <w:spacing w:before="0" w:line="360" w:lineRule="auto"/>
              <w:ind w:left="0"/>
              <w:jc w:val="both"/>
              <w:rPr>
                <w:sz w:val="24"/>
              </w:rPr>
            </w:pPr>
          </w:p>
        </w:tc>
        <w:tc>
          <w:tcPr>
            <w:tcW w:w="1260" w:type="dxa"/>
          </w:tcPr>
          <w:p w:rsidR="002D4D5D" w:rsidRDefault="002D4D5D" w:rsidP="007A14BB">
            <w:pPr>
              <w:pStyle w:val="TableParagraph"/>
              <w:spacing w:before="0" w:line="360" w:lineRule="auto"/>
              <w:ind w:left="0"/>
              <w:jc w:val="both"/>
              <w:rPr>
                <w:sz w:val="24"/>
              </w:rPr>
            </w:pPr>
          </w:p>
        </w:tc>
      </w:tr>
    </w:tbl>
    <w:p w:rsidR="002D4D5D" w:rsidRDefault="002D4D5D" w:rsidP="002D4D5D">
      <w:pPr>
        <w:pStyle w:val="BodyText"/>
        <w:spacing w:before="216" w:line="480" w:lineRule="auto"/>
        <w:jc w:val="both"/>
      </w:pPr>
      <w:r w:rsidRPr="00940107">
        <w:rPr>
          <w:noProof/>
          <w:sz w:val="2"/>
        </w:rPr>
      </w:r>
      <w:r w:rsidRPr="00940107">
        <w:rPr>
          <w:noProof/>
          <w:sz w:val="2"/>
        </w:rPr>
        <w:pict>
          <v:group id="Group 15" o:spid="_x0000_s1026" style="width:352.05pt;height:.5pt;mso-position-horizontal-relative:char;mso-position-vertical-relative:line" coordsize="7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bCUwUAACcVAAAOAAAAZHJzL2Uyb0RvYy54bWykWO1u4zYQ/F+g70DoZwHH+nJsGXEOvcs5&#10;KJD2DrjcA9CSbAmVRZWU46RF3727JCVTjmkR1wSwJHM83BmSS2rvPrzuK/KSc1GyeuUFN75H8jpl&#10;WVnvVt735/Vk4RHR0jqjFavzlfeWC+/D/c8/3R2bZR6yglVZzgmQ1GJ5bFZe0bbNcjoVaZHvqbhh&#10;TV5D45bxPW3hke+mGadHYN9X09D3b6dHxrOGszQXAr59UI3eveTfbvO0/bLdirwl1cqD2Fr5yeXn&#10;Bj+n93d0ueO0KcpUh0F/IIo9LWvotKd6oC0lB16+o9qXKWeCbdublO2nbLst01xqADWBf6bmkbND&#10;I7Xslsdd09sE1p759MO06R8vXzkpMxi7mUdquocxkt0SeAZzjs1uCZhH3nxrvnKlEG6fWPqngObp&#10;eTs+7xSYbI6/swz46KFl0pzXLd8jBcgmr3IM3voxyF9bksKXcTwP/AhiSaHtNprpIUoLGMd3P0qL&#10;z/pncz8O1G8C+YspXareZIQ6IpQD00ycnBT/z8lvBW1yOUACXeqcvO2c/BWUSwyJlJkS1jkpTBuN&#10;FgxSgNujBk5A8nsHrVbQZXoQ7WPO5CDQlyfRqumfwZ0c2kzPgGdYKtt9BSvhlymJFosFORJJq/Ed&#10;DPrvYT4piPIeVkFPFBqIJIotPJGBuswTG4gktPHAtBmJB4amR9h55gbqcjyQ1noe36IqGWAuuQN+&#10;jdMEpsvB5XCCgc9WfwLTaBuVm9WYLnoHbFQDt62jH5h226hMw6/NSNN0C1doun6FKzSNv+x7aPoO&#10;K8Q2FULTeAuV6fssjqxUpvEWKtP3WRxaqUzjLVSm79eoTN8vU0VD2xNbUonGbY9M22EEE8sKjMZt&#10;j0zbr1GZtlsmVmT6Hi3sCk3fbVyOxkem8Rau2HT+yiDiFjq2pmPT+ivTNDatt8Vlen9l9cQO3sem&#10;99e4TO9PExXOC7tuG6RFtzOmr7XeGuGOUDzT+vIk0zCBhxHcJ2EDfg5wdwcKQOE+agGDcwiWR4FR&#10;MFiDYHkIGwWDdgTPncKAiYXgxAmMOxSiYRNykYj7kIS7iQy0SnXWHJUZaJ2wYTgFo5UGblJxW8DY&#10;Ie27sGPql3A3qaGWGrqNaKilhm5SQy01dJOKqRhjh1TrIhXTrYS7ScWUKuFuUjFrSrib1EhLhcTn&#10;EjvmPmSH3OYE11IhfTnBtVTIUE5wLTUeSFXzXicaDq+s5y+r3CPwsrrBLuiyoS3mp+6WHFeePJqT&#10;At7hVHbas5f8mUlEi2kKzzjShe7V6ASoahMIJ/QBrmvtro2kg3OzA0r53vXYMXRXxaQw6q0BXOga&#10;u+uwuzGYjn0E1nvhijtXkFZM5HIkTi6qQHHXGRhzAgwV4bY5AHbN3VXx4U7tAMODhhNsAUcFWArn&#10;goad4hFIwkb90b2O4HoRozjtyQiuN9kVdy63Gz+Yb7iU5L7drylcisY7smBVma3LqsK1JPhu86ni&#10;5IVCLWm+xn+96AewSh4BaoY/UzlBfQMFDr1ssdQha0P/JEEY+x/DZLK+Xcwn8TqeTZK5v5j4QfIx&#10;ufXjJH5Y/4sHjiBeFmWW5fVTWeddnSqI3aoXumKmKkyyUoVJI5nBViR1WUX68u+SSChM1ZlcBEVO&#10;s8/6vqVlpe6nw4ilySC7u0ojoDKj6hyqLLNh2RvUPDhTNTqoKcJNwfjfHjlCfW7lib8OlOceqX6r&#10;oWyTBDGutlY+xLM5LhVutmzMFlqnQLXyWg9OcXj7qVVFwEPDy10BPQXSi5phyWZbYmFExqei0g9Q&#10;OZJ3shontejKIZb7zGeJOtU37/8DAAD//wMAUEsDBBQABgAIAAAAIQBRjJGv2gAAAAMBAAAPAAAA&#10;ZHJzL2Rvd25yZXYueG1sTI9PS8NAEMXvgt9hGcGb3Y1/S8ymlKKeimArSG/TZJqEZmdDdpuk397R&#10;i14eDO/x3m+yxeRaNVAfGs8WkpkBRVz4suHKwuf29WYOKkTkElvPZOFMARb55UWGaelH/qBhEysl&#10;JRxStFDH2KVah6Imh2HmO2LxDr53GOXsK132OEq5a/WtMY/aYcOyUGNHq5qK4+bkLLyNOC7vkpdh&#10;fTyszrvtw/vXOiFrr6+m5TOoSFP8C8MPvqBDLkx7f+IyqNaCPBJ/Vbwnc5+A2kvIgM4z/Z89/wYA&#10;AP//AwBQSwECLQAUAAYACAAAACEAtoM4kv4AAADhAQAAEwAAAAAAAAAAAAAAAAAAAAAAW0NvbnRl&#10;bnRfVHlwZXNdLnhtbFBLAQItABQABgAIAAAAIQA4/SH/1gAAAJQBAAALAAAAAAAAAAAAAAAAAC8B&#10;AABfcmVscy8ucmVsc1BLAQItABQABgAIAAAAIQDG4tbCUwUAACcVAAAOAAAAAAAAAAAAAAAAAC4C&#10;AABkcnMvZTJvRG9jLnhtbFBLAQItABQABgAIAAAAIQBRjJGv2gAAAAMBAAAPAAAAAAAAAAAAAAAA&#10;AK0HAABkcnMvZG93bnJldi54bWxQSwUGAAAAAAQABADzAAAAtAgAAAAA&#10;">
            <v:shape id="AutoShape 3" o:spid="_x0000_s1027" style="position:absolute;left:-1;width:7041;height:10;visibility:visible" coordsize="70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NyMEA&#10;AADbAAAADwAAAGRycy9kb3ducmV2LnhtbERPzYrCMBC+C75DGGFvmuqhSDWKu7AgXVHUfYDZZmyL&#10;zaSbRK1vbwTB23x8vzNfdqYRV3K+tqxgPEpAEBdW11wq+D1+D6cgfEDW2FgmBXfysFz0e3PMtL3x&#10;nq6HUIoYwj5DBVUIbSalLyoy6Ee2JY7cyTqDIUJXSu3wFsNNIydJkkqDNceGClv6qqg4Hy5GQbP9&#10;O3/WO7fJk/vxJ5/852E7TpX6GHSrGYhAXXiLX+61jvNT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sDcjBAAAA2wAAAA8AAAAAAAAAAAAAAAAAmAIAAGRycy9kb3du&#10;cmV2LnhtbFBLBQYAAAAABAAEAPUAAACGAwAAAAA=&#10;" adj="0,,0" path="m3888,l934,,924,,,,,10r924,l934,10r2954,l3888,xm7040,l5430,r-10,l3898,r-9,l3889,10r9,l5420,10r10,l7040,10r,-10xe" fillcolor="#7f7f7f" stroked="f">
              <v:stroke joinstyle="round"/>
              <v:formulas/>
              <v:path arrowok="t" o:connecttype="custom" o:connectlocs="3888,0;934,0;924,0;924,0;0,0;0,10;924,10;924,10;934,10;3888,10;3888,0;7040,0;5430,0;5420,0;5420,0;3898,0;3889,0;3889,10;3898,10;5420,10;5420,10;5430,10;7040,10;7040,0" o:connectangles="0,0,0,0,0,0,0,0,0,0,0,0,0,0,0,0,0,0,0,0,0,0,0,0"/>
            </v:shape>
            <w10:wrap type="none"/>
            <w10:anchorlock/>
          </v:group>
        </w:pict>
      </w:r>
    </w:p>
    <w:p w:rsidR="002D4D5D" w:rsidRDefault="002D4D5D" w:rsidP="002D4D5D">
      <w:pPr>
        <w:pStyle w:val="BodyText"/>
        <w:spacing w:before="3"/>
        <w:jc w:val="both"/>
        <w:rPr>
          <w:sz w:val="19"/>
        </w:rPr>
      </w:pPr>
    </w:p>
    <w:p w:rsidR="002D4D5D" w:rsidRDefault="002D4D5D" w:rsidP="002D4D5D">
      <w:pPr>
        <w:pStyle w:val="BodyText"/>
        <w:spacing w:before="90" w:line="480" w:lineRule="auto"/>
        <w:jc w:val="both"/>
      </w:pPr>
      <w:r>
        <w:t>69.8% of the total number of respondents analysed, indicated that they are strictly local investors, while 30.2% indicated that they are international investors. During interviews with some of the correspondents, it was indicated that in most instances, the activities of international investors cover the Sub-Saharan African region. Amongst those sampled, only companies such as Deloitte and Mckinsey were termed as international investors, with reach into various investment markets at a global level.</w:t>
      </w:r>
    </w:p>
    <w:p w:rsidR="002D4D5D" w:rsidRDefault="002D4D5D" w:rsidP="002D4D5D">
      <w:pPr>
        <w:pStyle w:val="Heading2"/>
        <w:spacing w:before="78"/>
        <w:ind w:left="0"/>
        <w:jc w:val="both"/>
      </w:pPr>
      <w:r>
        <w:t>Table 4.4 Involvement in Real Estate Investment</w:t>
      </w:r>
    </w:p>
    <w:p w:rsidR="002D4D5D" w:rsidRDefault="002D4D5D" w:rsidP="002D4D5D">
      <w:pPr>
        <w:pStyle w:val="BodyText"/>
        <w:spacing w:before="8" w:after="1"/>
        <w:jc w:val="both"/>
        <w:rPr>
          <w:b/>
        </w:rPr>
      </w:pPr>
    </w:p>
    <w:tbl>
      <w:tblPr>
        <w:tblW w:w="0" w:type="auto"/>
        <w:tblInd w:w="167" w:type="dxa"/>
        <w:tblLayout w:type="fixed"/>
        <w:tblCellMar>
          <w:left w:w="0" w:type="dxa"/>
          <w:right w:w="0" w:type="dxa"/>
        </w:tblCellMar>
        <w:tblLook w:val="01E0"/>
      </w:tblPr>
      <w:tblGrid>
        <w:gridCol w:w="4238"/>
        <w:gridCol w:w="1783"/>
        <w:gridCol w:w="2343"/>
      </w:tblGrid>
      <w:tr w:rsidR="002D4D5D" w:rsidTr="007A14BB">
        <w:trPr>
          <w:trHeight w:val="551"/>
        </w:trPr>
        <w:tc>
          <w:tcPr>
            <w:tcW w:w="4238"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Involvement in real estate investment</w:t>
            </w:r>
          </w:p>
        </w:tc>
        <w:tc>
          <w:tcPr>
            <w:tcW w:w="1783"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Frequency</w:t>
            </w:r>
          </w:p>
        </w:tc>
        <w:tc>
          <w:tcPr>
            <w:tcW w:w="2343"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Percent (%)</w:t>
            </w:r>
          </w:p>
        </w:tc>
      </w:tr>
      <w:tr w:rsidR="002D4D5D" w:rsidTr="007A14BB">
        <w:trPr>
          <w:trHeight w:val="410"/>
        </w:trPr>
        <w:tc>
          <w:tcPr>
            <w:tcW w:w="4238"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Yes</w:t>
            </w:r>
          </w:p>
        </w:tc>
        <w:tc>
          <w:tcPr>
            <w:tcW w:w="1783"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33</w:t>
            </w:r>
          </w:p>
        </w:tc>
        <w:tc>
          <w:tcPr>
            <w:tcW w:w="2343"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62.2</w:t>
            </w:r>
          </w:p>
        </w:tc>
      </w:tr>
      <w:tr w:rsidR="002D4D5D" w:rsidTr="007A14BB">
        <w:trPr>
          <w:trHeight w:val="552"/>
        </w:trPr>
        <w:tc>
          <w:tcPr>
            <w:tcW w:w="4238" w:type="dxa"/>
          </w:tcPr>
          <w:p w:rsidR="002D4D5D" w:rsidRDefault="002D4D5D" w:rsidP="007A14BB">
            <w:pPr>
              <w:pStyle w:val="TableParagraph"/>
              <w:ind w:left="0"/>
              <w:jc w:val="both"/>
              <w:rPr>
                <w:sz w:val="24"/>
              </w:rPr>
            </w:pPr>
            <w:r>
              <w:rPr>
                <w:sz w:val="24"/>
              </w:rPr>
              <w:t>No</w:t>
            </w:r>
          </w:p>
        </w:tc>
        <w:tc>
          <w:tcPr>
            <w:tcW w:w="1783" w:type="dxa"/>
          </w:tcPr>
          <w:p w:rsidR="002D4D5D" w:rsidRDefault="002D4D5D" w:rsidP="007A14BB">
            <w:pPr>
              <w:pStyle w:val="TableParagraph"/>
              <w:ind w:left="0"/>
              <w:jc w:val="both"/>
              <w:rPr>
                <w:sz w:val="24"/>
              </w:rPr>
            </w:pPr>
            <w:r>
              <w:rPr>
                <w:sz w:val="24"/>
              </w:rPr>
              <w:t>18</w:t>
            </w:r>
          </w:p>
        </w:tc>
        <w:tc>
          <w:tcPr>
            <w:tcW w:w="2343" w:type="dxa"/>
          </w:tcPr>
          <w:p w:rsidR="002D4D5D" w:rsidRDefault="002D4D5D" w:rsidP="007A14BB">
            <w:pPr>
              <w:pStyle w:val="TableParagraph"/>
              <w:ind w:left="0"/>
              <w:jc w:val="both"/>
              <w:rPr>
                <w:sz w:val="24"/>
              </w:rPr>
            </w:pPr>
            <w:r>
              <w:rPr>
                <w:sz w:val="24"/>
              </w:rPr>
              <w:t>34.0</w:t>
            </w:r>
          </w:p>
        </w:tc>
      </w:tr>
      <w:tr w:rsidR="002D4D5D" w:rsidTr="007A14BB">
        <w:trPr>
          <w:trHeight w:val="551"/>
        </w:trPr>
        <w:tc>
          <w:tcPr>
            <w:tcW w:w="4238" w:type="dxa"/>
          </w:tcPr>
          <w:p w:rsidR="002D4D5D" w:rsidRDefault="002D4D5D" w:rsidP="007A14BB">
            <w:pPr>
              <w:pStyle w:val="TableParagraph"/>
              <w:ind w:left="0"/>
              <w:jc w:val="both"/>
              <w:rPr>
                <w:sz w:val="24"/>
              </w:rPr>
            </w:pPr>
            <w:r>
              <w:rPr>
                <w:sz w:val="24"/>
              </w:rPr>
              <w:t>Not sure</w:t>
            </w:r>
          </w:p>
        </w:tc>
        <w:tc>
          <w:tcPr>
            <w:tcW w:w="1783" w:type="dxa"/>
          </w:tcPr>
          <w:p w:rsidR="002D4D5D" w:rsidRDefault="002D4D5D" w:rsidP="007A14BB">
            <w:pPr>
              <w:pStyle w:val="TableParagraph"/>
              <w:ind w:left="0"/>
              <w:jc w:val="both"/>
              <w:rPr>
                <w:sz w:val="24"/>
              </w:rPr>
            </w:pPr>
            <w:r>
              <w:rPr>
                <w:sz w:val="24"/>
              </w:rPr>
              <w:t>2</w:t>
            </w:r>
          </w:p>
        </w:tc>
        <w:tc>
          <w:tcPr>
            <w:tcW w:w="2343" w:type="dxa"/>
          </w:tcPr>
          <w:p w:rsidR="002D4D5D" w:rsidRDefault="002D4D5D" w:rsidP="007A14BB">
            <w:pPr>
              <w:pStyle w:val="TableParagraph"/>
              <w:ind w:left="0"/>
              <w:jc w:val="both"/>
              <w:rPr>
                <w:sz w:val="24"/>
              </w:rPr>
            </w:pPr>
            <w:r>
              <w:rPr>
                <w:sz w:val="24"/>
              </w:rPr>
              <w:t>3.8</w:t>
            </w:r>
          </w:p>
        </w:tc>
      </w:tr>
      <w:tr w:rsidR="002D4D5D" w:rsidTr="007A14BB">
        <w:trPr>
          <w:trHeight w:val="552"/>
        </w:trPr>
        <w:tc>
          <w:tcPr>
            <w:tcW w:w="4238" w:type="dxa"/>
          </w:tcPr>
          <w:p w:rsidR="002D4D5D" w:rsidRDefault="002D4D5D" w:rsidP="007A14BB">
            <w:pPr>
              <w:pStyle w:val="TableParagraph"/>
              <w:ind w:left="0"/>
              <w:jc w:val="both"/>
              <w:rPr>
                <w:sz w:val="24"/>
              </w:rPr>
            </w:pPr>
            <w:r>
              <w:rPr>
                <w:sz w:val="24"/>
              </w:rPr>
              <w:t>Number of respondents</w:t>
            </w:r>
          </w:p>
        </w:tc>
        <w:tc>
          <w:tcPr>
            <w:tcW w:w="1783" w:type="dxa"/>
          </w:tcPr>
          <w:p w:rsidR="002D4D5D" w:rsidRDefault="002D4D5D" w:rsidP="007A14BB">
            <w:pPr>
              <w:pStyle w:val="TableParagraph"/>
              <w:ind w:left="0"/>
              <w:jc w:val="both"/>
              <w:rPr>
                <w:sz w:val="24"/>
              </w:rPr>
            </w:pPr>
            <w:r>
              <w:rPr>
                <w:sz w:val="24"/>
              </w:rPr>
              <w:t>53</w:t>
            </w:r>
          </w:p>
        </w:tc>
        <w:tc>
          <w:tcPr>
            <w:tcW w:w="2343" w:type="dxa"/>
          </w:tcPr>
          <w:p w:rsidR="002D4D5D" w:rsidRDefault="002D4D5D" w:rsidP="007A14BB">
            <w:pPr>
              <w:pStyle w:val="TableParagraph"/>
              <w:ind w:left="0"/>
              <w:jc w:val="both"/>
              <w:rPr>
                <w:sz w:val="24"/>
              </w:rPr>
            </w:pPr>
            <w:r>
              <w:rPr>
                <w:sz w:val="24"/>
              </w:rPr>
              <w:t>100.0</w:t>
            </w:r>
          </w:p>
        </w:tc>
      </w:tr>
      <w:tr w:rsidR="002D4D5D" w:rsidTr="007A14BB">
        <w:trPr>
          <w:trHeight w:val="409"/>
        </w:trPr>
        <w:tc>
          <w:tcPr>
            <w:tcW w:w="4238" w:type="dxa"/>
          </w:tcPr>
          <w:p w:rsidR="002D4D5D" w:rsidRDefault="002D4D5D" w:rsidP="007A14BB">
            <w:pPr>
              <w:pStyle w:val="TableParagraph"/>
              <w:spacing w:line="256" w:lineRule="exact"/>
              <w:ind w:left="0"/>
              <w:jc w:val="both"/>
              <w:rPr>
                <w:sz w:val="24"/>
              </w:rPr>
            </w:pPr>
            <w:r>
              <w:rPr>
                <w:sz w:val="24"/>
              </w:rPr>
              <w:t>(Assessed)</w:t>
            </w:r>
          </w:p>
        </w:tc>
        <w:tc>
          <w:tcPr>
            <w:tcW w:w="1783" w:type="dxa"/>
          </w:tcPr>
          <w:p w:rsidR="002D4D5D" w:rsidRDefault="002D4D5D" w:rsidP="007A14BB">
            <w:pPr>
              <w:pStyle w:val="TableParagraph"/>
              <w:spacing w:before="0"/>
              <w:ind w:left="0"/>
              <w:jc w:val="both"/>
              <w:rPr>
                <w:sz w:val="24"/>
              </w:rPr>
            </w:pPr>
          </w:p>
        </w:tc>
        <w:tc>
          <w:tcPr>
            <w:tcW w:w="2343" w:type="dxa"/>
          </w:tcPr>
          <w:p w:rsidR="002D4D5D" w:rsidRDefault="002D4D5D" w:rsidP="007A14BB">
            <w:pPr>
              <w:pStyle w:val="TableParagraph"/>
              <w:spacing w:before="0"/>
              <w:ind w:left="0"/>
              <w:jc w:val="both"/>
              <w:rPr>
                <w:sz w:val="24"/>
              </w:rPr>
            </w:pPr>
          </w:p>
        </w:tc>
      </w:tr>
    </w:tbl>
    <w:p w:rsidR="002D4D5D" w:rsidRDefault="002D4D5D" w:rsidP="002D4D5D">
      <w:pPr>
        <w:pStyle w:val="BodyText"/>
        <w:spacing w:before="3"/>
        <w:jc w:val="both"/>
        <w:rPr>
          <w:b/>
          <w:sz w:val="21"/>
        </w:rPr>
      </w:pPr>
      <w:r w:rsidRPr="00940107">
        <w:rPr>
          <w:noProof/>
        </w:rPr>
        <w:pict>
          <v:shape id="Freeform 14" o:spid="_x0000_s1030" style="position:absolute;left:0;text-align:left;margin-left:1in;margin-top:14.2pt;width:418.3pt;height:.5pt;z-index:-251654144;visibility:visible;mso-wrap-distance-left:0;mso-wrap-distance-right:0;mso-position-horizontal-relative:page;mso-position-vertical-relative:text" coordsize="836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sAYAAC8eAAAOAAAAZHJzL2Uyb0RvYy54bWysWduOo0YQfY+Uf0A8Jpo194s1nlV2J44i&#10;bZKVtvMBDOAxCqYJMOPZjfLvqWrAU02odStKVhljc2hOndNVNF23b19OtfVcdn0lm53tvnFsq2xy&#10;WVTN487+XexvEtvqh6wpslo25c7+XPb227tvv7k9t9vSk0dZF2VnwSBNvz23O/s4DO12s+nzY3nK&#10;+jeyLRs4eZDdKRvga/e4KbrsDKOf6o3nONHmLLui7WRe9j38ej+etO/U+IdDmQ+/HQ59OVj1zgZu&#10;g/rbqb8P+Hdzd5ttH7usPVb5RCP7DyxOWdXATS9D3WdDZj111b+GOlV5J3t5GN7k8rSRh0OVlyoG&#10;iMZ1FtF8OmZtqWIBcfr2IlP//w2b//r8sbOqArwLbKvJTuDRvitLVNyCn0Cfc9tvAfap/dhhhH37&#10;QeZ/9HBio53BLz1grIfzL7KAYbKnQSpNXg7dCa+EaK0XJf3ni/Tly2Dl8GPou17ggkM5nIv8UDmz&#10;ybbztflTP/xUSjVO9vyhH0bjCjhSshcTdwFDHE41ePj9jeVYYZQGEEYwG32BuTPsu40lHOtsJX4U&#10;TbPhAvJmkBrLSwIL/l+C/BkEIyHkaEEYE7uZFEhLSHl+vE4qnGFIKmBIRTPoa6TiGfQVUpCZGqlo&#10;nVQ6w5BUwpBC5+hg61K5VHVOK3ehus/wcqnwwvU4ZgvtGWZUepaZLj1Oq/W5RdUXbsQxWxjAMKP6&#10;c8w8XX6WmUcNEB477xcWQA7BnZeT2qMGeIBZm/neQn7OTY8aIDxu8nu6BXjXNWbUAJbZQn6WGTVA&#10;eFwG+LoFDDOfGsAx8xfyc+XCpwYIn8sAf2HBumY+NYBlpsvPVlefGiB8LgP8hQUMM2oAxwwqPC1A&#10;LLOAGiAggdcrf7CwYD03A2oAl5uBLn/sMfUsoAaIgMuAQLcA77qSAQE1gGWmyx974foTIKAGiIDL&#10;AHhmUwsYZiE1gGMW6vKzzEJqgAi5DAh1Czhm1ACWmS5/GDv+6jMgpAaIkMuAULeAY0YN4JhFuvxs&#10;BkTUABFxGRDpFjDMImoAy0yXn2dGDRCQJuu5Ces0bZ6tV42IGsBVjUiXn3UzogaIiMuAWLcA7wqa&#10;LJ+bMTWAYxbr8rMZEFMDRMxlQKxbwDGjBrDMdPl5ZtQAEXMZEOsWcMyoARyzRJefrbQJNUAkXAYk&#10;ugUMs4QawDLT5eeZUQMElPb1DEh0C5jcTKgBXG4muvxp4kSr9SyhBoiEy4BUt4BhllIDOGapLj+r&#10;WUoNECmXAaluAceMGsAy0+XnmVEDRMplQKpbwMyzlBrAzTPX0fVn7XQdaoGA65ip5jq6DQw716Eu&#10;8PR0E75Cj/oA9LhMcB3dC8ZW16FWUF9hi+Fx3kTIjvO+Qv7STBsLcGRluJflqK2MVva4hSFAPdin&#10;ED7WdhgCULgLwYAhFgTHRmCwGcHwqmwyNL4EK3hoBgcZFDw1guPrIsLhTc+EDL7DKbhZpN4UKrwT&#10;mYyObzs4OryoGMGnUH2zUPG9AEeHJb3J6LhYV3CzUHEFjXBY/JqMjstaBTcLFdeaCm4WKi4AEQ5r&#10;NxMy0RQqLKiM4FOosMoxgeP6BcnEZqHGU6ixWaj4pMfR4SFtQiaZQoUnpxF8ChUeZyZwfFAhmdQs&#10;1HQKFQq/yeiqouPwWIrNLpiixeJILhjL2VT+OthAX26dd7YFW+cPeE22bbMBq+Z8aJ13ttpJtY6w&#10;ozzWzJN8LoVUiAGLZwDvmUqJeY/3FVA3FJjizgWENOPms/Nnq4ZLcYvpKgqei4aYcfcWVJhvM3/q&#10;t7sGm7hfgV20MMUttchr2ZfKiVcVR6JhshDmFaBHFCa49X9VncDDlz0D2MLd+Wbz58jOPPDprlcE&#10;ugRxFTepYoozF3yc90QgXvCFM7M08+fCwCtUL/c1xXEhwZzHdFYrmkteYzkgvZde1lWxr+oa87nv&#10;Hh/e1531nEF3Ld7jv6mSaLBaLY4aiZeNhWb8BXo/U+nALpDqlv2VQhvIeeelN/soiW+CfRDepLGT&#10;3Dhu+i6NnCAN7vd/41LMDbbHqijK5kPVlHPnzg3MOmNTD3HsuaneHRauNIQVjIqLDdJR/60F2cmn&#10;plCJeCyz4sfpeMiqejze6IyVyBD2/KmEUA017KGNTbcHWXyGflonx64ldFnh4Ci7L7Z1ho7lzu7/&#10;fMq60rbqnxtoCaaqz2UN6ksQxtgU6OiZB3oma3IYamcPNqxv8fD9MLZFn9quejzCnVylRSN/gD7e&#10;ocKGm+I3spq+QFdSRTB1ULHtSb8r1Guf9+4fAAAA//8DAFBLAwQUAAYACAAAACEANZRdBtwAAAAJ&#10;AQAADwAAAGRycy9kb3ducmV2LnhtbEyPwU7DMBBE70j8g7VI3KjTElVJiFMhJI4gWhBc3XiJI+J1&#10;artJ+HuWExxndzTzpt4tbhAThth7UrBeZSCQWm966hS8vT7eFCBi0mT04AkVfGOEXXN5UevK+Jn2&#10;OB1SJziEYqUV2JTGSsrYWnQ6rvyIxL9PH5xOLEMnTdAzh7tBbrJsK53uiRusHvHBYvt1ODsFJz+v&#10;X+Zw+27LwNVPzzTtTx9KXV8t93cgEi7pzwy/+IwODTMd/ZlMFAPrPOctScGmyEGwoSyyLYgjH8oc&#10;ZFPL/wuaHwAAAP//AwBQSwECLQAUAAYACAAAACEAtoM4kv4AAADhAQAAEwAAAAAAAAAAAAAAAAAA&#10;AAAAW0NvbnRlbnRfVHlwZXNdLnhtbFBLAQItABQABgAIAAAAIQA4/SH/1gAAAJQBAAALAAAAAAAA&#10;AAAAAAAAAC8BAABfcmVscy8ucmVsc1BLAQItABQABgAIAAAAIQDDmwT+sAYAAC8eAAAOAAAAAAAA&#10;AAAAAAAAAC4CAABkcnMvZTJvRG9jLnhtbFBLAQItABQABgAIAAAAIQA1lF0G3AAAAAkBAAAPAAAA&#10;AAAAAAAAAAAAAAoJAABkcnMvZG93bnJldi54bWxQSwUGAAAAAAQABADzAAAAEwoAAAAA&#10;" adj="0,,0" path="m4254,l934,,924,,,,,10r924,l934,10r3320,l4254,xm5824,r-10,l4263,r-9,l4254,10r9,l5814,10r10,l5824,xm8366,l5824,r,10l8366,10r,-10xe" fillcolor="#7f7f7f" stroked="f">
            <v:stroke joinstyle="round"/>
            <v:formulas/>
            <v:path arrowok="t" o:connecttype="custom" o:connectlocs="2701290,180340;593090,180340;586740,180340;586740,180340;0,180340;0,186690;586740,186690;586740,186690;593090,186690;2701290,186690;2701290,180340;3698240,180340;3691890,180340;3691890,180340;2707005,180340;2701290,180340;2701290,186690;2707005,186690;3691890,186690;3691890,186690;3698240,186690;3698240,180340;5312410,180340;3698240,180340;3698240,186690;5312410,186690;5312410,180340" o:connectangles="0,0,0,0,0,0,0,0,0,0,0,0,0,0,0,0,0,0,0,0,0,0,0,0,0,0,0"/>
            <w10:wrap type="topAndBottom" anchorx="page"/>
          </v:shape>
        </w:pict>
      </w:r>
    </w:p>
    <w:p w:rsidR="002D4D5D" w:rsidRDefault="002D4D5D" w:rsidP="002D4D5D">
      <w:pPr>
        <w:pStyle w:val="BodyText"/>
        <w:jc w:val="both"/>
        <w:rPr>
          <w:b/>
          <w:sz w:val="26"/>
        </w:rPr>
      </w:pPr>
    </w:p>
    <w:p w:rsidR="002D4D5D" w:rsidRDefault="002D4D5D" w:rsidP="002D4D5D">
      <w:pPr>
        <w:pStyle w:val="BodyText"/>
        <w:spacing w:before="216" w:line="480" w:lineRule="auto"/>
        <w:jc w:val="both"/>
        <w:rPr>
          <w:b/>
          <w:bCs/>
        </w:rPr>
      </w:pPr>
      <w:r>
        <w:t>Asignificantnumberoftheinvestmentcompaniesassessedaccordingtotable4.4,areactively involved in real estate investment (62.2%). 34% are not actively involved in real estate investments, while 3.8% are not certain if they have real estate listed in their investment portfolio. This ascertains the impending result of this study, as it focuses on investor’s confidence in real estate, as measured against other investment classes such as stocks, shares and bonds.</w:t>
      </w:r>
      <w:r>
        <w:br w:type="page"/>
      </w:r>
    </w:p>
    <w:p w:rsidR="002D4D5D" w:rsidRDefault="002D4D5D" w:rsidP="002D4D5D">
      <w:pPr>
        <w:pStyle w:val="BodyText"/>
        <w:spacing w:before="5"/>
        <w:jc w:val="both"/>
      </w:pPr>
    </w:p>
    <w:p w:rsidR="002D4D5D" w:rsidRDefault="002D4D5D" w:rsidP="002D4D5D">
      <w:pPr>
        <w:pStyle w:val="Heading2"/>
        <w:ind w:left="160"/>
        <w:jc w:val="both"/>
      </w:pPr>
      <w:r>
        <w:t>Table 4.5 Classification of Real Estate in Portfolio</w:t>
      </w:r>
    </w:p>
    <w:p w:rsidR="002D4D5D" w:rsidRDefault="002D4D5D" w:rsidP="002D4D5D">
      <w:pPr>
        <w:pStyle w:val="BodyText"/>
        <w:spacing w:before="8"/>
        <w:rPr>
          <w:b/>
        </w:rPr>
      </w:pPr>
    </w:p>
    <w:tbl>
      <w:tblPr>
        <w:tblW w:w="0" w:type="auto"/>
        <w:tblInd w:w="167" w:type="dxa"/>
        <w:tblLayout w:type="fixed"/>
        <w:tblCellMar>
          <w:left w:w="0" w:type="dxa"/>
          <w:right w:w="0" w:type="dxa"/>
        </w:tblCellMar>
        <w:tblLook w:val="01E0"/>
      </w:tblPr>
      <w:tblGrid>
        <w:gridCol w:w="3613"/>
        <w:gridCol w:w="2029"/>
        <w:gridCol w:w="2351"/>
      </w:tblGrid>
      <w:tr w:rsidR="002D4D5D" w:rsidTr="007A14BB">
        <w:trPr>
          <w:trHeight w:val="864"/>
        </w:trPr>
        <w:tc>
          <w:tcPr>
            <w:tcW w:w="3613" w:type="dxa"/>
            <w:tcBorders>
              <w:top w:val="single" w:sz="4" w:space="0" w:color="7F7F7F"/>
              <w:bottom w:val="single" w:sz="4" w:space="0" w:color="7F7F7F"/>
            </w:tcBorders>
          </w:tcPr>
          <w:p w:rsidR="002D4D5D" w:rsidRDefault="002D4D5D" w:rsidP="007A14BB">
            <w:pPr>
              <w:pStyle w:val="TableParagraph"/>
              <w:spacing w:before="0" w:line="360" w:lineRule="auto"/>
              <w:ind w:left="240" w:right="454"/>
              <w:rPr>
                <w:b/>
                <w:sz w:val="24"/>
              </w:rPr>
            </w:pPr>
            <w:r>
              <w:rPr>
                <w:b/>
                <w:sz w:val="24"/>
              </w:rPr>
              <w:t>Classification of realestate in portfolio</w:t>
            </w:r>
          </w:p>
        </w:tc>
        <w:tc>
          <w:tcPr>
            <w:tcW w:w="2029" w:type="dxa"/>
            <w:tcBorders>
              <w:top w:val="single" w:sz="4" w:space="0" w:color="7F7F7F"/>
              <w:bottom w:val="single" w:sz="4" w:space="0" w:color="7F7F7F"/>
            </w:tcBorders>
          </w:tcPr>
          <w:p w:rsidR="002D4D5D" w:rsidRDefault="002D4D5D" w:rsidP="007A14BB">
            <w:pPr>
              <w:pStyle w:val="TableParagraph"/>
              <w:spacing w:before="0" w:line="273" w:lineRule="exact"/>
              <w:ind w:left="454" w:right="440"/>
              <w:rPr>
                <w:b/>
                <w:sz w:val="24"/>
              </w:rPr>
            </w:pPr>
            <w:r>
              <w:rPr>
                <w:b/>
                <w:sz w:val="24"/>
              </w:rPr>
              <w:t>Frequency</w:t>
            </w:r>
          </w:p>
        </w:tc>
        <w:tc>
          <w:tcPr>
            <w:tcW w:w="2351" w:type="dxa"/>
            <w:tcBorders>
              <w:top w:val="single" w:sz="4" w:space="0" w:color="7F7F7F"/>
              <w:bottom w:val="single" w:sz="4" w:space="0" w:color="7F7F7F"/>
            </w:tcBorders>
          </w:tcPr>
          <w:p w:rsidR="002D4D5D" w:rsidRDefault="002D4D5D" w:rsidP="007A14BB">
            <w:pPr>
              <w:pStyle w:val="TableParagraph"/>
              <w:spacing w:before="0" w:line="273" w:lineRule="exact"/>
              <w:ind w:left="442" w:right="623"/>
              <w:rPr>
                <w:b/>
                <w:sz w:val="24"/>
              </w:rPr>
            </w:pPr>
            <w:r>
              <w:rPr>
                <w:b/>
                <w:sz w:val="24"/>
              </w:rPr>
              <w:t>Percent (%)</w:t>
            </w:r>
          </w:p>
        </w:tc>
      </w:tr>
      <w:tr w:rsidR="002D4D5D" w:rsidTr="007A14BB">
        <w:trPr>
          <w:trHeight w:val="411"/>
        </w:trPr>
        <w:tc>
          <w:tcPr>
            <w:tcW w:w="3613" w:type="dxa"/>
            <w:tcBorders>
              <w:top w:val="single" w:sz="4" w:space="0" w:color="7F7F7F"/>
            </w:tcBorders>
          </w:tcPr>
          <w:p w:rsidR="002D4D5D" w:rsidRDefault="002D4D5D" w:rsidP="007A14BB">
            <w:pPr>
              <w:pStyle w:val="TableParagraph"/>
              <w:spacing w:before="0" w:line="268" w:lineRule="exact"/>
              <w:ind w:left="1031"/>
              <w:jc w:val="left"/>
              <w:rPr>
                <w:sz w:val="24"/>
              </w:rPr>
            </w:pPr>
            <w:r>
              <w:rPr>
                <w:sz w:val="24"/>
              </w:rPr>
              <w:t>Significant</w:t>
            </w:r>
          </w:p>
        </w:tc>
        <w:tc>
          <w:tcPr>
            <w:tcW w:w="2029" w:type="dxa"/>
            <w:tcBorders>
              <w:top w:val="single" w:sz="4" w:space="0" w:color="7F7F7F"/>
            </w:tcBorders>
          </w:tcPr>
          <w:p w:rsidR="002D4D5D" w:rsidRDefault="002D4D5D" w:rsidP="007A14BB">
            <w:pPr>
              <w:pStyle w:val="TableParagraph"/>
              <w:spacing w:before="0" w:line="268" w:lineRule="exact"/>
              <w:ind w:left="454" w:right="436"/>
              <w:rPr>
                <w:sz w:val="24"/>
              </w:rPr>
            </w:pPr>
            <w:r>
              <w:rPr>
                <w:sz w:val="24"/>
              </w:rPr>
              <w:t>19</w:t>
            </w:r>
          </w:p>
        </w:tc>
        <w:tc>
          <w:tcPr>
            <w:tcW w:w="2351" w:type="dxa"/>
            <w:tcBorders>
              <w:top w:val="single" w:sz="4" w:space="0" w:color="7F7F7F"/>
            </w:tcBorders>
          </w:tcPr>
          <w:p w:rsidR="002D4D5D" w:rsidRDefault="002D4D5D" w:rsidP="007A14BB">
            <w:pPr>
              <w:pStyle w:val="TableParagraph"/>
              <w:spacing w:before="0" w:line="268" w:lineRule="exact"/>
              <w:ind w:left="442" w:right="608"/>
              <w:rPr>
                <w:sz w:val="24"/>
              </w:rPr>
            </w:pPr>
            <w:r>
              <w:rPr>
                <w:sz w:val="24"/>
              </w:rPr>
              <w:t>57.6</w:t>
            </w:r>
          </w:p>
        </w:tc>
      </w:tr>
      <w:tr w:rsidR="002D4D5D" w:rsidTr="007A14BB">
        <w:trPr>
          <w:trHeight w:val="551"/>
        </w:trPr>
        <w:tc>
          <w:tcPr>
            <w:tcW w:w="3613" w:type="dxa"/>
          </w:tcPr>
          <w:p w:rsidR="002D4D5D" w:rsidRDefault="002D4D5D" w:rsidP="007A14BB">
            <w:pPr>
              <w:pStyle w:val="TableParagraph"/>
              <w:ind w:left="1031"/>
              <w:jc w:val="left"/>
              <w:rPr>
                <w:sz w:val="24"/>
              </w:rPr>
            </w:pPr>
            <w:r>
              <w:rPr>
                <w:sz w:val="24"/>
              </w:rPr>
              <w:t>Moderate</w:t>
            </w:r>
          </w:p>
        </w:tc>
        <w:tc>
          <w:tcPr>
            <w:tcW w:w="2029" w:type="dxa"/>
          </w:tcPr>
          <w:p w:rsidR="002D4D5D" w:rsidRDefault="002D4D5D" w:rsidP="007A14BB">
            <w:pPr>
              <w:pStyle w:val="TableParagraph"/>
              <w:ind w:left="454" w:right="436"/>
              <w:rPr>
                <w:sz w:val="24"/>
              </w:rPr>
            </w:pPr>
            <w:r>
              <w:rPr>
                <w:sz w:val="24"/>
              </w:rPr>
              <w:t>14</w:t>
            </w:r>
          </w:p>
        </w:tc>
        <w:tc>
          <w:tcPr>
            <w:tcW w:w="2351" w:type="dxa"/>
          </w:tcPr>
          <w:p w:rsidR="002D4D5D" w:rsidRDefault="002D4D5D" w:rsidP="007A14BB">
            <w:pPr>
              <w:pStyle w:val="TableParagraph"/>
              <w:ind w:left="442" w:right="608"/>
              <w:rPr>
                <w:sz w:val="24"/>
              </w:rPr>
            </w:pPr>
            <w:r>
              <w:rPr>
                <w:sz w:val="24"/>
              </w:rPr>
              <w:t>42.4</w:t>
            </w:r>
          </w:p>
        </w:tc>
      </w:tr>
      <w:tr w:rsidR="002D4D5D" w:rsidTr="007A14BB">
        <w:trPr>
          <w:trHeight w:val="552"/>
        </w:trPr>
        <w:tc>
          <w:tcPr>
            <w:tcW w:w="3613" w:type="dxa"/>
          </w:tcPr>
          <w:p w:rsidR="002D4D5D" w:rsidRDefault="002D4D5D" w:rsidP="007A14BB">
            <w:pPr>
              <w:pStyle w:val="TableParagraph"/>
              <w:ind w:left="1031"/>
              <w:jc w:val="left"/>
              <w:rPr>
                <w:sz w:val="24"/>
              </w:rPr>
            </w:pPr>
            <w:r>
              <w:rPr>
                <w:sz w:val="24"/>
              </w:rPr>
              <w:t>Insignificant</w:t>
            </w:r>
          </w:p>
        </w:tc>
        <w:tc>
          <w:tcPr>
            <w:tcW w:w="2029" w:type="dxa"/>
          </w:tcPr>
          <w:p w:rsidR="002D4D5D" w:rsidRDefault="002D4D5D" w:rsidP="007A14BB">
            <w:pPr>
              <w:pStyle w:val="TableParagraph"/>
              <w:ind w:left="18"/>
              <w:rPr>
                <w:sz w:val="24"/>
              </w:rPr>
            </w:pPr>
            <w:r>
              <w:rPr>
                <w:sz w:val="24"/>
              </w:rPr>
              <w:t>0</w:t>
            </w:r>
          </w:p>
        </w:tc>
        <w:tc>
          <w:tcPr>
            <w:tcW w:w="2351" w:type="dxa"/>
          </w:tcPr>
          <w:p w:rsidR="002D4D5D" w:rsidRDefault="002D4D5D" w:rsidP="007A14BB">
            <w:pPr>
              <w:pStyle w:val="TableParagraph"/>
              <w:ind w:left="0" w:right="106"/>
              <w:rPr>
                <w:sz w:val="24"/>
              </w:rPr>
            </w:pPr>
            <w:r>
              <w:rPr>
                <w:sz w:val="24"/>
              </w:rPr>
              <w:t>0</w:t>
            </w:r>
          </w:p>
        </w:tc>
      </w:tr>
      <w:tr w:rsidR="002D4D5D" w:rsidTr="007A14BB">
        <w:trPr>
          <w:trHeight w:val="551"/>
        </w:trPr>
        <w:tc>
          <w:tcPr>
            <w:tcW w:w="3613" w:type="dxa"/>
          </w:tcPr>
          <w:p w:rsidR="002D4D5D" w:rsidRDefault="002D4D5D" w:rsidP="007A14BB">
            <w:pPr>
              <w:pStyle w:val="TableParagraph"/>
              <w:ind w:left="1031"/>
              <w:jc w:val="left"/>
              <w:rPr>
                <w:sz w:val="24"/>
              </w:rPr>
            </w:pPr>
            <w:r>
              <w:rPr>
                <w:sz w:val="24"/>
              </w:rPr>
              <w:t>Number ofrespondents</w:t>
            </w:r>
          </w:p>
        </w:tc>
        <w:tc>
          <w:tcPr>
            <w:tcW w:w="2029" w:type="dxa"/>
          </w:tcPr>
          <w:p w:rsidR="002D4D5D" w:rsidRDefault="002D4D5D" w:rsidP="007A14BB">
            <w:pPr>
              <w:pStyle w:val="TableParagraph"/>
              <w:ind w:left="454" w:right="436"/>
              <w:rPr>
                <w:sz w:val="24"/>
              </w:rPr>
            </w:pPr>
            <w:r>
              <w:rPr>
                <w:sz w:val="24"/>
              </w:rPr>
              <w:t>33</w:t>
            </w:r>
          </w:p>
        </w:tc>
        <w:tc>
          <w:tcPr>
            <w:tcW w:w="2351" w:type="dxa"/>
          </w:tcPr>
          <w:p w:rsidR="002D4D5D" w:rsidRDefault="002D4D5D" w:rsidP="007A14BB">
            <w:pPr>
              <w:pStyle w:val="TableParagraph"/>
              <w:ind w:left="442" w:right="608"/>
              <w:rPr>
                <w:sz w:val="24"/>
              </w:rPr>
            </w:pPr>
            <w:r>
              <w:rPr>
                <w:sz w:val="24"/>
              </w:rPr>
              <w:t>100.0</w:t>
            </w:r>
          </w:p>
        </w:tc>
      </w:tr>
      <w:tr w:rsidR="002D4D5D" w:rsidTr="007A14BB">
        <w:trPr>
          <w:trHeight w:val="408"/>
        </w:trPr>
        <w:tc>
          <w:tcPr>
            <w:tcW w:w="3613" w:type="dxa"/>
          </w:tcPr>
          <w:p w:rsidR="002D4D5D" w:rsidRDefault="002D4D5D" w:rsidP="007A14BB">
            <w:pPr>
              <w:pStyle w:val="TableParagraph"/>
              <w:spacing w:line="256" w:lineRule="exact"/>
              <w:ind w:left="1031"/>
              <w:jc w:val="left"/>
              <w:rPr>
                <w:sz w:val="24"/>
              </w:rPr>
            </w:pPr>
            <w:r>
              <w:rPr>
                <w:sz w:val="24"/>
              </w:rPr>
              <w:t>(Assessed)</w:t>
            </w:r>
          </w:p>
        </w:tc>
        <w:tc>
          <w:tcPr>
            <w:tcW w:w="2029" w:type="dxa"/>
          </w:tcPr>
          <w:p w:rsidR="002D4D5D" w:rsidRDefault="002D4D5D" w:rsidP="007A14BB">
            <w:pPr>
              <w:pStyle w:val="TableParagraph"/>
              <w:spacing w:before="0"/>
              <w:ind w:left="0"/>
              <w:jc w:val="left"/>
              <w:rPr>
                <w:sz w:val="24"/>
              </w:rPr>
            </w:pPr>
          </w:p>
        </w:tc>
        <w:tc>
          <w:tcPr>
            <w:tcW w:w="2351" w:type="dxa"/>
          </w:tcPr>
          <w:p w:rsidR="002D4D5D" w:rsidRDefault="002D4D5D" w:rsidP="007A14BB">
            <w:pPr>
              <w:pStyle w:val="TableParagraph"/>
              <w:spacing w:before="0"/>
              <w:ind w:left="0"/>
              <w:jc w:val="left"/>
              <w:rPr>
                <w:sz w:val="24"/>
              </w:rPr>
            </w:pPr>
          </w:p>
        </w:tc>
      </w:tr>
    </w:tbl>
    <w:p w:rsidR="002D4D5D" w:rsidRDefault="002D4D5D" w:rsidP="002D4D5D">
      <w:pPr>
        <w:pStyle w:val="BodyText"/>
        <w:spacing w:before="6"/>
        <w:rPr>
          <w:b/>
          <w:sz w:val="21"/>
        </w:rPr>
      </w:pPr>
      <w:r w:rsidRPr="00940107">
        <w:rPr>
          <w:noProof/>
        </w:rPr>
        <w:pict>
          <v:rect id="Rectangle 30" o:spid="_x0000_s1035" style="position:absolute;margin-left:71.3pt;margin-top:14.35pt;width:361.75pt;height:.5pt;z-index:-25164902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gwfQIAAPsEAAAOAAAAZHJzL2Uyb0RvYy54bWysVG2PEyEQ/m7ifyB87+3LbV920+3lrrXG&#10;5NSLpz+AAtslsoBAuz2N/92BbWtP/WCMbcICMwzPPPMM85tDJ9GeWye0qnF2lWLEFdVMqG2NP31c&#10;j2YYOU8UI1IrXuMn7vDN4uWLeW8qnutWS8YtgiDKVb2pceu9qZLE0ZZ3xF1pwxUYG2074mFptwmz&#10;pIfonUzyNJ0kvbbMWE25c7C7Gox4EeM3Daf+fdM47pGsMWDzcbRx3IQxWcxJtbXEtIIeYZB/QNER&#10;oeDSc6gV8QTtrPgtVCeo1U43/orqLtFNIyiPOUA2WfpLNo8tMTzmAuQ4c6bJ/b+w9N3+wSLBanwN&#10;9CjSQY0+AGtEbSVHsAcE9cZV4PdoHmxI0Zl7TT87pPSyBTd+a63uW04YwMqCf/LsQFg4OIo2/VvN&#10;IDzZeR25OjS2CwGBBXSIJXk6l4QfPKKwWYzLIs/HGFGwTa7HEVBCqtNZY51/zXWHwqTGFqDH2GR/&#10;73zAQqqTS8SupWBrIWVc2O1mKS3aExDHdB3+ET6keOkmVXBWOhwbIg47ABHuCLYANhb7W5nlRXqX&#10;l6P1ZDYdFetiPCqn6WyUZuVdOUmLslitvweAWVG1gjGu7oXiJ+Flxd8V9tgCg2Si9FBf43IMPMW8&#10;LtG7yyTT+PtTkp3w0IdSdDWenZ1IFcr6SjFIm1SeCDnMk+fwI8vAwekbWYkiCHUf9LPR7Ak0YDUU&#10;CYQGLwZMWm2/YtRD99XYfdkRyzGSbxToqMyKIrRrXBTjaQ4Le2nZXFqIohCqxh6jYbr0Q4vvjBXb&#10;Fm7KIjFK34L2GhGFEXQ5oDoqFjosZnB8DUILX66j1883a/EDAAD//wMAUEsDBBQABgAIAAAAIQDj&#10;zRPM2gAAAAkBAAAPAAAAZHJzL2Rvd25yZXYueG1sTI/BTsMwDIbvSLxDZCRuLFmFslKaThOIM2Ig&#10;uHpNaKo1TtWkW+HpMSc4/van35/r7RIGcXJT6iMZWK8UCEdttD11Bt5en25KECkjWRwiOQNfLsG2&#10;ubyosbLxTC/utM+d4BJKFRrwOY+VlKn1LmBaxdER7z7jFDBznDppJzxzeRhkoZSWAXviCx5H9+Bd&#10;e9zPwcB8JKVL9ZEW8nHXW3x8fqdvY66vlt09iOyW/AfDrz6rQ8NOhziTTWLgfFtoRg0U5QYEA6XW&#10;axAHHtxtQDa1/P9B8wMAAP//AwBQSwECLQAUAAYACAAAACEAtoM4kv4AAADhAQAAEwAAAAAAAAAA&#10;AAAAAAAAAAAAW0NvbnRlbnRfVHlwZXNdLnhtbFBLAQItABQABgAIAAAAIQA4/SH/1gAAAJQBAAAL&#10;AAAAAAAAAAAAAAAAAC8BAABfcmVscy8ucmVsc1BLAQItABQABgAIAAAAIQDCejgwfQIAAPsEAAAO&#10;AAAAAAAAAAAAAAAAAC4CAABkcnMvZTJvRG9jLnhtbFBLAQItABQABgAIAAAAIQDjzRPM2gAAAAkB&#10;AAAPAAAAAAAAAAAAAAAAANcEAABkcnMvZG93bnJldi54bWxQSwUGAAAAAAQABADzAAAA3gUAAAAA&#10;" fillcolor="#7f7f7f" stroked="f">
            <w10:wrap type="topAndBottom" anchorx="page"/>
          </v:rect>
        </w:pict>
      </w:r>
    </w:p>
    <w:p w:rsidR="002D4D5D" w:rsidRDefault="002D4D5D" w:rsidP="002D4D5D">
      <w:pPr>
        <w:pStyle w:val="BodyText"/>
        <w:spacing w:before="74" w:line="480" w:lineRule="auto"/>
        <w:ind w:left="160" w:right="-20"/>
        <w:jc w:val="both"/>
      </w:pPr>
    </w:p>
    <w:p w:rsidR="002D4D5D" w:rsidRDefault="002D4D5D" w:rsidP="002D4D5D">
      <w:pPr>
        <w:pStyle w:val="BodyText"/>
        <w:spacing w:before="74" w:line="480" w:lineRule="auto"/>
        <w:ind w:left="160" w:right="-20"/>
        <w:jc w:val="both"/>
      </w:pPr>
      <w:r>
        <w:t>Table 4.5 displays the level of significance of real estate investments amongst the entire portfolio of the various companies analysed by the researcher. With a total of 33 companies involved in real estate investments as stated in table 4.5, 57.6% classified real estate as a significant part of their real estate portfolio, while 42.4% stated that real estate investments have a moderate significance within their entire investment portfolio. None of therespondents classified real estate as an insignificant aspect of their investmentportfolio.</w:t>
      </w:r>
    </w:p>
    <w:p w:rsidR="002D4D5D" w:rsidRDefault="002D4D5D" w:rsidP="002D4D5D">
      <w:pPr>
        <w:pStyle w:val="Heading2"/>
        <w:spacing w:before="78"/>
        <w:ind w:left="0"/>
        <w:jc w:val="both"/>
      </w:pPr>
      <w:r>
        <w:t>Table 4.6 Investment Characteristic – Initial Cost of Investment</w:t>
      </w:r>
    </w:p>
    <w:p w:rsidR="002D4D5D" w:rsidRDefault="002D4D5D" w:rsidP="002D4D5D">
      <w:pPr>
        <w:pStyle w:val="BodyText"/>
        <w:spacing w:before="8" w:after="1"/>
        <w:jc w:val="both"/>
        <w:rPr>
          <w:b/>
        </w:rPr>
      </w:pPr>
    </w:p>
    <w:tbl>
      <w:tblPr>
        <w:tblW w:w="8760" w:type="dxa"/>
        <w:tblInd w:w="167" w:type="dxa"/>
        <w:tblLayout w:type="fixed"/>
        <w:tblCellMar>
          <w:left w:w="0" w:type="dxa"/>
          <w:right w:w="0" w:type="dxa"/>
        </w:tblCellMar>
        <w:tblLook w:val="01E0"/>
      </w:tblPr>
      <w:tblGrid>
        <w:gridCol w:w="4667"/>
        <w:gridCol w:w="2932"/>
        <w:gridCol w:w="1161"/>
      </w:tblGrid>
      <w:tr w:rsidR="002D4D5D" w:rsidTr="007A14BB">
        <w:trPr>
          <w:trHeight w:val="551"/>
        </w:trPr>
        <w:tc>
          <w:tcPr>
            <w:tcW w:w="4667"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Sectors of the economy</w:t>
            </w:r>
          </w:p>
        </w:tc>
        <w:tc>
          <w:tcPr>
            <w:tcW w:w="2932"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Mean value</w:t>
            </w:r>
          </w:p>
        </w:tc>
        <w:tc>
          <w:tcPr>
            <w:tcW w:w="1161"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Rank</w:t>
            </w:r>
          </w:p>
        </w:tc>
      </w:tr>
      <w:tr w:rsidR="002D4D5D" w:rsidTr="007A14BB">
        <w:trPr>
          <w:trHeight w:val="409"/>
        </w:trPr>
        <w:tc>
          <w:tcPr>
            <w:tcW w:w="4667"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Oil and gas sector</w:t>
            </w:r>
          </w:p>
        </w:tc>
        <w:tc>
          <w:tcPr>
            <w:tcW w:w="2932"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3.71</w:t>
            </w:r>
          </w:p>
        </w:tc>
        <w:tc>
          <w:tcPr>
            <w:tcW w:w="1161"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1</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Energy sector</w:t>
            </w:r>
          </w:p>
        </w:tc>
        <w:tc>
          <w:tcPr>
            <w:tcW w:w="2932" w:type="dxa"/>
          </w:tcPr>
          <w:p w:rsidR="002D4D5D" w:rsidRDefault="002D4D5D" w:rsidP="007A14BB">
            <w:pPr>
              <w:pStyle w:val="TableParagraph"/>
              <w:ind w:left="0"/>
              <w:jc w:val="both"/>
              <w:rPr>
                <w:sz w:val="24"/>
              </w:rPr>
            </w:pPr>
            <w:r>
              <w:rPr>
                <w:sz w:val="24"/>
              </w:rPr>
              <w:t>3.68</w:t>
            </w:r>
          </w:p>
        </w:tc>
        <w:tc>
          <w:tcPr>
            <w:tcW w:w="1161" w:type="dxa"/>
          </w:tcPr>
          <w:p w:rsidR="002D4D5D" w:rsidRDefault="002D4D5D" w:rsidP="007A14BB">
            <w:pPr>
              <w:pStyle w:val="TableParagraph"/>
              <w:ind w:left="0"/>
              <w:jc w:val="both"/>
              <w:rPr>
                <w:sz w:val="24"/>
              </w:rPr>
            </w:pPr>
            <w:r>
              <w:rPr>
                <w:sz w:val="24"/>
              </w:rPr>
              <w:t>2</w:t>
            </w:r>
          </w:p>
        </w:tc>
      </w:tr>
      <w:tr w:rsidR="002D4D5D" w:rsidTr="007A14BB">
        <w:trPr>
          <w:trHeight w:val="551"/>
        </w:trPr>
        <w:tc>
          <w:tcPr>
            <w:tcW w:w="4667" w:type="dxa"/>
          </w:tcPr>
          <w:p w:rsidR="002D4D5D" w:rsidRDefault="002D4D5D" w:rsidP="007A14BB">
            <w:pPr>
              <w:pStyle w:val="TableParagraph"/>
              <w:ind w:left="0"/>
              <w:jc w:val="both"/>
              <w:rPr>
                <w:sz w:val="24"/>
              </w:rPr>
            </w:pPr>
            <w:r>
              <w:rPr>
                <w:sz w:val="24"/>
              </w:rPr>
              <w:t>Telecommunications sector</w:t>
            </w:r>
          </w:p>
        </w:tc>
        <w:tc>
          <w:tcPr>
            <w:tcW w:w="2932" w:type="dxa"/>
          </w:tcPr>
          <w:p w:rsidR="002D4D5D" w:rsidRDefault="002D4D5D" w:rsidP="007A14BB">
            <w:pPr>
              <w:pStyle w:val="TableParagraph"/>
              <w:ind w:left="0"/>
              <w:jc w:val="both"/>
              <w:rPr>
                <w:sz w:val="24"/>
              </w:rPr>
            </w:pPr>
            <w:r>
              <w:rPr>
                <w:sz w:val="24"/>
              </w:rPr>
              <w:t>3.53</w:t>
            </w:r>
          </w:p>
        </w:tc>
        <w:tc>
          <w:tcPr>
            <w:tcW w:w="1161" w:type="dxa"/>
          </w:tcPr>
          <w:p w:rsidR="002D4D5D" w:rsidRDefault="002D4D5D" w:rsidP="007A14BB">
            <w:pPr>
              <w:pStyle w:val="TableParagraph"/>
              <w:ind w:left="0"/>
              <w:jc w:val="both"/>
              <w:rPr>
                <w:sz w:val="24"/>
              </w:rPr>
            </w:pPr>
            <w:r>
              <w:rPr>
                <w:sz w:val="24"/>
              </w:rPr>
              <w:t>3</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Mining sector</w:t>
            </w:r>
          </w:p>
        </w:tc>
        <w:tc>
          <w:tcPr>
            <w:tcW w:w="2932" w:type="dxa"/>
          </w:tcPr>
          <w:p w:rsidR="002D4D5D" w:rsidRDefault="002D4D5D" w:rsidP="007A14BB">
            <w:pPr>
              <w:pStyle w:val="TableParagraph"/>
              <w:ind w:left="0"/>
              <w:jc w:val="both"/>
              <w:rPr>
                <w:sz w:val="24"/>
              </w:rPr>
            </w:pPr>
            <w:r>
              <w:rPr>
                <w:sz w:val="24"/>
              </w:rPr>
              <w:t>3.47</w:t>
            </w:r>
          </w:p>
        </w:tc>
        <w:tc>
          <w:tcPr>
            <w:tcW w:w="1161" w:type="dxa"/>
          </w:tcPr>
          <w:p w:rsidR="002D4D5D" w:rsidRDefault="002D4D5D" w:rsidP="007A14BB">
            <w:pPr>
              <w:pStyle w:val="TableParagraph"/>
              <w:ind w:left="0"/>
              <w:jc w:val="both"/>
              <w:rPr>
                <w:sz w:val="24"/>
              </w:rPr>
            </w:pPr>
            <w:r>
              <w:rPr>
                <w:sz w:val="24"/>
              </w:rPr>
              <w:t>4</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Information and technology sector</w:t>
            </w:r>
          </w:p>
        </w:tc>
        <w:tc>
          <w:tcPr>
            <w:tcW w:w="2932" w:type="dxa"/>
          </w:tcPr>
          <w:p w:rsidR="002D4D5D" w:rsidRDefault="002D4D5D" w:rsidP="007A14BB">
            <w:pPr>
              <w:pStyle w:val="TableParagraph"/>
              <w:ind w:left="0"/>
              <w:jc w:val="both"/>
              <w:rPr>
                <w:sz w:val="24"/>
              </w:rPr>
            </w:pPr>
            <w:r>
              <w:rPr>
                <w:sz w:val="24"/>
              </w:rPr>
              <w:t>3.44</w:t>
            </w:r>
          </w:p>
        </w:tc>
        <w:tc>
          <w:tcPr>
            <w:tcW w:w="1161" w:type="dxa"/>
          </w:tcPr>
          <w:p w:rsidR="002D4D5D" w:rsidRDefault="002D4D5D" w:rsidP="007A14BB">
            <w:pPr>
              <w:pStyle w:val="TableParagraph"/>
              <w:ind w:left="0"/>
              <w:jc w:val="both"/>
              <w:rPr>
                <w:sz w:val="24"/>
              </w:rPr>
            </w:pPr>
            <w:r>
              <w:rPr>
                <w:sz w:val="24"/>
              </w:rPr>
              <w:t>5</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Construction sector</w:t>
            </w:r>
          </w:p>
        </w:tc>
        <w:tc>
          <w:tcPr>
            <w:tcW w:w="2932" w:type="dxa"/>
          </w:tcPr>
          <w:p w:rsidR="002D4D5D" w:rsidRDefault="002D4D5D" w:rsidP="007A14BB">
            <w:pPr>
              <w:pStyle w:val="TableParagraph"/>
              <w:ind w:left="0"/>
              <w:jc w:val="both"/>
              <w:rPr>
                <w:sz w:val="24"/>
              </w:rPr>
            </w:pPr>
            <w:r>
              <w:rPr>
                <w:sz w:val="24"/>
              </w:rPr>
              <w:t>3.16</w:t>
            </w:r>
          </w:p>
        </w:tc>
        <w:tc>
          <w:tcPr>
            <w:tcW w:w="1161" w:type="dxa"/>
          </w:tcPr>
          <w:p w:rsidR="002D4D5D" w:rsidRDefault="002D4D5D" w:rsidP="007A14BB">
            <w:pPr>
              <w:pStyle w:val="TableParagraph"/>
              <w:ind w:left="0"/>
              <w:jc w:val="both"/>
              <w:rPr>
                <w:sz w:val="24"/>
              </w:rPr>
            </w:pPr>
            <w:r>
              <w:rPr>
                <w:sz w:val="24"/>
              </w:rPr>
              <w:t>6</w:t>
            </w:r>
          </w:p>
        </w:tc>
      </w:tr>
      <w:tr w:rsidR="002D4D5D" w:rsidTr="007A14BB">
        <w:trPr>
          <w:trHeight w:val="551"/>
        </w:trPr>
        <w:tc>
          <w:tcPr>
            <w:tcW w:w="4667" w:type="dxa"/>
          </w:tcPr>
          <w:p w:rsidR="002D4D5D" w:rsidRDefault="002D4D5D" w:rsidP="007A14BB">
            <w:pPr>
              <w:pStyle w:val="TableParagraph"/>
              <w:ind w:left="0"/>
              <w:jc w:val="both"/>
              <w:rPr>
                <w:sz w:val="24"/>
              </w:rPr>
            </w:pPr>
            <w:r>
              <w:rPr>
                <w:sz w:val="24"/>
              </w:rPr>
              <w:t>Manufacturing sector</w:t>
            </w:r>
          </w:p>
        </w:tc>
        <w:tc>
          <w:tcPr>
            <w:tcW w:w="2932" w:type="dxa"/>
          </w:tcPr>
          <w:p w:rsidR="002D4D5D" w:rsidRDefault="002D4D5D" w:rsidP="007A14BB">
            <w:pPr>
              <w:pStyle w:val="TableParagraph"/>
              <w:ind w:left="0"/>
              <w:jc w:val="both"/>
              <w:rPr>
                <w:sz w:val="24"/>
              </w:rPr>
            </w:pPr>
            <w:r>
              <w:rPr>
                <w:sz w:val="24"/>
              </w:rPr>
              <w:t>3.08</w:t>
            </w:r>
          </w:p>
        </w:tc>
        <w:tc>
          <w:tcPr>
            <w:tcW w:w="1161" w:type="dxa"/>
          </w:tcPr>
          <w:p w:rsidR="002D4D5D" w:rsidRDefault="002D4D5D" w:rsidP="007A14BB">
            <w:pPr>
              <w:pStyle w:val="TableParagraph"/>
              <w:ind w:left="0"/>
              <w:jc w:val="both"/>
              <w:rPr>
                <w:sz w:val="24"/>
              </w:rPr>
            </w:pPr>
            <w:r>
              <w:rPr>
                <w:sz w:val="24"/>
              </w:rPr>
              <w:t>7</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lastRenderedPageBreak/>
              <w:t>Retail sector</w:t>
            </w:r>
          </w:p>
        </w:tc>
        <w:tc>
          <w:tcPr>
            <w:tcW w:w="2932" w:type="dxa"/>
          </w:tcPr>
          <w:p w:rsidR="002D4D5D" w:rsidRDefault="002D4D5D" w:rsidP="007A14BB">
            <w:pPr>
              <w:pStyle w:val="TableParagraph"/>
              <w:ind w:left="0"/>
              <w:jc w:val="both"/>
              <w:rPr>
                <w:sz w:val="24"/>
              </w:rPr>
            </w:pPr>
            <w:r>
              <w:rPr>
                <w:sz w:val="24"/>
              </w:rPr>
              <w:t>2.92</w:t>
            </w:r>
          </w:p>
        </w:tc>
        <w:tc>
          <w:tcPr>
            <w:tcW w:w="1161" w:type="dxa"/>
          </w:tcPr>
          <w:p w:rsidR="002D4D5D" w:rsidRDefault="002D4D5D" w:rsidP="007A14BB">
            <w:pPr>
              <w:pStyle w:val="TableParagraph"/>
              <w:ind w:left="0"/>
              <w:jc w:val="both"/>
              <w:rPr>
                <w:sz w:val="24"/>
              </w:rPr>
            </w:pPr>
            <w:r>
              <w:rPr>
                <w:sz w:val="24"/>
              </w:rPr>
              <w:t>8</w:t>
            </w:r>
          </w:p>
        </w:tc>
      </w:tr>
      <w:tr w:rsidR="002D4D5D" w:rsidTr="007A14BB">
        <w:trPr>
          <w:trHeight w:val="551"/>
        </w:trPr>
        <w:tc>
          <w:tcPr>
            <w:tcW w:w="4667" w:type="dxa"/>
          </w:tcPr>
          <w:p w:rsidR="002D4D5D" w:rsidRDefault="002D4D5D" w:rsidP="007A14BB">
            <w:pPr>
              <w:pStyle w:val="TableParagraph"/>
              <w:ind w:left="0"/>
              <w:jc w:val="both"/>
              <w:rPr>
                <w:sz w:val="24"/>
              </w:rPr>
            </w:pPr>
            <w:r>
              <w:rPr>
                <w:sz w:val="24"/>
              </w:rPr>
              <w:t>Real estate sector</w:t>
            </w:r>
          </w:p>
        </w:tc>
        <w:tc>
          <w:tcPr>
            <w:tcW w:w="2932" w:type="dxa"/>
          </w:tcPr>
          <w:p w:rsidR="002D4D5D" w:rsidRDefault="002D4D5D" w:rsidP="007A14BB">
            <w:pPr>
              <w:pStyle w:val="TableParagraph"/>
              <w:ind w:left="0"/>
              <w:jc w:val="both"/>
              <w:rPr>
                <w:sz w:val="24"/>
              </w:rPr>
            </w:pPr>
            <w:r>
              <w:rPr>
                <w:sz w:val="24"/>
              </w:rPr>
              <w:t>2.85</w:t>
            </w:r>
          </w:p>
        </w:tc>
        <w:tc>
          <w:tcPr>
            <w:tcW w:w="1161" w:type="dxa"/>
          </w:tcPr>
          <w:p w:rsidR="002D4D5D" w:rsidRDefault="002D4D5D" w:rsidP="007A14BB">
            <w:pPr>
              <w:pStyle w:val="TableParagraph"/>
              <w:ind w:left="0"/>
              <w:jc w:val="both"/>
              <w:rPr>
                <w:sz w:val="24"/>
              </w:rPr>
            </w:pPr>
            <w:r>
              <w:rPr>
                <w:sz w:val="24"/>
              </w:rPr>
              <w:t>9</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Finance and business services sector</w:t>
            </w:r>
          </w:p>
        </w:tc>
        <w:tc>
          <w:tcPr>
            <w:tcW w:w="2932" w:type="dxa"/>
          </w:tcPr>
          <w:p w:rsidR="002D4D5D" w:rsidRDefault="002D4D5D" w:rsidP="007A14BB">
            <w:pPr>
              <w:pStyle w:val="TableParagraph"/>
              <w:ind w:left="0"/>
              <w:jc w:val="both"/>
              <w:rPr>
                <w:sz w:val="24"/>
              </w:rPr>
            </w:pPr>
            <w:r>
              <w:rPr>
                <w:sz w:val="24"/>
              </w:rPr>
              <w:t>2.73</w:t>
            </w:r>
          </w:p>
        </w:tc>
        <w:tc>
          <w:tcPr>
            <w:tcW w:w="1161" w:type="dxa"/>
          </w:tcPr>
          <w:p w:rsidR="002D4D5D" w:rsidRDefault="002D4D5D" w:rsidP="007A14BB">
            <w:pPr>
              <w:pStyle w:val="TableParagraph"/>
              <w:ind w:left="0"/>
              <w:jc w:val="both"/>
              <w:rPr>
                <w:sz w:val="24"/>
              </w:rPr>
            </w:pPr>
            <w:r>
              <w:rPr>
                <w:sz w:val="24"/>
              </w:rPr>
              <w:t>10</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Transportation sector</w:t>
            </w:r>
          </w:p>
        </w:tc>
        <w:tc>
          <w:tcPr>
            <w:tcW w:w="2932" w:type="dxa"/>
          </w:tcPr>
          <w:p w:rsidR="002D4D5D" w:rsidRDefault="002D4D5D" w:rsidP="007A14BB">
            <w:pPr>
              <w:pStyle w:val="TableParagraph"/>
              <w:ind w:left="0"/>
              <w:jc w:val="both"/>
              <w:rPr>
                <w:sz w:val="24"/>
              </w:rPr>
            </w:pPr>
            <w:r>
              <w:rPr>
                <w:sz w:val="24"/>
              </w:rPr>
              <w:t>2.61</w:t>
            </w:r>
          </w:p>
        </w:tc>
        <w:tc>
          <w:tcPr>
            <w:tcW w:w="1161" w:type="dxa"/>
          </w:tcPr>
          <w:p w:rsidR="002D4D5D" w:rsidRDefault="002D4D5D" w:rsidP="007A14BB">
            <w:pPr>
              <w:pStyle w:val="TableParagraph"/>
              <w:ind w:left="0"/>
              <w:jc w:val="both"/>
              <w:rPr>
                <w:sz w:val="24"/>
              </w:rPr>
            </w:pPr>
            <w:r>
              <w:rPr>
                <w:sz w:val="24"/>
              </w:rPr>
              <w:t>11</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Hospitality sector</w:t>
            </w:r>
          </w:p>
        </w:tc>
        <w:tc>
          <w:tcPr>
            <w:tcW w:w="2932" w:type="dxa"/>
          </w:tcPr>
          <w:p w:rsidR="002D4D5D" w:rsidRDefault="002D4D5D" w:rsidP="007A14BB">
            <w:pPr>
              <w:pStyle w:val="TableParagraph"/>
              <w:ind w:left="0"/>
              <w:jc w:val="both"/>
              <w:rPr>
                <w:sz w:val="24"/>
              </w:rPr>
            </w:pPr>
            <w:r>
              <w:rPr>
                <w:sz w:val="24"/>
              </w:rPr>
              <w:t>1.97</w:t>
            </w:r>
          </w:p>
        </w:tc>
        <w:tc>
          <w:tcPr>
            <w:tcW w:w="1161" w:type="dxa"/>
          </w:tcPr>
          <w:p w:rsidR="002D4D5D" w:rsidRDefault="002D4D5D" w:rsidP="007A14BB">
            <w:pPr>
              <w:pStyle w:val="TableParagraph"/>
              <w:ind w:left="0"/>
              <w:jc w:val="both"/>
              <w:rPr>
                <w:sz w:val="24"/>
              </w:rPr>
            </w:pPr>
            <w:r>
              <w:rPr>
                <w:sz w:val="24"/>
              </w:rPr>
              <w:t>12</w:t>
            </w:r>
          </w:p>
        </w:tc>
      </w:tr>
      <w:tr w:rsidR="002D4D5D" w:rsidTr="007A14BB">
        <w:trPr>
          <w:trHeight w:val="552"/>
        </w:trPr>
        <w:tc>
          <w:tcPr>
            <w:tcW w:w="4667" w:type="dxa"/>
          </w:tcPr>
          <w:p w:rsidR="002D4D5D" w:rsidRDefault="002D4D5D" w:rsidP="007A14BB">
            <w:pPr>
              <w:pStyle w:val="TableParagraph"/>
              <w:ind w:left="0"/>
              <w:jc w:val="both"/>
              <w:rPr>
                <w:sz w:val="24"/>
              </w:rPr>
            </w:pPr>
            <w:r>
              <w:rPr>
                <w:sz w:val="24"/>
              </w:rPr>
              <w:t>Agricultural sector</w:t>
            </w:r>
          </w:p>
        </w:tc>
        <w:tc>
          <w:tcPr>
            <w:tcW w:w="2932" w:type="dxa"/>
          </w:tcPr>
          <w:p w:rsidR="002D4D5D" w:rsidRDefault="002D4D5D" w:rsidP="007A14BB">
            <w:pPr>
              <w:pStyle w:val="TableParagraph"/>
              <w:ind w:left="0"/>
              <w:jc w:val="both"/>
              <w:rPr>
                <w:sz w:val="24"/>
              </w:rPr>
            </w:pPr>
            <w:r>
              <w:rPr>
                <w:sz w:val="24"/>
              </w:rPr>
              <w:t>1.55</w:t>
            </w:r>
          </w:p>
        </w:tc>
        <w:tc>
          <w:tcPr>
            <w:tcW w:w="1161" w:type="dxa"/>
          </w:tcPr>
          <w:p w:rsidR="002D4D5D" w:rsidRDefault="002D4D5D" w:rsidP="007A14BB">
            <w:pPr>
              <w:pStyle w:val="TableParagraph"/>
              <w:ind w:left="0"/>
              <w:jc w:val="both"/>
              <w:rPr>
                <w:sz w:val="24"/>
              </w:rPr>
            </w:pPr>
            <w:r>
              <w:rPr>
                <w:sz w:val="24"/>
              </w:rPr>
              <w:t>13</w:t>
            </w:r>
          </w:p>
        </w:tc>
      </w:tr>
      <w:tr w:rsidR="002D4D5D" w:rsidTr="007A14BB">
        <w:trPr>
          <w:trHeight w:val="407"/>
        </w:trPr>
        <w:tc>
          <w:tcPr>
            <w:tcW w:w="4667" w:type="dxa"/>
          </w:tcPr>
          <w:p w:rsidR="002D4D5D" w:rsidRDefault="002D4D5D" w:rsidP="007A14BB">
            <w:pPr>
              <w:pStyle w:val="TableParagraph"/>
              <w:spacing w:line="256" w:lineRule="exact"/>
              <w:ind w:left="0"/>
              <w:jc w:val="both"/>
              <w:rPr>
                <w:sz w:val="24"/>
              </w:rPr>
            </w:pPr>
            <w:r>
              <w:rPr>
                <w:sz w:val="24"/>
              </w:rPr>
              <w:t>Entertainment sector</w:t>
            </w:r>
          </w:p>
        </w:tc>
        <w:tc>
          <w:tcPr>
            <w:tcW w:w="2932" w:type="dxa"/>
          </w:tcPr>
          <w:p w:rsidR="002D4D5D" w:rsidRDefault="002D4D5D" w:rsidP="007A14BB">
            <w:pPr>
              <w:pStyle w:val="TableParagraph"/>
              <w:spacing w:line="256" w:lineRule="exact"/>
              <w:ind w:left="0"/>
              <w:jc w:val="both"/>
              <w:rPr>
                <w:sz w:val="24"/>
              </w:rPr>
            </w:pPr>
            <w:r>
              <w:rPr>
                <w:sz w:val="24"/>
              </w:rPr>
              <w:t>1.16</w:t>
            </w:r>
          </w:p>
        </w:tc>
        <w:tc>
          <w:tcPr>
            <w:tcW w:w="1161" w:type="dxa"/>
          </w:tcPr>
          <w:p w:rsidR="002D4D5D" w:rsidRDefault="002D4D5D" w:rsidP="007A14BB">
            <w:pPr>
              <w:pStyle w:val="TableParagraph"/>
              <w:spacing w:line="256" w:lineRule="exact"/>
              <w:ind w:left="0"/>
              <w:jc w:val="both"/>
              <w:rPr>
                <w:sz w:val="24"/>
              </w:rPr>
            </w:pPr>
            <w:r>
              <w:rPr>
                <w:sz w:val="24"/>
              </w:rPr>
              <w:t>14</w:t>
            </w:r>
          </w:p>
        </w:tc>
      </w:tr>
    </w:tbl>
    <w:p w:rsidR="002D4D5D" w:rsidRDefault="002D4D5D" w:rsidP="002D4D5D">
      <w:pPr>
        <w:pStyle w:val="BodyText"/>
        <w:spacing w:before="3"/>
        <w:jc w:val="both"/>
        <w:rPr>
          <w:b/>
          <w:sz w:val="21"/>
        </w:rPr>
      </w:pPr>
      <w:r w:rsidRPr="00940107">
        <w:rPr>
          <w:noProof/>
        </w:rPr>
        <w:pict>
          <v:rect id="Rectangle 11" o:spid="_x0000_s1031" style="position:absolute;left:0;text-align:left;margin-left:71.25pt;margin-top:14.1pt;width:434.25pt;height:3.55pt;z-index:-25165312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XQfAIAAPwEAAAOAAAAZHJzL2Uyb0RvYy54bWysVNuO0zAQfUfiHyy/d5NUSdtETVd7oQip&#10;wIqFD3BtJ7FwbGO7TRfEvzN22tIFHhCilRyPPT4+M3PGy+tDL9GeWye0qnF2lWLEFdVMqLbGnz6u&#10;JwuMnCeKEakVr/ETd/h69fLFcjAVn+pOS8YtAhDlqsHUuPPeVEniaMd74q604Qo2G2174sG0bcIs&#10;GQC9l8k0TWfJoC0zVlPuHKzej5t4FfGbhlP/vmkc90jWGLj5ONo4bsOYrJakai0xnaBHGuQfWPRE&#10;KLj0DHVPPEE7K36D6gW12unGX1HdJ7ppBOUxBogmS3+J5rEjhsdYIDnOnNPk/h8sfbd/sEgwqF2G&#10;kSI91OgDZI2oVnIEa5CgwbgK/B7Ngw0hOrPR9LNDSt914MZvrNVDxwkDWtE/eXYgGA6Oou3wVjOA&#10;JzuvY64Oje0DIGQBHWJJns4l4QePKCwWRZaX8wIjCnt5kS6KwCgh1emwsc6/5rpHYVJjC9wjONlv&#10;nB9dTy6RvJaCrYWU0bDt9k5atCegjvk6/I/o7tJNquCsdDg2Io4rwBHuCHuBbaz2tzKb5unttJys&#10;Z4v5JF/nxaScp4tJmpW35SzNy/x+/T0QzPKqE4xxtRGKn5SX5X9X2WMPjJqJ2kNDjctiWsTYn7F3&#10;l0Gm8fenIHvhoRGl6Gu8ODuRKtT1lWIQNqk8EXKcJ8/px4JADk7fmJWoglD4UUBbzZ5ABFZDkaAR&#10;4cmASaftV4wGaL8auy87YjlG8o0CIZVZnod+jUZezKdg2Mud7eUOURSgauwxGqd3fuzxnbGi7eCm&#10;LCZG6RsQXyOiMIIwR1bAOxjQYjGC43MQevjSjl4/H63VDwAAAP//AwBQSwMEFAAGAAgAAAAhAJqK&#10;4IPcAAAACgEAAA8AAABkcnMvZG93bnJldi54bWxMj8FOwzAQRO9I/IO1SNyonZRWUYhTVSDOiBbB&#10;1Y2XOGq8jmKnDXw92xM9jvZp9k21mX0vTjjGLpCGbKFAIDXBdtRq+Ni/PhQgYjJkTR8INfxghE19&#10;e1OZ0oYzveNpl1rBJRRLo8GlNJRSxsahN3ERBiS+fYfRm8RxbKUdzZnLfS9zpdbSm474gzMDPjts&#10;jrvJa5iOpNaF+oozubDtrHl5+6Rfre/v5u0TiIRz+ofhos/qULPTIUxko+g5P+YrRjXkRQ7iAqgs&#10;43UHDcvVEmRdyesJ9R8AAAD//wMAUEsBAi0AFAAGAAgAAAAhALaDOJL+AAAA4QEAABMAAAAAAAAA&#10;AAAAAAAAAAAAAFtDb250ZW50X1R5cGVzXS54bWxQSwECLQAUAAYACAAAACEAOP0h/9YAAACUAQAA&#10;CwAAAAAAAAAAAAAAAAAvAQAAX3JlbHMvLnJlbHNQSwECLQAUAAYACAAAACEA+PY10HwCAAD8BAAA&#10;DgAAAAAAAAAAAAAAAAAuAgAAZHJzL2Uyb0RvYy54bWxQSwECLQAUAAYACAAAACEAmorgg9wAAAAK&#10;AQAADwAAAAAAAAAAAAAAAADWBAAAZHJzL2Rvd25yZXYueG1sUEsFBgAAAAAEAAQA8wAAAN8FAAAA&#10;AA==&#10;" fillcolor="#7f7f7f" stroked="f">
            <w10:wrap type="topAndBottom" anchorx="page"/>
          </v:rect>
        </w:pict>
      </w:r>
    </w:p>
    <w:p w:rsidR="002D4D5D" w:rsidRDefault="002D4D5D" w:rsidP="002D4D5D">
      <w:pPr>
        <w:pStyle w:val="BodyText"/>
        <w:jc w:val="both"/>
        <w:rPr>
          <w:b/>
          <w:sz w:val="26"/>
        </w:rPr>
      </w:pPr>
    </w:p>
    <w:p w:rsidR="002D4D5D" w:rsidRDefault="002D4D5D" w:rsidP="002D4D5D">
      <w:pPr>
        <w:pStyle w:val="BodyText"/>
        <w:spacing w:before="216" w:line="480" w:lineRule="auto"/>
        <w:jc w:val="both"/>
      </w:pPr>
      <w:r>
        <w:t xml:space="preserve">Table 4.6 ranks the various sectors of the economy, based on the initial cost of investing in each sector. Ranked first on the table is the oil and gas sector. Most of the respondents stated during interviews that the major reason for this is the fact that the sector is the mainstay of the economy, but the regards outweigh this initial cost of investment in the long run, regardlessof the oversupply of global crude oil and fall in oil prices within recentyears.The under reliance on sectors such as the agriculture brought about it’s shortcomings on the table based on it’s value; 1.55. A respondents specifically stated that initial investment in this sectorcanaverageasumofN200,000,000,whichissignificantlylowcomparedtoothersector of the economy. </w:t>
      </w:r>
    </w:p>
    <w:p w:rsidR="002D4D5D" w:rsidRDefault="002D4D5D" w:rsidP="002D4D5D">
      <w:pPr>
        <w:pStyle w:val="Heading2"/>
        <w:ind w:left="160"/>
        <w:jc w:val="both"/>
      </w:pPr>
      <w:r>
        <w:t>Table 4.7 State of the Nigerian Real Estate Sector</w:t>
      </w:r>
    </w:p>
    <w:p w:rsidR="002D4D5D" w:rsidRDefault="002D4D5D" w:rsidP="002D4D5D">
      <w:pPr>
        <w:pStyle w:val="BodyText"/>
        <w:spacing w:before="8"/>
        <w:rPr>
          <w:b/>
        </w:rPr>
      </w:pPr>
    </w:p>
    <w:tbl>
      <w:tblPr>
        <w:tblW w:w="0" w:type="auto"/>
        <w:tblInd w:w="167" w:type="dxa"/>
        <w:tblLayout w:type="fixed"/>
        <w:tblCellMar>
          <w:left w:w="0" w:type="dxa"/>
          <w:right w:w="0" w:type="dxa"/>
        </w:tblCellMar>
        <w:tblLook w:val="01E0"/>
      </w:tblPr>
      <w:tblGrid>
        <w:gridCol w:w="3883"/>
        <w:gridCol w:w="2102"/>
        <w:gridCol w:w="2397"/>
      </w:tblGrid>
      <w:tr w:rsidR="002D4D5D" w:rsidTr="007A14BB">
        <w:trPr>
          <w:trHeight w:val="774"/>
        </w:trPr>
        <w:tc>
          <w:tcPr>
            <w:tcW w:w="3883" w:type="dxa"/>
            <w:tcBorders>
              <w:top w:val="single" w:sz="4" w:space="0" w:color="7F7F7F"/>
              <w:bottom w:val="single" w:sz="4" w:space="0" w:color="7F7F7F"/>
            </w:tcBorders>
          </w:tcPr>
          <w:p w:rsidR="002D4D5D" w:rsidRDefault="002D4D5D" w:rsidP="007A14BB">
            <w:pPr>
              <w:pStyle w:val="TableParagraph"/>
              <w:spacing w:before="0" w:line="273" w:lineRule="exact"/>
              <w:jc w:val="left"/>
              <w:rPr>
                <w:b/>
                <w:sz w:val="24"/>
              </w:rPr>
            </w:pPr>
            <w:r>
              <w:rPr>
                <w:b/>
                <w:sz w:val="24"/>
              </w:rPr>
              <w:t>State of the Nigerian realestate sector</w:t>
            </w:r>
          </w:p>
        </w:tc>
        <w:tc>
          <w:tcPr>
            <w:tcW w:w="2102" w:type="dxa"/>
            <w:tcBorders>
              <w:top w:val="single" w:sz="4" w:space="0" w:color="7F7F7F"/>
              <w:bottom w:val="single" w:sz="4" w:space="0" w:color="7F7F7F"/>
            </w:tcBorders>
          </w:tcPr>
          <w:p w:rsidR="002D4D5D" w:rsidRDefault="002D4D5D" w:rsidP="007A14BB">
            <w:pPr>
              <w:pStyle w:val="TableParagraph"/>
              <w:spacing w:before="0" w:line="273" w:lineRule="exact"/>
              <w:ind w:left="457" w:right="510"/>
              <w:rPr>
                <w:b/>
                <w:sz w:val="24"/>
              </w:rPr>
            </w:pPr>
            <w:r>
              <w:rPr>
                <w:b/>
                <w:sz w:val="24"/>
              </w:rPr>
              <w:t>Frequency</w:t>
            </w:r>
          </w:p>
        </w:tc>
        <w:tc>
          <w:tcPr>
            <w:tcW w:w="2397" w:type="dxa"/>
            <w:tcBorders>
              <w:top w:val="single" w:sz="4" w:space="0" w:color="7F7F7F"/>
              <w:bottom w:val="single" w:sz="4" w:space="0" w:color="7F7F7F"/>
            </w:tcBorders>
          </w:tcPr>
          <w:p w:rsidR="002D4D5D" w:rsidRDefault="002D4D5D" w:rsidP="007A14BB">
            <w:pPr>
              <w:pStyle w:val="TableParagraph"/>
              <w:spacing w:before="0" w:line="273" w:lineRule="exact"/>
              <w:ind w:left="532"/>
              <w:jc w:val="left"/>
              <w:rPr>
                <w:b/>
                <w:sz w:val="24"/>
              </w:rPr>
            </w:pPr>
            <w:r>
              <w:rPr>
                <w:b/>
                <w:sz w:val="24"/>
              </w:rPr>
              <w:t>Percent (%)</w:t>
            </w:r>
          </w:p>
        </w:tc>
      </w:tr>
      <w:tr w:rsidR="002D4D5D" w:rsidTr="007A14BB">
        <w:trPr>
          <w:trHeight w:val="410"/>
        </w:trPr>
        <w:tc>
          <w:tcPr>
            <w:tcW w:w="3883" w:type="dxa"/>
            <w:tcBorders>
              <w:top w:val="single" w:sz="4" w:space="0" w:color="7F7F7F"/>
            </w:tcBorders>
          </w:tcPr>
          <w:p w:rsidR="002D4D5D" w:rsidRDefault="002D4D5D" w:rsidP="007A14BB">
            <w:pPr>
              <w:pStyle w:val="TableParagraph"/>
              <w:spacing w:before="0"/>
              <w:ind w:left="1031"/>
              <w:jc w:val="left"/>
              <w:rPr>
                <w:sz w:val="24"/>
              </w:rPr>
            </w:pPr>
            <w:r>
              <w:rPr>
                <w:sz w:val="24"/>
              </w:rPr>
              <w:t>Excellent</w:t>
            </w:r>
          </w:p>
        </w:tc>
        <w:tc>
          <w:tcPr>
            <w:tcW w:w="2102" w:type="dxa"/>
            <w:tcBorders>
              <w:top w:val="single" w:sz="4" w:space="0" w:color="7F7F7F"/>
            </w:tcBorders>
          </w:tcPr>
          <w:p w:rsidR="002D4D5D" w:rsidRDefault="002D4D5D" w:rsidP="007A14BB">
            <w:pPr>
              <w:pStyle w:val="TableParagraph"/>
              <w:spacing w:before="0"/>
              <w:ind w:left="457" w:right="505"/>
              <w:rPr>
                <w:sz w:val="24"/>
              </w:rPr>
            </w:pPr>
            <w:r>
              <w:rPr>
                <w:sz w:val="24"/>
              </w:rPr>
              <w:t>11</w:t>
            </w:r>
          </w:p>
        </w:tc>
        <w:tc>
          <w:tcPr>
            <w:tcW w:w="2397" w:type="dxa"/>
            <w:tcBorders>
              <w:top w:val="single" w:sz="4" w:space="0" w:color="7F7F7F"/>
            </w:tcBorders>
          </w:tcPr>
          <w:p w:rsidR="002D4D5D" w:rsidRDefault="002D4D5D" w:rsidP="007A14BB">
            <w:pPr>
              <w:pStyle w:val="TableParagraph"/>
              <w:spacing w:before="0"/>
              <w:ind w:left="820" w:right="1116"/>
              <w:rPr>
                <w:sz w:val="24"/>
              </w:rPr>
            </w:pPr>
            <w:r>
              <w:rPr>
                <w:sz w:val="24"/>
              </w:rPr>
              <w:t>20.8</w:t>
            </w:r>
          </w:p>
        </w:tc>
      </w:tr>
      <w:tr w:rsidR="002D4D5D" w:rsidTr="007A14BB">
        <w:trPr>
          <w:trHeight w:val="552"/>
        </w:trPr>
        <w:tc>
          <w:tcPr>
            <w:tcW w:w="3883" w:type="dxa"/>
          </w:tcPr>
          <w:p w:rsidR="002D4D5D" w:rsidRDefault="002D4D5D" w:rsidP="007A14BB">
            <w:pPr>
              <w:pStyle w:val="TableParagraph"/>
              <w:ind w:left="1031"/>
              <w:jc w:val="left"/>
              <w:rPr>
                <w:sz w:val="24"/>
              </w:rPr>
            </w:pPr>
            <w:r>
              <w:rPr>
                <w:sz w:val="24"/>
              </w:rPr>
              <w:t>Good</w:t>
            </w:r>
          </w:p>
        </w:tc>
        <w:tc>
          <w:tcPr>
            <w:tcW w:w="2102" w:type="dxa"/>
          </w:tcPr>
          <w:p w:rsidR="002D4D5D" w:rsidRDefault="002D4D5D" w:rsidP="007A14BB">
            <w:pPr>
              <w:pStyle w:val="TableParagraph"/>
              <w:ind w:left="457" w:right="505"/>
              <w:rPr>
                <w:sz w:val="24"/>
              </w:rPr>
            </w:pPr>
            <w:r>
              <w:rPr>
                <w:sz w:val="24"/>
              </w:rPr>
              <w:t>12</w:t>
            </w:r>
          </w:p>
        </w:tc>
        <w:tc>
          <w:tcPr>
            <w:tcW w:w="2397" w:type="dxa"/>
          </w:tcPr>
          <w:p w:rsidR="002D4D5D" w:rsidRDefault="002D4D5D" w:rsidP="007A14BB">
            <w:pPr>
              <w:pStyle w:val="TableParagraph"/>
              <w:ind w:left="820" w:right="1116"/>
              <w:rPr>
                <w:sz w:val="24"/>
              </w:rPr>
            </w:pPr>
            <w:r>
              <w:rPr>
                <w:sz w:val="24"/>
              </w:rPr>
              <w:t>22.6</w:t>
            </w:r>
          </w:p>
        </w:tc>
      </w:tr>
      <w:tr w:rsidR="002D4D5D" w:rsidTr="007A14BB">
        <w:trPr>
          <w:trHeight w:val="552"/>
        </w:trPr>
        <w:tc>
          <w:tcPr>
            <w:tcW w:w="3883" w:type="dxa"/>
          </w:tcPr>
          <w:p w:rsidR="002D4D5D" w:rsidRDefault="002D4D5D" w:rsidP="007A14BB">
            <w:pPr>
              <w:pStyle w:val="TableParagraph"/>
              <w:ind w:left="1031"/>
              <w:jc w:val="left"/>
              <w:rPr>
                <w:sz w:val="24"/>
              </w:rPr>
            </w:pPr>
            <w:r>
              <w:rPr>
                <w:sz w:val="24"/>
              </w:rPr>
              <w:t>Fair</w:t>
            </w:r>
          </w:p>
        </w:tc>
        <w:tc>
          <w:tcPr>
            <w:tcW w:w="2102" w:type="dxa"/>
          </w:tcPr>
          <w:p w:rsidR="002D4D5D" w:rsidRDefault="002D4D5D" w:rsidP="007A14BB">
            <w:pPr>
              <w:pStyle w:val="TableParagraph"/>
              <w:ind w:left="457" w:right="505"/>
              <w:rPr>
                <w:sz w:val="24"/>
              </w:rPr>
            </w:pPr>
            <w:r>
              <w:rPr>
                <w:sz w:val="24"/>
              </w:rPr>
              <w:t>14</w:t>
            </w:r>
          </w:p>
        </w:tc>
        <w:tc>
          <w:tcPr>
            <w:tcW w:w="2397" w:type="dxa"/>
          </w:tcPr>
          <w:p w:rsidR="002D4D5D" w:rsidRDefault="002D4D5D" w:rsidP="007A14BB">
            <w:pPr>
              <w:pStyle w:val="TableParagraph"/>
              <w:ind w:left="820" w:right="1116"/>
              <w:rPr>
                <w:sz w:val="24"/>
              </w:rPr>
            </w:pPr>
            <w:r>
              <w:rPr>
                <w:sz w:val="24"/>
              </w:rPr>
              <w:t>26.5</w:t>
            </w:r>
          </w:p>
        </w:tc>
      </w:tr>
      <w:tr w:rsidR="002D4D5D" w:rsidTr="007A14BB">
        <w:trPr>
          <w:trHeight w:val="552"/>
        </w:trPr>
        <w:tc>
          <w:tcPr>
            <w:tcW w:w="3883" w:type="dxa"/>
          </w:tcPr>
          <w:p w:rsidR="002D4D5D" w:rsidRDefault="002D4D5D" w:rsidP="007A14BB">
            <w:pPr>
              <w:pStyle w:val="TableParagraph"/>
              <w:ind w:left="1031"/>
              <w:jc w:val="left"/>
              <w:rPr>
                <w:sz w:val="24"/>
              </w:rPr>
            </w:pPr>
            <w:r>
              <w:rPr>
                <w:sz w:val="24"/>
              </w:rPr>
              <w:t>Poor</w:t>
            </w:r>
          </w:p>
        </w:tc>
        <w:tc>
          <w:tcPr>
            <w:tcW w:w="2102" w:type="dxa"/>
          </w:tcPr>
          <w:p w:rsidR="002D4D5D" w:rsidRDefault="002D4D5D" w:rsidP="007A14BB">
            <w:pPr>
              <w:pStyle w:val="TableParagraph"/>
              <w:ind w:left="457" w:right="505"/>
              <w:rPr>
                <w:sz w:val="24"/>
              </w:rPr>
            </w:pPr>
            <w:r>
              <w:rPr>
                <w:sz w:val="24"/>
              </w:rPr>
              <w:t>12</w:t>
            </w:r>
          </w:p>
        </w:tc>
        <w:tc>
          <w:tcPr>
            <w:tcW w:w="2397" w:type="dxa"/>
          </w:tcPr>
          <w:p w:rsidR="002D4D5D" w:rsidRDefault="002D4D5D" w:rsidP="007A14BB">
            <w:pPr>
              <w:pStyle w:val="TableParagraph"/>
              <w:ind w:left="820" w:right="1116"/>
              <w:rPr>
                <w:sz w:val="24"/>
              </w:rPr>
            </w:pPr>
            <w:r>
              <w:rPr>
                <w:sz w:val="24"/>
              </w:rPr>
              <w:t>22.6</w:t>
            </w:r>
          </w:p>
        </w:tc>
      </w:tr>
      <w:tr w:rsidR="002D4D5D" w:rsidTr="007A14BB">
        <w:trPr>
          <w:trHeight w:val="551"/>
        </w:trPr>
        <w:tc>
          <w:tcPr>
            <w:tcW w:w="3883" w:type="dxa"/>
          </w:tcPr>
          <w:p w:rsidR="002D4D5D" w:rsidRDefault="002D4D5D" w:rsidP="007A14BB">
            <w:pPr>
              <w:pStyle w:val="TableParagraph"/>
              <w:ind w:left="1031"/>
              <w:jc w:val="left"/>
              <w:rPr>
                <w:sz w:val="24"/>
              </w:rPr>
            </w:pPr>
            <w:r>
              <w:rPr>
                <w:sz w:val="24"/>
              </w:rPr>
              <w:t>Very poor</w:t>
            </w:r>
          </w:p>
        </w:tc>
        <w:tc>
          <w:tcPr>
            <w:tcW w:w="2102" w:type="dxa"/>
          </w:tcPr>
          <w:p w:rsidR="002D4D5D" w:rsidRDefault="002D4D5D" w:rsidP="007A14BB">
            <w:pPr>
              <w:pStyle w:val="TableParagraph"/>
              <w:ind w:left="0" w:right="48"/>
              <w:rPr>
                <w:sz w:val="24"/>
              </w:rPr>
            </w:pPr>
            <w:r>
              <w:rPr>
                <w:sz w:val="24"/>
              </w:rPr>
              <w:t>4</w:t>
            </w:r>
          </w:p>
        </w:tc>
        <w:tc>
          <w:tcPr>
            <w:tcW w:w="2397" w:type="dxa"/>
          </w:tcPr>
          <w:p w:rsidR="002D4D5D" w:rsidRDefault="002D4D5D" w:rsidP="007A14BB">
            <w:pPr>
              <w:pStyle w:val="TableParagraph"/>
              <w:ind w:left="820" w:right="1116"/>
              <w:rPr>
                <w:sz w:val="24"/>
              </w:rPr>
            </w:pPr>
            <w:r>
              <w:rPr>
                <w:sz w:val="24"/>
              </w:rPr>
              <w:t>7.5</w:t>
            </w:r>
          </w:p>
        </w:tc>
      </w:tr>
      <w:tr w:rsidR="002D4D5D" w:rsidTr="007A14BB">
        <w:trPr>
          <w:trHeight w:val="552"/>
        </w:trPr>
        <w:tc>
          <w:tcPr>
            <w:tcW w:w="3883" w:type="dxa"/>
          </w:tcPr>
          <w:p w:rsidR="002D4D5D" w:rsidRDefault="002D4D5D" w:rsidP="007A14BB">
            <w:pPr>
              <w:pStyle w:val="TableParagraph"/>
              <w:ind w:left="1031"/>
              <w:jc w:val="left"/>
              <w:rPr>
                <w:sz w:val="24"/>
              </w:rPr>
            </w:pPr>
            <w:r>
              <w:rPr>
                <w:sz w:val="24"/>
              </w:rPr>
              <w:lastRenderedPageBreak/>
              <w:t>Number ofrespondents</w:t>
            </w:r>
          </w:p>
        </w:tc>
        <w:tc>
          <w:tcPr>
            <w:tcW w:w="2102" w:type="dxa"/>
          </w:tcPr>
          <w:p w:rsidR="002D4D5D" w:rsidRDefault="002D4D5D" w:rsidP="007A14BB">
            <w:pPr>
              <w:pStyle w:val="TableParagraph"/>
              <w:ind w:left="457" w:right="505"/>
              <w:rPr>
                <w:sz w:val="24"/>
              </w:rPr>
            </w:pPr>
            <w:r>
              <w:rPr>
                <w:sz w:val="24"/>
              </w:rPr>
              <w:t>53</w:t>
            </w:r>
          </w:p>
        </w:tc>
        <w:tc>
          <w:tcPr>
            <w:tcW w:w="2397" w:type="dxa"/>
          </w:tcPr>
          <w:p w:rsidR="002D4D5D" w:rsidRDefault="002D4D5D" w:rsidP="007A14BB">
            <w:pPr>
              <w:pStyle w:val="TableParagraph"/>
              <w:ind w:left="779"/>
              <w:jc w:val="left"/>
              <w:rPr>
                <w:sz w:val="24"/>
              </w:rPr>
            </w:pPr>
            <w:r>
              <w:rPr>
                <w:sz w:val="24"/>
              </w:rPr>
              <w:t>100.0</w:t>
            </w:r>
          </w:p>
        </w:tc>
      </w:tr>
      <w:tr w:rsidR="002D4D5D" w:rsidTr="007A14BB">
        <w:trPr>
          <w:trHeight w:val="408"/>
        </w:trPr>
        <w:tc>
          <w:tcPr>
            <w:tcW w:w="3883" w:type="dxa"/>
          </w:tcPr>
          <w:p w:rsidR="002D4D5D" w:rsidRDefault="002D4D5D" w:rsidP="007A14BB">
            <w:pPr>
              <w:pStyle w:val="TableParagraph"/>
              <w:ind w:left="1031"/>
              <w:jc w:val="left"/>
              <w:rPr>
                <w:sz w:val="24"/>
              </w:rPr>
            </w:pPr>
            <w:r>
              <w:rPr>
                <w:sz w:val="24"/>
              </w:rPr>
              <w:t>(Assessed)</w:t>
            </w:r>
          </w:p>
        </w:tc>
        <w:tc>
          <w:tcPr>
            <w:tcW w:w="2102" w:type="dxa"/>
          </w:tcPr>
          <w:p w:rsidR="002D4D5D" w:rsidRDefault="002D4D5D" w:rsidP="007A14BB">
            <w:pPr>
              <w:pStyle w:val="TableParagraph"/>
              <w:spacing w:before="0"/>
              <w:ind w:left="0"/>
              <w:jc w:val="left"/>
              <w:rPr>
                <w:sz w:val="24"/>
              </w:rPr>
            </w:pPr>
          </w:p>
        </w:tc>
        <w:tc>
          <w:tcPr>
            <w:tcW w:w="2397" w:type="dxa"/>
          </w:tcPr>
          <w:p w:rsidR="002D4D5D" w:rsidRDefault="002D4D5D" w:rsidP="007A14BB">
            <w:pPr>
              <w:pStyle w:val="TableParagraph"/>
              <w:spacing w:before="0"/>
              <w:ind w:left="0"/>
              <w:jc w:val="left"/>
              <w:rPr>
                <w:sz w:val="24"/>
              </w:rPr>
            </w:pPr>
          </w:p>
        </w:tc>
      </w:tr>
    </w:tbl>
    <w:p w:rsidR="002D4D5D" w:rsidRDefault="002D4D5D" w:rsidP="002D4D5D">
      <w:pPr>
        <w:pStyle w:val="BodyText"/>
        <w:spacing w:before="3"/>
        <w:rPr>
          <w:b/>
          <w:sz w:val="21"/>
        </w:rPr>
      </w:pPr>
      <w:r w:rsidRPr="00940107">
        <w:rPr>
          <w:noProof/>
        </w:rPr>
        <w:pict>
          <v:shape id="Freeform 31" o:spid="_x0000_s1036" style="position:absolute;margin-left:1in;margin-top:14.2pt;width:382.85pt;height:.5pt;z-index:-251648000;visibility:visible;mso-wrap-distance-left:0;mso-wrap-distance-right:0;mso-position-horizontal-relative:page;mso-position-vertical-relative:text" coordsize="7657,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WI4AYAAIMfAAAOAAAAZHJzL2Uyb0RvYy54bWysWW2Pm0YQ/l6p/2HFx1YX87K8WfFFTdKr&#10;KqVtpGx/AAf4jIrBBe58adX/3pkFfLOEiVdVc4qNzePhmedhlt2d12+ej7V4Kru+apud471yHVE2&#10;eVtUzcPO+V3d3SSO6IesKbK6bcqd87nsnTe3337z+nzaln57aOui7AQEafrt+bRzDsNw2m42fX4o&#10;j1n/qj2VDZzct90xG+Bj97ApuuwM0Y/1xnfdaHNuu+LUtXnZ9/Dt+/Gkc6vj7/dlPvy23/flIOqd&#10;A9wG/drp13t83dy+zrYPXXY6VPlEI/sPLI5Z1cBFL6HeZ0MmHrvqi1DHKu/avt0Pr/L2uGn3+yov&#10;dQ6Qjecusvl0yE6lzgXE6U8Xmfr/L2z+69PHTlTFzgk8RzTZETy668oSFRfwFehzPvVbgH06feww&#10;w/70oc3/6OHExjiDH3rAiPvzL20BYbLHodWaPO+7I/4SshXPWvrPF+nL50Hk8KVMIt9LQ0fkcC4K&#10;Qu3MJtvOv80f++GnstVxsqcP/TAaV8CRlr2YuCsweX+swcPvb4QrZCKl8KScjb7AINkR9t1GKFec&#10;RRyF8XQ3XED+DNKx/EQK+L8EBTMIIiHkILwvriZnzBgoiNdJQfovpCRDKppBXyMVz6CvkILKJEr5&#10;QbROKp1hqFTCkIKUjWDrUnlUdU4rb6E6x8ujwivP55gttGeYUelZZqb0eFut31tUfeVFHLOFAQwz&#10;qj/HzDflZ5n51ADls/f9woJ09cb3qQE+YNbufH8hP+emTw1QPnfz+6YFeFXQZFmSPjWAZbaQn2VG&#10;DVA+VwGBaQHDDAfZS4lzzIKF/NxwEVADVMBVQLCwYF2zgBrAMjPlZ0fXgBqgAq4CgoUFDDNqAMcM&#10;Rng6ALHMJDVAQQGvj/xyYcF6bUpqAFeb0pRfJuH6OCupAQoeWwwz0wK86koFSGoAy8yUn9eMGqAk&#10;VwHwzKYWMMxCagDHLDTlZ5mF1AAVchUQmhYwtRlSA7j7LDTlZ92EycRLoauQq4DQtIBjRg3gmEWm&#10;/CyziBqgIq4CItMCxs2IGsC5GZnyR9Jbr4CIGqBgOrJeAZFpAceMGsAyM+WPpMswowaoiKuA2LSA&#10;YRZTAzhmsSk/62ZMDVAxVwGxaQHHjBrAMjPl55lRA1TMVUBsWsBUQEwN4CogMeVn3UyoASrhKiAx&#10;LWCYJdQAlpkpP1sBCTVAwdC+XgGJaQHHjBrAMjPl55lRA1TCVUBqWsDcZyk1gLvPUlP+1E3j1dl2&#10;Sg1QKVcBqWkBx4wawDIz5Wc1S6kBKuUqIDUt4JhRAzhmnmvqz1LzXGqBgt8xt5rnmjYw95rnUhe4&#10;m81zTRNYTz2X+gD0uErwXNMLlh61gqdnOvEVetQMoMeVg2e7LqZuUHNhB+Rh3uPIDvO2R/7cTPse&#10;cCQy3Gpz9U7Lqe1xh0VBONhGUQEujCAEoHCThAGD1AjWux9XwZA4gmElbxMa1+gaHtrBwSUNT63g&#10;uJpFOCxEbcjgElPD7TL1p1THTbCrwuBiDKPDOsqGDK6QNNwuVVy2IBxWHDbRcS2h4XapyilVmJvb&#10;RMdZN0aHCbMVfEo1tEsV56cYHaaWNtFx0qjhdqlGU6owCbOJjtMrjB7bpRpPqcJ0xSY6TkQwOswh&#10;rOBTqoldqsmUKjxtbaLjcxTJwCasFXxKNbVLVT9wMDw+KWzi60fA+AO7dD13ytczB6excqfxsoOG&#10;wLIV0DkCWgH3yCrbnrIBh9n5UJx3jt4ZFgfoboyD7LF9KlWrEQOOtgGsGrR08571C6BuKDDFnRhI&#10;acbNZ+f3kw6X4pbZVRQ85y0x4240qDBfZn43L3cNNnG/ArtoYYtbapHXbV9qJ15UHIkGsGw0kn4B&#10;mBldOCxjM7CrVKfr2uKWl+VTkimuy4iPXEoyxTU0Ac6pzO+MRPPp+X0Bu5LR5apXcVMatjh7hcba&#10;I4nzCi2knFOe38fUL4pfoXq5ri2OSwnqDocUPQ27jC04JJF+Vt/WVXFX1TWOKX33cP+u7sRTBh3L&#10;+A7/pvHSgNV6Rte0+LNxOB2/gX7aNHxhZ013IP9OPV+6b/305i5K4ht5J8ObNHaTG9dL36aRK1P5&#10;/u4fnD96cnuoiqJsPlRNOXdDPWnXbZz6smMfU/dDcfBMQ5h26bzYJF39by3Jrn1sCj0YHMqs+HE6&#10;HrKqHo83JmMtMqQ9v2shdJMS+5JjI/O+LT5Dj7Jrx04wdK7h4NB2fzniDF3gndP/+Zh1pSPqnxto&#10;s6a6dygG/UGGMTZaOnrmnp7JmhxC7ZzBgUk5Hr4bxlbz46mrHg5wJU9r0bQ/QG90X2ETU/MbWU0f&#10;oNOrM5i60thKpp816qV3fvsvAAAA//8DAFBLAwQUAAYACAAAACEAbOFbWN4AAAAJAQAADwAAAGRy&#10;cy9kb3ducmV2LnhtbEyPwU7DMBBE70j8g7WVuFGnVYAmjVMVEIceOKTwAU68xFFjO8TbNPw9y4ke&#10;Z3d29k2xm10vJhxjF7yC1TIBgb4JpvOtgs+Pt/sNiEjaG90Hjwp+MMKuvL0pdG7CxVc4HakVHOJj&#10;rhVYoiGXMjYWnY7LMKDn3VcYnSaWYyvNqC8c7nq5TpJH6XTn+YPVA75YbE7Hs2OM5Lml0/fr+/7h&#10;0NXVqqloOlil7hbzfguCcKZ/M/zh8w2UzFSHszdR9KzTlLuQgvUmBcGGLMmeQNQ8yFKQZSGvG5S/&#10;AAAA//8DAFBLAQItABQABgAIAAAAIQC2gziS/gAAAOEBAAATAAAAAAAAAAAAAAAAAAAAAABbQ29u&#10;dGVudF9UeXBlc10ueG1sUEsBAi0AFAAGAAgAAAAhADj9If/WAAAAlAEAAAsAAAAAAAAAAAAAAAAA&#10;LwEAAF9yZWxzLy5yZWxzUEsBAi0AFAAGAAgAAAAhACouJYjgBgAAgx8AAA4AAAAAAAAAAAAAAAAA&#10;LgIAAGRycy9lMm9Eb2MueG1sUEsBAi0AFAAGAAgAAAAhAGzhW1jeAAAACQEAAA8AAAAAAAAAAAAA&#10;AAAAOgkAAGRycy9kb3ducmV2LnhtbFBLBQYAAAAABAAEAPMAAABFCgAAAAA=&#10;" adj="0,,0" path="m3404,l934,,924,,,,,10r924,l934,10r2470,l3404,xm3414,r-10,l3404,10r10,l3414,xm4974,r-10,l3414,r,10l4964,10r10,l4974,xm7657,l4974,r,10l7657,10r,-10xe" fillcolor="#7f7f7f" stroked="f">
            <v:stroke joinstyle="round"/>
            <v:formulas/>
            <v:path arrowok="t" o:connecttype="custom" o:connectlocs="2161540,180340;593090,180340;586740,180340;586740,180340;0,180340;0,186690;586740,186690;586740,186690;593090,186690;2161540,186690;2161540,180340;2167890,180340;2161540,180340;2161540,186690;2167890,186690;2167890,180340;3158490,180340;3152140,180340;2167890,180340;2167890,186690;3152140,186690;3158490,186690;3158490,180340;4862195,180340;3158490,180340;3158490,186690;4862195,186690;4862195,180340" o:connectangles="0,0,0,0,0,0,0,0,0,0,0,0,0,0,0,0,0,0,0,0,0,0,0,0,0,0,0,0"/>
            <w10:wrap type="topAndBottom" anchorx="page"/>
          </v:shape>
        </w:pict>
      </w:r>
    </w:p>
    <w:p w:rsidR="002D4D5D" w:rsidRDefault="002D4D5D" w:rsidP="002D4D5D">
      <w:pPr>
        <w:pStyle w:val="BodyText"/>
        <w:spacing w:before="216" w:line="480" w:lineRule="auto"/>
        <w:ind w:left="160" w:right="1161"/>
        <w:jc w:val="both"/>
      </w:pPr>
      <w:r>
        <w:t>Table 4.7 above shows a presentation of data on the current state of the Nigerian real estate sector, as perceived by the respondents. The responses were quite evenly skewed, with an exception of the category; very poor. This had a mere percentage distribution of 7.5%. The category with the highest percentage was fair; 26.5%, two categories; poor and good had percentagesof22.6%respectively,while20.8%indicatedthatthestateoftherealestatesector isexcellent.</w:t>
      </w:r>
    </w:p>
    <w:p w:rsidR="002D4D5D" w:rsidRDefault="002D4D5D" w:rsidP="002D4D5D">
      <w:pPr>
        <w:pStyle w:val="Heading2"/>
        <w:ind w:left="0"/>
        <w:jc w:val="both"/>
      </w:pPr>
      <w:r>
        <w:t>Table 4.8 Investment Characteristic – Risk</w:t>
      </w:r>
    </w:p>
    <w:p w:rsidR="002D4D5D" w:rsidRDefault="002D4D5D" w:rsidP="002D4D5D">
      <w:pPr>
        <w:pStyle w:val="BodyText"/>
        <w:spacing w:before="8"/>
        <w:jc w:val="both"/>
        <w:rPr>
          <w:b/>
        </w:rPr>
      </w:pPr>
    </w:p>
    <w:tbl>
      <w:tblPr>
        <w:tblW w:w="0" w:type="auto"/>
        <w:tblInd w:w="167" w:type="dxa"/>
        <w:tblLayout w:type="fixed"/>
        <w:tblCellMar>
          <w:left w:w="0" w:type="dxa"/>
          <w:right w:w="0" w:type="dxa"/>
        </w:tblCellMar>
        <w:tblLook w:val="01E0"/>
      </w:tblPr>
      <w:tblGrid>
        <w:gridCol w:w="4516"/>
        <w:gridCol w:w="2783"/>
        <w:gridCol w:w="1130"/>
      </w:tblGrid>
      <w:tr w:rsidR="002D4D5D" w:rsidTr="007A14BB">
        <w:trPr>
          <w:trHeight w:val="414"/>
        </w:trPr>
        <w:tc>
          <w:tcPr>
            <w:tcW w:w="4516"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Sectors of the economy</w:t>
            </w:r>
          </w:p>
        </w:tc>
        <w:tc>
          <w:tcPr>
            <w:tcW w:w="2783"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Mean value</w:t>
            </w:r>
          </w:p>
        </w:tc>
        <w:tc>
          <w:tcPr>
            <w:tcW w:w="1130"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Rank</w:t>
            </w:r>
          </w:p>
        </w:tc>
      </w:tr>
      <w:tr w:rsidR="002D4D5D" w:rsidTr="007A14BB">
        <w:trPr>
          <w:trHeight w:val="399"/>
        </w:trPr>
        <w:tc>
          <w:tcPr>
            <w:tcW w:w="4516"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Agricultural sector</w:t>
            </w:r>
          </w:p>
        </w:tc>
        <w:tc>
          <w:tcPr>
            <w:tcW w:w="2783"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3.96</w:t>
            </w:r>
          </w:p>
        </w:tc>
        <w:tc>
          <w:tcPr>
            <w:tcW w:w="1130"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1</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Finance and business services sector</w:t>
            </w:r>
          </w:p>
        </w:tc>
        <w:tc>
          <w:tcPr>
            <w:tcW w:w="2783" w:type="dxa"/>
          </w:tcPr>
          <w:p w:rsidR="002D4D5D" w:rsidRDefault="002D4D5D" w:rsidP="007A14BB">
            <w:pPr>
              <w:pStyle w:val="TableParagraph"/>
              <w:ind w:left="0"/>
              <w:jc w:val="both"/>
              <w:rPr>
                <w:sz w:val="24"/>
              </w:rPr>
            </w:pPr>
            <w:r>
              <w:rPr>
                <w:sz w:val="24"/>
              </w:rPr>
              <w:t>3.90</w:t>
            </w:r>
          </w:p>
        </w:tc>
        <w:tc>
          <w:tcPr>
            <w:tcW w:w="1130" w:type="dxa"/>
          </w:tcPr>
          <w:p w:rsidR="002D4D5D" w:rsidRDefault="002D4D5D" w:rsidP="007A14BB">
            <w:pPr>
              <w:pStyle w:val="TableParagraph"/>
              <w:ind w:left="0"/>
              <w:jc w:val="both"/>
              <w:rPr>
                <w:sz w:val="24"/>
              </w:rPr>
            </w:pPr>
            <w:r>
              <w:rPr>
                <w:sz w:val="24"/>
              </w:rPr>
              <w:t>2</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Hospitality sector</w:t>
            </w:r>
          </w:p>
        </w:tc>
        <w:tc>
          <w:tcPr>
            <w:tcW w:w="2783" w:type="dxa"/>
          </w:tcPr>
          <w:p w:rsidR="002D4D5D" w:rsidRDefault="002D4D5D" w:rsidP="007A14BB">
            <w:pPr>
              <w:pStyle w:val="TableParagraph"/>
              <w:ind w:left="0"/>
              <w:jc w:val="both"/>
              <w:rPr>
                <w:sz w:val="24"/>
              </w:rPr>
            </w:pPr>
            <w:r>
              <w:rPr>
                <w:sz w:val="24"/>
              </w:rPr>
              <w:t>3.88</w:t>
            </w:r>
          </w:p>
        </w:tc>
        <w:tc>
          <w:tcPr>
            <w:tcW w:w="1130" w:type="dxa"/>
          </w:tcPr>
          <w:p w:rsidR="002D4D5D" w:rsidRDefault="002D4D5D" w:rsidP="007A14BB">
            <w:pPr>
              <w:pStyle w:val="TableParagraph"/>
              <w:ind w:left="0"/>
              <w:jc w:val="both"/>
              <w:rPr>
                <w:sz w:val="24"/>
              </w:rPr>
            </w:pPr>
            <w:r>
              <w:rPr>
                <w:sz w:val="24"/>
              </w:rPr>
              <w:t>3</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Transportation sector</w:t>
            </w:r>
          </w:p>
        </w:tc>
        <w:tc>
          <w:tcPr>
            <w:tcW w:w="2783" w:type="dxa"/>
          </w:tcPr>
          <w:p w:rsidR="002D4D5D" w:rsidRDefault="002D4D5D" w:rsidP="007A14BB">
            <w:pPr>
              <w:pStyle w:val="TableParagraph"/>
              <w:ind w:left="0"/>
              <w:jc w:val="both"/>
              <w:rPr>
                <w:sz w:val="24"/>
              </w:rPr>
            </w:pPr>
            <w:r>
              <w:rPr>
                <w:sz w:val="24"/>
              </w:rPr>
              <w:t>3.76</w:t>
            </w:r>
          </w:p>
        </w:tc>
        <w:tc>
          <w:tcPr>
            <w:tcW w:w="1130" w:type="dxa"/>
          </w:tcPr>
          <w:p w:rsidR="002D4D5D" w:rsidRDefault="002D4D5D" w:rsidP="007A14BB">
            <w:pPr>
              <w:pStyle w:val="TableParagraph"/>
              <w:ind w:left="0"/>
              <w:jc w:val="both"/>
              <w:rPr>
                <w:sz w:val="24"/>
              </w:rPr>
            </w:pPr>
            <w:r>
              <w:rPr>
                <w:sz w:val="24"/>
              </w:rPr>
              <w:t>4</w:t>
            </w:r>
          </w:p>
        </w:tc>
      </w:tr>
      <w:tr w:rsidR="002D4D5D" w:rsidTr="007A14BB">
        <w:trPr>
          <w:trHeight w:val="537"/>
        </w:trPr>
        <w:tc>
          <w:tcPr>
            <w:tcW w:w="4516" w:type="dxa"/>
          </w:tcPr>
          <w:p w:rsidR="002D4D5D" w:rsidRDefault="002D4D5D" w:rsidP="007A14BB">
            <w:pPr>
              <w:pStyle w:val="TableParagraph"/>
              <w:ind w:left="0"/>
              <w:jc w:val="both"/>
              <w:rPr>
                <w:sz w:val="24"/>
              </w:rPr>
            </w:pPr>
            <w:r>
              <w:rPr>
                <w:sz w:val="24"/>
              </w:rPr>
              <w:t>Real estate sector</w:t>
            </w:r>
          </w:p>
        </w:tc>
        <w:tc>
          <w:tcPr>
            <w:tcW w:w="2783" w:type="dxa"/>
          </w:tcPr>
          <w:p w:rsidR="002D4D5D" w:rsidRDefault="002D4D5D" w:rsidP="007A14BB">
            <w:pPr>
              <w:pStyle w:val="TableParagraph"/>
              <w:ind w:left="0"/>
              <w:jc w:val="both"/>
              <w:rPr>
                <w:sz w:val="24"/>
              </w:rPr>
            </w:pPr>
            <w:r>
              <w:rPr>
                <w:sz w:val="24"/>
              </w:rPr>
              <w:t>3.46</w:t>
            </w:r>
          </w:p>
        </w:tc>
        <w:tc>
          <w:tcPr>
            <w:tcW w:w="1130" w:type="dxa"/>
          </w:tcPr>
          <w:p w:rsidR="002D4D5D" w:rsidRDefault="002D4D5D" w:rsidP="007A14BB">
            <w:pPr>
              <w:pStyle w:val="TableParagraph"/>
              <w:ind w:left="0"/>
              <w:jc w:val="both"/>
              <w:rPr>
                <w:sz w:val="24"/>
              </w:rPr>
            </w:pPr>
            <w:r>
              <w:rPr>
                <w:sz w:val="24"/>
              </w:rPr>
              <w:t>5</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Construction sector</w:t>
            </w:r>
          </w:p>
        </w:tc>
        <w:tc>
          <w:tcPr>
            <w:tcW w:w="2783" w:type="dxa"/>
          </w:tcPr>
          <w:p w:rsidR="002D4D5D" w:rsidRDefault="002D4D5D" w:rsidP="007A14BB">
            <w:pPr>
              <w:pStyle w:val="TableParagraph"/>
              <w:ind w:left="0"/>
              <w:jc w:val="both"/>
              <w:rPr>
                <w:sz w:val="24"/>
              </w:rPr>
            </w:pPr>
            <w:r>
              <w:rPr>
                <w:sz w:val="24"/>
              </w:rPr>
              <w:t>3.41</w:t>
            </w:r>
          </w:p>
        </w:tc>
        <w:tc>
          <w:tcPr>
            <w:tcW w:w="1130" w:type="dxa"/>
          </w:tcPr>
          <w:p w:rsidR="002D4D5D" w:rsidRDefault="002D4D5D" w:rsidP="007A14BB">
            <w:pPr>
              <w:pStyle w:val="TableParagraph"/>
              <w:ind w:left="0"/>
              <w:jc w:val="both"/>
              <w:rPr>
                <w:sz w:val="24"/>
              </w:rPr>
            </w:pPr>
            <w:r>
              <w:rPr>
                <w:sz w:val="24"/>
              </w:rPr>
              <w:t>6</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Mining sector</w:t>
            </w:r>
          </w:p>
        </w:tc>
        <w:tc>
          <w:tcPr>
            <w:tcW w:w="2783" w:type="dxa"/>
          </w:tcPr>
          <w:p w:rsidR="002D4D5D" w:rsidRDefault="002D4D5D" w:rsidP="007A14BB">
            <w:pPr>
              <w:pStyle w:val="TableParagraph"/>
              <w:ind w:left="0"/>
              <w:jc w:val="both"/>
              <w:rPr>
                <w:sz w:val="24"/>
              </w:rPr>
            </w:pPr>
            <w:r>
              <w:rPr>
                <w:sz w:val="24"/>
              </w:rPr>
              <w:t>3.36</w:t>
            </w:r>
          </w:p>
        </w:tc>
        <w:tc>
          <w:tcPr>
            <w:tcW w:w="1130" w:type="dxa"/>
          </w:tcPr>
          <w:p w:rsidR="002D4D5D" w:rsidRDefault="002D4D5D" w:rsidP="007A14BB">
            <w:pPr>
              <w:pStyle w:val="TableParagraph"/>
              <w:ind w:left="0"/>
              <w:jc w:val="both"/>
              <w:rPr>
                <w:sz w:val="24"/>
              </w:rPr>
            </w:pPr>
            <w:r>
              <w:rPr>
                <w:sz w:val="24"/>
              </w:rPr>
              <w:t>7</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Telecommunications sector</w:t>
            </w:r>
          </w:p>
        </w:tc>
        <w:tc>
          <w:tcPr>
            <w:tcW w:w="2783" w:type="dxa"/>
          </w:tcPr>
          <w:p w:rsidR="002D4D5D" w:rsidRDefault="002D4D5D" w:rsidP="007A14BB">
            <w:pPr>
              <w:pStyle w:val="TableParagraph"/>
              <w:ind w:left="0"/>
              <w:jc w:val="both"/>
              <w:rPr>
                <w:sz w:val="24"/>
              </w:rPr>
            </w:pPr>
            <w:r>
              <w:rPr>
                <w:sz w:val="24"/>
              </w:rPr>
              <w:t>3.28</w:t>
            </w:r>
          </w:p>
        </w:tc>
        <w:tc>
          <w:tcPr>
            <w:tcW w:w="1130" w:type="dxa"/>
          </w:tcPr>
          <w:p w:rsidR="002D4D5D" w:rsidRDefault="002D4D5D" w:rsidP="007A14BB">
            <w:pPr>
              <w:pStyle w:val="TableParagraph"/>
              <w:ind w:left="0"/>
              <w:jc w:val="both"/>
              <w:rPr>
                <w:sz w:val="24"/>
              </w:rPr>
            </w:pPr>
            <w:r>
              <w:rPr>
                <w:sz w:val="24"/>
              </w:rPr>
              <w:t>8</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Energy sector</w:t>
            </w:r>
          </w:p>
        </w:tc>
        <w:tc>
          <w:tcPr>
            <w:tcW w:w="2783" w:type="dxa"/>
          </w:tcPr>
          <w:p w:rsidR="002D4D5D" w:rsidRDefault="002D4D5D" w:rsidP="007A14BB">
            <w:pPr>
              <w:pStyle w:val="TableParagraph"/>
              <w:ind w:left="0"/>
              <w:jc w:val="both"/>
              <w:rPr>
                <w:sz w:val="24"/>
              </w:rPr>
            </w:pPr>
            <w:r>
              <w:rPr>
                <w:sz w:val="24"/>
              </w:rPr>
              <w:t>2.81</w:t>
            </w:r>
          </w:p>
        </w:tc>
        <w:tc>
          <w:tcPr>
            <w:tcW w:w="1130" w:type="dxa"/>
          </w:tcPr>
          <w:p w:rsidR="002D4D5D" w:rsidRDefault="002D4D5D" w:rsidP="007A14BB">
            <w:pPr>
              <w:pStyle w:val="TableParagraph"/>
              <w:ind w:left="0"/>
              <w:jc w:val="both"/>
              <w:rPr>
                <w:sz w:val="24"/>
              </w:rPr>
            </w:pPr>
            <w:r>
              <w:rPr>
                <w:sz w:val="24"/>
              </w:rPr>
              <w:t>9</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Manufacturing sector</w:t>
            </w:r>
          </w:p>
        </w:tc>
        <w:tc>
          <w:tcPr>
            <w:tcW w:w="2783" w:type="dxa"/>
          </w:tcPr>
          <w:p w:rsidR="002D4D5D" w:rsidRDefault="002D4D5D" w:rsidP="007A14BB">
            <w:pPr>
              <w:pStyle w:val="TableParagraph"/>
              <w:ind w:left="0"/>
              <w:jc w:val="both"/>
              <w:rPr>
                <w:sz w:val="24"/>
              </w:rPr>
            </w:pPr>
            <w:r>
              <w:rPr>
                <w:sz w:val="24"/>
              </w:rPr>
              <w:t>2.75</w:t>
            </w:r>
          </w:p>
        </w:tc>
        <w:tc>
          <w:tcPr>
            <w:tcW w:w="1130" w:type="dxa"/>
          </w:tcPr>
          <w:p w:rsidR="002D4D5D" w:rsidRDefault="002D4D5D" w:rsidP="007A14BB">
            <w:pPr>
              <w:pStyle w:val="TableParagraph"/>
              <w:ind w:left="0"/>
              <w:jc w:val="both"/>
              <w:rPr>
                <w:sz w:val="24"/>
              </w:rPr>
            </w:pPr>
            <w:r>
              <w:rPr>
                <w:sz w:val="24"/>
              </w:rPr>
              <w:t>10</w:t>
            </w:r>
          </w:p>
        </w:tc>
      </w:tr>
      <w:tr w:rsidR="002D4D5D" w:rsidTr="007A14BB">
        <w:trPr>
          <w:trHeight w:val="537"/>
        </w:trPr>
        <w:tc>
          <w:tcPr>
            <w:tcW w:w="4516" w:type="dxa"/>
          </w:tcPr>
          <w:p w:rsidR="002D4D5D" w:rsidRDefault="002D4D5D" w:rsidP="007A14BB">
            <w:pPr>
              <w:pStyle w:val="TableParagraph"/>
              <w:ind w:left="0"/>
              <w:jc w:val="both"/>
              <w:rPr>
                <w:sz w:val="24"/>
              </w:rPr>
            </w:pPr>
            <w:r>
              <w:rPr>
                <w:sz w:val="24"/>
              </w:rPr>
              <w:t>Retail sector</w:t>
            </w:r>
          </w:p>
        </w:tc>
        <w:tc>
          <w:tcPr>
            <w:tcW w:w="2783" w:type="dxa"/>
          </w:tcPr>
          <w:p w:rsidR="002D4D5D" w:rsidRDefault="002D4D5D" w:rsidP="007A14BB">
            <w:pPr>
              <w:pStyle w:val="TableParagraph"/>
              <w:ind w:left="0"/>
              <w:jc w:val="both"/>
              <w:rPr>
                <w:sz w:val="24"/>
              </w:rPr>
            </w:pPr>
            <w:r>
              <w:rPr>
                <w:sz w:val="24"/>
              </w:rPr>
              <w:t>2.59</w:t>
            </w:r>
          </w:p>
        </w:tc>
        <w:tc>
          <w:tcPr>
            <w:tcW w:w="1130" w:type="dxa"/>
          </w:tcPr>
          <w:p w:rsidR="002D4D5D" w:rsidRDefault="002D4D5D" w:rsidP="007A14BB">
            <w:pPr>
              <w:pStyle w:val="TableParagraph"/>
              <w:ind w:left="0"/>
              <w:jc w:val="both"/>
              <w:rPr>
                <w:sz w:val="24"/>
              </w:rPr>
            </w:pPr>
            <w:r>
              <w:rPr>
                <w:sz w:val="24"/>
              </w:rPr>
              <w:t>11</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Entertainment sector</w:t>
            </w:r>
          </w:p>
        </w:tc>
        <w:tc>
          <w:tcPr>
            <w:tcW w:w="2783" w:type="dxa"/>
          </w:tcPr>
          <w:p w:rsidR="002D4D5D" w:rsidRDefault="002D4D5D" w:rsidP="007A14BB">
            <w:pPr>
              <w:pStyle w:val="TableParagraph"/>
              <w:ind w:left="0"/>
              <w:jc w:val="both"/>
              <w:rPr>
                <w:sz w:val="24"/>
              </w:rPr>
            </w:pPr>
            <w:r>
              <w:rPr>
                <w:sz w:val="24"/>
              </w:rPr>
              <w:t>2.04</w:t>
            </w:r>
          </w:p>
        </w:tc>
        <w:tc>
          <w:tcPr>
            <w:tcW w:w="1130" w:type="dxa"/>
          </w:tcPr>
          <w:p w:rsidR="002D4D5D" w:rsidRDefault="002D4D5D" w:rsidP="007A14BB">
            <w:pPr>
              <w:pStyle w:val="TableParagraph"/>
              <w:ind w:left="0"/>
              <w:jc w:val="both"/>
              <w:rPr>
                <w:sz w:val="24"/>
              </w:rPr>
            </w:pPr>
            <w:r>
              <w:rPr>
                <w:sz w:val="24"/>
              </w:rPr>
              <w:t>12</w:t>
            </w:r>
          </w:p>
        </w:tc>
      </w:tr>
      <w:tr w:rsidR="002D4D5D" w:rsidTr="007A14BB">
        <w:trPr>
          <w:trHeight w:val="538"/>
        </w:trPr>
        <w:tc>
          <w:tcPr>
            <w:tcW w:w="4516" w:type="dxa"/>
          </w:tcPr>
          <w:p w:rsidR="002D4D5D" w:rsidRDefault="002D4D5D" w:rsidP="007A14BB">
            <w:pPr>
              <w:pStyle w:val="TableParagraph"/>
              <w:ind w:left="0"/>
              <w:jc w:val="both"/>
              <w:rPr>
                <w:sz w:val="24"/>
              </w:rPr>
            </w:pPr>
            <w:r>
              <w:rPr>
                <w:sz w:val="24"/>
              </w:rPr>
              <w:t>Information and technology sector</w:t>
            </w:r>
          </w:p>
        </w:tc>
        <w:tc>
          <w:tcPr>
            <w:tcW w:w="2783" w:type="dxa"/>
          </w:tcPr>
          <w:p w:rsidR="002D4D5D" w:rsidRDefault="002D4D5D" w:rsidP="007A14BB">
            <w:pPr>
              <w:pStyle w:val="TableParagraph"/>
              <w:ind w:left="0"/>
              <w:jc w:val="both"/>
              <w:rPr>
                <w:sz w:val="24"/>
              </w:rPr>
            </w:pPr>
            <w:r>
              <w:rPr>
                <w:sz w:val="24"/>
              </w:rPr>
              <w:t>1.81</w:t>
            </w:r>
          </w:p>
        </w:tc>
        <w:tc>
          <w:tcPr>
            <w:tcW w:w="1130" w:type="dxa"/>
          </w:tcPr>
          <w:p w:rsidR="002D4D5D" w:rsidRDefault="002D4D5D" w:rsidP="007A14BB">
            <w:pPr>
              <w:pStyle w:val="TableParagraph"/>
              <w:ind w:left="0"/>
              <w:jc w:val="both"/>
              <w:rPr>
                <w:sz w:val="24"/>
              </w:rPr>
            </w:pPr>
            <w:r>
              <w:rPr>
                <w:sz w:val="24"/>
              </w:rPr>
              <w:t>13</w:t>
            </w:r>
          </w:p>
        </w:tc>
      </w:tr>
      <w:tr w:rsidR="002D4D5D" w:rsidTr="007A14BB">
        <w:trPr>
          <w:trHeight w:val="399"/>
        </w:trPr>
        <w:tc>
          <w:tcPr>
            <w:tcW w:w="4516" w:type="dxa"/>
          </w:tcPr>
          <w:p w:rsidR="002D4D5D" w:rsidRDefault="002D4D5D" w:rsidP="007A14BB">
            <w:pPr>
              <w:pStyle w:val="TableParagraph"/>
              <w:spacing w:line="256" w:lineRule="exact"/>
              <w:ind w:left="0"/>
              <w:jc w:val="both"/>
              <w:rPr>
                <w:sz w:val="24"/>
              </w:rPr>
            </w:pPr>
            <w:r>
              <w:rPr>
                <w:sz w:val="24"/>
              </w:rPr>
              <w:t>Oil and gas sector</w:t>
            </w:r>
          </w:p>
        </w:tc>
        <w:tc>
          <w:tcPr>
            <w:tcW w:w="2783" w:type="dxa"/>
          </w:tcPr>
          <w:p w:rsidR="002D4D5D" w:rsidRDefault="002D4D5D" w:rsidP="007A14BB">
            <w:pPr>
              <w:pStyle w:val="TableParagraph"/>
              <w:spacing w:line="256" w:lineRule="exact"/>
              <w:ind w:left="0"/>
              <w:jc w:val="both"/>
              <w:rPr>
                <w:sz w:val="24"/>
              </w:rPr>
            </w:pPr>
            <w:r>
              <w:rPr>
                <w:sz w:val="24"/>
              </w:rPr>
              <w:t>1.46</w:t>
            </w:r>
          </w:p>
        </w:tc>
        <w:tc>
          <w:tcPr>
            <w:tcW w:w="1130" w:type="dxa"/>
          </w:tcPr>
          <w:p w:rsidR="002D4D5D" w:rsidRDefault="002D4D5D" w:rsidP="007A14BB">
            <w:pPr>
              <w:pStyle w:val="TableParagraph"/>
              <w:spacing w:line="256" w:lineRule="exact"/>
              <w:ind w:left="0"/>
              <w:jc w:val="both"/>
              <w:rPr>
                <w:sz w:val="24"/>
              </w:rPr>
            </w:pPr>
            <w:r>
              <w:rPr>
                <w:sz w:val="24"/>
              </w:rPr>
              <w:t>14</w:t>
            </w:r>
          </w:p>
        </w:tc>
      </w:tr>
    </w:tbl>
    <w:p w:rsidR="002D4D5D" w:rsidRDefault="002D4D5D" w:rsidP="002D4D5D">
      <w:pPr>
        <w:pStyle w:val="BodyText"/>
        <w:spacing w:before="3"/>
        <w:jc w:val="both"/>
        <w:rPr>
          <w:b/>
          <w:sz w:val="21"/>
        </w:rPr>
      </w:pPr>
    </w:p>
    <w:p w:rsidR="002D4D5D" w:rsidRDefault="002D4D5D" w:rsidP="002D4D5D">
      <w:pPr>
        <w:pStyle w:val="BodyText"/>
        <w:jc w:val="both"/>
        <w:rPr>
          <w:b/>
          <w:sz w:val="26"/>
        </w:rPr>
      </w:pPr>
      <w:r w:rsidRPr="00940107">
        <w:rPr>
          <w:noProof/>
        </w:rPr>
        <w:lastRenderedPageBreak/>
        <w:pict>
          <v:rect id="Rectangle 7" o:spid="_x0000_s1032" style="position:absolute;left:0;text-align:left;margin-left:71.25pt;margin-top:1.8pt;width:402.75pt;height:3.55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mVfAIAAPoEAAAOAAAAZHJzL2Uyb0RvYy54bWysVNuO0zAQfUfiHyy/t0mqpG2ipqu9UIS0&#10;wIqFD3Btp7FwbGO7TRfEvzN22pIFHhCilRzbMz4+M3PGq6tjJ9GBWye0qnE2TTHiimom1K7Gnz5u&#10;JkuMnCeKEakVr/ETd/hq/fLFqjcVn+lWS8YtAhDlqt7UuPXeVEniaMs74qbacAXGRtuOeFjaXcIs&#10;6QG9k8ksTedJry0zVlPuHOzeDUa8jvhNw6l/3zSOeyRrDNx8HG0ct2FM1itS7SwxraAnGuQfWHRE&#10;KLj0AnVHPEF7K36D6gS12unGT6nuEt00gvIYA0STpb9E89gSw2MskBxnLmly/w+Wvjs8WCRYjRcY&#10;KdJBiT5A0ojaSY4WIT29cRV4PZoHGwJ05l7Tzw4pfduCF7+2VvctJwxIZcE/eXYgLBwcRdv+rWaA&#10;TvZex0wdG9sFQMgBOsaCPF0Kwo8eUdgssiwvZwVGFGx5kS6LeAOpzoeNdf411x0KkxpboB7ByeHe&#10;+UCGVGeXSF5LwTZCyriwu+2ttOhAQBuLTfif0N3YTargrHQ4NiAOO8AR7gi2wDbW+luZzfL0ZlZO&#10;NvPlYpJv8mJSLtLlJM3Km3Ke5mV+t/keCGZ51QrGuLoXip91l+V/V9dTBwyKicpDfY3LAhIV4xqz&#10;d+Mg0/j7U5Cd8NCGUnQ1Xl6cSBXq+koxCJtUngg5zJPn9GOWIQfnb8xKVEEo/CCgrWZPIAKroUjQ&#10;hvBgwKTV9itGPTRfjd2XPbEcI/lGgZDKLM9Dt8ZFXixmsLBjy3ZsIYoCVI09RsP01g8dvjdW7Fq4&#10;KYuJUfoaxNeIKIwgzIHVSbLQYDGC02MQOni8jl4/n6z1DwAAAP//AwBQSwMEFAAGAAgAAAAhANDW&#10;VkLZAAAACAEAAA8AAABkcnMvZG93bnJldi54bWxMj81OwzAQhO9IvIO1SNyoTSkhhDhVBeKMKAiu&#10;23hJosbrKHbawNOznOhx9I3mp1zPvlcHGmMX2ML1woAiroPruLHw/vZ8lYOKCdlhH5gsfFOEdXV+&#10;VmLhwpFf6bBNjZIQjgVaaFMaCq1j3ZLHuAgDsbCvMHpMIsdGuxGPEu57vTQm0x47loYWB3psqd5v&#10;J29h2rPJcvMZZ27DpnP49PLBP9ZeXsybB1CJ5vRvhr/5Mh0q2bQLE7uoetGr5a1YLdxkoITfr3L5&#10;thNg7kBXpT49UP0CAAD//wMAUEsBAi0AFAAGAAgAAAAhALaDOJL+AAAA4QEAABMAAAAAAAAAAAAA&#10;AAAAAAAAAFtDb250ZW50X1R5cGVzXS54bWxQSwECLQAUAAYACAAAACEAOP0h/9YAAACUAQAACwAA&#10;AAAAAAAAAAAAAAAvAQAAX3JlbHMvLnJlbHNQSwECLQAUAAYACAAAACEAN0s5lXwCAAD6BAAADgAA&#10;AAAAAAAAAAAAAAAuAgAAZHJzL2Uyb0RvYy54bWxQSwECLQAUAAYACAAAACEA0NZWQtkAAAAIAQAA&#10;DwAAAAAAAAAAAAAAAADWBAAAZHJzL2Rvd25yZXYueG1sUEsFBgAAAAAEAAQA8wAAANwFAAAAAA==&#10;" fillcolor="#7f7f7f" stroked="f">
            <w10:wrap type="topAndBottom" anchorx="page"/>
          </v:rect>
        </w:pict>
      </w:r>
    </w:p>
    <w:p w:rsidR="002D4D5D" w:rsidRPr="00277F62" w:rsidRDefault="002D4D5D" w:rsidP="002D4D5D">
      <w:pPr>
        <w:pStyle w:val="BodyText"/>
        <w:spacing w:before="6"/>
        <w:jc w:val="both"/>
        <w:rPr>
          <w:b/>
          <w:sz w:val="2"/>
          <w:szCs w:val="2"/>
        </w:rPr>
      </w:pPr>
    </w:p>
    <w:p w:rsidR="002D4D5D" w:rsidRDefault="002D4D5D" w:rsidP="002D4D5D">
      <w:pPr>
        <w:pStyle w:val="BodyText"/>
        <w:spacing w:line="480" w:lineRule="auto"/>
        <w:jc w:val="both"/>
      </w:pPr>
      <w:r>
        <w:t>Table 4.8 ranks the various sectors of the Nigerian economy based on the amount of risk associated with the sector and the responses given. The riskier investments are ranked at the topofthetable,whilelessriskyinvestmentsarerankedatthebottomofthetable.Withamean of 3.96 and 3.90, the agricultural sector and the financial services and business sector were ranked the most risky investments at first and second positions respectively. While the oiland gassectorwasrankedtheleastriskyinvestmentirrespectiveofthelargecapitaloutlayrequired at the beginning of theinvestment.</w:t>
      </w:r>
    </w:p>
    <w:p w:rsidR="002D4D5D" w:rsidRDefault="002D4D5D" w:rsidP="002D4D5D">
      <w:pPr>
        <w:pStyle w:val="Heading2"/>
        <w:spacing w:before="165"/>
        <w:ind w:left="0"/>
        <w:jc w:val="both"/>
      </w:pPr>
      <w:r>
        <w:t>Table 4.9 Investment Characteristic – Mobility of Investment</w:t>
      </w:r>
    </w:p>
    <w:p w:rsidR="002D4D5D" w:rsidRDefault="002D4D5D" w:rsidP="002D4D5D">
      <w:pPr>
        <w:pStyle w:val="BodyText"/>
        <w:spacing w:before="8"/>
        <w:jc w:val="both"/>
        <w:rPr>
          <w:b/>
        </w:rPr>
      </w:pPr>
    </w:p>
    <w:tbl>
      <w:tblPr>
        <w:tblW w:w="0" w:type="auto"/>
        <w:tblInd w:w="167" w:type="dxa"/>
        <w:tblLayout w:type="fixed"/>
        <w:tblCellMar>
          <w:left w:w="0" w:type="dxa"/>
          <w:right w:w="0" w:type="dxa"/>
        </w:tblCellMar>
        <w:tblLook w:val="01E0"/>
      </w:tblPr>
      <w:tblGrid>
        <w:gridCol w:w="4492"/>
        <w:gridCol w:w="2768"/>
        <w:gridCol w:w="1124"/>
      </w:tblGrid>
      <w:tr w:rsidR="002D4D5D" w:rsidTr="007A14BB">
        <w:trPr>
          <w:trHeight w:val="459"/>
        </w:trPr>
        <w:tc>
          <w:tcPr>
            <w:tcW w:w="4492"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Sectors of the economy</w:t>
            </w:r>
          </w:p>
        </w:tc>
        <w:tc>
          <w:tcPr>
            <w:tcW w:w="2768"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Mean value</w:t>
            </w:r>
          </w:p>
        </w:tc>
        <w:tc>
          <w:tcPr>
            <w:tcW w:w="1124"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Rank</w:t>
            </w:r>
          </w:p>
        </w:tc>
      </w:tr>
      <w:tr w:rsidR="002D4D5D" w:rsidTr="007A14BB">
        <w:trPr>
          <w:trHeight w:val="424"/>
        </w:trPr>
        <w:tc>
          <w:tcPr>
            <w:tcW w:w="4492"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Transportation sector</w:t>
            </w:r>
          </w:p>
        </w:tc>
        <w:tc>
          <w:tcPr>
            <w:tcW w:w="2768"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4.82</w:t>
            </w:r>
          </w:p>
        </w:tc>
        <w:tc>
          <w:tcPr>
            <w:tcW w:w="1124"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1</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Finance and business services sector</w:t>
            </w:r>
          </w:p>
        </w:tc>
        <w:tc>
          <w:tcPr>
            <w:tcW w:w="2768" w:type="dxa"/>
          </w:tcPr>
          <w:p w:rsidR="002D4D5D" w:rsidRDefault="002D4D5D" w:rsidP="007A14BB">
            <w:pPr>
              <w:pStyle w:val="TableParagraph"/>
              <w:ind w:left="0"/>
              <w:jc w:val="both"/>
              <w:rPr>
                <w:sz w:val="24"/>
              </w:rPr>
            </w:pPr>
            <w:r>
              <w:rPr>
                <w:sz w:val="24"/>
              </w:rPr>
              <w:t>4.79</w:t>
            </w:r>
          </w:p>
        </w:tc>
        <w:tc>
          <w:tcPr>
            <w:tcW w:w="1124" w:type="dxa"/>
          </w:tcPr>
          <w:p w:rsidR="002D4D5D" w:rsidRDefault="002D4D5D" w:rsidP="007A14BB">
            <w:pPr>
              <w:pStyle w:val="TableParagraph"/>
              <w:ind w:left="0"/>
              <w:jc w:val="both"/>
              <w:rPr>
                <w:sz w:val="24"/>
              </w:rPr>
            </w:pPr>
            <w:r>
              <w:rPr>
                <w:sz w:val="24"/>
              </w:rPr>
              <w:t>2</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Entertainment sector</w:t>
            </w:r>
          </w:p>
        </w:tc>
        <w:tc>
          <w:tcPr>
            <w:tcW w:w="2768" w:type="dxa"/>
          </w:tcPr>
          <w:p w:rsidR="002D4D5D" w:rsidRDefault="002D4D5D" w:rsidP="007A14BB">
            <w:pPr>
              <w:pStyle w:val="TableParagraph"/>
              <w:ind w:left="0"/>
              <w:jc w:val="both"/>
              <w:rPr>
                <w:sz w:val="24"/>
              </w:rPr>
            </w:pPr>
            <w:r>
              <w:rPr>
                <w:sz w:val="24"/>
              </w:rPr>
              <w:t>4.65</w:t>
            </w:r>
          </w:p>
        </w:tc>
        <w:tc>
          <w:tcPr>
            <w:tcW w:w="1124" w:type="dxa"/>
          </w:tcPr>
          <w:p w:rsidR="002D4D5D" w:rsidRDefault="002D4D5D" w:rsidP="007A14BB">
            <w:pPr>
              <w:pStyle w:val="TableParagraph"/>
              <w:ind w:left="0"/>
              <w:jc w:val="both"/>
              <w:rPr>
                <w:sz w:val="24"/>
              </w:rPr>
            </w:pPr>
            <w:r>
              <w:rPr>
                <w:sz w:val="24"/>
              </w:rPr>
              <w:t>3</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Manufacturing sector</w:t>
            </w:r>
          </w:p>
        </w:tc>
        <w:tc>
          <w:tcPr>
            <w:tcW w:w="2768" w:type="dxa"/>
          </w:tcPr>
          <w:p w:rsidR="002D4D5D" w:rsidRDefault="002D4D5D" w:rsidP="007A14BB">
            <w:pPr>
              <w:pStyle w:val="TableParagraph"/>
              <w:ind w:left="0"/>
              <w:jc w:val="both"/>
              <w:rPr>
                <w:sz w:val="24"/>
              </w:rPr>
            </w:pPr>
            <w:r>
              <w:rPr>
                <w:sz w:val="24"/>
              </w:rPr>
              <w:t>4.40</w:t>
            </w:r>
          </w:p>
        </w:tc>
        <w:tc>
          <w:tcPr>
            <w:tcW w:w="1124" w:type="dxa"/>
          </w:tcPr>
          <w:p w:rsidR="002D4D5D" w:rsidRDefault="002D4D5D" w:rsidP="007A14BB">
            <w:pPr>
              <w:pStyle w:val="TableParagraph"/>
              <w:ind w:left="0"/>
              <w:jc w:val="both"/>
              <w:rPr>
                <w:sz w:val="24"/>
              </w:rPr>
            </w:pPr>
            <w:r>
              <w:rPr>
                <w:sz w:val="24"/>
              </w:rPr>
              <w:t>4</w:t>
            </w:r>
          </w:p>
        </w:tc>
      </w:tr>
      <w:tr w:rsidR="002D4D5D" w:rsidTr="007A14BB">
        <w:trPr>
          <w:trHeight w:val="570"/>
        </w:trPr>
        <w:tc>
          <w:tcPr>
            <w:tcW w:w="4492" w:type="dxa"/>
          </w:tcPr>
          <w:p w:rsidR="002D4D5D" w:rsidRDefault="002D4D5D" w:rsidP="007A14BB">
            <w:pPr>
              <w:pStyle w:val="TableParagraph"/>
              <w:ind w:left="0"/>
              <w:jc w:val="both"/>
              <w:rPr>
                <w:sz w:val="24"/>
              </w:rPr>
            </w:pPr>
            <w:r>
              <w:rPr>
                <w:sz w:val="24"/>
              </w:rPr>
              <w:t>Retail sector</w:t>
            </w:r>
          </w:p>
        </w:tc>
        <w:tc>
          <w:tcPr>
            <w:tcW w:w="2768" w:type="dxa"/>
          </w:tcPr>
          <w:p w:rsidR="002D4D5D" w:rsidRDefault="002D4D5D" w:rsidP="007A14BB">
            <w:pPr>
              <w:pStyle w:val="TableParagraph"/>
              <w:ind w:left="0"/>
              <w:jc w:val="both"/>
              <w:rPr>
                <w:sz w:val="24"/>
              </w:rPr>
            </w:pPr>
            <w:r>
              <w:rPr>
                <w:sz w:val="24"/>
              </w:rPr>
              <w:t>4.34</w:t>
            </w:r>
          </w:p>
        </w:tc>
        <w:tc>
          <w:tcPr>
            <w:tcW w:w="1124" w:type="dxa"/>
          </w:tcPr>
          <w:p w:rsidR="002D4D5D" w:rsidRDefault="002D4D5D" w:rsidP="007A14BB">
            <w:pPr>
              <w:pStyle w:val="TableParagraph"/>
              <w:ind w:left="0"/>
              <w:jc w:val="both"/>
              <w:rPr>
                <w:sz w:val="24"/>
              </w:rPr>
            </w:pPr>
            <w:r>
              <w:rPr>
                <w:sz w:val="24"/>
              </w:rPr>
              <w:t>5</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Agricultural sector</w:t>
            </w:r>
          </w:p>
        </w:tc>
        <w:tc>
          <w:tcPr>
            <w:tcW w:w="2768" w:type="dxa"/>
          </w:tcPr>
          <w:p w:rsidR="002D4D5D" w:rsidRDefault="002D4D5D" w:rsidP="007A14BB">
            <w:pPr>
              <w:pStyle w:val="TableParagraph"/>
              <w:ind w:left="0"/>
              <w:jc w:val="both"/>
              <w:rPr>
                <w:sz w:val="24"/>
              </w:rPr>
            </w:pPr>
            <w:r>
              <w:rPr>
                <w:sz w:val="24"/>
              </w:rPr>
              <w:t>4.32</w:t>
            </w:r>
          </w:p>
        </w:tc>
        <w:tc>
          <w:tcPr>
            <w:tcW w:w="1124" w:type="dxa"/>
          </w:tcPr>
          <w:p w:rsidR="002D4D5D" w:rsidRDefault="002D4D5D" w:rsidP="007A14BB">
            <w:pPr>
              <w:pStyle w:val="TableParagraph"/>
              <w:ind w:left="0"/>
              <w:jc w:val="both"/>
              <w:rPr>
                <w:sz w:val="24"/>
              </w:rPr>
            </w:pPr>
            <w:r>
              <w:rPr>
                <w:sz w:val="24"/>
              </w:rPr>
              <w:t>6</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Information and technology sector</w:t>
            </w:r>
          </w:p>
        </w:tc>
        <w:tc>
          <w:tcPr>
            <w:tcW w:w="2768" w:type="dxa"/>
          </w:tcPr>
          <w:p w:rsidR="002D4D5D" w:rsidRDefault="002D4D5D" w:rsidP="007A14BB">
            <w:pPr>
              <w:pStyle w:val="TableParagraph"/>
              <w:ind w:left="0"/>
              <w:jc w:val="both"/>
              <w:rPr>
                <w:sz w:val="24"/>
              </w:rPr>
            </w:pPr>
            <w:r>
              <w:rPr>
                <w:sz w:val="24"/>
              </w:rPr>
              <w:t>4.08</w:t>
            </w:r>
          </w:p>
        </w:tc>
        <w:tc>
          <w:tcPr>
            <w:tcW w:w="1124" w:type="dxa"/>
          </w:tcPr>
          <w:p w:rsidR="002D4D5D" w:rsidRDefault="002D4D5D" w:rsidP="007A14BB">
            <w:pPr>
              <w:pStyle w:val="TableParagraph"/>
              <w:ind w:left="0"/>
              <w:jc w:val="both"/>
              <w:rPr>
                <w:sz w:val="24"/>
              </w:rPr>
            </w:pPr>
            <w:r>
              <w:rPr>
                <w:sz w:val="24"/>
              </w:rPr>
              <w:t>7</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Construction sector</w:t>
            </w:r>
          </w:p>
        </w:tc>
        <w:tc>
          <w:tcPr>
            <w:tcW w:w="2768" w:type="dxa"/>
          </w:tcPr>
          <w:p w:rsidR="002D4D5D" w:rsidRDefault="002D4D5D" w:rsidP="007A14BB">
            <w:pPr>
              <w:pStyle w:val="TableParagraph"/>
              <w:ind w:left="0"/>
              <w:jc w:val="both"/>
              <w:rPr>
                <w:sz w:val="24"/>
              </w:rPr>
            </w:pPr>
            <w:r>
              <w:rPr>
                <w:sz w:val="24"/>
              </w:rPr>
              <w:t>3.85</w:t>
            </w:r>
          </w:p>
        </w:tc>
        <w:tc>
          <w:tcPr>
            <w:tcW w:w="1124" w:type="dxa"/>
          </w:tcPr>
          <w:p w:rsidR="002D4D5D" w:rsidRDefault="002D4D5D" w:rsidP="007A14BB">
            <w:pPr>
              <w:pStyle w:val="TableParagraph"/>
              <w:ind w:left="0"/>
              <w:jc w:val="both"/>
              <w:rPr>
                <w:sz w:val="24"/>
              </w:rPr>
            </w:pPr>
            <w:r>
              <w:rPr>
                <w:sz w:val="24"/>
              </w:rPr>
              <w:t>8</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Telecommunications sector</w:t>
            </w:r>
          </w:p>
        </w:tc>
        <w:tc>
          <w:tcPr>
            <w:tcW w:w="2768" w:type="dxa"/>
          </w:tcPr>
          <w:p w:rsidR="002D4D5D" w:rsidRDefault="002D4D5D" w:rsidP="007A14BB">
            <w:pPr>
              <w:pStyle w:val="TableParagraph"/>
              <w:ind w:left="0"/>
              <w:jc w:val="both"/>
              <w:rPr>
                <w:sz w:val="24"/>
              </w:rPr>
            </w:pPr>
            <w:r>
              <w:rPr>
                <w:sz w:val="24"/>
              </w:rPr>
              <w:t>3.73</w:t>
            </w:r>
          </w:p>
        </w:tc>
        <w:tc>
          <w:tcPr>
            <w:tcW w:w="1124" w:type="dxa"/>
          </w:tcPr>
          <w:p w:rsidR="002D4D5D" w:rsidRDefault="002D4D5D" w:rsidP="007A14BB">
            <w:pPr>
              <w:pStyle w:val="TableParagraph"/>
              <w:ind w:left="0"/>
              <w:jc w:val="both"/>
              <w:rPr>
                <w:sz w:val="24"/>
              </w:rPr>
            </w:pPr>
            <w:r>
              <w:rPr>
                <w:sz w:val="24"/>
              </w:rPr>
              <w:t>9</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Hospitality sector</w:t>
            </w:r>
          </w:p>
        </w:tc>
        <w:tc>
          <w:tcPr>
            <w:tcW w:w="2768" w:type="dxa"/>
          </w:tcPr>
          <w:p w:rsidR="002D4D5D" w:rsidRDefault="002D4D5D" w:rsidP="007A14BB">
            <w:pPr>
              <w:pStyle w:val="TableParagraph"/>
              <w:ind w:left="0"/>
              <w:jc w:val="both"/>
              <w:rPr>
                <w:sz w:val="24"/>
              </w:rPr>
            </w:pPr>
            <w:r>
              <w:rPr>
                <w:sz w:val="24"/>
              </w:rPr>
              <w:t>3.61</w:t>
            </w:r>
          </w:p>
        </w:tc>
        <w:tc>
          <w:tcPr>
            <w:tcW w:w="1124" w:type="dxa"/>
          </w:tcPr>
          <w:p w:rsidR="002D4D5D" w:rsidRDefault="002D4D5D" w:rsidP="007A14BB">
            <w:pPr>
              <w:pStyle w:val="TableParagraph"/>
              <w:ind w:left="0"/>
              <w:jc w:val="both"/>
              <w:rPr>
                <w:sz w:val="24"/>
              </w:rPr>
            </w:pPr>
            <w:r>
              <w:rPr>
                <w:sz w:val="24"/>
              </w:rPr>
              <w:t>10</w:t>
            </w:r>
          </w:p>
        </w:tc>
      </w:tr>
      <w:tr w:rsidR="002D4D5D" w:rsidTr="007A14BB">
        <w:trPr>
          <w:trHeight w:val="570"/>
        </w:trPr>
        <w:tc>
          <w:tcPr>
            <w:tcW w:w="4492" w:type="dxa"/>
          </w:tcPr>
          <w:p w:rsidR="002D4D5D" w:rsidRDefault="002D4D5D" w:rsidP="007A14BB">
            <w:pPr>
              <w:pStyle w:val="TableParagraph"/>
              <w:ind w:left="0"/>
              <w:jc w:val="both"/>
              <w:rPr>
                <w:sz w:val="24"/>
              </w:rPr>
            </w:pPr>
            <w:r>
              <w:rPr>
                <w:sz w:val="24"/>
              </w:rPr>
              <w:t>Oil and gas sector</w:t>
            </w:r>
          </w:p>
        </w:tc>
        <w:tc>
          <w:tcPr>
            <w:tcW w:w="2768" w:type="dxa"/>
          </w:tcPr>
          <w:p w:rsidR="002D4D5D" w:rsidRDefault="002D4D5D" w:rsidP="007A14BB">
            <w:pPr>
              <w:pStyle w:val="TableParagraph"/>
              <w:ind w:left="0"/>
              <w:jc w:val="both"/>
              <w:rPr>
                <w:sz w:val="24"/>
              </w:rPr>
            </w:pPr>
            <w:r>
              <w:rPr>
                <w:sz w:val="24"/>
              </w:rPr>
              <w:t>3.39</w:t>
            </w:r>
          </w:p>
        </w:tc>
        <w:tc>
          <w:tcPr>
            <w:tcW w:w="1124" w:type="dxa"/>
          </w:tcPr>
          <w:p w:rsidR="002D4D5D" w:rsidRDefault="002D4D5D" w:rsidP="007A14BB">
            <w:pPr>
              <w:pStyle w:val="TableParagraph"/>
              <w:ind w:left="0"/>
              <w:jc w:val="both"/>
              <w:rPr>
                <w:sz w:val="24"/>
              </w:rPr>
            </w:pPr>
            <w:r>
              <w:rPr>
                <w:sz w:val="24"/>
              </w:rPr>
              <w:t>11</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Mining sector</w:t>
            </w:r>
          </w:p>
        </w:tc>
        <w:tc>
          <w:tcPr>
            <w:tcW w:w="2768" w:type="dxa"/>
          </w:tcPr>
          <w:p w:rsidR="002D4D5D" w:rsidRDefault="002D4D5D" w:rsidP="007A14BB">
            <w:pPr>
              <w:pStyle w:val="TableParagraph"/>
              <w:ind w:left="0"/>
              <w:jc w:val="both"/>
              <w:rPr>
                <w:sz w:val="24"/>
              </w:rPr>
            </w:pPr>
            <w:r>
              <w:rPr>
                <w:sz w:val="24"/>
              </w:rPr>
              <w:t>2.60</w:t>
            </w:r>
          </w:p>
        </w:tc>
        <w:tc>
          <w:tcPr>
            <w:tcW w:w="1124" w:type="dxa"/>
          </w:tcPr>
          <w:p w:rsidR="002D4D5D" w:rsidRDefault="002D4D5D" w:rsidP="007A14BB">
            <w:pPr>
              <w:pStyle w:val="TableParagraph"/>
              <w:ind w:left="0"/>
              <w:jc w:val="both"/>
              <w:rPr>
                <w:sz w:val="24"/>
              </w:rPr>
            </w:pPr>
            <w:r>
              <w:rPr>
                <w:sz w:val="24"/>
              </w:rPr>
              <w:t>12</w:t>
            </w:r>
          </w:p>
        </w:tc>
      </w:tr>
      <w:tr w:rsidR="002D4D5D" w:rsidTr="007A14BB">
        <w:trPr>
          <w:trHeight w:val="571"/>
        </w:trPr>
        <w:tc>
          <w:tcPr>
            <w:tcW w:w="4492" w:type="dxa"/>
          </w:tcPr>
          <w:p w:rsidR="002D4D5D" w:rsidRDefault="002D4D5D" w:rsidP="007A14BB">
            <w:pPr>
              <w:pStyle w:val="TableParagraph"/>
              <w:ind w:left="0"/>
              <w:jc w:val="both"/>
              <w:rPr>
                <w:sz w:val="24"/>
              </w:rPr>
            </w:pPr>
            <w:r>
              <w:rPr>
                <w:sz w:val="24"/>
              </w:rPr>
              <w:t>Real estate sector</w:t>
            </w:r>
          </w:p>
        </w:tc>
        <w:tc>
          <w:tcPr>
            <w:tcW w:w="2768" w:type="dxa"/>
          </w:tcPr>
          <w:p w:rsidR="002D4D5D" w:rsidRDefault="002D4D5D" w:rsidP="007A14BB">
            <w:pPr>
              <w:pStyle w:val="TableParagraph"/>
              <w:ind w:left="0"/>
              <w:jc w:val="both"/>
              <w:rPr>
                <w:sz w:val="24"/>
              </w:rPr>
            </w:pPr>
            <w:r>
              <w:rPr>
                <w:sz w:val="24"/>
              </w:rPr>
              <w:t>1.96</w:t>
            </w:r>
          </w:p>
        </w:tc>
        <w:tc>
          <w:tcPr>
            <w:tcW w:w="1124" w:type="dxa"/>
          </w:tcPr>
          <w:p w:rsidR="002D4D5D" w:rsidRDefault="002D4D5D" w:rsidP="007A14BB">
            <w:pPr>
              <w:pStyle w:val="TableParagraph"/>
              <w:ind w:left="0"/>
              <w:jc w:val="both"/>
              <w:rPr>
                <w:sz w:val="24"/>
              </w:rPr>
            </w:pPr>
            <w:r>
              <w:rPr>
                <w:sz w:val="24"/>
              </w:rPr>
              <w:t>13</w:t>
            </w:r>
          </w:p>
        </w:tc>
      </w:tr>
      <w:tr w:rsidR="002D4D5D" w:rsidTr="007A14BB">
        <w:trPr>
          <w:trHeight w:val="422"/>
        </w:trPr>
        <w:tc>
          <w:tcPr>
            <w:tcW w:w="4492" w:type="dxa"/>
          </w:tcPr>
          <w:p w:rsidR="002D4D5D" w:rsidRDefault="002D4D5D" w:rsidP="007A14BB">
            <w:pPr>
              <w:pStyle w:val="TableParagraph"/>
              <w:spacing w:line="256" w:lineRule="exact"/>
              <w:ind w:left="0"/>
              <w:jc w:val="both"/>
              <w:rPr>
                <w:sz w:val="24"/>
              </w:rPr>
            </w:pPr>
            <w:r>
              <w:rPr>
                <w:sz w:val="24"/>
              </w:rPr>
              <w:t>Energy sector</w:t>
            </w:r>
          </w:p>
        </w:tc>
        <w:tc>
          <w:tcPr>
            <w:tcW w:w="2768" w:type="dxa"/>
          </w:tcPr>
          <w:p w:rsidR="002D4D5D" w:rsidRDefault="002D4D5D" w:rsidP="007A14BB">
            <w:pPr>
              <w:pStyle w:val="TableParagraph"/>
              <w:spacing w:line="256" w:lineRule="exact"/>
              <w:ind w:left="0"/>
              <w:jc w:val="both"/>
              <w:rPr>
                <w:sz w:val="24"/>
              </w:rPr>
            </w:pPr>
            <w:r>
              <w:rPr>
                <w:sz w:val="24"/>
              </w:rPr>
              <w:t>1.03</w:t>
            </w:r>
          </w:p>
        </w:tc>
        <w:tc>
          <w:tcPr>
            <w:tcW w:w="1124" w:type="dxa"/>
          </w:tcPr>
          <w:p w:rsidR="002D4D5D" w:rsidRDefault="002D4D5D" w:rsidP="007A14BB">
            <w:pPr>
              <w:pStyle w:val="TableParagraph"/>
              <w:spacing w:line="256" w:lineRule="exact"/>
              <w:ind w:left="0"/>
              <w:jc w:val="both"/>
              <w:rPr>
                <w:sz w:val="24"/>
              </w:rPr>
            </w:pPr>
            <w:r>
              <w:rPr>
                <w:sz w:val="24"/>
              </w:rPr>
              <w:t>14</w:t>
            </w:r>
          </w:p>
        </w:tc>
      </w:tr>
    </w:tbl>
    <w:p w:rsidR="002D4D5D" w:rsidRDefault="002D4D5D" w:rsidP="002D4D5D">
      <w:pPr>
        <w:pStyle w:val="BodyText"/>
        <w:spacing w:before="4"/>
        <w:jc w:val="both"/>
        <w:rPr>
          <w:b/>
          <w:sz w:val="21"/>
        </w:rPr>
      </w:pPr>
    </w:p>
    <w:p w:rsidR="002D4D5D" w:rsidRDefault="002D4D5D" w:rsidP="002D4D5D">
      <w:pPr>
        <w:pStyle w:val="BodyText"/>
        <w:jc w:val="both"/>
        <w:rPr>
          <w:b/>
          <w:sz w:val="26"/>
        </w:rPr>
      </w:pPr>
      <w:r w:rsidRPr="00940107">
        <w:rPr>
          <w:noProof/>
        </w:rPr>
        <w:pict>
          <v:rect id="Rectangle 6" o:spid="_x0000_s1033" style="position:absolute;left:0;text-align:left;margin-left:71.25pt;margin-top:1.85pt;width:400.5pt;height:3.5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GRewIAAPoEAAAOAAAAZHJzL2Uyb0RvYy54bWysVFFv0zAQfkfiP1h+b5OUpG2ipdO2UoQ0&#10;YGLwA1zbaSwc29hu0w3x3zk7bWmBB4RoJcdnnz9/d/edr673nUQ7bp3QqsbZOMWIK6qZUJsaf/60&#10;Gs0xcp4oRqRWvMZP3OHrxcsXV72p+ES3WjJuEYAoV/Wmxq33pkoSR1veETfWhivYbLTtiAfTbhJm&#10;SQ/onUwmaTpNem2ZsZpy52B1OWziRcRvGk79h6Zx3CNZY+Dm42jjuA5jsrgi1cYS0wp6oEH+gUVH&#10;hIJLT1BL4gnaWvEbVCeo1U43fkx1l+imEZTHGCCaLP0lmseWGB5jgeQ4c0qT+3+w9P3uwSLBajzF&#10;SJEOSvQRkkbURnI0DenpjavA69E82BCgM/eafnFI6bsWvPiNtbpvOWFAKgv+ycWBYDg4itb9O80A&#10;nWy9jpnaN7YLgJADtI8FeToVhO89orBYpPPpqwLqRmEvB6uIN5DqeNhY599w3aEwqbEF6hGc7O6d&#10;D2RIdXSJ5LUUbCWkjIbdrO+kRTsC2pitwv+A7s7dpArOSodjA+KwAhzhjrAX2MZafyuzSZ7eTsrR&#10;ajqfjfJVXozKWTofpVl5W07TvMyXq++BYJZXrWCMq3uh+FF3Wf53dT10wKCYqDzU17gsJkWM/YK9&#10;Ow8yjb8/BdkJD20oRVfj+cmJVKGurxWDsEnliZDDPLmkH7MMOTh+Y1aiCkLhBwGtNXsCEVgNRYJy&#10;woMBk1bbZ4x6aL4au69bYjlG8q0CIZVZnodujUZezCZg2POd9fkOURSgauwxGqZ3fujwrbFi08JN&#10;WUyM0jcgvkZEYQRhDqwOkoUGixEcHoPQwed29Pr5ZC1+AAAA//8DAFBLAwQUAAYACAAAACEAQAsF&#10;lNkAAAAIAQAADwAAAGRycy9kb3ducmV2LnhtbEyPwU7DMBBE70j8g7VI3KhNW9oQ4lQViDOiIHrd&#10;xksSNV5HsdMGvp7lBMenGc2+LTaT79SJhtgGtnA7M6CIq+Bari28vz3fZKBiQnbYBSYLXxRhU15e&#10;FJi7cOZXOu1SrWSEY44WmpT6XOtYNeQxzkJPLNlnGDwmwaHWbsCzjPtOz41ZaY8ty4UGe3psqDru&#10;Rm9hPLJZZWYfJ27CtnX49PLB39ZeX03bB1CJpvRXhl99UYdSnA5hZBdVJ7yc30nVwmINSvL75UL4&#10;IIHJQJeF/v9A+QMAAP//AwBQSwECLQAUAAYACAAAACEAtoM4kv4AAADhAQAAEwAAAAAAAAAAAAAA&#10;AAAAAAAAW0NvbnRlbnRfVHlwZXNdLnhtbFBLAQItABQABgAIAAAAIQA4/SH/1gAAAJQBAAALAAAA&#10;AAAAAAAAAAAAAC8BAABfcmVscy8ucmVsc1BLAQItABQABgAIAAAAIQDNSQGRewIAAPoEAAAOAAAA&#10;AAAAAAAAAAAAAC4CAABkcnMvZTJvRG9jLnhtbFBLAQItABQABgAIAAAAIQBACwWU2QAAAAgBAAAP&#10;AAAAAAAAAAAAAAAAANUEAABkcnMvZG93bnJldi54bWxQSwUGAAAAAAQABADzAAAA2wUAAAAA&#10;" fillcolor="#7f7f7f" stroked="f">
            <w10:wrap type="topAndBottom" anchorx="page"/>
          </v:rect>
        </w:pict>
      </w:r>
    </w:p>
    <w:p w:rsidR="002D4D5D" w:rsidRPr="00277F62" w:rsidRDefault="002D4D5D" w:rsidP="002D4D5D">
      <w:pPr>
        <w:pStyle w:val="BodyText"/>
        <w:spacing w:before="6"/>
        <w:jc w:val="both"/>
        <w:rPr>
          <w:b/>
          <w:sz w:val="2"/>
          <w:szCs w:val="2"/>
        </w:rPr>
      </w:pPr>
    </w:p>
    <w:p w:rsidR="002D4D5D" w:rsidRDefault="002D4D5D" w:rsidP="002D4D5D">
      <w:pPr>
        <w:pStyle w:val="BodyText"/>
        <w:spacing w:line="480" w:lineRule="auto"/>
        <w:jc w:val="both"/>
      </w:pPr>
      <w:r>
        <w:lastRenderedPageBreak/>
        <w:t>Table 4.9 ranks the various sectors based on the degree of mobility of the investment, with the most mobile investments ranked at the top of the table, while the least mobile investments are ranked at the bottom of the table. According to the respondents, the three most mobile investmentsectorsarethetransportationsector,financialservicessectorsandtheentertainment sectorinthatorder.Atthebottomofthetablearetherealestateandenergysectors,withvalues of 1.96 and 1.03respectively.</w:t>
      </w:r>
    </w:p>
    <w:p w:rsidR="002D4D5D" w:rsidRDefault="002D4D5D" w:rsidP="002D4D5D">
      <w:pPr>
        <w:pStyle w:val="Heading2"/>
        <w:spacing w:before="78"/>
        <w:ind w:left="0"/>
        <w:jc w:val="both"/>
      </w:pPr>
      <w:r>
        <w:t>Table 4.10 Investment Characteristic – Security of Asset</w:t>
      </w:r>
    </w:p>
    <w:p w:rsidR="002D4D5D" w:rsidRDefault="002D4D5D" w:rsidP="002D4D5D">
      <w:pPr>
        <w:pStyle w:val="BodyText"/>
        <w:spacing w:before="8" w:after="1"/>
        <w:jc w:val="both"/>
        <w:rPr>
          <w:b/>
        </w:rPr>
      </w:pPr>
    </w:p>
    <w:tbl>
      <w:tblPr>
        <w:tblW w:w="0" w:type="auto"/>
        <w:tblInd w:w="167" w:type="dxa"/>
        <w:tblLayout w:type="fixed"/>
        <w:tblCellMar>
          <w:left w:w="0" w:type="dxa"/>
          <w:right w:w="0" w:type="dxa"/>
        </w:tblCellMar>
        <w:tblLook w:val="01E0"/>
      </w:tblPr>
      <w:tblGrid>
        <w:gridCol w:w="4516"/>
        <w:gridCol w:w="2783"/>
        <w:gridCol w:w="1130"/>
      </w:tblGrid>
      <w:tr w:rsidR="002D4D5D" w:rsidTr="007A14BB">
        <w:trPr>
          <w:trHeight w:val="396"/>
        </w:trPr>
        <w:tc>
          <w:tcPr>
            <w:tcW w:w="4516"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Sectors of the economy</w:t>
            </w:r>
          </w:p>
        </w:tc>
        <w:tc>
          <w:tcPr>
            <w:tcW w:w="2783"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Mean value</w:t>
            </w:r>
          </w:p>
        </w:tc>
        <w:tc>
          <w:tcPr>
            <w:tcW w:w="1130" w:type="dxa"/>
            <w:tcBorders>
              <w:top w:val="single" w:sz="4" w:space="0" w:color="7F7F7F"/>
              <w:bottom w:val="single" w:sz="4" w:space="0" w:color="7F7F7F"/>
            </w:tcBorders>
          </w:tcPr>
          <w:p w:rsidR="002D4D5D" w:rsidRDefault="002D4D5D" w:rsidP="007A14BB">
            <w:pPr>
              <w:pStyle w:val="TableParagraph"/>
              <w:spacing w:before="0" w:line="273" w:lineRule="exact"/>
              <w:ind w:left="0"/>
              <w:jc w:val="both"/>
              <w:rPr>
                <w:b/>
                <w:sz w:val="24"/>
              </w:rPr>
            </w:pPr>
            <w:r>
              <w:rPr>
                <w:b/>
                <w:sz w:val="24"/>
              </w:rPr>
              <w:t>Rank</w:t>
            </w:r>
          </w:p>
        </w:tc>
      </w:tr>
      <w:tr w:rsidR="002D4D5D" w:rsidTr="007A14BB">
        <w:trPr>
          <w:trHeight w:val="417"/>
        </w:trPr>
        <w:tc>
          <w:tcPr>
            <w:tcW w:w="4516"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Finance and business services sector</w:t>
            </w:r>
          </w:p>
        </w:tc>
        <w:tc>
          <w:tcPr>
            <w:tcW w:w="2783"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3.89</w:t>
            </w:r>
          </w:p>
        </w:tc>
        <w:tc>
          <w:tcPr>
            <w:tcW w:w="1130" w:type="dxa"/>
            <w:tcBorders>
              <w:top w:val="single" w:sz="4" w:space="0" w:color="7F7F7F"/>
            </w:tcBorders>
          </w:tcPr>
          <w:p w:rsidR="002D4D5D" w:rsidRDefault="002D4D5D" w:rsidP="007A14BB">
            <w:pPr>
              <w:pStyle w:val="TableParagraph"/>
              <w:spacing w:before="0" w:line="268" w:lineRule="exact"/>
              <w:ind w:left="0"/>
              <w:jc w:val="both"/>
              <w:rPr>
                <w:sz w:val="24"/>
              </w:rPr>
            </w:pPr>
            <w:r>
              <w:rPr>
                <w:sz w:val="24"/>
              </w:rPr>
              <w:t>1</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Real estate sector</w:t>
            </w:r>
          </w:p>
        </w:tc>
        <w:tc>
          <w:tcPr>
            <w:tcW w:w="2783" w:type="dxa"/>
          </w:tcPr>
          <w:p w:rsidR="002D4D5D" w:rsidRDefault="002D4D5D" w:rsidP="007A14BB">
            <w:pPr>
              <w:pStyle w:val="TableParagraph"/>
              <w:ind w:left="0"/>
              <w:jc w:val="both"/>
              <w:rPr>
                <w:sz w:val="24"/>
              </w:rPr>
            </w:pPr>
            <w:r>
              <w:rPr>
                <w:sz w:val="24"/>
              </w:rPr>
              <w:t>3.77</w:t>
            </w:r>
          </w:p>
        </w:tc>
        <w:tc>
          <w:tcPr>
            <w:tcW w:w="1130" w:type="dxa"/>
          </w:tcPr>
          <w:p w:rsidR="002D4D5D" w:rsidRDefault="002D4D5D" w:rsidP="007A14BB">
            <w:pPr>
              <w:pStyle w:val="TableParagraph"/>
              <w:ind w:left="0"/>
              <w:jc w:val="both"/>
              <w:rPr>
                <w:sz w:val="24"/>
              </w:rPr>
            </w:pPr>
            <w:r>
              <w:rPr>
                <w:sz w:val="24"/>
              </w:rPr>
              <w:t>2</w:t>
            </w:r>
          </w:p>
        </w:tc>
      </w:tr>
      <w:tr w:rsidR="002D4D5D" w:rsidTr="007A14BB">
        <w:trPr>
          <w:trHeight w:val="560"/>
        </w:trPr>
        <w:tc>
          <w:tcPr>
            <w:tcW w:w="4516" w:type="dxa"/>
          </w:tcPr>
          <w:p w:rsidR="002D4D5D" w:rsidRDefault="002D4D5D" w:rsidP="007A14BB">
            <w:pPr>
              <w:pStyle w:val="TableParagraph"/>
              <w:ind w:left="0"/>
              <w:jc w:val="both"/>
              <w:rPr>
                <w:sz w:val="24"/>
              </w:rPr>
            </w:pPr>
            <w:r>
              <w:rPr>
                <w:sz w:val="24"/>
              </w:rPr>
              <w:t>Hospitality sector</w:t>
            </w:r>
          </w:p>
        </w:tc>
        <w:tc>
          <w:tcPr>
            <w:tcW w:w="2783" w:type="dxa"/>
          </w:tcPr>
          <w:p w:rsidR="002D4D5D" w:rsidRDefault="002D4D5D" w:rsidP="007A14BB">
            <w:pPr>
              <w:pStyle w:val="TableParagraph"/>
              <w:ind w:left="0"/>
              <w:jc w:val="both"/>
              <w:rPr>
                <w:sz w:val="24"/>
              </w:rPr>
            </w:pPr>
            <w:r>
              <w:rPr>
                <w:sz w:val="24"/>
              </w:rPr>
              <w:t>3.68</w:t>
            </w:r>
          </w:p>
        </w:tc>
        <w:tc>
          <w:tcPr>
            <w:tcW w:w="1130" w:type="dxa"/>
          </w:tcPr>
          <w:p w:rsidR="002D4D5D" w:rsidRDefault="002D4D5D" w:rsidP="007A14BB">
            <w:pPr>
              <w:pStyle w:val="TableParagraph"/>
              <w:ind w:left="0"/>
              <w:jc w:val="both"/>
              <w:rPr>
                <w:sz w:val="24"/>
              </w:rPr>
            </w:pPr>
            <w:r>
              <w:rPr>
                <w:sz w:val="24"/>
              </w:rPr>
              <w:t>3</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Construction sector</w:t>
            </w:r>
          </w:p>
        </w:tc>
        <w:tc>
          <w:tcPr>
            <w:tcW w:w="2783" w:type="dxa"/>
          </w:tcPr>
          <w:p w:rsidR="002D4D5D" w:rsidRDefault="002D4D5D" w:rsidP="007A14BB">
            <w:pPr>
              <w:pStyle w:val="TableParagraph"/>
              <w:ind w:left="0"/>
              <w:jc w:val="both"/>
              <w:rPr>
                <w:sz w:val="24"/>
              </w:rPr>
            </w:pPr>
            <w:r>
              <w:rPr>
                <w:sz w:val="24"/>
              </w:rPr>
              <w:t>3.52</w:t>
            </w:r>
          </w:p>
        </w:tc>
        <w:tc>
          <w:tcPr>
            <w:tcW w:w="1130" w:type="dxa"/>
          </w:tcPr>
          <w:p w:rsidR="002D4D5D" w:rsidRDefault="002D4D5D" w:rsidP="007A14BB">
            <w:pPr>
              <w:pStyle w:val="TableParagraph"/>
              <w:ind w:left="0"/>
              <w:jc w:val="both"/>
              <w:rPr>
                <w:sz w:val="24"/>
              </w:rPr>
            </w:pPr>
            <w:r>
              <w:rPr>
                <w:sz w:val="24"/>
              </w:rPr>
              <w:t>4</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Information and technology sector</w:t>
            </w:r>
          </w:p>
        </w:tc>
        <w:tc>
          <w:tcPr>
            <w:tcW w:w="2783" w:type="dxa"/>
          </w:tcPr>
          <w:p w:rsidR="002D4D5D" w:rsidRDefault="002D4D5D" w:rsidP="007A14BB">
            <w:pPr>
              <w:pStyle w:val="TableParagraph"/>
              <w:ind w:left="0"/>
              <w:jc w:val="both"/>
              <w:rPr>
                <w:sz w:val="24"/>
              </w:rPr>
            </w:pPr>
            <w:r>
              <w:rPr>
                <w:sz w:val="24"/>
              </w:rPr>
              <w:t>3.46</w:t>
            </w:r>
          </w:p>
        </w:tc>
        <w:tc>
          <w:tcPr>
            <w:tcW w:w="1130" w:type="dxa"/>
          </w:tcPr>
          <w:p w:rsidR="002D4D5D" w:rsidRDefault="002D4D5D" w:rsidP="007A14BB">
            <w:pPr>
              <w:pStyle w:val="TableParagraph"/>
              <w:ind w:left="0"/>
              <w:jc w:val="both"/>
              <w:rPr>
                <w:sz w:val="24"/>
              </w:rPr>
            </w:pPr>
            <w:r>
              <w:rPr>
                <w:sz w:val="24"/>
              </w:rPr>
              <w:t>5</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Entertainment sector</w:t>
            </w:r>
          </w:p>
        </w:tc>
        <w:tc>
          <w:tcPr>
            <w:tcW w:w="2783" w:type="dxa"/>
          </w:tcPr>
          <w:p w:rsidR="002D4D5D" w:rsidRDefault="002D4D5D" w:rsidP="007A14BB">
            <w:pPr>
              <w:pStyle w:val="TableParagraph"/>
              <w:ind w:left="0"/>
              <w:jc w:val="both"/>
              <w:rPr>
                <w:sz w:val="24"/>
              </w:rPr>
            </w:pPr>
            <w:r>
              <w:rPr>
                <w:sz w:val="24"/>
              </w:rPr>
              <w:t>3.28</w:t>
            </w:r>
          </w:p>
        </w:tc>
        <w:tc>
          <w:tcPr>
            <w:tcW w:w="1130" w:type="dxa"/>
          </w:tcPr>
          <w:p w:rsidR="002D4D5D" w:rsidRDefault="002D4D5D" w:rsidP="007A14BB">
            <w:pPr>
              <w:pStyle w:val="TableParagraph"/>
              <w:ind w:left="0"/>
              <w:jc w:val="both"/>
              <w:rPr>
                <w:sz w:val="24"/>
              </w:rPr>
            </w:pPr>
            <w:r>
              <w:rPr>
                <w:sz w:val="24"/>
              </w:rPr>
              <w:t>6</w:t>
            </w:r>
          </w:p>
        </w:tc>
      </w:tr>
      <w:tr w:rsidR="002D4D5D" w:rsidTr="007A14BB">
        <w:trPr>
          <w:trHeight w:val="560"/>
        </w:trPr>
        <w:tc>
          <w:tcPr>
            <w:tcW w:w="4516" w:type="dxa"/>
          </w:tcPr>
          <w:p w:rsidR="002D4D5D" w:rsidRDefault="002D4D5D" w:rsidP="007A14BB">
            <w:pPr>
              <w:pStyle w:val="TableParagraph"/>
              <w:ind w:left="0"/>
              <w:jc w:val="both"/>
              <w:rPr>
                <w:sz w:val="24"/>
              </w:rPr>
            </w:pPr>
            <w:r>
              <w:rPr>
                <w:sz w:val="24"/>
              </w:rPr>
              <w:t>Energy sector</w:t>
            </w:r>
          </w:p>
        </w:tc>
        <w:tc>
          <w:tcPr>
            <w:tcW w:w="2783" w:type="dxa"/>
          </w:tcPr>
          <w:p w:rsidR="002D4D5D" w:rsidRDefault="002D4D5D" w:rsidP="007A14BB">
            <w:pPr>
              <w:pStyle w:val="TableParagraph"/>
              <w:ind w:left="0"/>
              <w:jc w:val="both"/>
              <w:rPr>
                <w:sz w:val="24"/>
              </w:rPr>
            </w:pPr>
            <w:r>
              <w:rPr>
                <w:sz w:val="24"/>
              </w:rPr>
              <w:t>3.13</w:t>
            </w:r>
          </w:p>
        </w:tc>
        <w:tc>
          <w:tcPr>
            <w:tcW w:w="1130" w:type="dxa"/>
          </w:tcPr>
          <w:p w:rsidR="002D4D5D" w:rsidRDefault="002D4D5D" w:rsidP="007A14BB">
            <w:pPr>
              <w:pStyle w:val="TableParagraph"/>
              <w:ind w:left="0"/>
              <w:jc w:val="both"/>
              <w:rPr>
                <w:sz w:val="24"/>
              </w:rPr>
            </w:pPr>
            <w:r>
              <w:rPr>
                <w:sz w:val="24"/>
              </w:rPr>
              <w:t>7</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Oil and gas sector</w:t>
            </w:r>
          </w:p>
        </w:tc>
        <w:tc>
          <w:tcPr>
            <w:tcW w:w="2783" w:type="dxa"/>
          </w:tcPr>
          <w:p w:rsidR="002D4D5D" w:rsidRDefault="002D4D5D" w:rsidP="007A14BB">
            <w:pPr>
              <w:pStyle w:val="TableParagraph"/>
              <w:ind w:left="0"/>
              <w:jc w:val="both"/>
              <w:rPr>
                <w:sz w:val="24"/>
              </w:rPr>
            </w:pPr>
            <w:r>
              <w:rPr>
                <w:sz w:val="24"/>
              </w:rPr>
              <w:t>2.57</w:t>
            </w:r>
          </w:p>
        </w:tc>
        <w:tc>
          <w:tcPr>
            <w:tcW w:w="1130" w:type="dxa"/>
          </w:tcPr>
          <w:p w:rsidR="002D4D5D" w:rsidRDefault="002D4D5D" w:rsidP="007A14BB">
            <w:pPr>
              <w:pStyle w:val="TableParagraph"/>
              <w:ind w:left="0"/>
              <w:jc w:val="both"/>
              <w:rPr>
                <w:sz w:val="24"/>
              </w:rPr>
            </w:pPr>
            <w:r>
              <w:rPr>
                <w:sz w:val="24"/>
              </w:rPr>
              <w:t>8</w:t>
            </w:r>
          </w:p>
        </w:tc>
      </w:tr>
      <w:tr w:rsidR="002D4D5D" w:rsidTr="007A14BB">
        <w:trPr>
          <w:trHeight w:val="560"/>
        </w:trPr>
        <w:tc>
          <w:tcPr>
            <w:tcW w:w="4516" w:type="dxa"/>
          </w:tcPr>
          <w:p w:rsidR="002D4D5D" w:rsidRDefault="002D4D5D" w:rsidP="007A14BB">
            <w:pPr>
              <w:pStyle w:val="TableParagraph"/>
              <w:ind w:left="0"/>
              <w:jc w:val="both"/>
              <w:rPr>
                <w:sz w:val="24"/>
              </w:rPr>
            </w:pPr>
            <w:r>
              <w:rPr>
                <w:sz w:val="24"/>
              </w:rPr>
              <w:t>Telecommunications sector</w:t>
            </w:r>
          </w:p>
        </w:tc>
        <w:tc>
          <w:tcPr>
            <w:tcW w:w="2783" w:type="dxa"/>
          </w:tcPr>
          <w:p w:rsidR="002D4D5D" w:rsidRDefault="002D4D5D" w:rsidP="007A14BB">
            <w:pPr>
              <w:pStyle w:val="TableParagraph"/>
              <w:ind w:left="0"/>
              <w:jc w:val="both"/>
              <w:rPr>
                <w:sz w:val="24"/>
              </w:rPr>
            </w:pPr>
            <w:r>
              <w:rPr>
                <w:sz w:val="24"/>
              </w:rPr>
              <w:t>2.51</w:t>
            </w:r>
          </w:p>
        </w:tc>
        <w:tc>
          <w:tcPr>
            <w:tcW w:w="1130" w:type="dxa"/>
          </w:tcPr>
          <w:p w:rsidR="002D4D5D" w:rsidRDefault="002D4D5D" w:rsidP="007A14BB">
            <w:pPr>
              <w:pStyle w:val="TableParagraph"/>
              <w:ind w:left="0"/>
              <w:jc w:val="both"/>
              <w:rPr>
                <w:sz w:val="24"/>
              </w:rPr>
            </w:pPr>
            <w:r>
              <w:rPr>
                <w:sz w:val="24"/>
              </w:rPr>
              <w:t>9</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Manufacturing sector</w:t>
            </w:r>
          </w:p>
        </w:tc>
        <w:tc>
          <w:tcPr>
            <w:tcW w:w="2783" w:type="dxa"/>
          </w:tcPr>
          <w:p w:rsidR="002D4D5D" w:rsidRDefault="002D4D5D" w:rsidP="007A14BB">
            <w:pPr>
              <w:pStyle w:val="TableParagraph"/>
              <w:ind w:left="0"/>
              <w:jc w:val="both"/>
              <w:rPr>
                <w:sz w:val="24"/>
              </w:rPr>
            </w:pPr>
            <w:r>
              <w:rPr>
                <w:sz w:val="24"/>
              </w:rPr>
              <w:t>2.40</w:t>
            </w:r>
          </w:p>
        </w:tc>
        <w:tc>
          <w:tcPr>
            <w:tcW w:w="1130" w:type="dxa"/>
          </w:tcPr>
          <w:p w:rsidR="002D4D5D" w:rsidRDefault="002D4D5D" w:rsidP="007A14BB">
            <w:pPr>
              <w:pStyle w:val="TableParagraph"/>
              <w:ind w:left="0"/>
              <w:jc w:val="both"/>
              <w:rPr>
                <w:sz w:val="24"/>
              </w:rPr>
            </w:pPr>
            <w:r>
              <w:rPr>
                <w:sz w:val="24"/>
              </w:rPr>
              <w:t>10</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Retail sector</w:t>
            </w:r>
          </w:p>
        </w:tc>
        <w:tc>
          <w:tcPr>
            <w:tcW w:w="2783" w:type="dxa"/>
          </w:tcPr>
          <w:p w:rsidR="002D4D5D" w:rsidRDefault="002D4D5D" w:rsidP="007A14BB">
            <w:pPr>
              <w:pStyle w:val="TableParagraph"/>
              <w:ind w:left="0"/>
              <w:jc w:val="both"/>
              <w:rPr>
                <w:sz w:val="24"/>
              </w:rPr>
            </w:pPr>
            <w:r>
              <w:rPr>
                <w:sz w:val="24"/>
              </w:rPr>
              <w:t>2.33</w:t>
            </w:r>
          </w:p>
        </w:tc>
        <w:tc>
          <w:tcPr>
            <w:tcW w:w="1130" w:type="dxa"/>
          </w:tcPr>
          <w:p w:rsidR="002D4D5D" w:rsidRDefault="002D4D5D" w:rsidP="007A14BB">
            <w:pPr>
              <w:pStyle w:val="TableParagraph"/>
              <w:ind w:left="0"/>
              <w:jc w:val="both"/>
              <w:rPr>
                <w:sz w:val="24"/>
              </w:rPr>
            </w:pPr>
            <w:r>
              <w:rPr>
                <w:sz w:val="24"/>
              </w:rPr>
              <w:t>11</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Transportation sector</w:t>
            </w:r>
          </w:p>
        </w:tc>
        <w:tc>
          <w:tcPr>
            <w:tcW w:w="2783" w:type="dxa"/>
          </w:tcPr>
          <w:p w:rsidR="002D4D5D" w:rsidRDefault="002D4D5D" w:rsidP="007A14BB">
            <w:pPr>
              <w:pStyle w:val="TableParagraph"/>
              <w:ind w:left="0"/>
              <w:jc w:val="both"/>
              <w:rPr>
                <w:sz w:val="24"/>
              </w:rPr>
            </w:pPr>
            <w:r>
              <w:rPr>
                <w:sz w:val="24"/>
              </w:rPr>
              <w:t>2.19</w:t>
            </w:r>
          </w:p>
        </w:tc>
        <w:tc>
          <w:tcPr>
            <w:tcW w:w="1130" w:type="dxa"/>
          </w:tcPr>
          <w:p w:rsidR="002D4D5D" w:rsidRDefault="002D4D5D" w:rsidP="007A14BB">
            <w:pPr>
              <w:pStyle w:val="TableParagraph"/>
              <w:ind w:left="0"/>
              <w:jc w:val="both"/>
              <w:rPr>
                <w:sz w:val="24"/>
              </w:rPr>
            </w:pPr>
            <w:r>
              <w:rPr>
                <w:sz w:val="24"/>
              </w:rPr>
              <w:t>12</w:t>
            </w:r>
          </w:p>
        </w:tc>
      </w:tr>
      <w:tr w:rsidR="002D4D5D" w:rsidTr="007A14BB">
        <w:trPr>
          <w:trHeight w:val="561"/>
        </w:trPr>
        <w:tc>
          <w:tcPr>
            <w:tcW w:w="4516" w:type="dxa"/>
          </w:tcPr>
          <w:p w:rsidR="002D4D5D" w:rsidRDefault="002D4D5D" w:rsidP="007A14BB">
            <w:pPr>
              <w:pStyle w:val="TableParagraph"/>
              <w:ind w:left="0"/>
              <w:jc w:val="both"/>
              <w:rPr>
                <w:sz w:val="24"/>
              </w:rPr>
            </w:pPr>
            <w:r>
              <w:rPr>
                <w:sz w:val="24"/>
              </w:rPr>
              <w:t>Mining sector</w:t>
            </w:r>
          </w:p>
        </w:tc>
        <w:tc>
          <w:tcPr>
            <w:tcW w:w="2783" w:type="dxa"/>
          </w:tcPr>
          <w:p w:rsidR="002D4D5D" w:rsidRDefault="002D4D5D" w:rsidP="007A14BB">
            <w:pPr>
              <w:pStyle w:val="TableParagraph"/>
              <w:ind w:left="0"/>
              <w:jc w:val="both"/>
              <w:rPr>
                <w:sz w:val="24"/>
              </w:rPr>
            </w:pPr>
            <w:r>
              <w:rPr>
                <w:sz w:val="24"/>
              </w:rPr>
              <w:t>1.93</w:t>
            </w:r>
          </w:p>
        </w:tc>
        <w:tc>
          <w:tcPr>
            <w:tcW w:w="1130" w:type="dxa"/>
          </w:tcPr>
          <w:p w:rsidR="002D4D5D" w:rsidRDefault="002D4D5D" w:rsidP="007A14BB">
            <w:pPr>
              <w:pStyle w:val="TableParagraph"/>
              <w:ind w:left="0"/>
              <w:jc w:val="both"/>
              <w:rPr>
                <w:sz w:val="24"/>
              </w:rPr>
            </w:pPr>
            <w:r>
              <w:rPr>
                <w:sz w:val="24"/>
              </w:rPr>
              <w:t>13</w:t>
            </w:r>
          </w:p>
        </w:tc>
      </w:tr>
      <w:tr w:rsidR="002D4D5D" w:rsidTr="007A14BB">
        <w:trPr>
          <w:trHeight w:val="415"/>
        </w:trPr>
        <w:tc>
          <w:tcPr>
            <w:tcW w:w="4516" w:type="dxa"/>
          </w:tcPr>
          <w:p w:rsidR="002D4D5D" w:rsidRDefault="002D4D5D" w:rsidP="007A14BB">
            <w:pPr>
              <w:pStyle w:val="TableParagraph"/>
              <w:spacing w:line="256" w:lineRule="exact"/>
              <w:ind w:left="0"/>
              <w:jc w:val="both"/>
              <w:rPr>
                <w:sz w:val="24"/>
              </w:rPr>
            </w:pPr>
            <w:r>
              <w:rPr>
                <w:sz w:val="24"/>
              </w:rPr>
              <w:t>Agricultural sector</w:t>
            </w:r>
          </w:p>
        </w:tc>
        <w:tc>
          <w:tcPr>
            <w:tcW w:w="2783" w:type="dxa"/>
          </w:tcPr>
          <w:p w:rsidR="002D4D5D" w:rsidRDefault="002D4D5D" w:rsidP="007A14BB">
            <w:pPr>
              <w:pStyle w:val="TableParagraph"/>
              <w:spacing w:line="256" w:lineRule="exact"/>
              <w:ind w:left="0"/>
              <w:jc w:val="both"/>
              <w:rPr>
                <w:sz w:val="24"/>
              </w:rPr>
            </w:pPr>
            <w:r>
              <w:rPr>
                <w:sz w:val="24"/>
              </w:rPr>
              <w:t>1.37</w:t>
            </w:r>
          </w:p>
        </w:tc>
        <w:tc>
          <w:tcPr>
            <w:tcW w:w="1130" w:type="dxa"/>
          </w:tcPr>
          <w:p w:rsidR="002D4D5D" w:rsidRDefault="002D4D5D" w:rsidP="007A14BB">
            <w:pPr>
              <w:pStyle w:val="TableParagraph"/>
              <w:spacing w:line="256" w:lineRule="exact"/>
              <w:ind w:left="0"/>
              <w:jc w:val="both"/>
              <w:rPr>
                <w:sz w:val="24"/>
              </w:rPr>
            </w:pPr>
            <w:r>
              <w:rPr>
                <w:sz w:val="24"/>
              </w:rPr>
              <w:t>14</w:t>
            </w:r>
          </w:p>
        </w:tc>
      </w:tr>
    </w:tbl>
    <w:p w:rsidR="002D4D5D" w:rsidRDefault="002D4D5D" w:rsidP="002D4D5D">
      <w:pPr>
        <w:pStyle w:val="BodyText"/>
        <w:spacing w:before="3"/>
        <w:jc w:val="both"/>
        <w:rPr>
          <w:b/>
          <w:sz w:val="21"/>
        </w:rPr>
      </w:pPr>
    </w:p>
    <w:p w:rsidR="002D4D5D" w:rsidRDefault="002D4D5D" w:rsidP="002D4D5D">
      <w:pPr>
        <w:pStyle w:val="BodyText"/>
        <w:jc w:val="both"/>
        <w:rPr>
          <w:b/>
          <w:sz w:val="26"/>
        </w:rPr>
      </w:pPr>
      <w:r w:rsidRPr="00940107">
        <w:rPr>
          <w:noProof/>
        </w:rPr>
        <w:pict>
          <v:rect id="Rectangle 3" o:spid="_x0000_s1034" style="position:absolute;left:0;text-align:left;margin-left:71.25pt;margin-top:2.25pt;width:375.75pt;height:3.5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rnfQIAAPoEAAAOAAAAZHJzL2Uyb0RvYy54bWysVNuO0zAQfUfiHyy/t0m66SVR09VuSxHS&#10;AisWPsC1ncbCsY3tNi2If2fstKULPCBEKzm2Z3x8ZuaM57eHVqI9t05oVeFsmGLEFdVMqG2FP31c&#10;D2YYOU8UI1IrXuEjd/h28fLFvDMlH+lGS8YtAhDlys5UuPHelEniaMNb4obacAXGWtuWeFjabcIs&#10;6QC9lckoTSdJpy0zVlPuHOyueiNeRPy65tS/r2vHPZIVBm4+jjaOmzAmizkpt5aYRtATDfIPLFoi&#10;FFx6gVoRT9DOit+gWkGtdrr2Q6rbRNe1oDzGANFk6S/RPDXE8BgLJMeZS5rc/4Ol7/aPFglW4RuM&#10;FGmhRB8gaURtJUc3IT2dcSV4PZlHGwJ05kHTzw4pvWzAi99Zq7uGEwaksuCfPDsQFg6Ook33VjNA&#10;JzuvY6YOtW0DIOQAHWJBjpeC8INHFDbz6XSUjsYYUbDl43Q2jjeQ8nzYWOdfc92iMKmwBeoRnOwf&#10;nA9kSHl2ieS1FGwtpIwLu90spUV7AtqYrsP/hO6u3aQKzkqHYz1ivwMc4Y5gC2xjrb8V2ShP70fF&#10;YD2ZTQf5Oh8Pimk6G6RZcV9M0rzIV+vvgWCWl41gjKsHofhZd1n+d3U9dUCvmKg81FW4GEOiYlzX&#10;7N11kGn8/SnIVnhoQynaCs8uTqQMdX2lGIRNSk+E7OfJc/oxy5CD8zdmJaogFL4X0EazI4jAaigS&#10;tCE8GDBptP2KUQfNV2H3ZUcsx0i+USCkIsvz0K1xkY9BBBjZa8vm2kIUBagKe4z66dL3Hb4zVmwb&#10;uCmLiVH6DsRXiyiMIMye1Umy0GAxgtNjEDr4eh29fj5Zix8AAAD//wMAUEsDBBQABgAIAAAAIQAs&#10;/qwN2QAAAAgBAAAPAAAAZHJzL2Rvd25yZXYueG1sTI/BTsMwEETvSPyDtUjcqNMqRCHEqSoQZ0RB&#10;cN3GSxw1Xkex0wa+nuUEp9XojWZn6u3iB3WiKfaBDaxXGSjiNtieOwNvr083JaiYkC0OgcnAF0XY&#10;NpcXNVY2nPmFTvvUKQnhWKEBl9JYaR1bRx7jKozEwj7D5DGJnDptJzxLuB/0JssK7bFn+eBwpAdH&#10;7XE/ewPzkbOizD7iwi7seouPz+/8bcz11bK7B5VoSX9m+K0v1aGRTocws41qEJ1vbsVqIJcjvLzL&#10;ZdtBwLoA3dT6/4DmBwAA//8DAFBLAQItABQABgAIAAAAIQC2gziS/gAAAOEBAAATAAAAAAAAAAAA&#10;AAAAAAAAAABbQ29udGVudF9UeXBlc10ueG1sUEsBAi0AFAAGAAgAAAAhADj9If/WAAAAlAEAAAsA&#10;AAAAAAAAAAAAAAAALwEAAF9yZWxzLy5yZWxzUEsBAi0AFAAGAAgAAAAhAOTO2ud9AgAA+gQAAA4A&#10;AAAAAAAAAAAAAAAALgIAAGRycy9lMm9Eb2MueG1sUEsBAi0AFAAGAAgAAAAhACz+rA3ZAAAACAEA&#10;AA8AAAAAAAAAAAAAAAAA1wQAAGRycy9kb3ducmV2LnhtbFBLBQYAAAAABAAEAPMAAADdBQAAAAA=&#10;" fillcolor="#7f7f7f" stroked="f">
            <w10:wrap type="topAndBottom" anchorx="page"/>
          </v:rect>
        </w:pict>
      </w:r>
    </w:p>
    <w:p w:rsidR="002D4D5D" w:rsidRPr="00277F62" w:rsidRDefault="002D4D5D" w:rsidP="002D4D5D">
      <w:pPr>
        <w:pStyle w:val="BodyText"/>
        <w:spacing w:before="8"/>
        <w:jc w:val="both"/>
        <w:rPr>
          <w:b/>
          <w:sz w:val="2"/>
          <w:szCs w:val="2"/>
        </w:rPr>
      </w:pPr>
    </w:p>
    <w:p w:rsidR="002D4D5D" w:rsidRDefault="002D4D5D" w:rsidP="002D4D5D">
      <w:pPr>
        <w:pStyle w:val="BodyText"/>
        <w:spacing w:line="480" w:lineRule="auto"/>
        <w:jc w:val="both"/>
      </w:pPr>
      <w:r>
        <w:t xml:space="preserve">Table4.10representsthevarioussectorsoftheNigerianeconomybasedonthelevelofsecurity of the asset. Security here means the ability of the asset having a hedge against variousfactors </w:t>
      </w:r>
      <w:r>
        <w:lastRenderedPageBreak/>
        <w:t>suchastheft,legalconstraints,downturninprofit,andsoon.Themostsecureassetsareranked at the top of the table, while less secure assets are ranked at the bottom of the table. The financialservicessectorisranked1</w:t>
      </w:r>
      <w:r>
        <w:rPr>
          <w:vertAlign w:val="superscript"/>
        </w:rPr>
        <w:t>st</w:t>
      </w:r>
      <w:r>
        <w:t>onthetable,whiletherealestatesectorisranked2</w:t>
      </w:r>
      <w:r>
        <w:rPr>
          <w:vertAlign w:val="superscript"/>
        </w:rPr>
        <w:t>nd</w:t>
      </w:r>
      <w:r>
        <w:t>with ameanvalueof3.77.Theleastsecuresectorsoftheeconomyaccordingtotheresponsesgiven are the mining and agricultural sectors, having means of 1.93 and 1.37respectively.</w:t>
      </w:r>
    </w:p>
    <w:p w:rsidR="002D4D5D" w:rsidRDefault="002D4D5D" w:rsidP="007A470E">
      <w:pPr>
        <w:pStyle w:val="BodyText"/>
        <w:spacing w:line="480" w:lineRule="auto"/>
        <w:ind w:right="-20"/>
        <w:jc w:val="both"/>
      </w:pPr>
    </w:p>
    <w:sectPr w:rsidR="002D4D5D" w:rsidSect="007A470E">
      <w:footerReference w:type="default" r:id="rId18"/>
      <w:pgSz w:w="11910" w:h="16840"/>
      <w:pgMar w:top="1340" w:right="1290" w:bottom="1240" w:left="1280" w:header="0" w:footer="10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5F0" w:rsidRDefault="00EC15F0" w:rsidP="00EE41C5">
      <w:r>
        <w:separator/>
      </w:r>
    </w:p>
  </w:endnote>
  <w:endnote w:type="continuationSeparator" w:id="1">
    <w:p w:rsidR="00EC15F0" w:rsidRDefault="00EC15F0" w:rsidP="00EE4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628489"/>
      <w:docPartObj>
        <w:docPartGallery w:val="Page Numbers (Bottom of Page)"/>
        <w:docPartUnique/>
      </w:docPartObj>
    </w:sdtPr>
    <w:sdtEndPr>
      <w:rPr>
        <w:noProof/>
      </w:rPr>
    </w:sdtEndPr>
    <w:sdtContent>
      <w:p w:rsidR="00EE41C5" w:rsidRDefault="00AE366A">
        <w:pPr>
          <w:pStyle w:val="Footer"/>
          <w:jc w:val="center"/>
        </w:pPr>
        <w:r>
          <w:fldChar w:fldCharType="begin"/>
        </w:r>
        <w:r w:rsidR="00EE41C5">
          <w:instrText xml:space="preserve"> PAGE   \* MERGEFORMAT </w:instrText>
        </w:r>
        <w:r>
          <w:fldChar w:fldCharType="separate"/>
        </w:r>
        <w:r w:rsidR="002D4D5D">
          <w:rPr>
            <w:noProof/>
          </w:rPr>
          <w:t>32</w:t>
        </w:r>
        <w:r>
          <w:rPr>
            <w:noProof/>
          </w:rPr>
          <w:fldChar w:fldCharType="end"/>
        </w:r>
      </w:p>
    </w:sdtContent>
  </w:sdt>
  <w:p w:rsidR="00EE41C5" w:rsidRDefault="00EE4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5F0" w:rsidRDefault="00EC15F0" w:rsidP="00EE41C5">
      <w:r>
        <w:separator/>
      </w:r>
    </w:p>
  </w:footnote>
  <w:footnote w:type="continuationSeparator" w:id="1">
    <w:p w:rsidR="00EC15F0" w:rsidRDefault="00EC15F0" w:rsidP="00EE4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3C3"/>
    <w:multiLevelType w:val="hybridMultilevel"/>
    <w:tmpl w:val="848EA6A4"/>
    <w:lvl w:ilvl="0" w:tplc="79D2EEDC">
      <w:start w:val="1"/>
      <w:numFmt w:val="upperRoman"/>
      <w:lvlText w:val="%1."/>
      <w:lvlJc w:val="left"/>
      <w:pPr>
        <w:ind w:left="720" w:hanging="720"/>
        <w:jc w:val="left"/>
      </w:pPr>
      <w:rPr>
        <w:rFonts w:ascii="Times New Roman" w:eastAsia="Times New Roman" w:hAnsi="Times New Roman" w:cs="Times New Roman" w:hint="default"/>
        <w:spacing w:val="-25"/>
        <w:w w:val="100"/>
        <w:sz w:val="24"/>
        <w:szCs w:val="24"/>
        <w:lang w:val="en-US" w:eastAsia="en-US" w:bidi="ar-SA"/>
      </w:rPr>
    </w:lvl>
    <w:lvl w:ilvl="1" w:tplc="142E667C">
      <w:numFmt w:val="bullet"/>
      <w:lvlText w:val="•"/>
      <w:lvlJc w:val="left"/>
      <w:pPr>
        <w:ind w:left="1594" w:hanging="720"/>
      </w:pPr>
      <w:rPr>
        <w:rFonts w:hint="default"/>
        <w:lang w:val="en-US" w:eastAsia="en-US" w:bidi="ar-SA"/>
      </w:rPr>
    </w:lvl>
    <w:lvl w:ilvl="2" w:tplc="3D02070C">
      <w:numFmt w:val="bullet"/>
      <w:lvlText w:val="•"/>
      <w:lvlJc w:val="left"/>
      <w:pPr>
        <w:ind w:left="2469" w:hanging="720"/>
      </w:pPr>
      <w:rPr>
        <w:rFonts w:hint="default"/>
        <w:lang w:val="en-US" w:eastAsia="en-US" w:bidi="ar-SA"/>
      </w:rPr>
    </w:lvl>
    <w:lvl w:ilvl="3" w:tplc="A1B05AE2">
      <w:numFmt w:val="bullet"/>
      <w:lvlText w:val="•"/>
      <w:lvlJc w:val="left"/>
      <w:pPr>
        <w:ind w:left="3343" w:hanging="720"/>
      </w:pPr>
      <w:rPr>
        <w:rFonts w:hint="default"/>
        <w:lang w:val="en-US" w:eastAsia="en-US" w:bidi="ar-SA"/>
      </w:rPr>
    </w:lvl>
    <w:lvl w:ilvl="4" w:tplc="EE12E20C">
      <w:numFmt w:val="bullet"/>
      <w:lvlText w:val="•"/>
      <w:lvlJc w:val="left"/>
      <w:pPr>
        <w:ind w:left="4218" w:hanging="720"/>
      </w:pPr>
      <w:rPr>
        <w:rFonts w:hint="default"/>
        <w:lang w:val="en-US" w:eastAsia="en-US" w:bidi="ar-SA"/>
      </w:rPr>
    </w:lvl>
    <w:lvl w:ilvl="5" w:tplc="A4D4F32A">
      <w:numFmt w:val="bullet"/>
      <w:lvlText w:val="•"/>
      <w:lvlJc w:val="left"/>
      <w:pPr>
        <w:ind w:left="5093" w:hanging="720"/>
      </w:pPr>
      <w:rPr>
        <w:rFonts w:hint="default"/>
        <w:lang w:val="en-US" w:eastAsia="en-US" w:bidi="ar-SA"/>
      </w:rPr>
    </w:lvl>
    <w:lvl w:ilvl="6" w:tplc="4432A058">
      <w:numFmt w:val="bullet"/>
      <w:lvlText w:val="•"/>
      <w:lvlJc w:val="left"/>
      <w:pPr>
        <w:ind w:left="5967" w:hanging="720"/>
      </w:pPr>
      <w:rPr>
        <w:rFonts w:hint="default"/>
        <w:lang w:val="en-US" w:eastAsia="en-US" w:bidi="ar-SA"/>
      </w:rPr>
    </w:lvl>
    <w:lvl w:ilvl="7" w:tplc="E402A7C8">
      <w:numFmt w:val="bullet"/>
      <w:lvlText w:val="•"/>
      <w:lvlJc w:val="left"/>
      <w:pPr>
        <w:ind w:left="6842" w:hanging="720"/>
      </w:pPr>
      <w:rPr>
        <w:rFonts w:hint="default"/>
        <w:lang w:val="en-US" w:eastAsia="en-US" w:bidi="ar-SA"/>
      </w:rPr>
    </w:lvl>
    <w:lvl w:ilvl="8" w:tplc="170EF4A6">
      <w:numFmt w:val="bullet"/>
      <w:lvlText w:val="•"/>
      <w:lvlJc w:val="left"/>
      <w:pPr>
        <w:ind w:left="7717" w:hanging="720"/>
      </w:pPr>
      <w:rPr>
        <w:rFonts w:hint="default"/>
        <w:lang w:val="en-US" w:eastAsia="en-US" w:bidi="ar-SA"/>
      </w:rPr>
    </w:lvl>
  </w:abstractNum>
  <w:abstractNum w:abstractNumId="1">
    <w:nsid w:val="18122C27"/>
    <w:multiLevelType w:val="multilevel"/>
    <w:tmpl w:val="BD24B2D0"/>
    <w:lvl w:ilvl="0">
      <w:start w:val="5"/>
      <w:numFmt w:val="decimal"/>
      <w:lvlText w:val="%1"/>
      <w:lvlJc w:val="left"/>
      <w:pPr>
        <w:ind w:left="520" w:hanging="360"/>
        <w:jc w:val="left"/>
      </w:pPr>
      <w:rPr>
        <w:rFonts w:hint="default"/>
        <w:lang w:val="en-US" w:eastAsia="en-US" w:bidi="ar-SA"/>
      </w:rPr>
    </w:lvl>
    <w:lvl w:ilvl="1">
      <w:numFmt w:val="decimal"/>
      <w:lvlText w:val="%1.%2"/>
      <w:lvlJc w:val="left"/>
      <w:pPr>
        <w:ind w:left="520" w:hanging="360"/>
        <w:jc w:val="left"/>
      </w:pPr>
      <w:rPr>
        <w:rFonts w:ascii="Times New Roman" w:eastAsia="Times New Roman" w:hAnsi="Times New Roman" w:cs="Times New Roman" w:hint="default"/>
        <w:spacing w:val="-5"/>
        <w:w w:val="100"/>
        <w:sz w:val="24"/>
        <w:szCs w:val="24"/>
        <w:lang w:val="en-US" w:eastAsia="en-US" w:bidi="ar-SA"/>
      </w:rPr>
    </w:lvl>
    <w:lvl w:ilvl="2">
      <w:numFmt w:val="bullet"/>
      <w:lvlText w:val="•"/>
      <w:lvlJc w:val="left"/>
      <w:pPr>
        <w:ind w:left="2485" w:hanging="360"/>
      </w:pPr>
      <w:rPr>
        <w:rFonts w:hint="default"/>
        <w:lang w:val="en-US" w:eastAsia="en-US" w:bidi="ar-SA"/>
      </w:rPr>
    </w:lvl>
    <w:lvl w:ilvl="3">
      <w:numFmt w:val="bullet"/>
      <w:lvlText w:val="•"/>
      <w:lvlJc w:val="left"/>
      <w:pPr>
        <w:ind w:left="3467" w:hanging="360"/>
      </w:pPr>
      <w:rPr>
        <w:rFonts w:hint="default"/>
        <w:lang w:val="en-US" w:eastAsia="en-US" w:bidi="ar-SA"/>
      </w:rPr>
    </w:lvl>
    <w:lvl w:ilvl="4">
      <w:numFmt w:val="bullet"/>
      <w:lvlText w:val="•"/>
      <w:lvlJc w:val="left"/>
      <w:pPr>
        <w:ind w:left="4450" w:hanging="360"/>
      </w:pPr>
      <w:rPr>
        <w:rFonts w:hint="default"/>
        <w:lang w:val="en-US" w:eastAsia="en-US" w:bidi="ar-SA"/>
      </w:rPr>
    </w:lvl>
    <w:lvl w:ilvl="5">
      <w:numFmt w:val="bullet"/>
      <w:lvlText w:val="•"/>
      <w:lvlJc w:val="left"/>
      <w:pPr>
        <w:ind w:left="5433" w:hanging="360"/>
      </w:pPr>
      <w:rPr>
        <w:rFonts w:hint="default"/>
        <w:lang w:val="en-US" w:eastAsia="en-US" w:bidi="ar-SA"/>
      </w:rPr>
    </w:lvl>
    <w:lvl w:ilvl="6">
      <w:numFmt w:val="bullet"/>
      <w:lvlText w:val="•"/>
      <w:lvlJc w:val="left"/>
      <w:pPr>
        <w:ind w:left="6415" w:hanging="360"/>
      </w:pPr>
      <w:rPr>
        <w:rFonts w:hint="default"/>
        <w:lang w:val="en-US" w:eastAsia="en-US" w:bidi="ar-SA"/>
      </w:rPr>
    </w:lvl>
    <w:lvl w:ilvl="7">
      <w:numFmt w:val="bullet"/>
      <w:lvlText w:val="•"/>
      <w:lvlJc w:val="left"/>
      <w:pPr>
        <w:ind w:left="7398" w:hanging="360"/>
      </w:pPr>
      <w:rPr>
        <w:rFonts w:hint="default"/>
        <w:lang w:val="en-US" w:eastAsia="en-US" w:bidi="ar-SA"/>
      </w:rPr>
    </w:lvl>
    <w:lvl w:ilvl="8">
      <w:numFmt w:val="bullet"/>
      <w:lvlText w:val="•"/>
      <w:lvlJc w:val="left"/>
      <w:pPr>
        <w:ind w:left="8381" w:hanging="360"/>
      </w:pPr>
      <w:rPr>
        <w:rFonts w:hint="default"/>
        <w:lang w:val="en-US" w:eastAsia="en-US" w:bidi="ar-SA"/>
      </w:rPr>
    </w:lvl>
  </w:abstractNum>
  <w:abstractNum w:abstractNumId="2">
    <w:nsid w:val="216C6269"/>
    <w:multiLevelType w:val="multilevel"/>
    <w:tmpl w:val="645ED3DA"/>
    <w:lvl w:ilvl="0">
      <w:start w:val="2"/>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hint="default"/>
        <w:lang w:val="en-US" w:eastAsia="en-US" w:bidi="ar-SA"/>
      </w:rPr>
    </w:lvl>
    <w:lvl w:ilvl="2">
      <w:start w:val="1"/>
      <w:numFmt w:val="decimal"/>
      <w:lvlText w:val="%1.%2.%3"/>
      <w:lvlJc w:val="left"/>
      <w:pPr>
        <w:ind w:left="1620" w:hanging="720"/>
        <w:jc w:val="left"/>
      </w:pPr>
      <w:rPr>
        <w:rFonts w:ascii="Times New Roman" w:eastAsia="Times New Roman" w:hAnsi="Times New Roman" w:cs="Times New Roman" w:hint="default"/>
        <w:b/>
        <w:bCs/>
        <w:spacing w:val="-4"/>
        <w:w w:val="100"/>
        <w:sz w:val="24"/>
        <w:szCs w:val="24"/>
        <w:lang w:val="en-US" w:eastAsia="en-US" w:bidi="ar-SA"/>
      </w:rPr>
    </w:lvl>
    <w:lvl w:ilvl="3">
      <w:start w:val="1"/>
      <w:numFmt w:val="lowerLetter"/>
      <w:lvlText w:val="%4."/>
      <w:lvlJc w:val="left"/>
      <w:pPr>
        <w:ind w:left="360" w:hanging="360"/>
        <w:jc w:val="left"/>
      </w:pPr>
      <w:rPr>
        <w:rFonts w:ascii="Times New Roman" w:eastAsia="Times New Roman" w:hAnsi="Times New Roman" w:cs="Times New Roman" w:hint="default"/>
        <w:spacing w:val="-5"/>
        <w:w w:val="100"/>
        <w:sz w:val="24"/>
        <w:szCs w:val="24"/>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3">
    <w:nsid w:val="2FAE74E2"/>
    <w:multiLevelType w:val="multilevel"/>
    <w:tmpl w:val="FB743658"/>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spacing w:val="-1"/>
        <w:w w:val="100"/>
        <w:sz w:val="24"/>
        <w:szCs w:val="24"/>
        <w:lang w:val="en-US" w:eastAsia="en-US" w:bidi="ar-SA"/>
      </w:rPr>
    </w:lvl>
    <w:lvl w:ilvl="2">
      <w:start w:val="1"/>
      <w:numFmt w:val="lowerLetter"/>
      <w:lvlText w:val="(%3)"/>
      <w:lvlJc w:val="left"/>
      <w:pPr>
        <w:ind w:left="322" w:hanging="322"/>
        <w:jc w:val="left"/>
      </w:pPr>
      <w:rPr>
        <w:rFonts w:ascii="Times New Roman" w:eastAsia="Times New Roman" w:hAnsi="Times New Roman" w:cs="Times New Roman" w:hint="default"/>
        <w:spacing w:val="-2"/>
        <w:w w:val="100"/>
        <w:sz w:val="24"/>
        <w:szCs w:val="24"/>
        <w:lang w:val="en-US" w:eastAsia="en-US" w:bidi="ar-SA"/>
      </w:rPr>
    </w:lvl>
    <w:lvl w:ilvl="3">
      <w:numFmt w:val="bullet"/>
      <w:lvlText w:val="•"/>
      <w:lvlJc w:val="left"/>
      <w:pPr>
        <w:ind w:left="3719" w:hanging="322"/>
      </w:pPr>
      <w:rPr>
        <w:rFonts w:hint="default"/>
        <w:lang w:val="en-US" w:eastAsia="en-US" w:bidi="ar-SA"/>
      </w:rPr>
    </w:lvl>
    <w:lvl w:ilvl="4">
      <w:numFmt w:val="bullet"/>
      <w:lvlText w:val="•"/>
      <w:lvlJc w:val="left"/>
      <w:pPr>
        <w:ind w:left="4666" w:hanging="322"/>
      </w:pPr>
      <w:rPr>
        <w:rFonts w:hint="default"/>
        <w:lang w:val="en-US" w:eastAsia="en-US" w:bidi="ar-SA"/>
      </w:rPr>
    </w:lvl>
    <w:lvl w:ilvl="5">
      <w:numFmt w:val="bullet"/>
      <w:lvlText w:val="•"/>
      <w:lvlJc w:val="left"/>
      <w:pPr>
        <w:ind w:left="5613" w:hanging="322"/>
      </w:pPr>
      <w:rPr>
        <w:rFonts w:hint="default"/>
        <w:lang w:val="en-US" w:eastAsia="en-US" w:bidi="ar-SA"/>
      </w:rPr>
    </w:lvl>
    <w:lvl w:ilvl="6">
      <w:numFmt w:val="bullet"/>
      <w:lvlText w:val="•"/>
      <w:lvlJc w:val="left"/>
      <w:pPr>
        <w:ind w:left="6559" w:hanging="322"/>
      </w:pPr>
      <w:rPr>
        <w:rFonts w:hint="default"/>
        <w:lang w:val="en-US" w:eastAsia="en-US" w:bidi="ar-SA"/>
      </w:rPr>
    </w:lvl>
    <w:lvl w:ilvl="7">
      <w:numFmt w:val="bullet"/>
      <w:lvlText w:val="•"/>
      <w:lvlJc w:val="left"/>
      <w:pPr>
        <w:ind w:left="7506" w:hanging="322"/>
      </w:pPr>
      <w:rPr>
        <w:rFonts w:hint="default"/>
        <w:lang w:val="en-US" w:eastAsia="en-US" w:bidi="ar-SA"/>
      </w:rPr>
    </w:lvl>
    <w:lvl w:ilvl="8">
      <w:numFmt w:val="bullet"/>
      <w:lvlText w:val="•"/>
      <w:lvlJc w:val="left"/>
      <w:pPr>
        <w:ind w:left="8453" w:hanging="322"/>
      </w:pPr>
      <w:rPr>
        <w:rFonts w:hint="default"/>
        <w:lang w:val="en-US" w:eastAsia="en-US" w:bidi="ar-SA"/>
      </w:rPr>
    </w:lvl>
  </w:abstractNum>
  <w:abstractNum w:abstractNumId="4">
    <w:nsid w:val="403D272C"/>
    <w:multiLevelType w:val="multilevel"/>
    <w:tmpl w:val="0C8823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7974F4"/>
    <w:multiLevelType w:val="multilevel"/>
    <w:tmpl w:val="3934D5B0"/>
    <w:lvl w:ilvl="0">
      <w:start w:val="1"/>
      <w:numFmt w:val="decimal"/>
      <w:lvlText w:val="%1"/>
      <w:lvlJc w:val="left"/>
      <w:pPr>
        <w:ind w:left="880" w:hanging="720"/>
        <w:jc w:val="left"/>
      </w:pPr>
      <w:rPr>
        <w:rFonts w:hint="default"/>
        <w:lang w:val="en-US" w:eastAsia="en-US" w:bidi="ar-SA"/>
      </w:rPr>
    </w:lvl>
    <w:lvl w:ilvl="1">
      <w:start w:val="2"/>
      <w:numFmt w:val="decimal"/>
      <w:lvlText w:val="%1.%2"/>
      <w:lvlJc w:val="left"/>
      <w:pPr>
        <w:ind w:left="720" w:hanging="720"/>
        <w:jc w:val="left"/>
      </w:pPr>
      <w:rPr>
        <w:rFonts w:ascii="Times New Roman" w:eastAsia="Times New Roman" w:hAnsi="Times New Roman" w:cs="Times New Roman" w:hint="default"/>
        <w:b/>
        <w:bCs/>
        <w:spacing w:val="-3"/>
        <w:w w:val="100"/>
        <w:sz w:val="24"/>
        <w:szCs w:val="24"/>
        <w:lang w:val="en-US" w:eastAsia="en-US" w:bidi="ar-SA"/>
      </w:rPr>
    </w:lvl>
    <w:lvl w:ilvl="2">
      <w:start w:val="1"/>
      <w:numFmt w:val="decimal"/>
      <w:lvlText w:val="%3."/>
      <w:lvlJc w:val="left"/>
      <w:pPr>
        <w:ind w:left="1240" w:hanging="360"/>
        <w:jc w:val="left"/>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326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6">
    <w:nsid w:val="51EC1F3F"/>
    <w:multiLevelType w:val="hybridMultilevel"/>
    <w:tmpl w:val="C4EE7B9A"/>
    <w:lvl w:ilvl="0" w:tplc="2C647F68">
      <w:start w:val="1"/>
      <w:numFmt w:val="upperRoman"/>
      <w:lvlText w:val="%1."/>
      <w:lvlJc w:val="left"/>
      <w:pPr>
        <w:ind w:left="720" w:hanging="720"/>
        <w:jc w:val="left"/>
      </w:pPr>
      <w:rPr>
        <w:rFonts w:ascii="Times New Roman" w:eastAsia="Times New Roman" w:hAnsi="Times New Roman" w:cs="Times New Roman" w:hint="default"/>
        <w:b/>
        <w:bCs/>
        <w:spacing w:val="-30"/>
        <w:w w:val="100"/>
        <w:sz w:val="24"/>
        <w:szCs w:val="24"/>
        <w:lang w:val="en-US" w:eastAsia="en-US" w:bidi="ar-SA"/>
      </w:rPr>
    </w:lvl>
    <w:lvl w:ilvl="1" w:tplc="35D801B0">
      <w:numFmt w:val="bullet"/>
      <w:lvlText w:val="•"/>
      <w:lvlJc w:val="left"/>
      <w:pPr>
        <w:ind w:left="1594" w:hanging="720"/>
      </w:pPr>
      <w:rPr>
        <w:rFonts w:hint="default"/>
        <w:lang w:val="en-US" w:eastAsia="en-US" w:bidi="ar-SA"/>
      </w:rPr>
    </w:lvl>
    <w:lvl w:ilvl="2" w:tplc="1BB2C526">
      <w:numFmt w:val="bullet"/>
      <w:lvlText w:val="•"/>
      <w:lvlJc w:val="left"/>
      <w:pPr>
        <w:ind w:left="2469" w:hanging="720"/>
      </w:pPr>
      <w:rPr>
        <w:rFonts w:hint="default"/>
        <w:lang w:val="en-US" w:eastAsia="en-US" w:bidi="ar-SA"/>
      </w:rPr>
    </w:lvl>
    <w:lvl w:ilvl="3" w:tplc="C37CDE6A">
      <w:numFmt w:val="bullet"/>
      <w:lvlText w:val="•"/>
      <w:lvlJc w:val="left"/>
      <w:pPr>
        <w:ind w:left="3343" w:hanging="720"/>
      </w:pPr>
      <w:rPr>
        <w:rFonts w:hint="default"/>
        <w:lang w:val="en-US" w:eastAsia="en-US" w:bidi="ar-SA"/>
      </w:rPr>
    </w:lvl>
    <w:lvl w:ilvl="4" w:tplc="4C082022">
      <w:numFmt w:val="bullet"/>
      <w:lvlText w:val="•"/>
      <w:lvlJc w:val="left"/>
      <w:pPr>
        <w:ind w:left="4218" w:hanging="720"/>
      </w:pPr>
      <w:rPr>
        <w:rFonts w:hint="default"/>
        <w:lang w:val="en-US" w:eastAsia="en-US" w:bidi="ar-SA"/>
      </w:rPr>
    </w:lvl>
    <w:lvl w:ilvl="5" w:tplc="344C9B50">
      <w:numFmt w:val="bullet"/>
      <w:lvlText w:val="•"/>
      <w:lvlJc w:val="left"/>
      <w:pPr>
        <w:ind w:left="5093" w:hanging="720"/>
      </w:pPr>
      <w:rPr>
        <w:rFonts w:hint="default"/>
        <w:lang w:val="en-US" w:eastAsia="en-US" w:bidi="ar-SA"/>
      </w:rPr>
    </w:lvl>
    <w:lvl w:ilvl="6" w:tplc="DC346336">
      <w:numFmt w:val="bullet"/>
      <w:lvlText w:val="•"/>
      <w:lvlJc w:val="left"/>
      <w:pPr>
        <w:ind w:left="5967" w:hanging="720"/>
      </w:pPr>
      <w:rPr>
        <w:rFonts w:hint="default"/>
        <w:lang w:val="en-US" w:eastAsia="en-US" w:bidi="ar-SA"/>
      </w:rPr>
    </w:lvl>
    <w:lvl w:ilvl="7" w:tplc="A342AF12">
      <w:numFmt w:val="bullet"/>
      <w:lvlText w:val="•"/>
      <w:lvlJc w:val="left"/>
      <w:pPr>
        <w:ind w:left="6842" w:hanging="720"/>
      </w:pPr>
      <w:rPr>
        <w:rFonts w:hint="default"/>
        <w:lang w:val="en-US" w:eastAsia="en-US" w:bidi="ar-SA"/>
      </w:rPr>
    </w:lvl>
    <w:lvl w:ilvl="8" w:tplc="D9ECE8BC">
      <w:numFmt w:val="bullet"/>
      <w:lvlText w:val="•"/>
      <w:lvlJc w:val="left"/>
      <w:pPr>
        <w:ind w:left="7717" w:hanging="720"/>
      </w:pPr>
      <w:rPr>
        <w:rFonts w:hint="default"/>
        <w:lang w:val="en-US" w:eastAsia="en-US" w:bidi="ar-SA"/>
      </w:rPr>
    </w:lvl>
  </w:abstractNum>
  <w:abstractNum w:abstractNumId="7">
    <w:nsid w:val="52913945"/>
    <w:multiLevelType w:val="hybridMultilevel"/>
    <w:tmpl w:val="936404BC"/>
    <w:lvl w:ilvl="0" w:tplc="F806B598">
      <w:start w:val="1"/>
      <w:numFmt w:val="decimal"/>
      <w:lvlText w:val="%1."/>
      <w:lvlJc w:val="left"/>
      <w:pPr>
        <w:ind w:left="880" w:hanging="247"/>
        <w:jc w:val="left"/>
      </w:pPr>
      <w:rPr>
        <w:rFonts w:ascii="Times New Roman" w:eastAsia="Times New Roman" w:hAnsi="Times New Roman" w:cs="Times New Roman" w:hint="default"/>
        <w:b/>
        <w:bCs/>
        <w:w w:val="100"/>
        <w:sz w:val="24"/>
        <w:szCs w:val="24"/>
        <w:lang w:val="en-US" w:eastAsia="en-US" w:bidi="ar-SA"/>
      </w:rPr>
    </w:lvl>
    <w:lvl w:ilvl="1" w:tplc="32EE3334">
      <w:numFmt w:val="bullet"/>
      <w:lvlText w:val="•"/>
      <w:lvlJc w:val="left"/>
      <w:pPr>
        <w:ind w:left="1826" w:hanging="247"/>
      </w:pPr>
      <w:rPr>
        <w:rFonts w:hint="default"/>
        <w:lang w:val="en-US" w:eastAsia="en-US" w:bidi="ar-SA"/>
      </w:rPr>
    </w:lvl>
    <w:lvl w:ilvl="2" w:tplc="ADC6F55A">
      <w:numFmt w:val="bullet"/>
      <w:lvlText w:val="•"/>
      <w:lvlJc w:val="left"/>
      <w:pPr>
        <w:ind w:left="2773" w:hanging="247"/>
      </w:pPr>
      <w:rPr>
        <w:rFonts w:hint="default"/>
        <w:lang w:val="en-US" w:eastAsia="en-US" w:bidi="ar-SA"/>
      </w:rPr>
    </w:lvl>
    <w:lvl w:ilvl="3" w:tplc="0B10BEF2">
      <w:numFmt w:val="bullet"/>
      <w:lvlText w:val="•"/>
      <w:lvlJc w:val="left"/>
      <w:pPr>
        <w:ind w:left="3719" w:hanging="247"/>
      </w:pPr>
      <w:rPr>
        <w:rFonts w:hint="default"/>
        <w:lang w:val="en-US" w:eastAsia="en-US" w:bidi="ar-SA"/>
      </w:rPr>
    </w:lvl>
    <w:lvl w:ilvl="4" w:tplc="C7BAE3CA">
      <w:numFmt w:val="bullet"/>
      <w:lvlText w:val="•"/>
      <w:lvlJc w:val="left"/>
      <w:pPr>
        <w:ind w:left="4666" w:hanging="247"/>
      </w:pPr>
      <w:rPr>
        <w:rFonts w:hint="default"/>
        <w:lang w:val="en-US" w:eastAsia="en-US" w:bidi="ar-SA"/>
      </w:rPr>
    </w:lvl>
    <w:lvl w:ilvl="5" w:tplc="5C2435B8">
      <w:numFmt w:val="bullet"/>
      <w:lvlText w:val="•"/>
      <w:lvlJc w:val="left"/>
      <w:pPr>
        <w:ind w:left="5613" w:hanging="247"/>
      </w:pPr>
      <w:rPr>
        <w:rFonts w:hint="default"/>
        <w:lang w:val="en-US" w:eastAsia="en-US" w:bidi="ar-SA"/>
      </w:rPr>
    </w:lvl>
    <w:lvl w:ilvl="6" w:tplc="36769E60">
      <w:numFmt w:val="bullet"/>
      <w:lvlText w:val="•"/>
      <w:lvlJc w:val="left"/>
      <w:pPr>
        <w:ind w:left="6559" w:hanging="247"/>
      </w:pPr>
      <w:rPr>
        <w:rFonts w:hint="default"/>
        <w:lang w:val="en-US" w:eastAsia="en-US" w:bidi="ar-SA"/>
      </w:rPr>
    </w:lvl>
    <w:lvl w:ilvl="7" w:tplc="6A604D3E">
      <w:numFmt w:val="bullet"/>
      <w:lvlText w:val="•"/>
      <w:lvlJc w:val="left"/>
      <w:pPr>
        <w:ind w:left="7506" w:hanging="247"/>
      </w:pPr>
      <w:rPr>
        <w:rFonts w:hint="default"/>
        <w:lang w:val="en-US" w:eastAsia="en-US" w:bidi="ar-SA"/>
      </w:rPr>
    </w:lvl>
    <w:lvl w:ilvl="8" w:tplc="CDF60BF4">
      <w:numFmt w:val="bullet"/>
      <w:lvlText w:val="•"/>
      <w:lvlJc w:val="left"/>
      <w:pPr>
        <w:ind w:left="8453" w:hanging="247"/>
      </w:pPr>
      <w:rPr>
        <w:rFonts w:hint="default"/>
        <w:lang w:val="en-US" w:eastAsia="en-US" w:bidi="ar-SA"/>
      </w:rPr>
    </w:lvl>
  </w:abstractNum>
  <w:abstractNum w:abstractNumId="8">
    <w:nsid w:val="61AE2AA4"/>
    <w:multiLevelType w:val="hybridMultilevel"/>
    <w:tmpl w:val="18D62368"/>
    <w:lvl w:ilvl="0" w:tplc="AF8AC424">
      <w:start w:val="1"/>
      <w:numFmt w:val="upperRoman"/>
      <w:lvlText w:val="%1."/>
      <w:lvlJc w:val="left"/>
      <w:pPr>
        <w:ind w:left="1600" w:hanging="720"/>
        <w:jc w:val="left"/>
      </w:pPr>
      <w:rPr>
        <w:rFonts w:ascii="Times New Roman" w:eastAsia="Times New Roman" w:hAnsi="Times New Roman" w:cs="Times New Roman" w:hint="default"/>
        <w:spacing w:val="-17"/>
        <w:w w:val="100"/>
        <w:sz w:val="24"/>
        <w:szCs w:val="24"/>
        <w:lang w:val="en-US" w:eastAsia="en-US" w:bidi="ar-SA"/>
      </w:rPr>
    </w:lvl>
    <w:lvl w:ilvl="1" w:tplc="36408F82">
      <w:numFmt w:val="bullet"/>
      <w:lvlText w:val="•"/>
      <w:lvlJc w:val="left"/>
      <w:pPr>
        <w:ind w:left="2474" w:hanging="720"/>
      </w:pPr>
      <w:rPr>
        <w:rFonts w:hint="default"/>
        <w:lang w:val="en-US" w:eastAsia="en-US" w:bidi="ar-SA"/>
      </w:rPr>
    </w:lvl>
    <w:lvl w:ilvl="2" w:tplc="DD58FF88">
      <w:numFmt w:val="bullet"/>
      <w:lvlText w:val="•"/>
      <w:lvlJc w:val="left"/>
      <w:pPr>
        <w:ind w:left="3349" w:hanging="720"/>
      </w:pPr>
      <w:rPr>
        <w:rFonts w:hint="default"/>
        <w:lang w:val="en-US" w:eastAsia="en-US" w:bidi="ar-SA"/>
      </w:rPr>
    </w:lvl>
    <w:lvl w:ilvl="3" w:tplc="998E51E4">
      <w:numFmt w:val="bullet"/>
      <w:lvlText w:val="•"/>
      <w:lvlJc w:val="left"/>
      <w:pPr>
        <w:ind w:left="4223" w:hanging="720"/>
      </w:pPr>
      <w:rPr>
        <w:rFonts w:hint="default"/>
        <w:lang w:val="en-US" w:eastAsia="en-US" w:bidi="ar-SA"/>
      </w:rPr>
    </w:lvl>
    <w:lvl w:ilvl="4" w:tplc="2C783BD0">
      <w:numFmt w:val="bullet"/>
      <w:lvlText w:val="•"/>
      <w:lvlJc w:val="left"/>
      <w:pPr>
        <w:ind w:left="5098" w:hanging="720"/>
      </w:pPr>
      <w:rPr>
        <w:rFonts w:hint="default"/>
        <w:lang w:val="en-US" w:eastAsia="en-US" w:bidi="ar-SA"/>
      </w:rPr>
    </w:lvl>
    <w:lvl w:ilvl="5" w:tplc="029A201E">
      <w:numFmt w:val="bullet"/>
      <w:lvlText w:val="•"/>
      <w:lvlJc w:val="left"/>
      <w:pPr>
        <w:ind w:left="5973" w:hanging="720"/>
      </w:pPr>
      <w:rPr>
        <w:rFonts w:hint="default"/>
        <w:lang w:val="en-US" w:eastAsia="en-US" w:bidi="ar-SA"/>
      </w:rPr>
    </w:lvl>
    <w:lvl w:ilvl="6" w:tplc="91EEECC2">
      <w:numFmt w:val="bullet"/>
      <w:lvlText w:val="•"/>
      <w:lvlJc w:val="left"/>
      <w:pPr>
        <w:ind w:left="6847" w:hanging="720"/>
      </w:pPr>
      <w:rPr>
        <w:rFonts w:hint="default"/>
        <w:lang w:val="en-US" w:eastAsia="en-US" w:bidi="ar-SA"/>
      </w:rPr>
    </w:lvl>
    <w:lvl w:ilvl="7" w:tplc="7F9C125E">
      <w:numFmt w:val="bullet"/>
      <w:lvlText w:val="•"/>
      <w:lvlJc w:val="left"/>
      <w:pPr>
        <w:ind w:left="7722" w:hanging="720"/>
      </w:pPr>
      <w:rPr>
        <w:rFonts w:hint="default"/>
        <w:lang w:val="en-US" w:eastAsia="en-US" w:bidi="ar-SA"/>
      </w:rPr>
    </w:lvl>
    <w:lvl w:ilvl="8" w:tplc="248C7046">
      <w:numFmt w:val="bullet"/>
      <w:lvlText w:val="•"/>
      <w:lvlJc w:val="left"/>
      <w:pPr>
        <w:ind w:left="8597" w:hanging="720"/>
      </w:pPr>
      <w:rPr>
        <w:rFonts w:hint="default"/>
        <w:lang w:val="en-US" w:eastAsia="en-US" w:bidi="ar-SA"/>
      </w:rPr>
    </w:lvl>
  </w:abstractNum>
  <w:abstractNum w:abstractNumId="9">
    <w:nsid w:val="6C7B716B"/>
    <w:multiLevelType w:val="hybridMultilevel"/>
    <w:tmpl w:val="B43ABABA"/>
    <w:lvl w:ilvl="0" w:tplc="1970659A">
      <w:start w:val="1"/>
      <w:numFmt w:val="decimal"/>
      <w:lvlText w:val="%1."/>
      <w:lvlJc w:val="left"/>
      <w:pPr>
        <w:ind w:left="360" w:hanging="360"/>
        <w:jc w:val="left"/>
      </w:pPr>
      <w:rPr>
        <w:rFonts w:ascii="Times New Roman" w:eastAsia="Times New Roman" w:hAnsi="Times New Roman" w:cs="Times New Roman" w:hint="default"/>
        <w:spacing w:val="-13"/>
        <w:w w:val="100"/>
        <w:sz w:val="24"/>
        <w:szCs w:val="24"/>
        <w:lang w:val="en-US" w:eastAsia="en-US" w:bidi="ar-SA"/>
      </w:rPr>
    </w:lvl>
    <w:lvl w:ilvl="1" w:tplc="4434E292">
      <w:numFmt w:val="bullet"/>
      <w:lvlText w:val="•"/>
      <w:lvlJc w:val="left"/>
      <w:pPr>
        <w:ind w:left="1270" w:hanging="360"/>
      </w:pPr>
      <w:rPr>
        <w:rFonts w:hint="default"/>
        <w:lang w:val="en-US" w:eastAsia="en-US" w:bidi="ar-SA"/>
      </w:rPr>
    </w:lvl>
    <w:lvl w:ilvl="2" w:tplc="9072E92A">
      <w:numFmt w:val="bullet"/>
      <w:lvlText w:val="•"/>
      <w:lvlJc w:val="left"/>
      <w:pPr>
        <w:ind w:left="2181" w:hanging="360"/>
      </w:pPr>
      <w:rPr>
        <w:rFonts w:hint="default"/>
        <w:lang w:val="en-US" w:eastAsia="en-US" w:bidi="ar-SA"/>
      </w:rPr>
    </w:lvl>
    <w:lvl w:ilvl="3" w:tplc="78C46DDE">
      <w:numFmt w:val="bullet"/>
      <w:lvlText w:val="•"/>
      <w:lvlJc w:val="left"/>
      <w:pPr>
        <w:ind w:left="3091" w:hanging="360"/>
      </w:pPr>
      <w:rPr>
        <w:rFonts w:hint="default"/>
        <w:lang w:val="en-US" w:eastAsia="en-US" w:bidi="ar-SA"/>
      </w:rPr>
    </w:lvl>
    <w:lvl w:ilvl="4" w:tplc="4C46ACD0">
      <w:numFmt w:val="bullet"/>
      <w:lvlText w:val="•"/>
      <w:lvlJc w:val="left"/>
      <w:pPr>
        <w:ind w:left="4002" w:hanging="360"/>
      </w:pPr>
      <w:rPr>
        <w:rFonts w:hint="default"/>
        <w:lang w:val="en-US" w:eastAsia="en-US" w:bidi="ar-SA"/>
      </w:rPr>
    </w:lvl>
    <w:lvl w:ilvl="5" w:tplc="2F3C7848">
      <w:numFmt w:val="bullet"/>
      <w:lvlText w:val="•"/>
      <w:lvlJc w:val="left"/>
      <w:pPr>
        <w:ind w:left="4913" w:hanging="360"/>
      </w:pPr>
      <w:rPr>
        <w:rFonts w:hint="default"/>
        <w:lang w:val="en-US" w:eastAsia="en-US" w:bidi="ar-SA"/>
      </w:rPr>
    </w:lvl>
    <w:lvl w:ilvl="6" w:tplc="F8E632C8">
      <w:numFmt w:val="bullet"/>
      <w:lvlText w:val="•"/>
      <w:lvlJc w:val="left"/>
      <w:pPr>
        <w:ind w:left="5823" w:hanging="360"/>
      </w:pPr>
      <w:rPr>
        <w:rFonts w:hint="default"/>
        <w:lang w:val="en-US" w:eastAsia="en-US" w:bidi="ar-SA"/>
      </w:rPr>
    </w:lvl>
    <w:lvl w:ilvl="7" w:tplc="69B4B6A2">
      <w:numFmt w:val="bullet"/>
      <w:lvlText w:val="•"/>
      <w:lvlJc w:val="left"/>
      <w:pPr>
        <w:ind w:left="6734" w:hanging="360"/>
      </w:pPr>
      <w:rPr>
        <w:rFonts w:hint="default"/>
        <w:lang w:val="en-US" w:eastAsia="en-US" w:bidi="ar-SA"/>
      </w:rPr>
    </w:lvl>
    <w:lvl w:ilvl="8" w:tplc="E57457D4">
      <w:numFmt w:val="bullet"/>
      <w:lvlText w:val="•"/>
      <w:lvlJc w:val="left"/>
      <w:pPr>
        <w:ind w:left="7645" w:hanging="360"/>
      </w:pPr>
      <w:rPr>
        <w:rFonts w:hint="default"/>
        <w:lang w:val="en-US" w:eastAsia="en-US" w:bidi="ar-SA"/>
      </w:rPr>
    </w:lvl>
  </w:abstractNum>
  <w:abstractNum w:abstractNumId="10">
    <w:nsid w:val="6E37783A"/>
    <w:multiLevelType w:val="multilevel"/>
    <w:tmpl w:val="3C840858"/>
    <w:lvl w:ilvl="0">
      <w:start w:val="3"/>
      <w:numFmt w:val="decimal"/>
      <w:lvlText w:val="%1"/>
      <w:lvlJc w:val="left"/>
      <w:pPr>
        <w:ind w:left="1120" w:hanging="960"/>
        <w:jc w:val="left"/>
      </w:pPr>
      <w:rPr>
        <w:rFonts w:hint="default"/>
        <w:lang w:val="en-US" w:eastAsia="en-US" w:bidi="ar-SA"/>
      </w:rPr>
    </w:lvl>
    <w:lvl w:ilvl="1">
      <w:numFmt w:val="decimal"/>
      <w:lvlText w:val="%1.%2"/>
      <w:lvlJc w:val="left"/>
      <w:pPr>
        <w:ind w:left="1120" w:hanging="960"/>
        <w:jc w:val="left"/>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1120" w:hanging="960"/>
        <w:jc w:val="left"/>
      </w:pPr>
      <w:rPr>
        <w:rFonts w:ascii="Times New Roman" w:eastAsia="Times New Roman" w:hAnsi="Times New Roman" w:cs="Times New Roman" w:hint="default"/>
        <w:b/>
        <w:bCs/>
        <w:spacing w:val="-3"/>
        <w:w w:val="100"/>
        <w:sz w:val="24"/>
        <w:szCs w:val="24"/>
        <w:lang w:val="en-US" w:eastAsia="en-US" w:bidi="ar-SA"/>
      </w:rPr>
    </w:lvl>
    <w:lvl w:ilvl="3">
      <w:numFmt w:val="bullet"/>
      <w:lvlText w:val="•"/>
      <w:lvlJc w:val="left"/>
      <w:pPr>
        <w:ind w:left="3887" w:hanging="960"/>
      </w:pPr>
      <w:rPr>
        <w:rFonts w:hint="default"/>
        <w:lang w:val="en-US" w:eastAsia="en-US" w:bidi="ar-SA"/>
      </w:rPr>
    </w:lvl>
    <w:lvl w:ilvl="4">
      <w:numFmt w:val="bullet"/>
      <w:lvlText w:val="•"/>
      <w:lvlJc w:val="left"/>
      <w:pPr>
        <w:ind w:left="4810" w:hanging="960"/>
      </w:pPr>
      <w:rPr>
        <w:rFonts w:hint="default"/>
        <w:lang w:val="en-US" w:eastAsia="en-US" w:bidi="ar-SA"/>
      </w:rPr>
    </w:lvl>
    <w:lvl w:ilvl="5">
      <w:numFmt w:val="bullet"/>
      <w:lvlText w:val="•"/>
      <w:lvlJc w:val="left"/>
      <w:pPr>
        <w:ind w:left="5733" w:hanging="960"/>
      </w:pPr>
      <w:rPr>
        <w:rFonts w:hint="default"/>
        <w:lang w:val="en-US" w:eastAsia="en-US" w:bidi="ar-SA"/>
      </w:rPr>
    </w:lvl>
    <w:lvl w:ilvl="6">
      <w:numFmt w:val="bullet"/>
      <w:lvlText w:val="•"/>
      <w:lvlJc w:val="left"/>
      <w:pPr>
        <w:ind w:left="6655" w:hanging="960"/>
      </w:pPr>
      <w:rPr>
        <w:rFonts w:hint="default"/>
        <w:lang w:val="en-US" w:eastAsia="en-US" w:bidi="ar-SA"/>
      </w:rPr>
    </w:lvl>
    <w:lvl w:ilvl="7">
      <w:numFmt w:val="bullet"/>
      <w:lvlText w:val="•"/>
      <w:lvlJc w:val="left"/>
      <w:pPr>
        <w:ind w:left="7578" w:hanging="960"/>
      </w:pPr>
      <w:rPr>
        <w:rFonts w:hint="default"/>
        <w:lang w:val="en-US" w:eastAsia="en-US" w:bidi="ar-SA"/>
      </w:rPr>
    </w:lvl>
    <w:lvl w:ilvl="8">
      <w:numFmt w:val="bullet"/>
      <w:lvlText w:val="•"/>
      <w:lvlJc w:val="left"/>
      <w:pPr>
        <w:ind w:left="8501" w:hanging="960"/>
      </w:pPr>
      <w:rPr>
        <w:rFonts w:hint="default"/>
        <w:lang w:val="en-US" w:eastAsia="en-US" w:bidi="ar-SA"/>
      </w:rPr>
    </w:lvl>
  </w:abstractNum>
  <w:abstractNum w:abstractNumId="11">
    <w:nsid w:val="77BC3AEF"/>
    <w:multiLevelType w:val="multilevel"/>
    <w:tmpl w:val="5C4E86C0"/>
    <w:lvl w:ilvl="0">
      <w:start w:val="5"/>
      <w:numFmt w:val="decimal"/>
      <w:lvlText w:val="%1"/>
      <w:lvlJc w:val="left"/>
      <w:pPr>
        <w:ind w:left="880" w:hanging="720"/>
        <w:jc w:val="left"/>
      </w:pPr>
      <w:rPr>
        <w:rFonts w:hint="default"/>
        <w:lang w:val="en-US" w:eastAsia="en-US" w:bidi="ar-SA"/>
      </w:rPr>
    </w:lvl>
    <w:lvl w:ilvl="1">
      <w:start w:val="2"/>
      <w:numFmt w:val="decimal"/>
      <w:lvlText w:val="%1.%2"/>
      <w:lvlJc w:val="left"/>
      <w:pPr>
        <w:ind w:left="880" w:hanging="720"/>
        <w:jc w:val="left"/>
      </w:pPr>
      <w:rPr>
        <w:rFonts w:ascii="Times New Roman" w:eastAsia="Times New Roman" w:hAnsi="Times New Roman" w:cs="Times New Roman" w:hint="default"/>
        <w:b/>
        <w:bCs/>
        <w:spacing w:val="-1"/>
        <w:w w:val="100"/>
        <w:sz w:val="24"/>
        <w:szCs w:val="24"/>
        <w:lang w:val="en-US" w:eastAsia="en-US" w:bidi="ar-SA"/>
      </w:rPr>
    </w:lvl>
    <w:lvl w:ilvl="2">
      <w:numFmt w:val="bullet"/>
      <w:lvlText w:val="•"/>
      <w:lvlJc w:val="left"/>
      <w:pPr>
        <w:ind w:left="2773" w:hanging="720"/>
      </w:pPr>
      <w:rPr>
        <w:rFonts w:hint="default"/>
        <w:lang w:val="en-US" w:eastAsia="en-US" w:bidi="ar-SA"/>
      </w:rPr>
    </w:lvl>
    <w:lvl w:ilvl="3">
      <w:numFmt w:val="bullet"/>
      <w:lvlText w:val="•"/>
      <w:lvlJc w:val="left"/>
      <w:pPr>
        <w:ind w:left="3719" w:hanging="720"/>
      </w:pPr>
      <w:rPr>
        <w:rFonts w:hint="default"/>
        <w:lang w:val="en-US" w:eastAsia="en-US" w:bidi="ar-SA"/>
      </w:rPr>
    </w:lvl>
    <w:lvl w:ilvl="4">
      <w:numFmt w:val="bullet"/>
      <w:lvlText w:val="•"/>
      <w:lvlJc w:val="left"/>
      <w:pPr>
        <w:ind w:left="4666"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59" w:hanging="720"/>
      </w:pPr>
      <w:rPr>
        <w:rFonts w:hint="default"/>
        <w:lang w:val="en-US" w:eastAsia="en-US" w:bidi="ar-SA"/>
      </w:rPr>
    </w:lvl>
    <w:lvl w:ilvl="7">
      <w:numFmt w:val="bullet"/>
      <w:lvlText w:val="•"/>
      <w:lvlJc w:val="left"/>
      <w:pPr>
        <w:ind w:left="7506" w:hanging="720"/>
      </w:pPr>
      <w:rPr>
        <w:rFonts w:hint="default"/>
        <w:lang w:val="en-US" w:eastAsia="en-US" w:bidi="ar-SA"/>
      </w:rPr>
    </w:lvl>
    <w:lvl w:ilvl="8">
      <w:numFmt w:val="bullet"/>
      <w:lvlText w:val="•"/>
      <w:lvlJc w:val="left"/>
      <w:pPr>
        <w:ind w:left="8453" w:hanging="720"/>
      </w:pPr>
      <w:rPr>
        <w:rFonts w:hint="default"/>
        <w:lang w:val="en-US" w:eastAsia="en-US" w:bidi="ar-SA"/>
      </w:rPr>
    </w:lvl>
  </w:abstractNum>
  <w:abstractNum w:abstractNumId="12">
    <w:nsid w:val="7D742C62"/>
    <w:multiLevelType w:val="hybridMultilevel"/>
    <w:tmpl w:val="E4B23270"/>
    <w:lvl w:ilvl="0" w:tplc="436CECE0">
      <w:start w:val="1"/>
      <w:numFmt w:val="decimal"/>
      <w:lvlText w:val="%1."/>
      <w:lvlJc w:val="left"/>
      <w:pPr>
        <w:ind w:left="1240" w:hanging="360"/>
        <w:jc w:val="left"/>
      </w:pPr>
      <w:rPr>
        <w:rFonts w:ascii="Times New Roman" w:eastAsia="Times New Roman" w:hAnsi="Times New Roman" w:cs="Times New Roman" w:hint="default"/>
        <w:b/>
        <w:bCs/>
        <w:spacing w:val="-3"/>
        <w:w w:val="100"/>
        <w:sz w:val="24"/>
        <w:szCs w:val="24"/>
        <w:lang w:val="en-US" w:eastAsia="en-US" w:bidi="ar-SA"/>
      </w:rPr>
    </w:lvl>
    <w:lvl w:ilvl="1" w:tplc="119E44C6">
      <w:numFmt w:val="bullet"/>
      <w:lvlText w:val="•"/>
      <w:lvlJc w:val="left"/>
      <w:pPr>
        <w:ind w:left="2150" w:hanging="360"/>
      </w:pPr>
      <w:rPr>
        <w:rFonts w:hint="default"/>
        <w:lang w:val="en-US" w:eastAsia="en-US" w:bidi="ar-SA"/>
      </w:rPr>
    </w:lvl>
    <w:lvl w:ilvl="2" w:tplc="CA12AEF0">
      <w:numFmt w:val="bullet"/>
      <w:lvlText w:val="•"/>
      <w:lvlJc w:val="left"/>
      <w:pPr>
        <w:ind w:left="3061" w:hanging="360"/>
      </w:pPr>
      <w:rPr>
        <w:rFonts w:hint="default"/>
        <w:lang w:val="en-US" w:eastAsia="en-US" w:bidi="ar-SA"/>
      </w:rPr>
    </w:lvl>
    <w:lvl w:ilvl="3" w:tplc="E01419EA">
      <w:numFmt w:val="bullet"/>
      <w:lvlText w:val="•"/>
      <w:lvlJc w:val="left"/>
      <w:pPr>
        <w:ind w:left="3971" w:hanging="360"/>
      </w:pPr>
      <w:rPr>
        <w:rFonts w:hint="default"/>
        <w:lang w:val="en-US" w:eastAsia="en-US" w:bidi="ar-SA"/>
      </w:rPr>
    </w:lvl>
    <w:lvl w:ilvl="4" w:tplc="6A246E90">
      <w:numFmt w:val="bullet"/>
      <w:lvlText w:val="•"/>
      <w:lvlJc w:val="left"/>
      <w:pPr>
        <w:ind w:left="4882" w:hanging="360"/>
      </w:pPr>
      <w:rPr>
        <w:rFonts w:hint="default"/>
        <w:lang w:val="en-US" w:eastAsia="en-US" w:bidi="ar-SA"/>
      </w:rPr>
    </w:lvl>
    <w:lvl w:ilvl="5" w:tplc="2B640262">
      <w:numFmt w:val="bullet"/>
      <w:lvlText w:val="•"/>
      <w:lvlJc w:val="left"/>
      <w:pPr>
        <w:ind w:left="5793" w:hanging="360"/>
      </w:pPr>
      <w:rPr>
        <w:rFonts w:hint="default"/>
        <w:lang w:val="en-US" w:eastAsia="en-US" w:bidi="ar-SA"/>
      </w:rPr>
    </w:lvl>
    <w:lvl w:ilvl="6" w:tplc="D5FE01E4">
      <w:numFmt w:val="bullet"/>
      <w:lvlText w:val="•"/>
      <w:lvlJc w:val="left"/>
      <w:pPr>
        <w:ind w:left="6703" w:hanging="360"/>
      </w:pPr>
      <w:rPr>
        <w:rFonts w:hint="default"/>
        <w:lang w:val="en-US" w:eastAsia="en-US" w:bidi="ar-SA"/>
      </w:rPr>
    </w:lvl>
    <w:lvl w:ilvl="7" w:tplc="EEA616E4">
      <w:numFmt w:val="bullet"/>
      <w:lvlText w:val="•"/>
      <w:lvlJc w:val="left"/>
      <w:pPr>
        <w:ind w:left="7614" w:hanging="360"/>
      </w:pPr>
      <w:rPr>
        <w:rFonts w:hint="default"/>
        <w:lang w:val="en-US" w:eastAsia="en-US" w:bidi="ar-SA"/>
      </w:rPr>
    </w:lvl>
    <w:lvl w:ilvl="8" w:tplc="93EC28B2">
      <w:numFmt w:val="bullet"/>
      <w:lvlText w:val="•"/>
      <w:lvlJc w:val="left"/>
      <w:pPr>
        <w:ind w:left="8525" w:hanging="360"/>
      </w:pPr>
      <w:rPr>
        <w:rFonts w:hint="default"/>
        <w:lang w:val="en-US" w:eastAsia="en-US" w:bidi="ar-SA"/>
      </w:rPr>
    </w:lvl>
  </w:abstractNum>
  <w:abstractNum w:abstractNumId="13">
    <w:nsid w:val="7DE03C37"/>
    <w:multiLevelType w:val="multilevel"/>
    <w:tmpl w:val="FA366F88"/>
    <w:lvl w:ilvl="0">
      <w:start w:val="3"/>
      <w:numFmt w:val="decimal"/>
      <w:lvlText w:val="%1"/>
      <w:lvlJc w:val="left"/>
      <w:pPr>
        <w:ind w:left="583" w:hanging="423"/>
        <w:jc w:val="left"/>
      </w:pPr>
      <w:rPr>
        <w:rFonts w:hint="default"/>
        <w:lang w:val="en-US" w:eastAsia="en-US" w:bidi="ar-SA"/>
      </w:rPr>
    </w:lvl>
    <w:lvl w:ilvl="1">
      <w:start w:val="4"/>
      <w:numFmt w:val="decimal"/>
      <w:lvlText w:val="%1.%2"/>
      <w:lvlJc w:val="left"/>
      <w:pPr>
        <w:ind w:left="583" w:hanging="423"/>
        <w:jc w:val="left"/>
      </w:pPr>
      <w:rPr>
        <w:rFonts w:ascii="Times New Roman" w:eastAsia="Times New Roman" w:hAnsi="Times New Roman" w:cs="Times New Roman" w:hint="default"/>
        <w:spacing w:val="-1"/>
        <w:w w:val="100"/>
        <w:sz w:val="28"/>
        <w:szCs w:val="28"/>
        <w:lang w:val="en-US" w:eastAsia="en-US" w:bidi="ar-SA"/>
      </w:rPr>
    </w:lvl>
    <w:lvl w:ilvl="2">
      <w:start w:val="1"/>
      <w:numFmt w:val="decimal"/>
      <w:lvlText w:val="%1.%2.%3"/>
      <w:lvlJc w:val="left"/>
      <w:pPr>
        <w:ind w:left="791" w:hanging="631"/>
        <w:jc w:val="left"/>
      </w:pPr>
      <w:rPr>
        <w:rFonts w:ascii="Times New Roman" w:eastAsia="Times New Roman" w:hAnsi="Times New Roman" w:cs="Times New Roman" w:hint="default"/>
        <w:spacing w:val="-3"/>
        <w:w w:val="100"/>
        <w:sz w:val="28"/>
        <w:szCs w:val="28"/>
        <w:lang w:val="en-US" w:eastAsia="en-US" w:bidi="ar-SA"/>
      </w:rPr>
    </w:lvl>
    <w:lvl w:ilvl="3">
      <w:numFmt w:val="bullet"/>
      <w:lvlText w:val="•"/>
      <w:lvlJc w:val="left"/>
      <w:pPr>
        <w:ind w:left="2921" w:hanging="631"/>
      </w:pPr>
      <w:rPr>
        <w:rFonts w:hint="default"/>
        <w:lang w:val="en-US" w:eastAsia="en-US" w:bidi="ar-SA"/>
      </w:rPr>
    </w:lvl>
    <w:lvl w:ilvl="4">
      <w:numFmt w:val="bullet"/>
      <w:lvlText w:val="•"/>
      <w:lvlJc w:val="left"/>
      <w:pPr>
        <w:ind w:left="3982" w:hanging="631"/>
      </w:pPr>
      <w:rPr>
        <w:rFonts w:hint="default"/>
        <w:lang w:val="en-US" w:eastAsia="en-US" w:bidi="ar-SA"/>
      </w:rPr>
    </w:lvl>
    <w:lvl w:ilvl="5">
      <w:numFmt w:val="bullet"/>
      <w:lvlText w:val="•"/>
      <w:lvlJc w:val="left"/>
      <w:pPr>
        <w:ind w:left="5042" w:hanging="631"/>
      </w:pPr>
      <w:rPr>
        <w:rFonts w:hint="default"/>
        <w:lang w:val="en-US" w:eastAsia="en-US" w:bidi="ar-SA"/>
      </w:rPr>
    </w:lvl>
    <w:lvl w:ilvl="6">
      <w:numFmt w:val="bullet"/>
      <w:lvlText w:val="•"/>
      <w:lvlJc w:val="left"/>
      <w:pPr>
        <w:ind w:left="6103" w:hanging="631"/>
      </w:pPr>
      <w:rPr>
        <w:rFonts w:hint="default"/>
        <w:lang w:val="en-US" w:eastAsia="en-US" w:bidi="ar-SA"/>
      </w:rPr>
    </w:lvl>
    <w:lvl w:ilvl="7">
      <w:numFmt w:val="bullet"/>
      <w:lvlText w:val="•"/>
      <w:lvlJc w:val="left"/>
      <w:pPr>
        <w:ind w:left="7164" w:hanging="631"/>
      </w:pPr>
      <w:rPr>
        <w:rFonts w:hint="default"/>
        <w:lang w:val="en-US" w:eastAsia="en-US" w:bidi="ar-SA"/>
      </w:rPr>
    </w:lvl>
    <w:lvl w:ilvl="8">
      <w:numFmt w:val="bullet"/>
      <w:lvlText w:val="•"/>
      <w:lvlJc w:val="left"/>
      <w:pPr>
        <w:ind w:left="8224" w:hanging="631"/>
      </w:pPr>
      <w:rPr>
        <w:rFonts w:hint="default"/>
        <w:lang w:val="en-US" w:eastAsia="en-US" w:bidi="ar-SA"/>
      </w:rPr>
    </w:lvl>
  </w:abstractNum>
  <w:abstractNum w:abstractNumId="14">
    <w:nsid w:val="7F4672EA"/>
    <w:multiLevelType w:val="multilevel"/>
    <w:tmpl w:val="526C6970"/>
    <w:lvl w:ilvl="0">
      <w:start w:val="4"/>
      <w:numFmt w:val="decimal"/>
      <w:lvlText w:val="%1"/>
      <w:lvlJc w:val="left"/>
      <w:pPr>
        <w:ind w:left="582" w:hanging="423"/>
        <w:jc w:val="left"/>
      </w:pPr>
      <w:rPr>
        <w:rFonts w:hint="default"/>
        <w:lang w:val="en-US" w:eastAsia="en-US" w:bidi="ar-SA"/>
      </w:rPr>
    </w:lvl>
    <w:lvl w:ilvl="1">
      <w:numFmt w:val="decimal"/>
      <w:lvlText w:val="%1.%2"/>
      <w:lvlJc w:val="left"/>
      <w:pPr>
        <w:ind w:left="582" w:hanging="423"/>
        <w:jc w:val="left"/>
      </w:pPr>
      <w:rPr>
        <w:rFonts w:hint="default"/>
        <w:w w:val="100"/>
        <w:lang w:val="en-US" w:eastAsia="en-US" w:bidi="ar-SA"/>
      </w:rPr>
    </w:lvl>
    <w:lvl w:ilvl="2">
      <w:numFmt w:val="bullet"/>
      <w:lvlText w:val="•"/>
      <w:lvlJc w:val="left"/>
      <w:pPr>
        <w:ind w:left="2533" w:hanging="423"/>
      </w:pPr>
      <w:rPr>
        <w:rFonts w:hint="default"/>
        <w:lang w:val="en-US" w:eastAsia="en-US" w:bidi="ar-SA"/>
      </w:rPr>
    </w:lvl>
    <w:lvl w:ilvl="3">
      <w:numFmt w:val="bullet"/>
      <w:lvlText w:val="•"/>
      <w:lvlJc w:val="left"/>
      <w:pPr>
        <w:ind w:left="3509" w:hanging="423"/>
      </w:pPr>
      <w:rPr>
        <w:rFonts w:hint="default"/>
        <w:lang w:val="en-US" w:eastAsia="en-US" w:bidi="ar-SA"/>
      </w:rPr>
    </w:lvl>
    <w:lvl w:ilvl="4">
      <w:numFmt w:val="bullet"/>
      <w:lvlText w:val="•"/>
      <w:lvlJc w:val="left"/>
      <w:pPr>
        <w:ind w:left="4486" w:hanging="423"/>
      </w:pPr>
      <w:rPr>
        <w:rFonts w:hint="default"/>
        <w:lang w:val="en-US" w:eastAsia="en-US" w:bidi="ar-SA"/>
      </w:rPr>
    </w:lvl>
    <w:lvl w:ilvl="5">
      <w:numFmt w:val="bullet"/>
      <w:lvlText w:val="•"/>
      <w:lvlJc w:val="left"/>
      <w:pPr>
        <w:ind w:left="5463" w:hanging="423"/>
      </w:pPr>
      <w:rPr>
        <w:rFonts w:hint="default"/>
        <w:lang w:val="en-US" w:eastAsia="en-US" w:bidi="ar-SA"/>
      </w:rPr>
    </w:lvl>
    <w:lvl w:ilvl="6">
      <w:numFmt w:val="bullet"/>
      <w:lvlText w:val="•"/>
      <w:lvlJc w:val="left"/>
      <w:pPr>
        <w:ind w:left="6439" w:hanging="423"/>
      </w:pPr>
      <w:rPr>
        <w:rFonts w:hint="default"/>
        <w:lang w:val="en-US" w:eastAsia="en-US" w:bidi="ar-SA"/>
      </w:rPr>
    </w:lvl>
    <w:lvl w:ilvl="7">
      <w:numFmt w:val="bullet"/>
      <w:lvlText w:val="•"/>
      <w:lvlJc w:val="left"/>
      <w:pPr>
        <w:ind w:left="7416" w:hanging="423"/>
      </w:pPr>
      <w:rPr>
        <w:rFonts w:hint="default"/>
        <w:lang w:val="en-US" w:eastAsia="en-US" w:bidi="ar-SA"/>
      </w:rPr>
    </w:lvl>
    <w:lvl w:ilvl="8">
      <w:numFmt w:val="bullet"/>
      <w:lvlText w:val="•"/>
      <w:lvlJc w:val="left"/>
      <w:pPr>
        <w:ind w:left="8393" w:hanging="423"/>
      </w:pPr>
      <w:rPr>
        <w:rFonts w:hint="default"/>
        <w:lang w:val="en-US" w:eastAsia="en-US" w:bidi="ar-SA"/>
      </w:rPr>
    </w:lvl>
  </w:abstractNum>
  <w:num w:numId="1">
    <w:abstractNumId w:val="5"/>
  </w:num>
  <w:num w:numId="2">
    <w:abstractNumId w:val="11"/>
  </w:num>
  <w:num w:numId="3">
    <w:abstractNumId w:val="10"/>
  </w:num>
  <w:num w:numId="4">
    <w:abstractNumId w:val="7"/>
  </w:num>
  <w:num w:numId="5">
    <w:abstractNumId w:val="9"/>
  </w:num>
  <w:num w:numId="6">
    <w:abstractNumId w:val="12"/>
  </w:num>
  <w:num w:numId="7">
    <w:abstractNumId w:val="8"/>
  </w:num>
  <w:num w:numId="8">
    <w:abstractNumId w:val="6"/>
  </w:num>
  <w:num w:numId="9">
    <w:abstractNumId w:val="0"/>
  </w:num>
  <w:num w:numId="10">
    <w:abstractNumId w:val="2"/>
  </w:num>
  <w:num w:numId="11">
    <w:abstractNumId w:val="3"/>
  </w:num>
  <w:num w:numId="12">
    <w:abstractNumId w:val="1"/>
  </w:num>
  <w:num w:numId="13">
    <w:abstractNumId w:val="14"/>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3829"/>
    <w:rsid w:val="00133B8C"/>
    <w:rsid w:val="001D5EC2"/>
    <w:rsid w:val="0026457D"/>
    <w:rsid w:val="002D4D5D"/>
    <w:rsid w:val="003E3651"/>
    <w:rsid w:val="005C3829"/>
    <w:rsid w:val="00632E34"/>
    <w:rsid w:val="00794B08"/>
    <w:rsid w:val="007A470E"/>
    <w:rsid w:val="007F7C28"/>
    <w:rsid w:val="009C4CE7"/>
    <w:rsid w:val="00A81A7C"/>
    <w:rsid w:val="00A958D3"/>
    <w:rsid w:val="00AE366A"/>
    <w:rsid w:val="00B8371C"/>
    <w:rsid w:val="00C30A4A"/>
    <w:rsid w:val="00CC4FCE"/>
    <w:rsid w:val="00DB29E8"/>
    <w:rsid w:val="00DC078F"/>
    <w:rsid w:val="00E12064"/>
    <w:rsid w:val="00E35EB2"/>
    <w:rsid w:val="00EC15F0"/>
    <w:rsid w:val="00ED7A39"/>
    <w:rsid w:val="00EE41C5"/>
    <w:rsid w:val="00F368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value" TargetMode="External"/><Relationship Id="rId13" Type="http://schemas.openxmlformats.org/officeDocument/2006/relationships/hyperlink" Target="http://www.investopedia.com/terms/s/sharperatio.asp"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dictionary.cambridge.org/dictionary/english/examination" TargetMode="External"/><Relationship Id="rId12" Type="http://schemas.openxmlformats.org/officeDocument/2006/relationships/hyperlink" Target="http://www.investopedia.com/terms/t/treynorratio.asp" TargetMode="External"/><Relationship Id="rId17" Type="http://schemas.openxmlformats.org/officeDocument/2006/relationships/hyperlink" Target="https://en.wikipedia.org/wiki/University_of_Ilorin" TargetMode="External"/><Relationship Id="rId2" Type="http://schemas.openxmlformats.org/officeDocument/2006/relationships/styles" Target="styles.xml"/><Relationship Id="rId16" Type="http://schemas.openxmlformats.org/officeDocument/2006/relationships/hyperlink" Target="https://en.wikipedia.org/wiki/Human_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pedia.com/articles/basics/12/diversify-strategies-not-assets.asp" TargetMode="External"/><Relationship Id="rId5" Type="http://schemas.openxmlformats.org/officeDocument/2006/relationships/footnotes" Target="footnotes.xml"/><Relationship Id="rId15" Type="http://schemas.openxmlformats.org/officeDocument/2006/relationships/hyperlink" Target="https://en.wikipedia.org/wiki/University_education" TargetMode="External"/><Relationship Id="rId10" Type="http://schemas.openxmlformats.org/officeDocument/2006/relationships/hyperlink" Target="https://dictionary.cambridge.org/dictionary/english/qual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tionary.cambridge.org/dictionary/english/condition" TargetMode="External"/><Relationship Id="rId14" Type="http://schemas.openxmlformats.org/officeDocument/2006/relationships/hyperlink" Target="http://www.investopedia.com/terms/j/jensensmeasure.asp?partner=forbes-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8392</Words>
  <Characters>47839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dc:creator>
  <cp:lastModifiedBy>HORLA-TEE</cp:lastModifiedBy>
  <cp:revision>2</cp:revision>
  <dcterms:created xsi:type="dcterms:W3CDTF">2025-08-07T16:18:00Z</dcterms:created>
  <dcterms:modified xsi:type="dcterms:W3CDTF">2025-08-07T16:18:00Z</dcterms:modified>
</cp:coreProperties>
</file>