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rsidR="009F43C6" w:rsidRPr="001A531D" w:rsidRDefault="00B75D73"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SULAIMON SHERIFAT OMOWUMI</w:t>
      </w:r>
    </w:p>
    <w:p w:rsidR="009F43C6" w:rsidRDefault="00B75D73"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ND/23/SLT/PT/0038</w:t>
      </w:r>
    </w:p>
    <w:p w:rsidR="009F43C6" w:rsidRPr="001A531D" w:rsidRDefault="009F43C6" w:rsidP="009F43C6">
      <w:pPr>
        <w:spacing w:after="0" w:line="240" w:lineRule="auto"/>
        <w:jc w:val="center"/>
        <w:rPr>
          <w:rFonts w:ascii="Bookman Old Style" w:hAnsi="Bookman Old Style" w:cstheme="majorBidi"/>
          <w:b/>
          <w:bCs/>
          <w:sz w:val="36"/>
          <w:szCs w:val="36"/>
        </w:rPr>
      </w:pPr>
    </w:p>
    <w:p w:rsidR="009F43C6" w:rsidRPr="00E33B24"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w:t>
      </w:r>
      <w:bookmarkStart w:id="0" w:name="_GoBack"/>
      <w:bookmarkEnd w:id="0"/>
      <w:r w:rsidR="009F43C6" w:rsidRPr="00E33B24">
        <w:rPr>
          <w:rFonts w:ascii="Bookman Old Style" w:hAnsi="Bookman Old Style"/>
          <w:b/>
          <w:sz w:val="30"/>
          <w:szCs w:val="30"/>
        </w:rPr>
        <w:t xml:space="preserv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009F43C6" w:rsidRPr="00E33B24">
        <w:rPr>
          <w:rFonts w:ascii="Bookman Old Style" w:hAnsi="Bookman Old Style"/>
          <w:b/>
          <w:sz w:val="30"/>
          <w:szCs w:val="30"/>
        </w:rPr>
        <w:t>KWARA STATE.</w:t>
      </w:r>
    </w:p>
    <w:p w:rsidR="009F43C6" w:rsidRPr="00334AF2" w:rsidRDefault="009F43C6" w:rsidP="009F43C6">
      <w:pPr>
        <w:spacing w:after="0" w:line="360" w:lineRule="auto"/>
        <w:ind w:left="14"/>
        <w:jc w:val="center"/>
        <w:rPr>
          <w:rFonts w:ascii="Bookman Old Style" w:hAnsi="Bookman Old Style"/>
          <w:b/>
          <w:sz w:val="8"/>
          <w:szCs w:val="28"/>
        </w:rPr>
      </w:pPr>
    </w:p>
    <w:p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rsidR="009F43C6" w:rsidRDefault="009F43C6" w:rsidP="009D4725">
      <w:pPr>
        <w:spacing w:after="0" w:line="374" w:lineRule="exact"/>
        <w:jc w:val="center"/>
        <w:rPr>
          <w:rFonts w:asciiTheme="majorBidi" w:hAnsiTheme="majorBidi" w:cstheme="majorBidi"/>
          <w:b/>
          <w:sz w:val="24"/>
          <w:szCs w:val="24"/>
        </w:rPr>
      </w:pPr>
    </w:p>
    <w:p w:rsidR="009F43C6" w:rsidRDefault="009F43C6" w:rsidP="009F43C6">
      <w:pPr>
        <w:spacing w:after="0" w:line="374" w:lineRule="exact"/>
        <w:rPr>
          <w:rFonts w:asciiTheme="majorBidi" w:hAnsiTheme="majorBidi" w:cstheme="majorBidi"/>
          <w:b/>
          <w:sz w:val="24"/>
          <w:szCs w:val="24"/>
        </w:rPr>
      </w:pPr>
    </w:p>
    <w:p w:rsidR="009F43C6" w:rsidRDefault="009F43C6" w:rsidP="009D4725">
      <w:pPr>
        <w:spacing w:after="0" w:line="374" w:lineRule="exact"/>
        <w:jc w:val="center"/>
        <w:rPr>
          <w:rFonts w:asciiTheme="majorBidi" w:hAnsiTheme="majorBidi" w:cstheme="majorBidi"/>
          <w:b/>
          <w:sz w:val="24"/>
          <w:szCs w:val="24"/>
        </w:rPr>
      </w:pPr>
    </w:p>
    <w:p w:rsidR="009062ED" w:rsidRDefault="009062ED" w:rsidP="009D4725">
      <w:pPr>
        <w:spacing w:after="0" w:line="374" w:lineRule="exact"/>
        <w:jc w:val="center"/>
        <w:rPr>
          <w:rFonts w:asciiTheme="majorBidi" w:hAnsiTheme="majorBidi" w:cstheme="majorBidi"/>
          <w:b/>
          <w:sz w:val="24"/>
          <w:szCs w:val="24"/>
        </w:rPr>
      </w:pPr>
    </w:p>
    <w:p w:rsidR="009D4725" w:rsidRPr="000B40C7" w:rsidRDefault="00B75D73" w:rsidP="00CF5B6D">
      <w:pPr>
        <w:spacing w:after="0" w:line="360" w:lineRule="auto"/>
        <w:jc w:val="center"/>
        <w:rPr>
          <w:rFonts w:asciiTheme="majorBidi" w:hAnsiTheme="majorBidi" w:cstheme="majorBidi"/>
          <w:b/>
          <w:sz w:val="24"/>
          <w:szCs w:val="24"/>
        </w:rPr>
      </w:pPr>
      <w:r w:rsidRPr="00B75D73">
        <w:rPr>
          <w:rFonts w:asciiTheme="majorBidi" w:hAnsiTheme="majorBidi" w:cstheme="majorBidi"/>
          <w:b/>
          <w:noProof/>
          <w:sz w:val="24"/>
          <w:szCs w:val="24"/>
        </w:rPr>
        <w:lastRenderedPageBreak/>
        <w:drawing>
          <wp:inline distT="0" distB="0" distL="0" distR="0">
            <wp:extent cx="5520690" cy="8591550"/>
            <wp:effectExtent l="0" t="0" r="3810" b="0"/>
            <wp:docPr id="1" name="Picture 1" descr="C:\Users\BALOGUN JAMIU\Desktop\SCANNED DOCUMENT OF ABDULLAHI MARIAM\SULAIM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SULAIMON(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1022" cy="8592067"/>
                    </a:xfrm>
                    <a:prstGeom prst="rect">
                      <a:avLst/>
                    </a:prstGeom>
                    <a:noFill/>
                    <a:ln>
                      <a:noFill/>
                    </a:ln>
                  </pic:spPr>
                </pic:pic>
              </a:graphicData>
            </a:graphic>
          </wp:inline>
        </w:drawing>
      </w:r>
      <w:r w:rsidR="009D4725" w:rsidRPr="000B40C7">
        <w:rPr>
          <w:rFonts w:asciiTheme="majorBidi" w:hAnsiTheme="majorBidi" w:cstheme="majorBidi"/>
          <w:b/>
          <w:sz w:val="24"/>
          <w:szCs w:val="24"/>
        </w:rPr>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9D4725">
      <w:pPr>
        <w:spacing w:after="0" w:line="360" w:lineRule="auto"/>
        <w:ind w:left="14"/>
        <w:jc w:val="center"/>
        <w:rPr>
          <w:b/>
        </w:rPr>
      </w:pPr>
    </w:p>
    <w:p w:rsidR="009D4725" w:rsidRDefault="009D4725" w:rsidP="009D4725">
      <w:pPr>
        <w:spacing w:after="0" w:line="360" w:lineRule="auto"/>
        <w:ind w:left="14"/>
        <w:rPr>
          <w:b/>
        </w:rPr>
      </w:pPr>
    </w:p>
    <w:p w:rsidR="009D4725" w:rsidRDefault="009D4725" w:rsidP="009D4725">
      <w:pPr>
        <w:spacing w:after="0" w:line="360" w:lineRule="auto"/>
        <w:ind w:left="14"/>
        <w:rPr>
          <w:b/>
        </w:rPr>
      </w:pPr>
    </w:p>
    <w:p w:rsidR="009D4725" w:rsidRPr="009062ED" w:rsidRDefault="009D4725" w:rsidP="009062ED">
      <w:pPr>
        <w:spacing w:after="0" w:line="360" w:lineRule="auto"/>
        <w:ind w:left="14"/>
        <w:rPr>
          <w:b/>
        </w:rPr>
      </w:pPr>
      <w:r>
        <w:rPr>
          <w:b/>
        </w:rPr>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r w:rsidR="009062ED">
        <w:rPr>
          <w:rFonts w:asciiTheme="majorBidi" w:hAnsiTheme="majorBidi" w:cstheme="majorBidi"/>
          <w:sz w:val="24"/>
          <w:szCs w:val="24"/>
        </w:rPr>
        <w:t xml:space="preserve">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(Chemistry</w:t>
      </w:r>
      <w:r w:rsidRPr="00675A7F">
        <w:rPr>
          <w:rFonts w:asciiTheme="majorBidi" w:hAnsiTheme="majorBidi" w:cstheme="majorBidi"/>
          <w:sz w:val="24"/>
          <w:szCs w:val="24"/>
        </w:rPr>
        <w:t>Unit)  and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Pr="009062ED" w:rsidRDefault="009062ED" w:rsidP="009062ED">
      <w:pPr>
        <w:rPr>
          <w:rFonts w:asciiTheme="majorBidi" w:hAnsiTheme="majorBidi" w:cstheme="majorBidi"/>
          <w:b/>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2.4 Nickel(II)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3.2.1 Synthesis of Nickel(II)-Ibuprofen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ONE</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vitr</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2.4 Nickel(II)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 coordination complexes, Ni(II) commonly adopts an octahedral geometry, especially when coordinated with oxygen- or nitrogen-donor ligands. Complexes of Ni(II)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471B24" w:rsidRDefault="00471B24"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9062ED" w:rsidRDefault="009062ED" w:rsidP="00262D8E">
      <w:pPr>
        <w:pStyle w:val="Heading2"/>
        <w:jc w:val="center"/>
        <w:rPr>
          <w:rStyle w:val="Strong"/>
          <w:b/>
          <w:bCs/>
          <w:sz w:val="24"/>
          <w:szCs w:val="24"/>
        </w:rPr>
      </w:pPr>
    </w:p>
    <w:p w:rsidR="009062ED" w:rsidRDefault="009062ED" w:rsidP="00262D8E">
      <w:pPr>
        <w:pStyle w:val="Heading2"/>
        <w:jc w:val="center"/>
        <w:rPr>
          <w:rStyle w:val="Strong"/>
          <w:b/>
          <w:bCs/>
          <w:sz w:val="24"/>
          <w:szCs w:val="24"/>
        </w:rPr>
      </w:pPr>
    </w:p>
    <w:p w:rsidR="00262D8E" w:rsidRDefault="00262D8E" w:rsidP="00262D8E">
      <w:pPr>
        <w:pStyle w:val="Heading2"/>
        <w:jc w:val="center"/>
        <w:rPr>
          <w:rStyle w:val="Strong"/>
          <w:b/>
          <w:bCs/>
          <w:sz w:val="24"/>
          <w:szCs w:val="24"/>
        </w:rPr>
      </w:pPr>
      <w:r w:rsidRPr="00262D8E">
        <w:rPr>
          <w:rStyle w:val="Strong"/>
          <w:b/>
          <w:bCs/>
          <w:sz w:val="24"/>
          <w:szCs w:val="24"/>
        </w:rPr>
        <w:t>C</w:t>
      </w:r>
      <w:r w:rsidR="00EE0EF5">
        <w:rPr>
          <w:rStyle w:val="Strong"/>
          <w:b/>
          <w:bCs/>
          <w:sz w:val="24"/>
          <w:szCs w:val="24"/>
        </w:rPr>
        <w:t>HAPTER THREE</w:t>
      </w:r>
    </w:p>
    <w:p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Nickel(II)-ibuprofen complex was synthesized via a simple solution-phase reaction. Equimolar solutions of ibuprofen and Nickel(II)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B65C7A" w:rsidRDefault="00B65C7A" w:rsidP="00B65C7A">
      <w:pPr>
        <w:pStyle w:val="Heading2"/>
        <w:jc w:val="center"/>
        <w:rPr>
          <w:rStyle w:val="Strong"/>
          <w:b/>
          <w:bCs/>
          <w:sz w:val="24"/>
          <w:szCs w:val="24"/>
        </w:rPr>
      </w:pPr>
      <w:r>
        <w:rPr>
          <w:rStyle w:val="Strong"/>
          <w:b/>
          <w:bCs/>
          <w:sz w:val="24"/>
          <w:szCs w:val="24"/>
        </w:rPr>
        <w:t>CHAPTER FIVE</w:t>
      </w:r>
    </w:p>
    <w:p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Ibuprofen coordinated to Ni(II) via its carboxylate group, forming a stable octahedral complex.</w:t>
      </w:r>
    </w:p>
    <w:p w:rsidR="00B65C7A" w:rsidRDefault="00B65C7A" w:rsidP="00B65C7A">
      <w:pPr>
        <w:pStyle w:val="NormalWeb"/>
        <w:numPr>
          <w:ilvl w:val="0"/>
          <w:numId w:val="11"/>
        </w:numPr>
        <w:spacing w:line="480" w:lineRule="auto"/>
        <w:jc w:val="both"/>
      </w:pPr>
      <w:r>
        <w:t>FTIR and NMR confirmed structural changes associated with complexation.</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B65C7A" w:rsidRDefault="00B65C7A" w:rsidP="00B65C7A">
      <w:pPr>
        <w:pStyle w:val="Heading3"/>
        <w:spacing w:line="480" w:lineRule="auto"/>
        <w:jc w:val="both"/>
      </w:pPr>
      <w:r>
        <w:t>5.3 Contributions to Knowledge</w:t>
      </w:r>
    </w:p>
    <w:p w:rsidR="00B65C7A" w:rsidRDefault="00B65C7A" w:rsidP="00B65C7A">
      <w:pPr>
        <w:pStyle w:val="NormalWeb"/>
        <w:numPr>
          <w:ilvl w:val="0"/>
          <w:numId w:val="12"/>
        </w:numPr>
        <w:spacing w:line="480" w:lineRule="auto"/>
        <w:jc w:val="both"/>
      </w:pPr>
      <w:r>
        <w:t>Demonstrated the feasibility of synthesizing metal complexes using over-the-counter NSAIDs.</w:t>
      </w:r>
    </w:p>
    <w:p w:rsidR="00B65C7A" w:rsidRDefault="00B65C7A" w:rsidP="00B65C7A">
      <w:pPr>
        <w:pStyle w:val="NormalWeb"/>
        <w:numPr>
          <w:ilvl w:val="0"/>
          <w:numId w:val="12"/>
        </w:numPr>
        <w:spacing w:line="480" w:lineRule="auto"/>
        <w:jc w:val="both"/>
      </w:pPr>
      <w:r>
        <w:t>Provided structural and thermal insights into Ni(II)-ibuprofen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Synthesis and comparison of similar complexes with other transition metals like Cu(II),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t>Application of the synthesized complex in green catalysis or electrochemical sensors.</w:t>
      </w:r>
    </w:p>
    <w:p w:rsidR="00B65C7A" w:rsidRDefault="00B65C7A" w:rsidP="00B65C7A">
      <w:pPr>
        <w:pStyle w:val="Heading3"/>
        <w:spacing w:line="480" w:lineRule="auto"/>
        <w:jc w:val="both"/>
      </w:pPr>
      <w:r>
        <w:t>5.7 Final Remarks</w:t>
      </w:r>
    </w:p>
    <w:p w:rsidR="00B65C7A" w:rsidRDefault="00B65C7A" w:rsidP="00B65C7A">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t>References</w:t>
      </w:r>
    </w:p>
    <w:p w:rsidR="00B65C7A" w:rsidRDefault="00B65C7A" w:rsidP="00B65C7A">
      <w:pPr>
        <w:pStyle w:val="NormalWeb"/>
        <w:numPr>
          <w:ilvl w:val="0"/>
          <w:numId w:val="17"/>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B65C7A" w:rsidRDefault="00B65C7A" w:rsidP="00B65C7A">
      <w:pPr>
        <w:pStyle w:val="NormalWeb"/>
        <w:numPr>
          <w:ilvl w:val="0"/>
          <w:numId w:val="17"/>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10" w:rsidRDefault="00C54810" w:rsidP="009F43C6">
      <w:pPr>
        <w:spacing w:after="0" w:line="240" w:lineRule="auto"/>
      </w:pPr>
      <w:r>
        <w:separator/>
      </w:r>
    </w:p>
  </w:endnote>
  <w:endnote w:type="continuationSeparator" w:id="0">
    <w:p w:rsidR="00C54810" w:rsidRDefault="00C54810"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C54810">
          <w:rPr>
            <w:noProof/>
          </w:rPr>
          <w:t>1</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10" w:rsidRDefault="00C54810" w:rsidP="009F43C6">
      <w:pPr>
        <w:spacing w:after="0" w:line="240" w:lineRule="auto"/>
      </w:pPr>
      <w:r>
        <w:separator/>
      </w:r>
    </w:p>
  </w:footnote>
  <w:footnote w:type="continuationSeparator" w:id="0">
    <w:p w:rsidR="00C54810" w:rsidRDefault="00C54810"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E"/>
    <w:rsid w:val="00262D8E"/>
    <w:rsid w:val="00471B24"/>
    <w:rsid w:val="006038DE"/>
    <w:rsid w:val="009062ED"/>
    <w:rsid w:val="009D4725"/>
    <w:rsid w:val="009F43C6"/>
    <w:rsid w:val="00B65C7A"/>
    <w:rsid w:val="00B75D73"/>
    <w:rsid w:val="00C54810"/>
    <w:rsid w:val="00CF5B6D"/>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4436</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2025-08-07T11:27:00Z</dcterms:created>
  <dcterms:modified xsi:type="dcterms:W3CDTF">2025-08-07T11:28:00Z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