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CDC2C" w14:textId="77777777" w:rsidR="00BD057E" w:rsidRDefault="00BD057E" w:rsidP="00BD057E">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24A74ED7" w14:textId="77777777" w:rsidR="00BD057E" w:rsidRDefault="00BD057E" w:rsidP="00BD057E">
      <w:pPr>
        <w:spacing w:after="0" w:line="360" w:lineRule="auto"/>
        <w:rPr>
          <w:rFonts w:ascii="Times New Roman" w:hAnsi="Times New Roman" w:cs="Times New Roman"/>
          <w:b/>
          <w:sz w:val="28"/>
          <w:szCs w:val="28"/>
        </w:rPr>
      </w:pPr>
    </w:p>
    <w:p w14:paraId="41885331" w14:textId="77777777" w:rsidR="00BD057E" w:rsidRPr="002270FA" w:rsidRDefault="00BD057E" w:rsidP="00BD057E">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25EC4469" w14:textId="77777777" w:rsidR="00BD057E" w:rsidRPr="006A21FC" w:rsidRDefault="00BD057E" w:rsidP="00BD057E">
      <w:pPr>
        <w:spacing w:line="240" w:lineRule="auto"/>
        <w:rPr>
          <w:rFonts w:ascii="Arial Black" w:hAnsi="Arial Black" w:cs="Times New Roman"/>
          <w:sz w:val="28"/>
          <w:szCs w:val="28"/>
        </w:rPr>
      </w:pPr>
    </w:p>
    <w:p w14:paraId="7409402A" w14:textId="77777777" w:rsidR="00BD057E" w:rsidRPr="00E47C2F" w:rsidRDefault="00BD057E" w:rsidP="00BD057E">
      <w:pPr>
        <w:spacing w:line="240" w:lineRule="auto"/>
        <w:jc w:val="center"/>
        <w:rPr>
          <w:rFonts w:ascii="Times New Roman" w:eastAsia="Calibri" w:hAnsi="Times New Roman" w:cs="Times New Roman"/>
          <w:b/>
          <w:sz w:val="28"/>
          <w:szCs w:val="28"/>
        </w:rPr>
      </w:pPr>
      <w:r w:rsidRPr="00E47C2F">
        <w:rPr>
          <w:rFonts w:ascii="Times New Roman" w:eastAsia="Calibri" w:hAnsi="Times New Roman" w:cs="Times New Roman"/>
          <w:b/>
          <w:sz w:val="28"/>
          <w:szCs w:val="28"/>
        </w:rPr>
        <w:t xml:space="preserve">FOLORUNSO RUTH MORENIKEJI </w:t>
      </w:r>
    </w:p>
    <w:p w14:paraId="21EF8B2A" w14:textId="77777777" w:rsidR="00BD057E" w:rsidRDefault="00BD057E" w:rsidP="00BD057E">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725</w:t>
      </w:r>
    </w:p>
    <w:p w14:paraId="7DBA8021" w14:textId="77777777" w:rsidR="00BD057E" w:rsidRPr="00BF66D0" w:rsidRDefault="00BD057E" w:rsidP="00BD057E">
      <w:pPr>
        <w:spacing w:line="240" w:lineRule="auto"/>
        <w:jc w:val="center"/>
        <w:rPr>
          <w:rFonts w:ascii="Times New Roman" w:hAnsi="Times New Roman" w:cs="Times New Roman"/>
          <w:b/>
          <w:sz w:val="28"/>
          <w:szCs w:val="28"/>
        </w:rPr>
      </w:pPr>
    </w:p>
    <w:p w14:paraId="76D262D4" w14:textId="77777777" w:rsidR="00BD057E" w:rsidRDefault="00BD057E" w:rsidP="00BD057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0264E23" w14:textId="77777777" w:rsidR="00BD057E" w:rsidRDefault="00BD057E" w:rsidP="00BD057E">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8905693" w14:textId="77777777" w:rsidR="00BD057E" w:rsidRDefault="00BD057E" w:rsidP="00BD057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345638A5" w14:textId="77777777" w:rsidR="00BD057E" w:rsidRDefault="00BD057E" w:rsidP="00BD057E">
      <w:pPr>
        <w:spacing w:after="0" w:line="360" w:lineRule="auto"/>
        <w:jc w:val="center"/>
        <w:rPr>
          <w:rFonts w:ascii="Times New Roman" w:hAnsi="Times New Roman" w:cs="Times New Roman"/>
          <w:b/>
          <w:sz w:val="28"/>
          <w:szCs w:val="28"/>
        </w:rPr>
      </w:pPr>
    </w:p>
    <w:p w14:paraId="6AC7E1BD" w14:textId="77777777" w:rsidR="00BD057E" w:rsidRDefault="00BD057E" w:rsidP="00BD057E">
      <w:pPr>
        <w:spacing w:after="0" w:line="360" w:lineRule="auto"/>
        <w:jc w:val="right"/>
        <w:rPr>
          <w:rFonts w:ascii="Times New Roman" w:hAnsi="Times New Roman" w:cs="Times New Roman"/>
          <w:b/>
          <w:bCs/>
          <w:sz w:val="28"/>
          <w:szCs w:val="28"/>
        </w:rPr>
      </w:pPr>
    </w:p>
    <w:p w14:paraId="112BFAA9" w14:textId="77777777" w:rsidR="00BD057E" w:rsidRDefault="00BD057E" w:rsidP="00BD057E">
      <w:pPr>
        <w:spacing w:after="0" w:line="360" w:lineRule="auto"/>
        <w:jc w:val="right"/>
        <w:rPr>
          <w:rFonts w:ascii="Times New Roman" w:hAnsi="Times New Roman" w:cs="Times New Roman"/>
          <w:b/>
          <w:bCs/>
          <w:sz w:val="28"/>
          <w:szCs w:val="28"/>
        </w:rPr>
      </w:pPr>
    </w:p>
    <w:p w14:paraId="5F3BE78E" w14:textId="77777777" w:rsidR="00BD057E" w:rsidRDefault="00BD057E" w:rsidP="00BD057E">
      <w:pPr>
        <w:spacing w:after="0" w:line="360" w:lineRule="auto"/>
        <w:jc w:val="right"/>
        <w:rPr>
          <w:rFonts w:ascii="Times New Roman" w:hAnsi="Times New Roman" w:cs="Times New Roman"/>
          <w:b/>
          <w:bCs/>
          <w:sz w:val="28"/>
          <w:szCs w:val="28"/>
        </w:rPr>
      </w:pPr>
    </w:p>
    <w:p w14:paraId="182F1B57" w14:textId="77777777" w:rsidR="00BD057E" w:rsidRDefault="00BD057E" w:rsidP="00BD057E">
      <w:pPr>
        <w:spacing w:after="0" w:line="360" w:lineRule="auto"/>
        <w:jc w:val="right"/>
        <w:rPr>
          <w:rFonts w:ascii="Times New Roman" w:hAnsi="Times New Roman" w:cs="Times New Roman"/>
          <w:b/>
          <w:bCs/>
          <w:sz w:val="28"/>
          <w:szCs w:val="28"/>
        </w:rPr>
      </w:pPr>
    </w:p>
    <w:p w14:paraId="62388988" w14:textId="77777777" w:rsidR="00BD057E" w:rsidRDefault="00BD057E" w:rsidP="00BD057E">
      <w:pPr>
        <w:spacing w:after="0" w:line="360" w:lineRule="auto"/>
        <w:jc w:val="right"/>
        <w:rPr>
          <w:rFonts w:ascii="Times New Roman" w:hAnsi="Times New Roman" w:cs="Times New Roman"/>
          <w:b/>
          <w:bCs/>
          <w:sz w:val="28"/>
          <w:szCs w:val="28"/>
        </w:rPr>
      </w:pPr>
    </w:p>
    <w:p w14:paraId="2E0117B3" w14:textId="77777777" w:rsidR="00BD057E" w:rsidRDefault="00BD057E" w:rsidP="00BD057E">
      <w:pPr>
        <w:spacing w:after="0" w:line="360" w:lineRule="auto"/>
        <w:jc w:val="right"/>
        <w:rPr>
          <w:rFonts w:ascii="Times New Roman" w:hAnsi="Times New Roman" w:cs="Times New Roman"/>
          <w:b/>
          <w:bCs/>
          <w:sz w:val="28"/>
          <w:szCs w:val="28"/>
        </w:rPr>
      </w:pPr>
    </w:p>
    <w:p w14:paraId="7AF6FA14" w14:textId="77777777" w:rsidR="00BD057E" w:rsidRDefault="00BD057E" w:rsidP="00BD057E">
      <w:pPr>
        <w:spacing w:after="0" w:line="360" w:lineRule="auto"/>
        <w:jc w:val="right"/>
        <w:rPr>
          <w:rFonts w:ascii="Times New Roman" w:hAnsi="Times New Roman" w:cs="Times New Roman"/>
          <w:b/>
          <w:bCs/>
          <w:sz w:val="28"/>
          <w:szCs w:val="28"/>
        </w:rPr>
      </w:pPr>
    </w:p>
    <w:p w14:paraId="6FE4B91D" w14:textId="77777777" w:rsidR="00BD057E" w:rsidRDefault="00BD057E" w:rsidP="00BD057E">
      <w:pPr>
        <w:spacing w:after="0" w:line="360" w:lineRule="auto"/>
        <w:jc w:val="right"/>
        <w:rPr>
          <w:rFonts w:ascii="Times New Roman" w:hAnsi="Times New Roman" w:cs="Times New Roman"/>
          <w:b/>
          <w:bCs/>
          <w:sz w:val="28"/>
          <w:szCs w:val="28"/>
        </w:rPr>
      </w:pPr>
    </w:p>
    <w:p w14:paraId="349E8473" w14:textId="77777777" w:rsidR="00BD057E" w:rsidRDefault="00BD057E" w:rsidP="00BD057E">
      <w:pPr>
        <w:spacing w:after="0" w:line="360" w:lineRule="auto"/>
        <w:jc w:val="right"/>
        <w:rPr>
          <w:rFonts w:ascii="Times New Roman" w:hAnsi="Times New Roman" w:cs="Times New Roman"/>
          <w:b/>
          <w:bCs/>
          <w:sz w:val="28"/>
          <w:szCs w:val="28"/>
        </w:rPr>
      </w:pPr>
    </w:p>
    <w:p w14:paraId="404BED72" w14:textId="77777777" w:rsidR="00BD057E" w:rsidRDefault="00BD057E" w:rsidP="00BD057E">
      <w:pPr>
        <w:spacing w:after="0" w:line="360" w:lineRule="auto"/>
        <w:jc w:val="center"/>
        <w:rPr>
          <w:rFonts w:ascii="Times New Roman" w:hAnsi="Times New Roman" w:cs="Times New Roman"/>
          <w:b/>
          <w:bCs/>
          <w:sz w:val="28"/>
          <w:szCs w:val="28"/>
        </w:rPr>
        <w:sectPr w:rsidR="00BD057E"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59CA4DCE" w14:textId="61F98AA5" w:rsidR="00BD057E" w:rsidRPr="001F59B3" w:rsidRDefault="001F59B3" w:rsidP="001F59B3">
      <w:pPr>
        <w:spacing w:line="480" w:lineRule="auto"/>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76160" behindDoc="0" locked="0" layoutInCell="1" allowOverlap="1" wp14:anchorId="76B7F532" wp14:editId="003A91D7">
            <wp:simplePos x="0" y="0"/>
            <wp:positionH relativeFrom="column">
              <wp:posOffset>-723900</wp:posOffset>
            </wp:positionH>
            <wp:positionV relativeFrom="paragraph">
              <wp:posOffset>-923925</wp:posOffset>
            </wp:positionV>
            <wp:extent cx="7258050" cy="8607890"/>
            <wp:effectExtent l="0" t="0" r="0" b="317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25 cert.jpg"/>
                    <pic:cNvPicPr/>
                  </pic:nvPicPr>
                  <pic:blipFill rotWithShape="1">
                    <a:blip r:embed="rId8">
                      <a:extLst>
                        <a:ext uri="{28A0092B-C50C-407E-A947-70E740481C1C}">
                          <a14:useLocalDpi xmlns:a14="http://schemas.microsoft.com/office/drawing/2010/main" val="0"/>
                        </a:ext>
                      </a:extLst>
                    </a:blip>
                    <a:srcRect t="810" r="6758" b="16783"/>
                    <a:stretch/>
                  </pic:blipFill>
                  <pic:spPr bwMode="auto">
                    <a:xfrm>
                      <a:off x="0" y="0"/>
                      <a:ext cx="7258050" cy="8607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GoBack"/>
      <w:bookmarkEnd w:id="1"/>
    </w:p>
    <w:p w14:paraId="4117C30F" w14:textId="77777777" w:rsidR="00BD057E" w:rsidRPr="00D6009D" w:rsidRDefault="00BD057E" w:rsidP="00BD057E">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47A2ED84" w14:textId="77777777" w:rsidR="00BD057E" w:rsidRPr="00E47C2F" w:rsidRDefault="00BD057E" w:rsidP="00BD057E">
      <w:pPr>
        <w:spacing w:before="100" w:beforeAutospacing="1" w:line="360" w:lineRule="auto"/>
        <w:jc w:val="both"/>
        <w:rPr>
          <w:rFonts w:ascii="Times New Roman" w:eastAsia="Calibri" w:hAnsi="Times New Roman" w:cs="Times New Roman"/>
          <w:sz w:val="28"/>
          <w:szCs w:val="28"/>
        </w:rPr>
      </w:pPr>
      <w:r w:rsidRPr="00E47C2F">
        <w:rPr>
          <w:rFonts w:ascii="Times New Roman" w:eastAsia="Calibri" w:hAnsi="Times New Roman" w:cs="Times New Roman"/>
          <w:sz w:val="28"/>
          <w:szCs w:val="28"/>
        </w:rPr>
        <w:t xml:space="preserve">I, FOLORUNSO RUTH MORENIKEJI dedicate this project to the </w:t>
      </w:r>
      <w:proofErr w:type="gramStart"/>
      <w:r w:rsidRPr="00E47C2F">
        <w:rPr>
          <w:rFonts w:ascii="Times New Roman" w:eastAsia="Calibri" w:hAnsi="Times New Roman" w:cs="Times New Roman"/>
          <w:sz w:val="28"/>
          <w:szCs w:val="28"/>
        </w:rPr>
        <w:t>MOST HIGH</w:t>
      </w:r>
      <w:proofErr w:type="gramEnd"/>
      <w:r w:rsidRPr="00E47C2F">
        <w:rPr>
          <w:rFonts w:ascii="Times New Roman" w:eastAsia="Calibri" w:hAnsi="Times New Roman" w:cs="Times New Roman"/>
          <w:sz w:val="28"/>
          <w:szCs w:val="28"/>
        </w:rPr>
        <w:t xml:space="preserve"> GOD, the author and finisher of our faith, the one who took care of me without asking for a dime </w:t>
      </w:r>
      <w:r>
        <w:rPr>
          <w:rFonts w:ascii="Times New Roman" w:eastAsia="Calibri" w:hAnsi="Times New Roman" w:cs="Times New Roman"/>
          <w:sz w:val="28"/>
          <w:szCs w:val="28"/>
        </w:rPr>
        <w:t>a</w:t>
      </w:r>
      <w:r w:rsidRPr="00E47C2F">
        <w:rPr>
          <w:rFonts w:ascii="Times New Roman" w:eastAsia="Calibri" w:hAnsi="Times New Roman" w:cs="Times New Roman"/>
          <w:sz w:val="28"/>
          <w:szCs w:val="28"/>
        </w:rPr>
        <w:t xml:space="preserve">nd to my loving, caring and supportive PARENTS, I can’t come this far without having you beside me, </w:t>
      </w:r>
      <w:proofErr w:type="spellStart"/>
      <w:r w:rsidRPr="00E47C2F">
        <w:rPr>
          <w:rFonts w:ascii="Times New Roman" w:eastAsia="Calibri" w:hAnsi="Times New Roman" w:cs="Times New Roman"/>
          <w:sz w:val="28"/>
          <w:szCs w:val="28"/>
        </w:rPr>
        <w:t>may</w:t>
      </w:r>
      <w:proofErr w:type="spellEnd"/>
      <w:r w:rsidRPr="00E47C2F">
        <w:rPr>
          <w:rFonts w:ascii="Times New Roman" w:eastAsia="Calibri" w:hAnsi="Times New Roman" w:cs="Times New Roman"/>
          <w:sz w:val="28"/>
          <w:szCs w:val="28"/>
        </w:rPr>
        <w:t xml:space="preserve"> God bless you abundantly.</w:t>
      </w:r>
      <w:r>
        <w:rPr>
          <w:rFonts w:ascii="Times New Roman" w:eastAsia="Calibri" w:hAnsi="Times New Roman" w:cs="Times New Roman"/>
          <w:sz w:val="28"/>
          <w:szCs w:val="28"/>
        </w:rPr>
        <w:t xml:space="preserve"> </w:t>
      </w:r>
      <w:r w:rsidRPr="00E47C2F">
        <w:rPr>
          <w:rFonts w:ascii="Times New Roman" w:eastAsia="Calibri" w:hAnsi="Times New Roman" w:cs="Times New Roman"/>
          <w:sz w:val="28"/>
          <w:szCs w:val="28"/>
        </w:rPr>
        <w:t>AMEN</w:t>
      </w:r>
    </w:p>
    <w:p w14:paraId="507EBD57" w14:textId="77777777" w:rsidR="00BD057E" w:rsidRDefault="00BD057E" w:rsidP="00BD057E">
      <w:pPr>
        <w:spacing w:before="100" w:beforeAutospacing="1" w:line="360" w:lineRule="auto"/>
        <w:jc w:val="both"/>
        <w:rPr>
          <w:rFonts w:ascii="Times New Roman" w:eastAsia="Calibri" w:hAnsi="Times New Roman" w:cs="Times New Roman"/>
          <w:sz w:val="28"/>
          <w:szCs w:val="28"/>
        </w:rPr>
      </w:pPr>
    </w:p>
    <w:p w14:paraId="29328B06" w14:textId="77777777" w:rsidR="00BD057E" w:rsidRDefault="00BD057E" w:rsidP="00BD057E">
      <w:pPr>
        <w:spacing w:before="100" w:beforeAutospacing="1" w:line="360" w:lineRule="auto"/>
        <w:jc w:val="both"/>
        <w:rPr>
          <w:rFonts w:ascii="Times New Roman" w:eastAsia="Calibri" w:hAnsi="Times New Roman" w:cs="Times New Roman"/>
          <w:sz w:val="28"/>
          <w:szCs w:val="28"/>
        </w:rPr>
      </w:pPr>
    </w:p>
    <w:p w14:paraId="130C258C" w14:textId="77777777" w:rsidR="00BD057E" w:rsidRDefault="00BD057E" w:rsidP="00BD057E">
      <w:pPr>
        <w:spacing w:before="100" w:beforeAutospacing="1" w:line="360" w:lineRule="auto"/>
        <w:jc w:val="both"/>
        <w:rPr>
          <w:rFonts w:ascii="Times New Roman" w:eastAsia="Calibri" w:hAnsi="Times New Roman" w:cs="Times New Roman"/>
          <w:sz w:val="28"/>
          <w:szCs w:val="28"/>
        </w:rPr>
      </w:pPr>
    </w:p>
    <w:p w14:paraId="54092075" w14:textId="77777777" w:rsidR="00BD057E" w:rsidRDefault="00BD057E" w:rsidP="00BD057E">
      <w:pPr>
        <w:spacing w:before="100" w:beforeAutospacing="1" w:line="360" w:lineRule="auto"/>
        <w:jc w:val="both"/>
        <w:rPr>
          <w:rFonts w:ascii="Times New Roman" w:eastAsia="Calibri" w:hAnsi="Times New Roman" w:cs="Times New Roman"/>
          <w:sz w:val="28"/>
          <w:szCs w:val="28"/>
        </w:rPr>
      </w:pPr>
    </w:p>
    <w:p w14:paraId="7D2F15F9" w14:textId="77777777" w:rsidR="00BD057E" w:rsidRDefault="00BD057E" w:rsidP="00BD057E">
      <w:pPr>
        <w:spacing w:before="100" w:beforeAutospacing="1" w:line="360" w:lineRule="auto"/>
        <w:jc w:val="both"/>
        <w:rPr>
          <w:rFonts w:ascii="Times New Roman" w:eastAsia="Calibri" w:hAnsi="Times New Roman" w:cs="Times New Roman"/>
          <w:sz w:val="28"/>
          <w:szCs w:val="28"/>
        </w:rPr>
      </w:pPr>
    </w:p>
    <w:p w14:paraId="126AD9C3" w14:textId="77777777" w:rsidR="00BD057E" w:rsidRDefault="00BD057E" w:rsidP="00BD057E">
      <w:pPr>
        <w:spacing w:before="100" w:beforeAutospacing="1" w:line="360" w:lineRule="auto"/>
        <w:jc w:val="both"/>
        <w:rPr>
          <w:rFonts w:ascii="Times New Roman" w:eastAsia="Calibri" w:hAnsi="Times New Roman" w:cs="Times New Roman"/>
          <w:sz w:val="28"/>
          <w:szCs w:val="28"/>
        </w:rPr>
      </w:pPr>
    </w:p>
    <w:p w14:paraId="2830BB53" w14:textId="77777777" w:rsidR="00BD057E" w:rsidRDefault="00BD057E" w:rsidP="00BD057E">
      <w:pPr>
        <w:spacing w:before="100" w:beforeAutospacing="1" w:line="360" w:lineRule="auto"/>
        <w:jc w:val="both"/>
        <w:rPr>
          <w:rFonts w:ascii="Times New Roman" w:eastAsia="Calibri" w:hAnsi="Times New Roman" w:cs="Times New Roman"/>
          <w:sz w:val="28"/>
          <w:szCs w:val="28"/>
        </w:rPr>
      </w:pPr>
    </w:p>
    <w:p w14:paraId="708F1C71" w14:textId="77777777" w:rsidR="00BD057E" w:rsidRDefault="00BD057E" w:rsidP="00BD057E">
      <w:pPr>
        <w:spacing w:before="100" w:beforeAutospacing="1" w:line="360" w:lineRule="auto"/>
        <w:jc w:val="both"/>
        <w:rPr>
          <w:rFonts w:ascii="Times New Roman" w:eastAsia="Calibri" w:hAnsi="Times New Roman" w:cs="Times New Roman"/>
          <w:sz w:val="28"/>
          <w:szCs w:val="28"/>
        </w:rPr>
      </w:pPr>
    </w:p>
    <w:p w14:paraId="3D430B38" w14:textId="77777777" w:rsidR="00BD057E" w:rsidRDefault="00BD057E" w:rsidP="00BD057E">
      <w:pPr>
        <w:spacing w:before="100" w:beforeAutospacing="1" w:line="360" w:lineRule="auto"/>
        <w:jc w:val="both"/>
        <w:rPr>
          <w:rFonts w:ascii="Times New Roman" w:eastAsia="Calibri" w:hAnsi="Times New Roman" w:cs="Times New Roman"/>
          <w:sz w:val="28"/>
          <w:szCs w:val="28"/>
        </w:rPr>
      </w:pPr>
    </w:p>
    <w:p w14:paraId="50123A09" w14:textId="77777777" w:rsidR="00BD057E" w:rsidRDefault="00BD057E" w:rsidP="00BD057E">
      <w:pPr>
        <w:spacing w:before="100" w:beforeAutospacing="1" w:line="360" w:lineRule="auto"/>
        <w:jc w:val="both"/>
        <w:rPr>
          <w:rFonts w:ascii="Times New Roman" w:eastAsia="Calibri" w:hAnsi="Times New Roman" w:cs="Times New Roman"/>
          <w:sz w:val="28"/>
          <w:szCs w:val="28"/>
        </w:rPr>
      </w:pPr>
    </w:p>
    <w:p w14:paraId="66494B2D" w14:textId="77777777" w:rsidR="00BD057E" w:rsidRDefault="00BD057E" w:rsidP="00BD057E">
      <w:pPr>
        <w:spacing w:line="480" w:lineRule="auto"/>
        <w:jc w:val="both"/>
        <w:rPr>
          <w:rFonts w:ascii="Times New Roman" w:eastAsia="Calibri" w:hAnsi="Times New Roman" w:cs="Times New Roman"/>
          <w:sz w:val="28"/>
          <w:szCs w:val="28"/>
        </w:rPr>
      </w:pPr>
    </w:p>
    <w:p w14:paraId="24D5EA5F" w14:textId="77777777" w:rsidR="00BD057E" w:rsidRDefault="00BD057E" w:rsidP="00BD057E">
      <w:pPr>
        <w:spacing w:line="480" w:lineRule="auto"/>
        <w:jc w:val="both"/>
        <w:rPr>
          <w:rFonts w:ascii="Times New Roman" w:eastAsia="Calibri" w:hAnsi="Times New Roman" w:cs="Times New Roman"/>
          <w:sz w:val="28"/>
          <w:szCs w:val="28"/>
        </w:rPr>
      </w:pPr>
    </w:p>
    <w:p w14:paraId="3D8CFD01" w14:textId="77777777" w:rsidR="00BD057E" w:rsidRDefault="00BD057E" w:rsidP="00BD057E">
      <w:pPr>
        <w:spacing w:line="480" w:lineRule="auto"/>
        <w:jc w:val="both"/>
        <w:rPr>
          <w:rFonts w:ascii="Times New Roman" w:hAnsi="Times New Roman" w:cs="Times New Roman"/>
          <w:b/>
          <w:bCs/>
          <w:sz w:val="28"/>
          <w:szCs w:val="28"/>
        </w:rPr>
      </w:pPr>
    </w:p>
    <w:p w14:paraId="64D2D592" w14:textId="77777777" w:rsidR="00BD057E" w:rsidRDefault="00BD057E" w:rsidP="00BD057E">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07582373" w14:textId="77777777" w:rsidR="00BD057E" w:rsidRPr="001C0330" w:rsidRDefault="00BD057E" w:rsidP="00BD057E">
      <w:pPr>
        <w:spacing w:line="480" w:lineRule="auto"/>
        <w:jc w:val="both"/>
        <w:rPr>
          <w:rFonts w:ascii="Times New Roman" w:hAnsi="Times New Roman" w:cs="Times New Roman"/>
          <w:bCs/>
          <w:sz w:val="28"/>
          <w:szCs w:val="28"/>
        </w:rPr>
      </w:pPr>
      <w:r w:rsidRPr="004E1FF3">
        <w:rPr>
          <w:rFonts w:ascii="Times New Roman" w:hAnsi="Times New Roman" w:cs="Times New Roman"/>
          <w:bCs/>
          <w:sz w:val="28"/>
          <w:szCs w:val="28"/>
        </w:rPr>
        <w:t>First and foremost, I express my profound gratitude to Almighty God for the strength, guidance, and perseverance granted to me throughout the course of this research work</w:t>
      </w:r>
      <w:r>
        <w:rPr>
          <w:rFonts w:ascii="Times New Roman" w:hAnsi="Times New Roman" w:cs="Times New Roman"/>
          <w:bCs/>
          <w:sz w:val="28"/>
          <w:szCs w:val="28"/>
        </w:rPr>
        <w:t xml:space="preserve"> with the unwavering support of my parent and family</w:t>
      </w:r>
      <w:r w:rsidRPr="004E1FF3">
        <w:rPr>
          <w:rFonts w:ascii="Times New Roman" w:hAnsi="Times New Roman" w:cs="Times New Roman"/>
          <w:bCs/>
          <w:sz w:val="28"/>
          <w:szCs w:val="28"/>
        </w:rPr>
        <w:t>.</w:t>
      </w:r>
      <w:r>
        <w:rPr>
          <w:rFonts w:ascii="Times New Roman" w:hAnsi="Times New Roman" w:cs="Times New Roman"/>
          <w:bCs/>
          <w:sz w:val="28"/>
          <w:szCs w:val="28"/>
        </w:rPr>
        <w:t xml:space="preserve"> </w:t>
      </w:r>
      <w:r w:rsidRPr="004E1FF3">
        <w:rPr>
          <w:rFonts w:ascii="Times New Roman" w:hAnsi="Times New Roman" w:cs="Times New Roman"/>
          <w:bCs/>
          <w:sz w:val="28"/>
          <w:szCs w:val="28"/>
        </w:rPr>
        <w:t>My sincere appreciation goes to my supervisor</w:t>
      </w:r>
      <w:r>
        <w:rPr>
          <w:rFonts w:ascii="Times New Roman" w:hAnsi="Times New Roman" w:cs="Times New Roman"/>
          <w:bCs/>
          <w:sz w:val="28"/>
          <w:szCs w:val="28"/>
        </w:rPr>
        <w:t xml:space="preserve">, Mr. </w:t>
      </w:r>
      <w:proofErr w:type="spellStart"/>
      <w:r>
        <w:rPr>
          <w:rFonts w:ascii="Times New Roman" w:hAnsi="Times New Roman" w:cs="Times New Roman"/>
          <w:bCs/>
          <w:sz w:val="28"/>
          <w:szCs w:val="28"/>
        </w:rPr>
        <w:t>Olarongbe</w:t>
      </w:r>
      <w:proofErr w:type="spellEnd"/>
      <w:r>
        <w:rPr>
          <w:rFonts w:ascii="Times New Roman" w:hAnsi="Times New Roman" w:cs="Times New Roman"/>
          <w:bCs/>
          <w:sz w:val="28"/>
          <w:szCs w:val="28"/>
        </w:rPr>
        <w:t xml:space="preserve"> G.O</w:t>
      </w:r>
      <w:r w:rsidRPr="004E1FF3">
        <w:rPr>
          <w:rFonts w:ascii="Times New Roman" w:hAnsi="Times New Roman" w:cs="Times New Roman"/>
          <w:bCs/>
          <w:sz w:val="28"/>
          <w:szCs w:val="28"/>
        </w:rPr>
        <w:t>, for his invaluable guidance, constructive criticisms, encouragement, and support which helped shape this project from inception to completion.</w:t>
      </w:r>
      <w:r>
        <w:rPr>
          <w:rFonts w:ascii="Times New Roman" w:hAnsi="Times New Roman" w:cs="Times New Roman"/>
          <w:bCs/>
          <w:sz w:val="28"/>
          <w:szCs w:val="28"/>
        </w:rPr>
        <w:t xml:space="preserve"> </w:t>
      </w:r>
      <w:r w:rsidRPr="004E1FF3">
        <w:rPr>
          <w:rFonts w:ascii="Times New Roman" w:hAnsi="Times New Roman" w:cs="Times New Roman"/>
          <w:bCs/>
          <w:sz w:val="28"/>
          <w:szCs w:val="28"/>
        </w:rPr>
        <w:t xml:space="preserve">I would also like to thank all the academic and technical staff of </w:t>
      </w:r>
      <w:r w:rsidRPr="007C33EC">
        <w:rPr>
          <w:rFonts w:ascii="Times New Roman" w:hAnsi="Times New Roman" w:cs="Times New Roman"/>
          <w:bCs/>
          <w:sz w:val="28"/>
          <w:szCs w:val="28"/>
        </w:rPr>
        <w:t>the Department of science laboratory technology, institute of applied science</w:t>
      </w:r>
      <w:r w:rsidRPr="004E1FF3">
        <w:rPr>
          <w:rFonts w:ascii="Times New Roman" w:hAnsi="Times New Roman" w:cs="Times New Roman"/>
          <w:bCs/>
          <w:sz w:val="28"/>
          <w:szCs w:val="28"/>
        </w:rPr>
        <w:t>, for their cooperation, insightful contributions, and provision of laboratory resources during the experimental phase of this study.</w:t>
      </w:r>
      <w:r>
        <w:rPr>
          <w:rFonts w:ascii="Times New Roman" w:hAnsi="Times New Roman" w:cs="Times New Roman"/>
          <w:bCs/>
          <w:sz w:val="28"/>
          <w:szCs w:val="28"/>
        </w:rPr>
        <w:t xml:space="preserve"> </w:t>
      </w:r>
      <w:r w:rsidRPr="004E1FF3">
        <w:rPr>
          <w:rFonts w:ascii="Times New Roman" w:hAnsi="Times New Roman" w:cs="Times New Roman"/>
          <w:bCs/>
          <w:sz w:val="28"/>
          <w:szCs w:val="28"/>
        </w:rPr>
        <w:t>Special thanks to my colleagues and friends for their moral support and assistance in various aspects of this project. I am also grateful to my family for their unwavering love, prayers, and encouragement throughout my academic journey.</w:t>
      </w:r>
      <w:r>
        <w:rPr>
          <w:rFonts w:ascii="Times New Roman" w:hAnsi="Times New Roman" w:cs="Times New Roman"/>
          <w:bCs/>
          <w:sz w:val="28"/>
          <w:szCs w:val="28"/>
        </w:rPr>
        <w:t xml:space="preserve"> </w:t>
      </w:r>
      <w:r w:rsidRPr="004E1FF3">
        <w:rPr>
          <w:rFonts w:ascii="Times New Roman" w:hAnsi="Times New Roman" w:cs="Times New Roman"/>
          <w:bCs/>
          <w:sz w:val="28"/>
          <w:szCs w:val="28"/>
        </w:rPr>
        <w:t>This work would not have been possible without the collective support and goodwill of all those who contributed in one way or another.</w:t>
      </w:r>
      <w:r>
        <w:rPr>
          <w:rFonts w:ascii="Times New Roman" w:hAnsi="Times New Roman" w:cs="Times New Roman"/>
          <w:bCs/>
          <w:sz w:val="28"/>
          <w:szCs w:val="28"/>
        </w:rPr>
        <w:t xml:space="preserve"> GOD of </w:t>
      </w:r>
      <w:proofErr w:type="spellStart"/>
      <w:r>
        <w:rPr>
          <w:rFonts w:ascii="Times New Roman" w:hAnsi="Times New Roman" w:cs="Times New Roman"/>
          <w:bCs/>
          <w:sz w:val="28"/>
          <w:szCs w:val="28"/>
        </w:rPr>
        <w:t>Oshoffa</w:t>
      </w:r>
      <w:proofErr w:type="spellEnd"/>
      <w:r>
        <w:rPr>
          <w:rFonts w:ascii="Times New Roman" w:hAnsi="Times New Roman" w:cs="Times New Roman"/>
          <w:bCs/>
          <w:sz w:val="28"/>
          <w:szCs w:val="28"/>
        </w:rPr>
        <w:t xml:space="preserve"> bless </w:t>
      </w:r>
      <w:r w:rsidRPr="004E1FF3">
        <w:rPr>
          <w:rFonts w:ascii="Times New Roman" w:hAnsi="Times New Roman" w:cs="Times New Roman"/>
          <w:bCs/>
          <w:sz w:val="28"/>
          <w:szCs w:val="28"/>
        </w:rPr>
        <w:t>you all.</w:t>
      </w:r>
      <w:r w:rsidRPr="0007218C">
        <w:rPr>
          <w:rFonts w:ascii="Times New Roman" w:hAnsi="Times New Roman" w:cs="Times New Roman"/>
          <w:bCs/>
          <w:sz w:val="28"/>
          <w:szCs w:val="28"/>
        </w:rPr>
        <w:t xml:space="preserve"> </w:t>
      </w:r>
      <w:r w:rsidRPr="00E47C2F">
        <w:rPr>
          <w:rFonts w:ascii="Times New Roman" w:hAnsi="Times New Roman" w:cs="Times New Roman"/>
          <w:bCs/>
          <w:sz w:val="28"/>
          <w:szCs w:val="28"/>
        </w:rPr>
        <w:t>To God be the glory, great things he has done!!!</w:t>
      </w:r>
      <w:r>
        <w:rPr>
          <w:rFonts w:ascii="Times New Roman" w:hAnsi="Times New Roman" w:cs="Times New Roman"/>
          <w:bCs/>
          <w:sz w:val="28"/>
          <w:szCs w:val="28"/>
        </w:rPr>
        <w:t xml:space="preserve"> </w:t>
      </w:r>
      <w:r w:rsidRPr="00E47C2F">
        <w:rPr>
          <w:rFonts w:ascii="Times New Roman" w:hAnsi="Times New Roman" w:cs="Times New Roman"/>
          <w:bCs/>
          <w:sz w:val="28"/>
          <w:szCs w:val="28"/>
        </w:rPr>
        <w:t>My sincere gratitude and appreciation goes to the maker of heaven and earth, the I AM THAT I AM, the almighty God</w:t>
      </w:r>
      <w:r>
        <w:rPr>
          <w:rFonts w:ascii="Times New Roman" w:hAnsi="Times New Roman" w:cs="Times New Roman"/>
          <w:bCs/>
          <w:sz w:val="28"/>
          <w:szCs w:val="28"/>
        </w:rPr>
        <w:t xml:space="preserve"> </w:t>
      </w:r>
      <w:r w:rsidRPr="00E47C2F">
        <w:rPr>
          <w:rFonts w:ascii="Times New Roman" w:hAnsi="Times New Roman" w:cs="Times New Roman"/>
          <w:bCs/>
          <w:sz w:val="28"/>
          <w:szCs w:val="28"/>
        </w:rPr>
        <w:t xml:space="preserve">for taken me this far and for the grace given to me .I want to say a very big thanks to my parents, my support system, my strength and my joy giver (BABA SOLDIER) MR and MRS FOLORUNSO they are the real MVP, and to </w:t>
      </w:r>
      <w:r w:rsidRPr="00E47C2F">
        <w:rPr>
          <w:rFonts w:ascii="Times New Roman" w:hAnsi="Times New Roman" w:cs="Times New Roman"/>
          <w:bCs/>
          <w:sz w:val="28"/>
          <w:szCs w:val="28"/>
        </w:rPr>
        <w:lastRenderedPageBreak/>
        <w:t xml:space="preserve">MR and MRS AKINTAN ,thanks for your love and support towards my 5years journey. </w:t>
      </w:r>
      <w:bookmarkStart w:id="2" w:name="_Hlk201950733"/>
      <w:r w:rsidRPr="00E47C2F">
        <w:rPr>
          <w:rFonts w:ascii="Times New Roman" w:hAnsi="Times New Roman" w:cs="Times New Roman"/>
          <w:bCs/>
          <w:sz w:val="28"/>
          <w:szCs w:val="28"/>
        </w:rPr>
        <w:t>My special thanks also goes to my brothers</w:t>
      </w:r>
      <w:bookmarkEnd w:id="2"/>
      <w:r w:rsidRPr="00E47C2F">
        <w:rPr>
          <w:rFonts w:ascii="Times New Roman" w:hAnsi="Times New Roman" w:cs="Times New Roman"/>
          <w:bCs/>
          <w:sz w:val="28"/>
          <w:szCs w:val="28"/>
        </w:rPr>
        <w:t xml:space="preserve"> </w:t>
      </w:r>
      <w:r>
        <w:rPr>
          <w:rFonts w:ascii="Times New Roman" w:hAnsi="Times New Roman" w:cs="Times New Roman"/>
          <w:bCs/>
          <w:sz w:val="28"/>
          <w:szCs w:val="28"/>
        </w:rPr>
        <w:t>F</w:t>
      </w:r>
      <w:r w:rsidRPr="00E47C2F">
        <w:rPr>
          <w:rFonts w:ascii="Times New Roman" w:hAnsi="Times New Roman" w:cs="Times New Roman"/>
          <w:bCs/>
          <w:sz w:val="28"/>
          <w:szCs w:val="28"/>
        </w:rPr>
        <w:t>OLORUNSO YEMI,</w:t>
      </w:r>
      <w:r>
        <w:rPr>
          <w:rFonts w:ascii="Times New Roman" w:hAnsi="Times New Roman" w:cs="Times New Roman"/>
          <w:bCs/>
          <w:sz w:val="28"/>
          <w:szCs w:val="28"/>
        </w:rPr>
        <w:t xml:space="preserve"> </w:t>
      </w:r>
      <w:r w:rsidRPr="00E47C2F">
        <w:rPr>
          <w:rFonts w:ascii="Times New Roman" w:hAnsi="Times New Roman" w:cs="Times New Roman"/>
          <w:bCs/>
          <w:sz w:val="28"/>
          <w:szCs w:val="28"/>
        </w:rPr>
        <w:t>SESAN,</w:t>
      </w:r>
      <w:r>
        <w:rPr>
          <w:rFonts w:ascii="Times New Roman" w:hAnsi="Times New Roman" w:cs="Times New Roman"/>
          <w:bCs/>
          <w:sz w:val="28"/>
          <w:szCs w:val="28"/>
        </w:rPr>
        <w:t xml:space="preserve"> </w:t>
      </w:r>
      <w:r w:rsidRPr="00E47C2F">
        <w:rPr>
          <w:rFonts w:ascii="Times New Roman" w:hAnsi="Times New Roman" w:cs="Times New Roman"/>
          <w:bCs/>
          <w:sz w:val="28"/>
          <w:szCs w:val="28"/>
        </w:rPr>
        <w:t>NATHANIEL,</w:t>
      </w:r>
      <w:r>
        <w:rPr>
          <w:rFonts w:ascii="Times New Roman" w:hAnsi="Times New Roman" w:cs="Times New Roman"/>
          <w:bCs/>
          <w:sz w:val="28"/>
          <w:szCs w:val="28"/>
        </w:rPr>
        <w:t xml:space="preserve"> </w:t>
      </w:r>
      <w:r w:rsidRPr="00E47C2F">
        <w:rPr>
          <w:rFonts w:ascii="Times New Roman" w:hAnsi="Times New Roman" w:cs="Times New Roman"/>
          <w:bCs/>
          <w:sz w:val="28"/>
          <w:szCs w:val="28"/>
        </w:rPr>
        <w:t>EMMANUEL,</w:t>
      </w:r>
      <w:r>
        <w:rPr>
          <w:rFonts w:ascii="Times New Roman" w:hAnsi="Times New Roman" w:cs="Times New Roman"/>
          <w:bCs/>
          <w:sz w:val="28"/>
          <w:szCs w:val="28"/>
        </w:rPr>
        <w:t xml:space="preserve"> </w:t>
      </w:r>
      <w:r w:rsidRPr="00E47C2F">
        <w:rPr>
          <w:rFonts w:ascii="Times New Roman" w:hAnsi="Times New Roman" w:cs="Times New Roman"/>
          <w:bCs/>
          <w:sz w:val="28"/>
          <w:szCs w:val="28"/>
        </w:rPr>
        <w:t>EZEKIEL, for their support,</w:t>
      </w:r>
      <w:r>
        <w:rPr>
          <w:rFonts w:ascii="Times New Roman" w:hAnsi="Times New Roman" w:cs="Times New Roman"/>
          <w:bCs/>
          <w:sz w:val="28"/>
          <w:szCs w:val="28"/>
        </w:rPr>
        <w:t xml:space="preserve"> </w:t>
      </w:r>
      <w:r w:rsidRPr="00E47C2F">
        <w:rPr>
          <w:rFonts w:ascii="Times New Roman" w:hAnsi="Times New Roman" w:cs="Times New Roman"/>
          <w:bCs/>
          <w:sz w:val="28"/>
          <w:szCs w:val="28"/>
        </w:rPr>
        <w:t>word of encouragement and prayers I appreciate you all so much.</w:t>
      </w:r>
      <w:r>
        <w:rPr>
          <w:rFonts w:ascii="Times New Roman" w:hAnsi="Times New Roman" w:cs="Times New Roman"/>
          <w:bCs/>
          <w:sz w:val="28"/>
          <w:szCs w:val="28"/>
        </w:rPr>
        <w:t xml:space="preserve"> </w:t>
      </w:r>
      <w:r w:rsidRPr="00E47C2F">
        <w:rPr>
          <w:rFonts w:ascii="Times New Roman" w:hAnsi="Times New Roman" w:cs="Times New Roman"/>
          <w:bCs/>
          <w:sz w:val="28"/>
          <w:szCs w:val="28"/>
        </w:rPr>
        <w:t>My gratitude goes to my able supervisor MR OLARONGBE G</w:t>
      </w:r>
      <w:r>
        <w:rPr>
          <w:rFonts w:ascii="Times New Roman" w:hAnsi="Times New Roman" w:cs="Times New Roman"/>
          <w:bCs/>
          <w:sz w:val="28"/>
          <w:szCs w:val="28"/>
        </w:rPr>
        <w:t>.</w:t>
      </w:r>
      <w:r w:rsidRPr="00E47C2F">
        <w:rPr>
          <w:rFonts w:ascii="Times New Roman" w:hAnsi="Times New Roman" w:cs="Times New Roman"/>
          <w:bCs/>
          <w:sz w:val="28"/>
          <w:szCs w:val="28"/>
        </w:rPr>
        <w:t>O,</w:t>
      </w:r>
      <w:r>
        <w:rPr>
          <w:rFonts w:ascii="Times New Roman" w:hAnsi="Times New Roman" w:cs="Times New Roman"/>
          <w:bCs/>
          <w:sz w:val="28"/>
          <w:szCs w:val="28"/>
        </w:rPr>
        <w:t xml:space="preserve"> </w:t>
      </w:r>
      <w:r w:rsidRPr="00E47C2F">
        <w:rPr>
          <w:rFonts w:ascii="Times New Roman" w:hAnsi="Times New Roman" w:cs="Times New Roman"/>
          <w:bCs/>
          <w:sz w:val="28"/>
          <w:szCs w:val="28"/>
        </w:rPr>
        <w:t>for his relentless efforts in reading and studying the project and even correcting us when needed</w:t>
      </w:r>
      <w:r>
        <w:rPr>
          <w:rFonts w:ascii="Times New Roman" w:hAnsi="Times New Roman" w:cs="Times New Roman"/>
          <w:bCs/>
          <w:sz w:val="28"/>
          <w:szCs w:val="28"/>
        </w:rPr>
        <w:t xml:space="preserve"> </w:t>
      </w:r>
      <w:r w:rsidRPr="00E47C2F">
        <w:rPr>
          <w:rFonts w:ascii="Times New Roman" w:hAnsi="Times New Roman" w:cs="Times New Roman"/>
          <w:bCs/>
          <w:sz w:val="28"/>
          <w:szCs w:val="28"/>
        </w:rPr>
        <w:t>he’s not just a lecturer he’s a father with good heart, I pray all his heart desires come to pass.</w:t>
      </w:r>
      <w:r>
        <w:rPr>
          <w:rFonts w:ascii="Times New Roman" w:hAnsi="Times New Roman" w:cs="Times New Roman"/>
          <w:bCs/>
          <w:sz w:val="28"/>
          <w:szCs w:val="28"/>
        </w:rPr>
        <w:t xml:space="preserve"> A</w:t>
      </w:r>
      <w:r w:rsidRPr="00E47C2F">
        <w:rPr>
          <w:rFonts w:ascii="Times New Roman" w:hAnsi="Times New Roman" w:cs="Times New Roman"/>
          <w:bCs/>
          <w:sz w:val="28"/>
          <w:szCs w:val="28"/>
        </w:rPr>
        <w:t>lso, to my project members, I can’t appreciate you guys enough,</w:t>
      </w:r>
      <w:r>
        <w:rPr>
          <w:rFonts w:ascii="Times New Roman" w:hAnsi="Times New Roman" w:cs="Times New Roman"/>
          <w:bCs/>
          <w:sz w:val="28"/>
          <w:szCs w:val="28"/>
        </w:rPr>
        <w:t xml:space="preserve"> </w:t>
      </w:r>
      <w:r w:rsidRPr="00E47C2F">
        <w:rPr>
          <w:rFonts w:ascii="Times New Roman" w:hAnsi="Times New Roman" w:cs="Times New Roman"/>
          <w:bCs/>
          <w:sz w:val="28"/>
          <w:szCs w:val="28"/>
        </w:rPr>
        <w:t>and to my beloved friends, ELIZABETH,</w:t>
      </w:r>
      <w:r>
        <w:rPr>
          <w:rFonts w:ascii="Times New Roman" w:hAnsi="Times New Roman" w:cs="Times New Roman"/>
          <w:bCs/>
          <w:sz w:val="28"/>
          <w:szCs w:val="28"/>
        </w:rPr>
        <w:t xml:space="preserve"> </w:t>
      </w:r>
      <w:r w:rsidRPr="00E47C2F">
        <w:rPr>
          <w:rFonts w:ascii="Times New Roman" w:hAnsi="Times New Roman" w:cs="Times New Roman"/>
          <w:bCs/>
          <w:sz w:val="28"/>
          <w:szCs w:val="28"/>
        </w:rPr>
        <w:t>DAMOLA,</w:t>
      </w:r>
      <w:r>
        <w:rPr>
          <w:rFonts w:ascii="Times New Roman" w:hAnsi="Times New Roman" w:cs="Times New Roman"/>
          <w:bCs/>
          <w:sz w:val="28"/>
          <w:szCs w:val="28"/>
        </w:rPr>
        <w:t xml:space="preserve"> </w:t>
      </w:r>
      <w:r w:rsidRPr="00E47C2F">
        <w:rPr>
          <w:rFonts w:ascii="Times New Roman" w:hAnsi="Times New Roman" w:cs="Times New Roman"/>
          <w:bCs/>
          <w:sz w:val="28"/>
          <w:szCs w:val="28"/>
        </w:rPr>
        <w:t>AJOKE,</w:t>
      </w:r>
      <w:r>
        <w:rPr>
          <w:rFonts w:ascii="Times New Roman" w:hAnsi="Times New Roman" w:cs="Times New Roman"/>
          <w:bCs/>
          <w:sz w:val="28"/>
          <w:szCs w:val="28"/>
        </w:rPr>
        <w:t xml:space="preserve"> </w:t>
      </w:r>
      <w:r w:rsidRPr="00E47C2F">
        <w:rPr>
          <w:rFonts w:ascii="Times New Roman" w:hAnsi="Times New Roman" w:cs="Times New Roman"/>
          <w:bCs/>
          <w:sz w:val="28"/>
          <w:szCs w:val="28"/>
        </w:rPr>
        <w:t>ZAINAB,</w:t>
      </w:r>
      <w:r>
        <w:rPr>
          <w:rFonts w:ascii="Times New Roman" w:hAnsi="Times New Roman" w:cs="Times New Roman"/>
          <w:bCs/>
          <w:sz w:val="28"/>
          <w:szCs w:val="28"/>
        </w:rPr>
        <w:t xml:space="preserve"> </w:t>
      </w:r>
      <w:proofErr w:type="spellStart"/>
      <w:r w:rsidRPr="00E47C2F">
        <w:rPr>
          <w:rFonts w:ascii="Times New Roman" w:hAnsi="Times New Roman" w:cs="Times New Roman"/>
          <w:bCs/>
          <w:sz w:val="28"/>
          <w:szCs w:val="28"/>
        </w:rPr>
        <w:t>boywest</w:t>
      </w:r>
      <w:proofErr w:type="spellEnd"/>
      <w:r w:rsidRPr="00E47C2F">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E47C2F">
        <w:rPr>
          <w:rFonts w:ascii="Times New Roman" w:hAnsi="Times New Roman" w:cs="Times New Roman"/>
          <w:bCs/>
          <w:sz w:val="28"/>
          <w:szCs w:val="28"/>
        </w:rPr>
        <w:t>Nastes</w:t>
      </w:r>
      <w:proofErr w:type="spellEnd"/>
      <w:r w:rsidRPr="00E47C2F">
        <w:rPr>
          <w:rFonts w:ascii="Times New Roman" w:hAnsi="Times New Roman" w:cs="Times New Roman"/>
          <w:bCs/>
          <w:sz w:val="28"/>
          <w:szCs w:val="28"/>
        </w:rPr>
        <w:t xml:space="preserve"> executives, I want to say a very big THANK YOU.</w:t>
      </w:r>
      <w:r>
        <w:rPr>
          <w:rFonts w:ascii="Times New Roman" w:hAnsi="Times New Roman" w:cs="Times New Roman"/>
          <w:bCs/>
          <w:sz w:val="28"/>
          <w:szCs w:val="28"/>
        </w:rPr>
        <w:t xml:space="preserve">  </w:t>
      </w:r>
      <w:r w:rsidRPr="001C0330">
        <w:rPr>
          <w:rFonts w:ascii="Times New Roman" w:hAnsi="Times New Roman" w:cs="Times New Roman"/>
          <w:bCs/>
          <w:sz w:val="28"/>
          <w:szCs w:val="28"/>
        </w:rPr>
        <w:t>To my best baby OLUWAPELUMI, I want to say a very big thank you, for your love, support and words of encouragement throughout this phase, I love you big and to my precious OLUWAFEMI FAMILY thanks for taking me as your very own, I love you so much.</w:t>
      </w:r>
      <w:r>
        <w:rPr>
          <w:rFonts w:ascii="Times New Roman" w:hAnsi="Times New Roman" w:cs="Times New Roman"/>
          <w:bCs/>
          <w:sz w:val="28"/>
          <w:szCs w:val="28"/>
        </w:rPr>
        <w:t xml:space="preserve"> </w:t>
      </w:r>
      <w:r w:rsidRPr="001C0330">
        <w:rPr>
          <w:rFonts w:ascii="Times New Roman" w:hAnsi="Times New Roman" w:cs="Times New Roman"/>
          <w:bCs/>
          <w:sz w:val="28"/>
          <w:szCs w:val="28"/>
        </w:rPr>
        <w:t>My acknowledgement is not complete without me mentioning my priceless jewel,</w:t>
      </w:r>
      <w:r>
        <w:rPr>
          <w:rFonts w:ascii="Times New Roman" w:hAnsi="Times New Roman" w:cs="Times New Roman"/>
          <w:bCs/>
          <w:sz w:val="28"/>
          <w:szCs w:val="28"/>
        </w:rPr>
        <w:t xml:space="preserve"> </w:t>
      </w:r>
      <w:r w:rsidRPr="001C0330">
        <w:rPr>
          <w:rFonts w:ascii="Times New Roman" w:hAnsi="Times New Roman" w:cs="Times New Roman"/>
          <w:bCs/>
          <w:sz w:val="28"/>
          <w:szCs w:val="28"/>
        </w:rPr>
        <w:t>FOLORUNSO OLUWATOBILOBA JOHNSON, for his love,</w:t>
      </w:r>
      <w:r>
        <w:rPr>
          <w:rFonts w:ascii="Times New Roman" w:hAnsi="Times New Roman" w:cs="Times New Roman"/>
          <w:bCs/>
          <w:sz w:val="28"/>
          <w:szCs w:val="28"/>
        </w:rPr>
        <w:t xml:space="preserve"> </w:t>
      </w:r>
      <w:r w:rsidRPr="001C0330">
        <w:rPr>
          <w:rFonts w:ascii="Times New Roman" w:hAnsi="Times New Roman" w:cs="Times New Roman"/>
          <w:bCs/>
          <w:sz w:val="28"/>
          <w:szCs w:val="28"/>
        </w:rPr>
        <w:t>support and help throughout the completion of my project</w:t>
      </w:r>
      <w:r>
        <w:rPr>
          <w:rFonts w:ascii="Times New Roman" w:hAnsi="Times New Roman" w:cs="Times New Roman"/>
          <w:bCs/>
          <w:sz w:val="28"/>
          <w:szCs w:val="28"/>
        </w:rPr>
        <w:t>.</w:t>
      </w:r>
      <w:r w:rsidRPr="001C0330">
        <w:rPr>
          <w:rFonts w:ascii="Times New Roman" w:hAnsi="Times New Roman" w:cs="Times New Roman"/>
          <w:bCs/>
          <w:sz w:val="28"/>
          <w:szCs w:val="28"/>
        </w:rPr>
        <w:t xml:space="preserve"> I say a big thank you</w:t>
      </w:r>
      <w:r>
        <w:rPr>
          <w:rFonts w:ascii="Times New Roman" w:hAnsi="Times New Roman" w:cs="Times New Roman"/>
          <w:bCs/>
          <w:sz w:val="28"/>
          <w:szCs w:val="28"/>
        </w:rPr>
        <w:t xml:space="preserve"> t</w:t>
      </w:r>
      <w:r w:rsidRPr="001C0330">
        <w:rPr>
          <w:rFonts w:ascii="Times New Roman" w:hAnsi="Times New Roman" w:cs="Times New Roman"/>
          <w:bCs/>
          <w:sz w:val="28"/>
          <w:szCs w:val="28"/>
        </w:rPr>
        <w:t xml:space="preserve">o my lovers, </w:t>
      </w:r>
      <w:proofErr w:type="spellStart"/>
      <w:r w:rsidRPr="001C0330">
        <w:rPr>
          <w:rFonts w:ascii="Times New Roman" w:hAnsi="Times New Roman" w:cs="Times New Roman"/>
          <w:bCs/>
          <w:sz w:val="28"/>
          <w:szCs w:val="28"/>
        </w:rPr>
        <w:t>lil</w:t>
      </w:r>
      <w:proofErr w:type="spellEnd"/>
      <w:r w:rsidRPr="001C0330">
        <w:rPr>
          <w:rFonts w:ascii="Times New Roman" w:hAnsi="Times New Roman" w:cs="Times New Roman"/>
          <w:bCs/>
          <w:sz w:val="28"/>
          <w:szCs w:val="28"/>
        </w:rPr>
        <w:t xml:space="preserve"> mom, prof. </w:t>
      </w:r>
      <w:proofErr w:type="spellStart"/>
      <w:r w:rsidRPr="001C0330">
        <w:rPr>
          <w:rFonts w:ascii="Times New Roman" w:hAnsi="Times New Roman" w:cs="Times New Roman"/>
          <w:bCs/>
          <w:sz w:val="28"/>
          <w:szCs w:val="28"/>
        </w:rPr>
        <w:t>Gbolagade</w:t>
      </w:r>
      <w:proofErr w:type="spellEnd"/>
      <w:r w:rsidRPr="001C0330">
        <w:rPr>
          <w:rFonts w:ascii="Times New Roman" w:hAnsi="Times New Roman" w:cs="Times New Roman"/>
          <w:bCs/>
          <w:sz w:val="28"/>
          <w:szCs w:val="28"/>
        </w:rPr>
        <w:t xml:space="preserve"> </w:t>
      </w:r>
      <w:proofErr w:type="spellStart"/>
      <w:r w:rsidRPr="001C0330">
        <w:rPr>
          <w:rFonts w:ascii="Times New Roman" w:hAnsi="Times New Roman" w:cs="Times New Roman"/>
          <w:bCs/>
          <w:sz w:val="28"/>
          <w:szCs w:val="28"/>
        </w:rPr>
        <w:t>Adesiji</w:t>
      </w:r>
      <w:proofErr w:type="spellEnd"/>
      <w:r w:rsidRPr="001C0330">
        <w:rPr>
          <w:rFonts w:ascii="Times New Roman" w:hAnsi="Times New Roman" w:cs="Times New Roman"/>
          <w:bCs/>
          <w:sz w:val="28"/>
          <w:szCs w:val="28"/>
        </w:rPr>
        <w:t xml:space="preserve">, </w:t>
      </w:r>
      <w:r>
        <w:rPr>
          <w:rFonts w:ascii="Times New Roman" w:hAnsi="Times New Roman" w:cs="Times New Roman"/>
          <w:bCs/>
          <w:sz w:val="28"/>
          <w:szCs w:val="28"/>
        </w:rPr>
        <w:t>D</w:t>
      </w:r>
      <w:r w:rsidRPr="001C0330">
        <w:rPr>
          <w:rFonts w:ascii="Times New Roman" w:hAnsi="Times New Roman" w:cs="Times New Roman"/>
          <w:bCs/>
          <w:sz w:val="28"/>
          <w:szCs w:val="28"/>
        </w:rPr>
        <w:t xml:space="preserve">eacon </w:t>
      </w:r>
      <w:proofErr w:type="spellStart"/>
      <w:r>
        <w:rPr>
          <w:rFonts w:ascii="Times New Roman" w:hAnsi="Times New Roman" w:cs="Times New Roman"/>
          <w:bCs/>
          <w:sz w:val="28"/>
          <w:szCs w:val="28"/>
        </w:rPr>
        <w:t>O</w:t>
      </w:r>
      <w:r w:rsidRPr="001C0330">
        <w:rPr>
          <w:rFonts w:ascii="Times New Roman" w:hAnsi="Times New Roman" w:cs="Times New Roman"/>
          <w:bCs/>
          <w:sz w:val="28"/>
          <w:szCs w:val="28"/>
        </w:rPr>
        <w:t>jo</w:t>
      </w:r>
      <w:proofErr w:type="spellEnd"/>
      <w:r w:rsidRPr="001C0330">
        <w:rPr>
          <w:rFonts w:ascii="Times New Roman" w:hAnsi="Times New Roman" w:cs="Times New Roman"/>
          <w:bCs/>
          <w:sz w:val="28"/>
          <w:szCs w:val="28"/>
        </w:rPr>
        <w:t xml:space="preserve">, </w:t>
      </w:r>
      <w:proofErr w:type="spellStart"/>
      <w:r w:rsidRPr="001C0330">
        <w:rPr>
          <w:rFonts w:ascii="Times New Roman" w:hAnsi="Times New Roman" w:cs="Times New Roman"/>
          <w:bCs/>
          <w:sz w:val="28"/>
          <w:szCs w:val="28"/>
        </w:rPr>
        <w:t>Oluwatobiloba</w:t>
      </w:r>
      <w:proofErr w:type="spellEnd"/>
      <w:r w:rsidRPr="001C0330">
        <w:rPr>
          <w:rFonts w:ascii="Times New Roman" w:hAnsi="Times New Roman" w:cs="Times New Roman"/>
          <w:bCs/>
          <w:sz w:val="28"/>
          <w:szCs w:val="28"/>
        </w:rPr>
        <w:t xml:space="preserve"> Samuel, my best girl my roommate my sister ADEBAYO ODUNAYO,</w:t>
      </w:r>
      <w:r>
        <w:rPr>
          <w:rFonts w:ascii="Times New Roman" w:hAnsi="Times New Roman" w:cs="Times New Roman"/>
          <w:bCs/>
          <w:sz w:val="28"/>
          <w:szCs w:val="28"/>
        </w:rPr>
        <w:t xml:space="preserve"> </w:t>
      </w:r>
      <w:r w:rsidRPr="001C0330">
        <w:rPr>
          <w:rFonts w:ascii="Times New Roman" w:hAnsi="Times New Roman" w:cs="Times New Roman"/>
          <w:bCs/>
          <w:sz w:val="28"/>
          <w:szCs w:val="28"/>
        </w:rPr>
        <w:t>Mr. Governor, I love you all so much.</w:t>
      </w:r>
      <w:r>
        <w:rPr>
          <w:rFonts w:ascii="Times New Roman" w:hAnsi="Times New Roman" w:cs="Times New Roman"/>
          <w:bCs/>
          <w:sz w:val="28"/>
          <w:szCs w:val="28"/>
        </w:rPr>
        <w:t xml:space="preserve"> </w:t>
      </w:r>
      <w:r w:rsidRPr="001C0330">
        <w:rPr>
          <w:rFonts w:ascii="Times New Roman" w:hAnsi="Times New Roman" w:cs="Times New Roman"/>
          <w:bCs/>
          <w:sz w:val="28"/>
          <w:szCs w:val="28"/>
        </w:rPr>
        <w:t>I want to sincerely appreciate myself MORENIKEJI for making it up this far, thanks for not giving up in this 5years journey,</w:t>
      </w:r>
      <w:r>
        <w:rPr>
          <w:rFonts w:ascii="Times New Roman" w:hAnsi="Times New Roman" w:cs="Times New Roman"/>
          <w:bCs/>
          <w:sz w:val="28"/>
          <w:szCs w:val="28"/>
        </w:rPr>
        <w:t xml:space="preserve"> </w:t>
      </w:r>
      <w:r w:rsidRPr="001C0330">
        <w:rPr>
          <w:rFonts w:ascii="Times New Roman" w:hAnsi="Times New Roman" w:cs="Times New Roman"/>
          <w:bCs/>
          <w:sz w:val="28"/>
          <w:szCs w:val="28"/>
        </w:rPr>
        <w:t xml:space="preserve">you are a strong lady. keep </w:t>
      </w:r>
      <w:r w:rsidRPr="001C0330">
        <w:rPr>
          <w:rFonts w:ascii="Times New Roman" w:hAnsi="Times New Roman" w:cs="Times New Roman"/>
          <w:bCs/>
          <w:sz w:val="28"/>
          <w:szCs w:val="28"/>
        </w:rPr>
        <w:lastRenderedPageBreak/>
        <w:t>making mama proud. Cheers for being the SECOND GRADUATE IN THE FAMILY I’m proud of you</w:t>
      </w:r>
    </w:p>
    <w:p w14:paraId="5B54AB59" w14:textId="77777777" w:rsidR="00BD057E" w:rsidRPr="004E1FF3" w:rsidRDefault="00BD057E" w:rsidP="00BD057E">
      <w:pPr>
        <w:spacing w:line="480" w:lineRule="auto"/>
        <w:jc w:val="both"/>
        <w:rPr>
          <w:rFonts w:ascii="Times New Roman" w:hAnsi="Times New Roman" w:cs="Times New Roman"/>
          <w:bCs/>
          <w:sz w:val="28"/>
          <w:szCs w:val="28"/>
        </w:rPr>
      </w:pPr>
    </w:p>
    <w:p w14:paraId="5A3E547D" w14:textId="77777777" w:rsidR="00BD057E" w:rsidRDefault="00BD057E" w:rsidP="00BD057E">
      <w:pPr>
        <w:spacing w:before="100" w:beforeAutospacing="1" w:line="480" w:lineRule="auto"/>
        <w:jc w:val="both"/>
        <w:rPr>
          <w:rFonts w:ascii="Times New Roman" w:eastAsia="Calibri" w:hAnsi="Times New Roman" w:cs="Times New Roman"/>
          <w:sz w:val="28"/>
          <w:szCs w:val="28"/>
        </w:rPr>
      </w:pPr>
    </w:p>
    <w:p w14:paraId="243C337A" w14:textId="77777777" w:rsidR="00BD057E" w:rsidRDefault="00BD057E" w:rsidP="00BD057E">
      <w:pPr>
        <w:spacing w:before="100" w:beforeAutospacing="1" w:line="480" w:lineRule="auto"/>
        <w:jc w:val="both"/>
        <w:rPr>
          <w:rFonts w:ascii="Times New Roman" w:eastAsia="Calibri" w:hAnsi="Times New Roman" w:cs="Times New Roman"/>
          <w:sz w:val="28"/>
          <w:szCs w:val="28"/>
        </w:rPr>
      </w:pPr>
    </w:p>
    <w:p w14:paraId="348F90A9" w14:textId="77777777" w:rsidR="00BD057E" w:rsidRDefault="00BD057E" w:rsidP="00BD057E">
      <w:pPr>
        <w:spacing w:before="100" w:beforeAutospacing="1" w:line="480" w:lineRule="auto"/>
        <w:jc w:val="both"/>
        <w:rPr>
          <w:rFonts w:ascii="Times New Roman" w:eastAsia="Calibri" w:hAnsi="Times New Roman" w:cs="Times New Roman"/>
          <w:sz w:val="28"/>
          <w:szCs w:val="28"/>
        </w:rPr>
      </w:pPr>
    </w:p>
    <w:p w14:paraId="02AD65DC" w14:textId="77777777" w:rsidR="00BD057E" w:rsidRDefault="00BD057E" w:rsidP="00BD057E">
      <w:pPr>
        <w:spacing w:before="100" w:beforeAutospacing="1" w:line="480" w:lineRule="auto"/>
        <w:jc w:val="both"/>
        <w:rPr>
          <w:rFonts w:ascii="Times New Roman" w:eastAsia="Calibri" w:hAnsi="Times New Roman" w:cs="Times New Roman"/>
          <w:sz w:val="28"/>
          <w:szCs w:val="28"/>
        </w:rPr>
      </w:pPr>
    </w:p>
    <w:p w14:paraId="512960D1" w14:textId="77777777" w:rsidR="00BD057E" w:rsidRDefault="00BD057E" w:rsidP="00BD057E">
      <w:pPr>
        <w:spacing w:before="100" w:beforeAutospacing="1" w:line="480" w:lineRule="auto"/>
        <w:jc w:val="both"/>
        <w:rPr>
          <w:rFonts w:ascii="Times New Roman" w:eastAsia="Calibri" w:hAnsi="Times New Roman" w:cs="Times New Roman"/>
          <w:sz w:val="28"/>
          <w:szCs w:val="28"/>
        </w:rPr>
      </w:pPr>
    </w:p>
    <w:p w14:paraId="3B741F19" w14:textId="77777777" w:rsidR="00BD057E" w:rsidRDefault="00BD057E" w:rsidP="00BD057E">
      <w:pPr>
        <w:spacing w:before="100" w:beforeAutospacing="1" w:line="480" w:lineRule="auto"/>
        <w:jc w:val="both"/>
        <w:rPr>
          <w:rFonts w:ascii="Times New Roman" w:eastAsia="Calibri" w:hAnsi="Times New Roman" w:cs="Times New Roman"/>
          <w:sz w:val="28"/>
          <w:szCs w:val="28"/>
        </w:rPr>
      </w:pPr>
    </w:p>
    <w:p w14:paraId="70D9E582" w14:textId="77777777" w:rsidR="00BD057E" w:rsidRDefault="00BD057E" w:rsidP="00BD057E">
      <w:pPr>
        <w:spacing w:before="100" w:beforeAutospacing="1" w:line="480" w:lineRule="auto"/>
        <w:jc w:val="both"/>
        <w:rPr>
          <w:rFonts w:ascii="Times New Roman" w:eastAsia="Calibri" w:hAnsi="Times New Roman" w:cs="Times New Roman"/>
          <w:sz w:val="28"/>
          <w:szCs w:val="28"/>
        </w:rPr>
      </w:pPr>
    </w:p>
    <w:p w14:paraId="7246ADDA" w14:textId="77777777" w:rsidR="00BD057E" w:rsidRDefault="00BD057E" w:rsidP="00BD057E">
      <w:pPr>
        <w:spacing w:before="100" w:beforeAutospacing="1" w:line="480" w:lineRule="auto"/>
        <w:jc w:val="both"/>
        <w:rPr>
          <w:rFonts w:ascii="Times New Roman" w:eastAsia="Calibri" w:hAnsi="Times New Roman" w:cs="Times New Roman"/>
          <w:sz w:val="28"/>
          <w:szCs w:val="28"/>
        </w:rPr>
      </w:pPr>
    </w:p>
    <w:p w14:paraId="1C886754" w14:textId="77777777" w:rsidR="00BD057E" w:rsidRDefault="00BD057E" w:rsidP="00BD057E">
      <w:pPr>
        <w:spacing w:before="100" w:beforeAutospacing="1" w:line="480" w:lineRule="auto"/>
        <w:jc w:val="both"/>
        <w:rPr>
          <w:rFonts w:ascii="Times New Roman" w:eastAsia="Calibri" w:hAnsi="Times New Roman" w:cs="Times New Roman"/>
          <w:sz w:val="28"/>
          <w:szCs w:val="28"/>
        </w:rPr>
      </w:pPr>
    </w:p>
    <w:p w14:paraId="37F0C0FB" w14:textId="77777777" w:rsidR="00BD057E" w:rsidRDefault="00BD057E" w:rsidP="00BD057E">
      <w:pPr>
        <w:spacing w:before="100" w:beforeAutospacing="1" w:line="480" w:lineRule="auto"/>
        <w:jc w:val="both"/>
        <w:rPr>
          <w:rFonts w:ascii="Times New Roman" w:eastAsia="Calibri" w:hAnsi="Times New Roman" w:cs="Times New Roman"/>
          <w:sz w:val="28"/>
          <w:szCs w:val="28"/>
        </w:rPr>
      </w:pPr>
    </w:p>
    <w:p w14:paraId="62F65CCF" w14:textId="77777777" w:rsidR="00BD057E" w:rsidRPr="00D02E93" w:rsidRDefault="00BD057E" w:rsidP="00BD057E">
      <w:pPr>
        <w:spacing w:before="100" w:beforeAutospacing="1" w:line="480" w:lineRule="auto"/>
        <w:jc w:val="both"/>
        <w:rPr>
          <w:rFonts w:ascii="Times New Roman" w:eastAsia="Calibri" w:hAnsi="Times New Roman" w:cs="Times New Roman"/>
          <w:sz w:val="28"/>
          <w:szCs w:val="28"/>
        </w:rPr>
      </w:pPr>
    </w:p>
    <w:p w14:paraId="20535502" w14:textId="77777777" w:rsidR="00BD057E" w:rsidRDefault="00BD057E" w:rsidP="00BD057E">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37F0DF1B"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 xml:space="preserve">   </w:t>
      </w:r>
    </w:p>
    <w:p w14:paraId="2EABDD2F"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Pr>
          <w:rFonts w:ascii="Times New Roman" w:hAnsi="Times New Roman" w:cs="Times New Roman"/>
          <w:sz w:val="28"/>
          <w:szCs w:val="28"/>
        </w:rPr>
        <w:t>i</w:t>
      </w:r>
      <w:proofErr w:type="spellEnd"/>
    </w:p>
    <w:p w14:paraId="12512DC4"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4F557BF0"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1D8087D2"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-----------------------------------------------------------vi</w:t>
      </w:r>
      <w:r>
        <w:rPr>
          <w:rFonts w:ascii="Times New Roman" w:hAnsi="Times New Roman" w:cs="Times New Roman"/>
          <w:sz w:val="28"/>
          <w:szCs w:val="28"/>
        </w:rPr>
        <w:tab/>
      </w:r>
    </w:p>
    <w:p w14:paraId="66E750C3"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-------------------------------------------------------------ix</w:t>
      </w:r>
    </w:p>
    <w:p w14:paraId="53124200"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----------------------------------------------------------------------x</w:t>
      </w:r>
    </w:p>
    <w:p w14:paraId="7E7AC8D2"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---------------------------------------------------------------------x</w:t>
      </w:r>
    </w:p>
    <w:p w14:paraId="477723CA"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------------------------------------------------------------------------------xi</w:t>
      </w:r>
    </w:p>
    <w:p w14:paraId="40A4CDD5" w14:textId="77777777" w:rsidR="00BD057E" w:rsidRDefault="00BD057E" w:rsidP="00BD057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D7928DE"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7C2180DF"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2C59DC01"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0E59E8E9"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2A48DE41"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48833283" w14:textId="77777777" w:rsidR="00BD057E" w:rsidRDefault="00BD057E" w:rsidP="00BD057E">
      <w:pPr>
        <w:spacing w:line="480" w:lineRule="auto"/>
        <w:jc w:val="both"/>
        <w:rPr>
          <w:rFonts w:ascii="Times New Roman" w:hAnsi="Times New Roman" w:cs="Times New Roman"/>
          <w:b/>
          <w:bCs/>
          <w:sz w:val="28"/>
          <w:szCs w:val="28"/>
        </w:rPr>
      </w:pPr>
    </w:p>
    <w:p w14:paraId="6C35AFB1" w14:textId="77777777" w:rsidR="00BD057E" w:rsidRDefault="00BD057E" w:rsidP="00BD057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62A20CEA"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7DD65155"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21FB3267"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3CC94B19"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1152C1F8"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2EE8104D" w14:textId="77777777" w:rsidR="00BD057E" w:rsidRDefault="00BD057E" w:rsidP="00BD057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17C61F36" w14:textId="77777777" w:rsidR="00BD057E" w:rsidRPr="008E3E32" w:rsidRDefault="00BD057E" w:rsidP="00BD057E">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26A807CD" w14:textId="77777777" w:rsidR="00BD057E" w:rsidRDefault="00BD057E" w:rsidP="00BD057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17400B42" w14:textId="77777777" w:rsidR="00BD057E" w:rsidRDefault="00BD057E" w:rsidP="00BD057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0EFC96E8" w14:textId="77777777" w:rsidR="00BD057E" w:rsidRDefault="00BD057E" w:rsidP="00BD057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0B35F10A"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2F6CCD4C"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7C0CAD14"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D58DB9E"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4EDFFE9"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597F5A5F" w14:textId="77777777" w:rsidR="00BD057E" w:rsidRPr="00A874C5" w:rsidRDefault="00BD057E" w:rsidP="00BD057E">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05BAC85B"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69A4F65D" w14:textId="77777777" w:rsidR="00BD057E" w:rsidRDefault="00BD057E" w:rsidP="00BD057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788C4D89" w14:textId="77777777" w:rsidR="00BD057E" w:rsidRPr="00A874C5" w:rsidRDefault="00BD057E" w:rsidP="00BD057E">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3987755C"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1CAE162D"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5D958853"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4C9BB909"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0D1662CB" w14:textId="77777777" w:rsidR="00BD057E" w:rsidRDefault="00BD057E" w:rsidP="00BD057E">
      <w:pPr>
        <w:tabs>
          <w:tab w:val="left" w:pos="3780"/>
        </w:tabs>
        <w:spacing w:line="480" w:lineRule="auto"/>
        <w:jc w:val="both"/>
        <w:rPr>
          <w:rFonts w:ascii="Times New Roman" w:hAnsi="Times New Roman" w:cs="Times New Roman"/>
          <w:sz w:val="28"/>
          <w:szCs w:val="28"/>
        </w:rPr>
      </w:pPr>
    </w:p>
    <w:p w14:paraId="2ED8B507" w14:textId="77777777" w:rsidR="00BD057E" w:rsidRDefault="00BD057E" w:rsidP="00BD057E">
      <w:pPr>
        <w:tabs>
          <w:tab w:val="left" w:pos="3780"/>
        </w:tabs>
        <w:spacing w:line="480" w:lineRule="auto"/>
        <w:jc w:val="both"/>
        <w:rPr>
          <w:rFonts w:ascii="Times New Roman" w:hAnsi="Times New Roman" w:cs="Times New Roman"/>
          <w:sz w:val="28"/>
          <w:szCs w:val="28"/>
        </w:rPr>
      </w:pPr>
    </w:p>
    <w:p w14:paraId="4AA5989F" w14:textId="77777777" w:rsidR="00BD057E" w:rsidRDefault="00BD057E" w:rsidP="00BD057E">
      <w:pPr>
        <w:tabs>
          <w:tab w:val="left" w:pos="3780"/>
        </w:tabs>
        <w:spacing w:line="480" w:lineRule="auto"/>
        <w:jc w:val="both"/>
        <w:rPr>
          <w:rFonts w:ascii="Times New Roman" w:hAnsi="Times New Roman" w:cs="Times New Roman"/>
          <w:sz w:val="28"/>
          <w:szCs w:val="28"/>
        </w:rPr>
      </w:pPr>
    </w:p>
    <w:p w14:paraId="3A3A5892" w14:textId="5DBEC7B1" w:rsidR="00BD057E" w:rsidRDefault="00BD057E" w:rsidP="00BD057E">
      <w:pPr>
        <w:spacing w:before="100" w:beforeAutospacing="1" w:line="360" w:lineRule="auto"/>
        <w:jc w:val="both"/>
        <w:rPr>
          <w:rFonts w:ascii="Times New Roman" w:hAnsi="Times New Roman" w:cs="Times New Roman"/>
          <w:sz w:val="28"/>
          <w:szCs w:val="28"/>
        </w:rPr>
      </w:pPr>
    </w:p>
    <w:p w14:paraId="7AFFB16E" w14:textId="77777777" w:rsidR="00BD057E" w:rsidRDefault="00BD057E" w:rsidP="00BD057E">
      <w:pPr>
        <w:spacing w:before="100" w:beforeAutospacing="1" w:line="360" w:lineRule="auto"/>
        <w:jc w:val="both"/>
        <w:rPr>
          <w:rFonts w:ascii="Times New Roman" w:eastAsia="Calibri" w:hAnsi="Times New Roman" w:cs="Times New Roman"/>
          <w:sz w:val="28"/>
          <w:szCs w:val="28"/>
        </w:rPr>
      </w:pPr>
    </w:p>
    <w:p w14:paraId="6B64A803" w14:textId="77777777" w:rsidR="00BD057E" w:rsidRDefault="00BD057E" w:rsidP="00BD057E">
      <w:pPr>
        <w:spacing w:before="100" w:beforeAutospacing="1" w:line="360" w:lineRule="auto"/>
        <w:jc w:val="both"/>
        <w:rPr>
          <w:rFonts w:ascii="Times New Roman" w:eastAsia="Calibri" w:hAnsi="Times New Roman" w:cs="Times New Roman"/>
          <w:sz w:val="28"/>
          <w:szCs w:val="28"/>
        </w:rPr>
      </w:pPr>
    </w:p>
    <w:p w14:paraId="0F8E662A" w14:textId="77777777" w:rsidR="00BD057E" w:rsidRDefault="00BD057E" w:rsidP="00BD057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64F22276"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3820F477" w14:textId="77777777" w:rsidR="00BD057E" w:rsidRPr="00A633C9" w:rsidRDefault="00BD057E" w:rsidP="00BD057E">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634F4CC6" w14:textId="77777777" w:rsidR="00BD057E" w:rsidRDefault="00BD057E" w:rsidP="00BD057E">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74413612" w14:textId="77777777" w:rsidR="00BD057E" w:rsidRDefault="00BD057E" w:rsidP="00BD057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04C45132" w14:textId="77777777" w:rsidR="00BD057E" w:rsidRDefault="00BD057E" w:rsidP="00BD057E">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7A6B99FE" w14:textId="77777777" w:rsidR="00BD057E" w:rsidRDefault="00BD057E" w:rsidP="00BD057E">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0CFF9346"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3C18A6B"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72E8083B"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A90A5B6"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A320EB6" w14:textId="77777777" w:rsidR="00BD057E" w:rsidRDefault="00BD057E" w:rsidP="00BD057E">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5D6B1C8E" w14:textId="77777777" w:rsidR="00BD057E" w:rsidRDefault="00BD057E" w:rsidP="00BD057E">
      <w:pPr>
        <w:tabs>
          <w:tab w:val="left" w:pos="3780"/>
        </w:tabs>
        <w:spacing w:line="480" w:lineRule="auto"/>
        <w:jc w:val="both"/>
        <w:rPr>
          <w:rFonts w:ascii="Times New Roman" w:hAnsi="Times New Roman" w:cs="Times New Roman"/>
          <w:sz w:val="28"/>
          <w:szCs w:val="28"/>
        </w:rPr>
      </w:pPr>
    </w:p>
    <w:p w14:paraId="71335584" w14:textId="77777777" w:rsidR="00BD057E" w:rsidRDefault="00BD057E" w:rsidP="00BD057E">
      <w:pPr>
        <w:tabs>
          <w:tab w:val="left" w:pos="3780"/>
        </w:tabs>
        <w:spacing w:line="480" w:lineRule="auto"/>
        <w:jc w:val="both"/>
        <w:rPr>
          <w:rFonts w:ascii="Times New Roman" w:hAnsi="Times New Roman" w:cs="Times New Roman"/>
          <w:sz w:val="28"/>
          <w:szCs w:val="28"/>
        </w:rPr>
      </w:pPr>
    </w:p>
    <w:p w14:paraId="024D7CCD" w14:textId="77777777" w:rsidR="00BD057E" w:rsidRDefault="00BD057E" w:rsidP="00BD057E">
      <w:pPr>
        <w:tabs>
          <w:tab w:val="left" w:pos="3780"/>
        </w:tabs>
        <w:spacing w:line="480" w:lineRule="auto"/>
        <w:jc w:val="both"/>
        <w:rPr>
          <w:rFonts w:ascii="Times New Roman" w:hAnsi="Times New Roman" w:cs="Times New Roman"/>
          <w:sz w:val="28"/>
          <w:szCs w:val="28"/>
        </w:rPr>
      </w:pPr>
    </w:p>
    <w:p w14:paraId="71B97C5E" w14:textId="77777777" w:rsidR="00BD057E" w:rsidRDefault="00BD057E" w:rsidP="00BD057E">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73E50F52" w14:textId="77777777" w:rsidR="00BD057E" w:rsidRPr="00DF3F67" w:rsidRDefault="00BD057E" w:rsidP="00BD057E">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60D8BCEC" w14:textId="77777777" w:rsidR="00BD057E" w:rsidRDefault="00BD057E" w:rsidP="00BD057E">
      <w:pPr>
        <w:spacing w:before="100" w:beforeAutospacing="1" w:line="360" w:lineRule="auto"/>
        <w:jc w:val="both"/>
        <w:rPr>
          <w:rFonts w:ascii="Times New Roman" w:eastAsia="Calibri" w:hAnsi="Times New Roman" w:cs="Times New Roman"/>
          <w:sz w:val="28"/>
          <w:szCs w:val="28"/>
        </w:rPr>
        <w:sectPr w:rsidR="00BD057E" w:rsidSect="00BD057E">
          <w:footerReference w:type="default" r:id="rId9"/>
          <w:pgSz w:w="12240" w:h="15840"/>
          <w:pgMar w:top="1440" w:right="1440" w:bottom="1440" w:left="1440" w:header="720" w:footer="720" w:gutter="0"/>
          <w:pgNumType w:fmt="lowerRoman"/>
          <w:cols w:space="720"/>
          <w:docGrid w:linePitch="360"/>
        </w:sect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bookmarkEnd w:id="0"/>
      <w:r>
        <w:rPr>
          <w:rFonts w:ascii="Times New Roman" w:eastAsia="Calibri" w:hAnsi="Times New Roman" w:cs="Times New Roman"/>
          <w:sz w:val="28"/>
          <w:szCs w:val="28"/>
        </w:rPr>
        <w:t xml:space="preserve">.  </w:t>
      </w:r>
    </w:p>
    <w:p w14:paraId="5CE2A8EE" w14:textId="76783DCE" w:rsidR="001269D3" w:rsidRPr="004C4CED" w:rsidRDefault="001269D3" w:rsidP="00067BF8">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lastRenderedPageBreak/>
        <w:t>CHAPTER ONE</w:t>
      </w:r>
    </w:p>
    <w:p w14:paraId="7E778926" w14:textId="77777777" w:rsidR="00FE7283" w:rsidRPr="00FE7283" w:rsidRDefault="001269D3" w:rsidP="00C35AE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4AD57D13" w14:textId="46578A1A" w:rsidR="00A918A7" w:rsidRDefault="00A918A7" w:rsidP="00C35AE1">
      <w:pPr>
        <w:spacing w:line="480" w:lineRule="auto"/>
        <w:jc w:val="both"/>
        <w:rPr>
          <w:rFonts w:ascii="Times New Roman" w:hAnsi="Times New Roman" w:cs="Times New Roman"/>
          <w:sz w:val="28"/>
          <w:szCs w:val="28"/>
        </w:rPr>
      </w:pPr>
      <w:r w:rsidRPr="00A918A7">
        <w:rPr>
          <w:rFonts w:ascii="Times New Roman" w:hAnsi="Times New Roman" w:cs="Times New Roman"/>
          <w:i/>
          <w:sz w:val="28"/>
          <w:szCs w:val="28"/>
        </w:rPr>
        <w:t xml:space="preserve">Aspergillus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a filamentous, saprophytic fungus ubiquitously present in diverse environments including soil, decaying vegetation, stored food products, and indoor air, particularly in regions with high humidity and poor ventilation. It belongs to the black aspergilli group and is among the most commonly encountered species of the genus </w:t>
      </w:r>
      <w:r w:rsidRPr="00A918A7">
        <w:rPr>
          <w:rFonts w:ascii="Times New Roman" w:hAnsi="Times New Roman" w:cs="Times New Roman"/>
          <w:i/>
          <w:sz w:val="28"/>
          <w:szCs w:val="28"/>
        </w:rPr>
        <w:t>Aspergillus</w:t>
      </w:r>
      <w:r w:rsidRPr="00A918A7">
        <w:rPr>
          <w:rFonts w:ascii="Times New Roman" w:hAnsi="Times New Roman" w:cs="Times New Roman"/>
          <w:sz w:val="28"/>
          <w:szCs w:val="28"/>
        </w:rPr>
        <w:t xml:space="preserve">. While it is renowned for its industrial applications in producing citric acid, gluconic acid, and various enzymes such as amylases and proteases, </w:t>
      </w:r>
      <w:r w:rsidRPr="00A918A7">
        <w:rPr>
          <w:rFonts w:ascii="Times New Roman" w:hAnsi="Times New Roman" w:cs="Times New Roman"/>
          <w:i/>
          <w:sz w:val="28"/>
          <w:szCs w:val="28"/>
        </w:rPr>
        <w:t>A</w:t>
      </w:r>
      <w:r>
        <w:rPr>
          <w:rFonts w:ascii="Times New Roman" w:hAnsi="Times New Roman" w:cs="Times New Roman"/>
          <w:i/>
          <w:sz w:val="28"/>
          <w:szCs w:val="28"/>
        </w:rPr>
        <w:t xml:space="preserve">spergillus </w:t>
      </w:r>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Pr>
          <w:rFonts w:ascii="Times New Roman" w:hAnsi="Times New Roman" w:cs="Times New Roman"/>
          <w:sz w:val="28"/>
          <w:szCs w:val="28"/>
        </w:rPr>
        <w:t xml:space="preserve"> also possesses a detrimental effect </w:t>
      </w:r>
      <w:r w:rsidR="007E5CA2">
        <w:rPr>
          <w:rFonts w:ascii="Times New Roman" w:hAnsi="Times New Roman" w:cs="Times New Roman"/>
          <w:sz w:val="28"/>
          <w:szCs w:val="28"/>
        </w:rPr>
        <w:t xml:space="preserve">by </w:t>
      </w:r>
      <w:r w:rsidRPr="00A918A7">
        <w:rPr>
          <w:rFonts w:ascii="Times New Roman" w:hAnsi="Times New Roman" w:cs="Times New Roman"/>
          <w:sz w:val="28"/>
          <w:szCs w:val="28"/>
        </w:rPr>
        <w:t xml:space="preserve">produce harmful secondary metabolites, notably ochratoxin A (OTA),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and citrinin (Kumar et al., 2023;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These mycotoxins are of significant concern due to their association with a range of toxicological effects. OTA is particularly known for its nephrotoxic, immunosuppressive, and carcinogenic properties, and has been classified as a Group 2B possible human carcinogen by the International Agency for Research on Cancer (IARC, 2023).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disrupts sphingolipid metabolism and is implicated in hepatotoxic and neurotoxic effects. Though citrinin is more commonly associated with </w:t>
      </w:r>
      <w:r w:rsidRPr="00A918A7">
        <w:rPr>
          <w:rFonts w:ascii="Times New Roman" w:hAnsi="Times New Roman" w:cs="Times New Roman"/>
          <w:i/>
          <w:sz w:val="28"/>
          <w:szCs w:val="28"/>
        </w:rPr>
        <w:t>Penicillium</w:t>
      </w:r>
      <w:r w:rsidRPr="00A918A7">
        <w:rPr>
          <w:rFonts w:ascii="Times New Roman" w:hAnsi="Times New Roman" w:cs="Times New Roman"/>
          <w:sz w:val="28"/>
          <w:szCs w:val="28"/>
        </w:rPr>
        <w:t xml:space="preserve"> species, it has also been identified in certain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strains under conducive conditions, further amplifyi</w:t>
      </w:r>
      <w:r w:rsidR="007E5CA2">
        <w:rPr>
          <w:rFonts w:ascii="Times New Roman" w:hAnsi="Times New Roman" w:cs="Times New Roman"/>
          <w:sz w:val="28"/>
          <w:szCs w:val="28"/>
        </w:rPr>
        <w:t>ng the potential health risks</w:t>
      </w:r>
      <w:r w:rsidRPr="00A918A7">
        <w:rPr>
          <w:rFonts w:ascii="Times New Roman" w:hAnsi="Times New Roman" w:cs="Times New Roman"/>
          <w:sz w:val="28"/>
          <w:szCs w:val="28"/>
        </w:rPr>
        <w:t xml:space="preserve">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Human exposure to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toxins can occur through ingestion of </w:t>
      </w:r>
      <w:r w:rsidRPr="00A918A7">
        <w:rPr>
          <w:rFonts w:ascii="Times New Roman" w:hAnsi="Times New Roman" w:cs="Times New Roman"/>
          <w:sz w:val="28"/>
          <w:szCs w:val="28"/>
        </w:rPr>
        <w:lastRenderedPageBreak/>
        <w:t xml:space="preserve">contaminated food, inhalation of airborne spores, or contact with mold-infested environments. These exposures can lead to chronic health problems, particularly in vulnerable populations such as children, the elderly, and immunocompromised individuals. Inhalation of spores in occupational or residential settings has been associated with allergic reactions, respiratory irritation, and in severe cases, invasive pulmonary aspergillosis (Fekete et al., 2022). Moreover, the resilience of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spores and their ability to persist under harsh conditions make them a frequent contaminant in water-damaged buildings and improperly stored agricultural products.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Another major concern is the stability of these toxins during food processing and storage. Mycotoxins like OTA are resistant to conventional heat treatments, making their removal through cooking or drying largely ineffective. This stability, combined with insufficient monitoring and control in many developing countries, exacerbates the risk of dietary exposure to these toxins. As a result,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contamination not only poses a health risk but also carries significant economic implications due to crop losses, food recalls, and international trade restrictions.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Although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has long been studied for its industrial capabilities, there remains a considerable knowledge gap in understanding the toxicological implications of its mycotoxins, particularly in vivo. Existing research has predominantly focused on in vitro detection and food safety </w:t>
      </w:r>
      <w:r w:rsidRPr="00A918A7">
        <w:rPr>
          <w:rFonts w:ascii="Times New Roman" w:hAnsi="Times New Roman" w:cs="Times New Roman"/>
          <w:sz w:val="28"/>
          <w:szCs w:val="28"/>
        </w:rPr>
        <w:lastRenderedPageBreak/>
        <w:t>monitoring, leaving the physiological and morphological effects of these toxins in biological systems underexplored.</w:t>
      </w:r>
    </w:p>
    <w:p w14:paraId="6072082E" w14:textId="3DD62D65" w:rsidR="00A9402B" w:rsidRPr="00A9402B" w:rsidRDefault="003307FC" w:rsidP="00A9402B">
      <w:pPr>
        <w:pStyle w:val="ListParagraph"/>
        <w:numPr>
          <w:ilvl w:val="1"/>
          <w:numId w:val="14"/>
        </w:numPr>
        <w:spacing w:line="480" w:lineRule="auto"/>
        <w:jc w:val="both"/>
        <w:rPr>
          <w:rFonts w:ascii="Times New Roman" w:hAnsi="Times New Roman" w:cs="Times New Roman"/>
          <w:b/>
          <w:sz w:val="28"/>
          <w:szCs w:val="28"/>
        </w:rPr>
      </w:pPr>
      <w:r w:rsidRPr="00A9402B">
        <w:rPr>
          <w:rFonts w:ascii="Times New Roman" w:hAnsi="Times New Roman" w:cs="Times New Roman"/>
          <w:b/>
          <w:sz w:val="28"/>
          <w:szCs w:val="28"/>
        </w:rPr>
        <w:t>LITERATURE REVIEW</w:t>
      </w:r>
    </w:p>
    <w:p w14:paraId="20FC6D33" w14:textId="5FDDBB8D" w:rsidR="00645AAF" w:rsidRPr="00645AAF" w:rsidRDefault="00A9402B" w:rsidP="00645AAF">
      <w:pPr>
        <w:spacing w:line="480" w:lineRule="auto"/>
        <w:jc w:val="both"/>
        <w:rPr>
          <w:rFonts w:ascii="Times New Roman" w:hAnsi="Times New Roman" w:cs="Times New Roman"/>
          <w:sz w:val="28"/>
          <w:szCs w:val="28"/>
        </w:rPr>
      </w:pPr>
      <w:r w:rsidRPr="00A9402B">
        <w:rPr>
          <w:rFonts w:ascii="Times New Roman" w:hAnsi="Times New Roman" w:cs="Times New Roman"/>
          <w:sz w:val="28"/>
          <w:szCs w:val="28"/>
        </w:rPr>
        <w:t xml:space="preserve">Several studies have demonstrated the toxigenic potential of </w:t>
      </w:r>
      <w:r w:rsidRPr="00A9402B">
        <w:rPr>
          <w:rFonts w:ascii="Times New Roman" w:hAnsi="Times New Roman" w:cs="Times New Roman"/>
          <w:i/>
          <w:sz w:val="28"/>
          <w:szCs w:val="28"/>
        </w:rPr>
        <w:t xml:space="preserve">Aspergillus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particularly its ability to produce harmful secondary metabolites under favorable conditions. These toxins, notably ochratoxin A (OTA), citrinin, and </w:t>
      </w:r>
      <w:proofErr w:type="spellStart"/>
      <w:r w:rsidRPr="00A9402B">
        <w:rPr>
          <w:rFonts w:ascii="Times New Roman" w:hAnsi="Times New Roman" w:cs="Times New Roman"/>
          <w:sz w:val="28"/>
          <w:szCs w:val="28"/>
        </w:rPr>
        <w:t>fumonisin</w:t>
      </w:r>
      <w:proofErr w:type="spellEnd"/>
      <w:r w:rsidRPr="00A9402B">
        <w:rPr>
          <w:rFonts w:ascii="Times New Roman" w:hAnsi="Times New Roman" w:cs="Times New Roman"/>
          <w:sz w:val="28"/>
          <w:szCs w:val="28"/>
        </w:rPr>
        <w:t xml:space="preserve"> B2 (FB2), are commonly associated with contamination of a variety of agricultural products including cereals, spices, dried fruits, coffee, and fermented goods. Researchers have increasingly turned their attention to these metabolites due to their heat stability, structural complexity, and persistence even after food processing.</w:t>
      </w:r>
      <w:r>
        <w:rPr>
          <w:rFonts w:ascii="Times New Roman" w:hAnsi="Times New Roman" w:cs="Times New Roman"/>
          <w:sz w:val="28"/>
          <w:szCs w:val="28"/>
        </w:rPr>
        <w:t xml:space="preserve"> </w:t>
      </w:r>
      <w:r w:rsidRPr="00A9402B">
        <w:rPr>
          <w:rFonts w:ascii="Times New Roman" w:hAnsi="Times New Roman" w:cs="Times New Roman"/>
          <w:sz w:val="28"/>
          <w:szCs w:val="28"/>
        </w:rPr>
        <w:t xml:space="preserve">One of the most studied mycotoxins associated with </w:t>
      </w:r>
      <w:r w:rsidRPr="00A9402B">
        <w:rPr>
          <w:rFonts w:ascii="Times New Roman" w:hAnsi="Times New Roman" w:cs="Times New Roman"/>
          <w:i/>
          <w:sz w:val="28"/>
          <w:szCs w:val="28"/>
        </w:rPr>
        <w:t xml:space="preserve">A.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is ochratoxin A. </w:t>
      </w:r>
      <w:r w:rsidR="00645AAF" w:rsidRPr="00645AAF">
        <w:rPr>
          <w:rFonts w:ascii="Times New Roman" w:hAnsi="Times New Roman" w:cs="Times New Roman"/>
          <w:sz w:val="28"/>
          <w:szCs w:val="28"/>
        </w:rPr>
        <w:t xml:space="preserve">Structurally composed of a </w:t>
      </w:r>
      <w:proofErr w:type="spellStart"/>
      <w:r w:rsidR="00645AAF" w:rsidRPr="00645AAF">
        <w:rPr>
          <w:rFonts w:ascii="Times New Roman" w:hAnsi="Times New Roman" w:cs="Times New Roman"/>
          <w:sz w:val="28"/>
          <w:szCs w:val="28"/>
        </w:rPr>
        <w:t>dihydroisocoumarin</w:t>
      </w:r>
      <w:proofErr w:type="spellEnd"/>
      <w:r w:rsidR="00645AAF" w:rsidRPr="00645AAF">
        <w:rPr>
          <w:rFonts w:ascii="Times New Roman" w:hAnsi="Times New Roman" w:cs="Times New Roman"/>
          <w:sz w:val="28"/>
          <w:szCs w:val="28"/>
        </w:rPr>
        <w:t xml:space="preserve"> moiety linked to L-phenylalanine, OTA is known for its high chemical stability and lipophilicity, which facilitate its accumulation in lipid-rich organs, notably the kidney and liver. Cao et al. (2022) conducted a comprehensive survey of OTA-contaminated food samples across multiple West African countries and found widespread contamination in dried fruits, coffee, and maize. Their findings revealed that over 65% of tested samples contained OTA concentrations above the European Commission’s maximum residue levels, especially in open-market grains stored under humid conditions. Kumar et al. (2023) confirmed similar results in India, </w:t>
      </w:r>
      <w:r w:rsidR="00645AAF" w:rsidRPr="00645AAF">
        <w:rPr>
          <w:rFonts w:ascii="Times New Roman" w:hAnsi="Times New Roman" w:cs="Times New Roman"/>
          <w:sz w:val="28"/>
          <w:szCs w:val="28"/>
        </w:rPr>
        <w:lastRenderedPageBreak/>
        <w:t>reporting OTA presence in over 52% of maize and groundnut samples collected from rural warehouses. These findings suggest that OTA contamination is not limited to one geography, and its prevalence aligns with climatic and post-harvest handling conditions.</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Toxicologically, OTA exhibits potent nephrotoxic and hepatotoxic properties. Milicevic et al. (2021) showed that repeated dietary exposure to OTA in rats resulted in proximal tubular degeneration, mitochondrial swelling, and increased levels of kidney biomarkers such as creatinine and urea. OTA’s carcinogenic potential has also been confirmed in rodent studies, leading the International Agency for Research on Cancer (IARC) to classify it as a Group 2B carcinogen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possibly carcinogenic to humans. Zhang et al. (2021) added to this evidence by demonstrating OTA-induced oxidative stress and DNA damage in renal epithelial cells via upregulation of p53 and downregulation of antioxidant enzymes such as superoxide dismutase. Beyond nephrotoxicity, OTA impairs immune responses by inhibiting macrophage activity and cytokine production, weakening the body’s defense against opportunistic infections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Citrinin is another mycotoxin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al</w:t>
      </w:r>
      <w:r w:rsidR="008D0051">
        <w:rPr>
          <w:rFonts w:ascii="Times New Roman" w:hAnsi="Times New Roman" w:cs="Times New Roman"/>
          <w:sz w:val="28"/>
          <w:szCs w:val="28"/>
        </w:rPr>
        <w:t>so</w:t>
      </w:r>
      <w:r w:rsidR="00645AAF" w:rsidRPr="00645AAF">
        <w:rPr>
          <w:rFonts w:ascii="Times New Roman" w:hAnsi="Times New Roman" w:cs="Times New Roman"/>
          <w:sz w:val="28"/>
          <w:szCs w:val="28"/>
        </w:rPr>
        <w:t xml:space="preserve"> traditionally linked with </w:t>
      </w:r>
      <w:r w:rsidR="00645AAF" w:rsidRPr="00645AAF">
        <w:rPr>
          <w:rFonts w:ascii="Times New Roman" w:hAnsi="Times New Roman" w:cs="Times New Roman"/>
          <w:i/>
          <w:sz w:val="28"/>
          <w:szCs w:val="28"/>
        </w:rPr>
        <w:t xml:space="preserve">Penicillium </w:t>
      </w:r>
      <w:proofErr w:type="spellStart"/>
      <w:r w:rsidR="00645AAF" w:rsidRPr="00645AAF">
        <w:rPr>
          <w:rFonts w:ascii="Times New Roman" w:hAnsi="Times New Roman" w:cs="Times New Roman"/>
          <w:i/>
          <w:sz w:val="28"/>
          <w:szCs w:val="28"/>
        </w:rPr>
        <w:t>citrinum</w:t>
      </w:r>
      <w:proofErr w:type="spellEnd"/>
      <w:r w:rsidR="00645AAF" w:rsidRPr="00645AAF">
        <w:rPr>
          <w:rFonts w:ascii="Times New Roman" w:hAnsi="Times New Roman" w:cs="Times New Roman"/>
          <w:sz w:val="28"/>
          <w:szCs w:val="28"/>
        </w:rPr>
        <w:t xml:space="preserve"> and </w:t>
      </w:r>
      <w:proofErr w:type="spellStart"/>
      <w:r w:rsidR="00645AAF" w:rsidRPr="00645AAF">
        <w:rPr>
          <w:rFonts w:ascii="Times New Roman" w:hAnsi="Times New Roman" w:cs="Times New Roman"/>
          <w:i/>
          <w:sz w:val="28"/>
          <w:szCs w:val="28"/>
        </w:rPr>
        <w:t>Monascus</w:t>
      </w:r>
      <w:proofErr w:type="spellEnd"/>
      <w:r w:rsidR="00645AAF" w:rsidRPr="00645AAF">
        <w:rPr>
          <w:rFonts w:ascii="Times New Roman" w:hAnsi="Times New Roman" w:cs="Times New Roman"/>
          <w:sz w:val="28"/>
          <w:szCs w:val="28"/>
        </w:rPr>
        <w:t xml:space="preserve"> species. Under specific stress conditions</w:t>
      </w:r>
      <w:r w:rsidR="008D0051">
        <w:rPr>
          <w:rFonts w:ascii="Times New Roman" w:hAnsi="Times New Roman" w:cs="Times New Roman"/>
          <w:sz w:val="28"/>
          <w:szCs w:val="28"/>
        </w:rPr>
        <w:t xml:space="preserve"> </w:t>
      </w:r>
      <w:r w:rsidR="00645AAF" w:rsidRPr="00645AAF">
        <w:rPr>
          <w:rFonts w:ascii="Times New Roman" w:hAnsi="Times New Roman" w:cs="Times New Roman"/>
          <w:sz w:val="28"/>
          <w:szCs w:val="28"/>
        </w:rPr>
        <w:t>such as nitrogen deficiency, oxidative imbalance, or acidic pH</w:t>
      </w:r>
      <w:r w:rsidR="008D0051">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been observed to express citrinin biosynthetic gene clusters.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 showed that nutrient-limited and high-sugar culture environments enhanced </w:t>
      </w:r>
      <w:r w:rsidR="00645AAF" w:rsidRPr="00645AAF">
        <w:rPr>
          <w:rFonts w:ascii="Times New Roman" w:hAnsi="Times New Roman" w:cs="Times New Roman"/>
          <w:sz w:val="28"/>
          <w:szCs w:val="28"/>
        </w:rPr>
        <w:lastRenderedPageBreak/>
        <w:t xml:space="preserve">citrinin expression in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isolates from fermented maize and cassava. Chemically, citrinin is a polyketide toxin with relatively low molecular weight and moderate thermal stability. It acts primarily by disrupting mitochondrial function, increasing reactive oxygen species (ROS), and triggering apoptotic cascades. Hassan et al. (2022) demonstrated in vitro that citrinin causes mitochondrial depolarization and caspase-3 activation in hepatocyte cell lines. In vivo, long-term citrinin exposure has been linked to renal inflammation, glomerular shrinkage, and immune suppression.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The prevalence of citrinin in food products is often underreported due to limitations in detection sensitivity. However, recent studies have made progress. In a 2021 study, Emmanuel et al. identified citrinin residues in 40% of commercial rice samples stored for over six months in Nigerian markets. These residues were particularly concentrated in damp sacks and storage containers, affirming citrinin’s survival in high-moisture environments. Co-contamination with OTA is of growing concern, as several studies have demonstrated enhanced toxicity when the two toxins occur together. Zhang et al. (2021) reported that citrinin and OTA jointly increase ROS production and mitochondrial DNA damage more significantly than either compound alone.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B2 (FB2), structurally analogous to the more widely studied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B1, is a mycotoxin that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increasingly been recognized to produce. Originally attributed to </w:t>
      </w:r>
      <w:r w:rsidR="00645AAF" w:rsidRPr="00645AAF">
        <w:rPr>
          <w:rFonts w:ascii="Times New Roman" w:hAnsi="Times New Roman" w:cs="Times New Roman"/>
          <w:i/>
          <w:sz w:val="28"/>
          <w:szCs w:val="28"/>
        </w:rPr>
        <w:t>Fusarium verticillioides</w:t>
      </w:r>
      <w:r w:rsidR="00645AAF" w:rsidRPr="00645AAF">
        <w:rPr>
          <w:rFonts w:ascii="Times New Roman" w:hAnsi="Times New Roman" w:cs="Times New Roman"/>
          <w:sz w:val="28"/>
          <w:szCs w:val="28"/>
        </w:rPr>
        <w:t xml:space="preserve">, FB2 is now frequently detected in </w:t>
      </w:r>
      <w:r w:rsidR="00645AAF" w:rsidRPr="00645AAF">
        <w:rPr>
          <w:rFonts w:ascii="Times New Roman" w:hAnsi="Times New Roman" w:cs="Times New Roman"/>
          <w:sz w:val="28"/>
          <w:szCs w:val="28"/>
        </w:rPr>
        <w:lastRenderedPageBreak/>
        <w:t xml:space="preserve">food matrices colonized by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Fox et al. (2023) investigated this in dried fruits and raisins exposed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fermentation and observed measurable levels of FB2 that correlated with storage time and moisture content. FB2’s mode of toxicity is centered on the inhibition of ceramide synthase, a key enzyme in the sphingolipid biosynthesis pathway. Disruption of this pathway leads to membrane instability, cell apoptosis, and compromised neurological development. Righetti et al. (2021) described FB2-induced hepatotoxicity in animal models, noting fatty liver changes, fibrosis, and disruption of bile flow. While FB2 is not as thoroughly regulated as FB1, its inclusion in total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burden assessments is increasingly recommended by food safety authorities.</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Recent epidemiological data have suggested associations between chronic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exposure and esophageal cancer in populations with high maize consumption. EFSA (2022) reported an increase in such cases in regions of South America and sub-Saharan Africa where dried maize products serve as dietary staples and are often stored in poor conditions. Furthermore, Hussain et al. (2021) found FB2 contamination in 36% of spice samples collected from local vendors in Pakistan. They linked these results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presence, as confirmed by molecular and culture-based techniques.</w:t>
      </w:r>
    </w:p>
    <w:p w14:paraId="1C0C6E9D" w14:textId="1A9BA843" w:rsidR="00645AAF" w:rsidRPr="00645AAF" w:rsidRDefault="00645AAF" w:rsidP="00645AAF">
      <w:pPr>
        <w:spacing w:line="480" w:lineRule="auto"/>
        <w:jc w:val="both"/>
        <w:rPr>
          <w:rFonts w:ascii="Times New Roman" w:hAnsi="Times New Roman" w:cs="Times New Roman"/>
          <w:sz w:val="28"/>
          <w:szCs w:val="28"/>
        </w:rPr>
      </w:pPr>
      <w:r w:rsidRPr="00645AAF">
        <w:rPr>
          <w:rFonts w:ascii="Times New Roman" w:hAnsi="Times New Roman" w:cs="Times New Roman"/>
          <w:sz w:val="28"/>
          <w:szCs w:val="28"/>
        </w:rPr>
        <w:t xml:space="preserve">The ability of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to simultaneously produce multiple mycotoxins under stress has been a focal point of recent research. Co-occurrence of OTA, citrinin, and FB2 has been documented in stored cereals, processed cassava, and dried pepper </w:t>
      </w:r>
      <w:r w:rsidRPr="00645AAF">
        <w:rPr>
          <w:rFonts w:ascii="Times New Roman" w:hAnsi="Times New Roman" w:cs="Times New Roman"/>
          <w:sz w:val="28"/>
          <w:szCs w:val="28"/>
        </w:rPr>
        <w:lastRenderedPageBreak/>
        <w:t>samples from Nigeria, India, and Bangladesh (</w:t>
      </w:r>
      <w:proofErr w:type="spellStart"/>
      <w:r w:rsidRPr="00645AAF">
        <w:rPr>
          <w:rFonts w:ascii="Times New Roman" w:hAnsi="Times New Roman" w:cs="Times New Roman"/>
          <w:sz w:val="28"/>
          <w:szCs w:val="28"/>
        </w:rPr>
        <w:t>Mahato</w:t>
      </w:r>
      <w:proofErr w:type="spellEnd"/>
      <w:r w:rsidRPr="00645AAF">
        <w:rPr>
          <w:rFonts w:ascii="Times New Roman" w:hAnsi="Times New Roman" w:cs="Times New Roman"/>
          <w:sz w:val="28"/>
          <w:szCs w:val="28"/>
        </w:rPr>
        <w:t xml:space="preserve"> et al., 2023). Co-exposure to these toxins presents a more significant health risk than previously understood. Synergistic toxicity has been demonstrated in multiple animal and cell-based models. In a study by Zhang et al. (2021), mice exposed to both OTA and citrinin displayed elevated blood urea nitrogen (BUN), liver enzyme imbalances, and oxidative stress markers compared to controls. Histological analysis revealed glomerular fibrosis, lipid peroxidation, and hepatocellular necrosis. These findings confirm that the combined toxic effect surpasses additive toxicity and warrants urgent regulatory review.</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Hussain et al. (2021) also evaluated the genotoxic effects of co-exposure in human lymphocyte cultures and found higher frequencies of chromosomal aberrations and DNA strand breaks than those caused by individual toxins. The increasing occurrence of such co-contamination in informal food markets</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where grains, spices, and nuts are often kept unrefrigerated and without packaging</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has raised alarm within public health communities.</w:t>
      </w:r>
      <w:r w:rsidR="003E2783">
        <w:rPr>
          <w:rFonts w:ascii="Times New Roman" w:hAnsi="Times New Roman" w:cs="Times New Roman"/>
          <w:sz w:val="28"/>
          <w:szCs w:val="28"/>
        </w:rPr>
        <w:t xml:space="preserve"> </w:t>
      </w:r>
      <w:r w:rsidRPr="00645AAF">
        <w:rPr>
          <w:rFonts w:ascii="Times New Roman" w:hAnsi="Times New Roman" w:cs="Times New Roman"/>
          <w:sz w:val="28"/>
          <w:szCs w:val="28"/>
        </w:rPr>
        <w:t xml:space="preserve">The health risks posed by these mycotoxins are not limited to dietary routes alone. Occupational exposure is another route of concern. Agricultural workers, grain processors, and warehouse handlers often inhale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spores and mycotoxin-laden dust particles. </w:t>
      </w:r>
      <w:proofErr w:type="spellStart"/>
      <w:r w:rsidRPr="00645AAF">
        <w:rPr>
          <w:rFonts w:ascii="Times New Roman" w:hAnsi="Times New Roman" w:cs="Times New Roman"/>
          <w:sz w:val="28"/>
          <w:szCs w:val="28"/>
        </w:rPr>
        <w:t>Baldin</w:t>
      </w:r>
      <w:proofErr w:type="spellEnd"/>
      <w:r w:rsidRPr="00645AAF">
        <w:rPr>
          <w:rFonts w:ascii="Times New Roman" w:hAnsi="Times New Roman" w:cs="Times New Roman"/>
          <w:sz w:val="28"/>
          <w:szCs w:val="28"/>
        </w:rPr>
        <w:t xml:space="preserve"> and Valdes (2020) linked prolonged airborne exposure to allergic rhinitis, asthma-like symptoms, and hypersensitivity pneumonitis in food processing employees. Immunocompromised individuals, such as transplant </w:t>
      </w:r>
      <w:r w:rsidRPr="00645AAF">
        <w:rPr>
          <w:rFonts w:ascii="Times New Roman" w:hAnsi="Times New Roman" w:cs="Times New Roman"/>
          <w:sz w:val="28"/>
          <w:szCs w:val="28"/>
        </w:rPr>
        <w:lastRenderedPageBreak/>
        <w:t xml:space="preserve">patients and those with uncontrolled diabetes, are particularly vulnerable to invasive fungal infections. Though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is less virulent than </w:t>
      </w:r>
      <w:r w:rsidRPr="00645AAF">
        <w:rPr>
          <w:rFonts w:ascii="Times New Roman" w:hAnsi="Times New Roman" w:cs="Times New Roman"/>
          <w:i/>
          <w:sz w:val="28"/>
          <w:szCs w:val="28"/>
        </w:rPr>
        <w:t>A. fumigatus</w:t>
      </w:r>
      <w:r w:rsidRPr="00645AAF">
        <w:rPr>
          <w:rFonts w:ascii="Times New Roman" w:hAnsi="Times New Roman" w:cs="Times New Roman"/>
          <w:sz w:val="28"/>
          <w:szCs w:val="28"/>
        </w:rPr>
        <w:t xml:space="preserve">, it can still cause pulmonary and </w:t>
      </w:r>
      <w:proofErr w:type="spellStart"/>
      <w:r w:rsidRPr="00645AAF">
        <w:rPr>
          <w:rFonts w:ascii="Times New Roman" w:hAnsi="Times New Roman" w:cs="Times New Roman"/>
          <w:sz w:val="28"/>
          <w:szCs w:val="28"/>
        </w:rPr>
        <w:t>otic</w:t>
      </w:r>
      <w:proofErr w:type="spellEnd"/>
      <w:r w:rsidRPr="00645AAF">
        <w:rPr>
          <w:rFonts w:ascii="Times New Roman" w:hAnsi="Times New Roman" w:cs="Times New Roman"/>
          <w:sz w:val="28"/>
          <w:szCs w:val="28"/>
        </w:rPr>
        <w:t xml:space="preserve"> infections, especially when conidia are inhaled in high loads.</w:t>
      </w:r>
    </w:p>
    <w:p w14:paraId="37665489" w14:textId="3763F130" w:rsidR="00A9402B" w:rsidRPr="00A9402B" w:rsidRDefault="003E2783" w:rsidP="00A9402B">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The accurate detection and quantification of mycotoxins produced by </w:t>
      </w:r>
      <w:r w:rsidRPr="00883215">
        <w:rPr>
          <w:rFonts w:ascii="Times New Roman" w:hAnsi="Times New Roman" w:cs="Times New Roman"/>
          <w:i/>
          <w:sz w:val="28"/>
          <w:szCs w:val="28"/>
        </w:rPr>
        <w:t xml:space="preserve">Aspergillus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w:t>
      </w:r>
      <w:r>
        <w:rPr>
          <w:rFonts w:ascii="Times New Roman" w:hAnsi="Times New Roman" w:cs="Times New Roman"/>
          <w:sz w:val="28"/>
          <w:szCs w:val="28"/>
        </w:rPr>
        <w:t xml:space="preserve"> </w:t>
      </w:r>
      <w:r w:rsidRPr="00883215">
        <w:rPr>
          <w:rFonts w:ascii="Times New Roman" w:hAnsi="Times New Roman" w:cs="Times New Roman"/>
          <w:sz w:val="28"/>
          <w:szCs w:val="28"/>
        </w:rPr>
        <w:t>are essential in ensuring food safety, preventing human and animal exposure, and complying with international regulatory standards. These secondary metabolites pose considerable challenges due to their structural complexity, stability under processing conditions, and tendency to co-occur in contaminated substrates. Therefore, reliable, sensitive, and accessible analytical methods are necessary for effective surveillance and control.</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Among established techniques, chromatographic methods remain the cornerstone for mycotoxin detection. High-Performance Liquid Chromatography (HPLC), when paired with detectors like fluorescence (FLD) or mass spectrometry (MS), provides high sensitivity and accuracy. In particular, Liquid Chromatography-Tandem Mass Spectrometry (LC-MS/MS) has become the method of choice in multi-mycotoxin analysis, capable of detecting low concentrations of OTA and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even in complex matrices such as coffee, cereals, and dried fruits (Righetti et al., 2021). Kumar et al. (2023) demonstrated that LC-MS/MS could detect OTA in maize samples contaminated by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at levels surpassing permissible limits, thus underscoring its regulatory </w:t>
      </w:r>
      <w:r w:rsidRPr="00883215">
        <w:rPr>
          <w:rFonts w:ascii="Times New Roman" w:hAnsi="Times New Roman" w:cs="Times New Roman"/>
          <w:sz w:val="28"/>
          <w:szCs w:val="28"/>
        </w:rPr>
        <w:lastRenderedPageBreak/>
        <w:t>value.</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Despite its analytical advantages, LC-MS/MS is expensive, requires trained personnel, and may not be readily available in low-income settings. In such environments, Thin-Layer Chromatography (TLC) remains a viable alternative for preliminary screening. TLC is widely recognized for its cost-effectiveness, simplicity, and ability to detect multiple compounds with limited instrumentation. Hussain et al. (2021) successfully applied TLC to identify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in spice samples, highlighting its utility in rural and decentralized settings.</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Immunological methods, particularly Enzyme-Linked Immunosorbent Assays (ELISA), offer rapid, user-friendly, and scalable options for mycotoxin screening. ELISA kits are designed with antibodies specific to OTA or </w:t>
      </w:r>
      <w:proofErr w:type="spellStart"/>
      <w:r w:rsidRPr="00883215">
        <w:rPr>
          <w:rFonts w:ascii="Times New Roman" w:hAnsi="Times New Roman" w:cs="Times New Roman"/>
          <w:sz w:val="28"/>
          <w:szCs w:val="28"/>
        </w:rPr>
        <w:t>fumonisins</w:t>
      </w:r>
      <w:proofErr w:type="spellEnd"/>
      <w:r w:rsidRPr="00883215">
        <w:rPr>
          <w:rFonts w:ascii="Times New Roman" w:hAnsi="Times New Roman" w:cs="Times New Roman"/>
          <w:sz w:val="28"/>
          <w:szCs w:val="28"/>
        </w:rPr>
        <w:t xml:space="preserve"> and can be applied to a wide range of agricultural commodities. These kits have been adopted in the food industry for quality control and in government surveillance programs due to their throughput capacity and quick turnaround. </w:t>
      </w:r>
      <w:proofErr w:type="spellStart"/>
      <w:r w:rsidRPr="00883215">
        <w:rPr>
          <w:rFonts w:ascii="Times New Roman" w:hAnsi="Times New Roman" w:cs="Times New Roman"/>
          <w:sz w:val="28"/>
          <w:szCs w:val="28"/>
        </w:rPr>
        <w:t>Mahato</w:t>
      </w:r>
      <w:proofErr w:type="spellEnd"/>
      <w:r w:rsidRPr="00883215">
        <w:rPr>
          <w:rFonts w:ascii="Times New Roman" w:hAnsi="Times New Roman" w:cs="Times New Roman"/>
          <w:sz w:val="28"/>
          <w:szCs w:val="28"/>
        </w:rPr>
        <w:t xml:space="preserve"> et al. (2023) emphasized ELISA's role in detecting co-contamination in maize, revealing both its practicality and reliability in routine testing.</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Molecular techniques have further revolutionized detection strategies by targeting mycotoxin biosynthetic genes. Polymerase Chain Reaction (PCR) and real-time quantitative PCR (qPCR) allow not only the identification of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but also the assessment of its toxigenic potential through the detection of gene clusters such as </w:t>
      </w:r>
      <w:proofErr w:type="spellStart"/>
      <w:r w:rsidRPr="00883215">
        <w:rPr>
          <w:rFonts w:ascii="Times New Roman" w:hAnsi="Times New Roman" w:cs="Times New Roman"/>
          <w:sz w:val="28"/>
          <w:szCs w:val="28"/>
        </w:rPr>
        <w:t>otaA</w:t>
      </w:r>
      <w:proofErr w:type="spellEnd"/>
      <w:r w:rsidRPr="00883215">
        <w:rPr>
          <w:rFonts w:ascii="Times New Roman" w:hAnsi="Times New Roman" w:cs="Times New Roman"/>
          <w:sz w:val="28"/>
          <w:szCs w:val="28"/>
        </w:rPr>
        <w:t xml:space="preserve">, fum1, and pks. Zhang et al. (2021) demonstrated that qPCR results correlated positively with LC-MS/MS </w:t>
      </w:r>
      <w:r w:rsidRPr="00883215">
        <w:rPr>
          <w:rFonts w:ascii="Times New Roman" w:hAnsi="Times New Roman" w:cs="Times New Roman"/>
          <w:sz w:val="28"/>
          <w:szCs w:val="28"/>
        </w:rPr>
        <w:lastRenderedPageBreak/>
        <w:t>quantification of OTA in contaminated coffee beans, indicating that molecular assays can serve as predictive tools for early detection, even before mycotoxins accumulate to toxic levels.</w:t>
      </w:r>
      <w:r>
        <w:rPr>
          <w:rFonts w:ascii="Times New Roman" w:hAnsi="Times New Roman" w:cs="Times New Roman"/>
          <w:sz w:val="28"/>
          <w:szCs w:val="28"/>
        </w:rPr>
        <w:t xml:space="preserve"> </w:t>
      </w:r>
      <w:r w:rsidRPr="00883215">
        <w:rPr>
          <w:rFonts w:ascii="Times New Roman" w:hAnsi="Times New Roman" w:cs="Times New Roman"/>
          <w:sz w:val="28"/>
          <w:szCs w:val="28"/>
        </w:rPr>
        <w:t>Emerging tools like biosensors, aptamer-based detection, and solid-phase cytometry are under development to provide faster and field-deployable detection systems. Biosensors, in particular, use biological recognition elements—such as antibodies or nucleic acid aptamers—attached to transducers to convert the toxin-binding event into a measurable signal. These systems promise high sensitivity and minimal sample preparation, but their application remains limited by validation, stability, and cost (EFSA, 2022). Solid-phase cytometry is also being explored for rapid detection of viable mycotoxigenic fungi and their metabolites in air and food samples, although standardization is still underway.</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Challenges in detection persist, including matrix interference, false negatives due to masked mycotoxins, and the need for multi-residue </w:t>
      </w:r>
      <w:r>
        <w:rPr>
          <w:rFonts w:ascii="Times New Roman" w:hAnsi="Times New Roman" w:cs="Times New Roman"/>
          <w:sz w:val="28"/>
          <w:szCs w:val="28"/>
        </w:rPr>
        <w:t xml:space="preserve">capabilities. Masked mycotoxins </w:t>
      </w:r>
      <w:r w:rsidRPr="00883215">
        <w:rPr>
          <w:rFonts w:ascii="Times New Roman" w:hAnsi="Times New Roman" w:cs="Times New Roman"/>
          <w:sz w:val="28"/>
          <w:szCs w:val="28"/>
        </w:rPr>
        <w:t>modified forms that escape conventional detection but revert to acti</w:t>
      </w:r>
      <w:r>
        <w:rPr>
          <w:rFonts w:ascii="Times New Roman" w:hAnsi="Times New Roman" w:cs="Times New Roman"/>
          <w:sz w:val="28"/>
          <w:szCs w:val="28"/>
        </w:rPr>
        <w:t xml:space="preserve">ve forms in the digestive tract </w:t>
      </w:r>
      <w:r w:rsidRPr="00883215">
        <w:rPr>
          <w:rFonts w:ascii="Times New Roman" w:hAnsi="Times New Roman" w:cs="Times New Roman"/>
          <w:sz w:val="28"/>
          <w:szCs w:val="28"/>
        </w:rPr>
        <w:t>complicate risk assessments and often evade routine screening (Escrivá et al., 2022). Thus, integrating multiple methods—such as combining ELISA for screening</w:t>
      </w:r>
      <w:r>
        <w:rPr>
          <w:rFonts w:ascii="Times New Roman" w:hAnsi="Times New Roman" w:cs="Times New Roman"/>
          <w:sz w:val="28"/>
          <w:szCs w:val="28"/>
        </w:rPr>
        <w:t xml:space="preserve"> with LC-MS/MS for confirmation </w:t>
      </w:r>
      <w:r w:rsidRPr="00883215">
        <w:rPr>
          <w:rFonts w:ascii="Times New Roman" w:hAnsi="Times New Roman" w:cs="Times New Roman"/>
          <w:sz w:val="28"/>
          <w:szCs w:val="28"/>
        </w:rPr>
        <w:t>offers a more comprehensive approach to mycotoxin surveillance.</w:t>
      </w:r>
      <w:r>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Aspergillus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 not only a widespread spoilage organism but also a potent producer of multiple mycotoxins with serious health implications. These toxins</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OTA, citrinin, and FB2</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exhibit </w:t>
      </w:r>
      <w:r w:rsidR="00645AAF" w:rsidRPr="00645AAF">
        <w:rPr>
          <w:rFonts w:ascii="Times New Roman" w:hAnsi="Times New Roman" w:cs="Times New Roman"/>
          <w:sz w:val="28"/>
          <w:szCs w:val="28"/>
        </w:rPr>
        <w:lastRenderedPageBreak/>
        <w:t xml:space="preserve">individual and combined toxicity affecting the kidneys, liver, immune system, and nervous system. Their resilience to food processing, widespread prevalence in warm, humid environments, and increasing occurrence in co-contaminated foods make them a pressing concern. Advances in detection technology have improved monitoring, but challenges remain in under-resourced settings. As food systems face mounting pressures from climate change and population growth, understanding and managing the risks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mycotoxins is more urgent than ever.</w:t>
      </w:r>
    </w:p>
    <w:p w14:paraId="2998AEB4" w14:textId="10289C2D" w:rsidR="00D74686" w:rsidRPr="00C35AE1" w:rsidRDefault="00D74686" w:rsidP="00D74686">
      <w:pPr>
        <w:spacing w:line="480" w:lineRule="auto"/>
        <w:jc w:val="both"/>
        <w:rPr>
          <w:rFonts w:ascii="Times New Roman" w:hAnsi="Times New Roman" w:cs="Times New Roman"/>
          <w:b/>
          <w:sz w:val="28"/>
          <w:szCs w:val="28"/>
        </w:rPr>
      </w:pPr>
      <w:r w:rsidRPr="00C35AE1">
        <w:rPr>
          <w:rFonts w:ascii="Times New Roman" w:hAnsi="Times New Roman" w:cs="Times New Roman"/>
          <w:b/>
          <w:sz w:val="28"/>
          <w:szCs w:val="28"/>
        </w:rPr>
        <w:t>1.</w:t>
      </w:r>
      <w:r>
        <w:rPr>
          <w:rFonts w:ascii="Times New Roman" w:hAnsi="Times New Roman" w:cs="Times New Roman"/>
          <w:b/>
          <w:sz w:val="28"/>
          <w:szCs w:val="28"/>
        </w:rPr>
        <w:t xml:space="preserve">2 </w:t>
      </w:r>
      <w:r w:rsidRPr="00C35AE1">
        <w:rPr>
          <w:rFonts w:ascii="Times New Roman" w:hAnsi="Times New Roman" w:cs="Times New Roman"/>
          <w:b/>
          <w:sz w:val="28"/>
          <w:szCs w:val="28"/>
        </w:rPr>
        <w:t>PROBLEM STATEMENT</w:t>
      </w:r>
    </w:p>
    <w:p w14:paraId="6D5CD1E1" w14:textId="2586262A" w:rsidR="00D74686"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Although the industrial advantages of </w:t>
      </w:r>
      <w:r w:rsidRPr="00C35AE1">
        <w:rPr>
          <w:rFonts w:ascii="Times New Roman" w:hAnsi="Times New Roman" w:cs="Times New Roman"/>
          <w:i/>
          <w:sz w:val="28"/>
          <w:szCs w:val="28"/>
        </w:rPr>
        <w:t xml:space="preserve">Aspergillus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are well-established, its ability to produce hazardous secondary metabolites like ochratoxin A (OTA), </w:t>
      </w:r>
      <w:proofErr w:type="spellStart"/>
      <w:r w:rsidRPr="00C35AE1">
        <w:rPr>
          <w:rFonts w:ascii="Times New Roman" w:hAnsi="Times New Roman" w:cs="Times New Roman"/>
          <w:sz w:val="28"/>
          <w:szCs w:val="28"/>
        </w:rPr>
        <w:t>fumonisin</w:t>
      </w:r>
      <w:proofErr w:type="spellEnd"/>
      <w:r w:rsidRPr="00C35AE1">
        <w:rPr>
          <w:rFonts w:ascii="Times New Roman" w:hAnsi="Times New Roman" w:cs="Times New Roman"/>
          <w:sz w:val="28"/>
          <w:szCs w:val="28"/>
        </w:rPr>
        <w:t xml:space="preserve"> B2, and citrinin presents a significant public health risk. These toxins are associated with nephrotoxicity, hepatotoxicity, immunosuppression, and potential carcinogenic effects, but </w:t>
      </w:r>
      <w:proofErr w:type="spellStart"/>
      <w:r w:rsidRPr="00C35AE1">
        <w:rPr>
          <w:rFonts w:ascii="Times New Roman" w:hAnsi="Times New Roman" w:cs="Times New Roman"/>
          <w:sz w:val="28"/>
          <w:szCs w:val="28"/>
        </w:rPr>
        <w:t>their</w:t>
      </w:r>
      <w:proofErr w:type="spellEnd"/>
      <w:r w:rsidRPr="00C35AE1">
        <w:rPr>
          <w:rFonts w:ascii="Times New Roman" w:hAnsi="Times New Roman" w:cs="Times New Roman"/>
          <w:sz w:val="28"/>
          <w:szCs w:val="28"/>
        </w:rPr>
        <w:t xml:space="preserve"> in vivo impacts are not thoroughly investigated. While many studies have concentrated on identifying </w:t>
      </w:r>
      <w:r w:rsidRPr="00C35AE1">
        <w:rPr>
          <w:rFonts w:ascii="Times New Roman" w:hAnsi="Times New Roman" w:cs="Times New Roman"/>
          <w:i/>
          <w:sz w:val="28"/>
          <w:szCs w:val="28"/>
        </w:rPr>
        <w:t xml:space="preserve">A.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contamination in food and environmental samples, few have examined the toxicological effects of its metabolites using biological systems. The absence of in vivo data hampers a thorough risk assessment, especially in areas with high exposure due to inadequate food storage practices and weak regulatory frameworks. Lacking a clear understanding of the physiological and morphological </w:t>
      </w:r>
      <w:r w:rsidRPr="00C35AE1">
        <w:rPr>
          <w:rFonts w:ascii="Times New Roman" w:hAnsi="Times New Roman" w:cs="Times New Roman"/>
          <w:sz w:val="28"/>
          <w:szCs w:val="28"/>
        </w:rPr>
        <w:lastRenderedPageBreak/>
        <w:t>impacts of these toxins makes it challenging to implement effective health guidelines and preventive measures.</w:t>
      </w:r>
    </w:p>
    <w:p w14:paraId="04AD6E5B" w14:textId="6B926B63" w:rsidR="00D74686" w:rsidRPr="00C35AE1"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Pr="00C35AE1">
        <w:rPr>
          <w:rFonts w:ascii="Times New Roman" w:hAnsi="Times New Roman" w:cs="Times New Roman"/>
          <w:b/>
          <w:sz w:val="28"/>
          <w:szCs w:val="28"/>
        </w:rPr>
        <w:t>1.</w:t>
      </w:r>
      <w:r w:rsidR="002F26A4">
        <w:rPr>
          <w:rFonts w:ascii="Times New Roman" w:hAnsi="Times New Roman" w:cs="Times New Roman"/>
          <w:b/>
          <w:sz w:val="28"/>
          <w:szCs w:val="28"/>
        </w:rPr>
        <w:t>3</w:t>
      </w:r>
      <w:r>
        <w:rPr>
          <w:rFonts w:ascii="Times New Roman" w:hAnsi="Times New Roman" w:cs="Times New Roman"/>
          <w:b/>
          <w:sz w:val="28"/>
          <w:szCs w:val="28"/>
        </w:rPr>
        <w:t xml:space="preserve"> </w:t>
      </w:r>
      <w:r w:rsidR="00E720F0">
        <w:rPr>
          <w:rFonts w:ascii="Times New Roman" w:hAnsi="Times New Roman" w:cs="Times New Roman"/>
          <w:b/>
          <w:sz w:val="28"/>
          <w:szCs w:val="28"/>
        </w:rPr>
        <w:t>JUSTIFICATION</w:t>
      </w:r>
      <w:r w:rsidRPr="00C35AE1">
        <w:rPr>
          <w:rFonts w:ascii="Times New Roman" w:hAnsi="Times New Roman" w:cs="Times New Roman"/>
          <w:b/>
          <w:sz w:val="28"/>
          <w:szCs w:val="28"/>
        </w:rPr>
        <w:t xml:space="preserve"> OF THE STUDY</w:t>
      </w:r>
    </w:p>
    <w:p w14:paraId="02CABD93" w14:textId="600B36E0" w:rsidR="00E720F0" w:rsidRPr="00E720F0" w:rsidRDefault="00D74686" w:rsidP="00E720F0">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00E720F0" w:rsidRPr="00E720F0">
        <w:rPr>
          <w:rFonts w:ascii="Times New Roman" w:hAnsi="Times New Roman" w:cs="Times New Roman"/>
          <w:i/>
          <w:sz w:val="28"/>
          <w:szCs w:val="28"/>
        </w:rPr>
        <w:t xml:space="preserve">Aspergillus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is widely found in food and environmental substrates, especially in tropical and subtropical regions, where it can produce harmful mycotoxins such as ochratoxin A (OTA), citrinin, and </w:t>
      </w:r>
      <w:proofErr w:type="spellStart"/>
      <w:r w:rsidR="00E720F0" w:rsidRPr="00E720F0">
        <w:rPr>
          <w:rFonts w:ascii="Times New Roman" w:hAnsi="Times New Roman" w:cs="Times New Roman"/>
          <w:sz w:val="28"/>
          <w:szCs w:val="28"/>
        </w:rPr>
        <w:t>fumonisin</w:t>
      </w:r>
      <w:proofErr w:type="spellEnd"/>
      <w:r w:rsidR="00E720F0" w:rsidRPr="00E720F0">
        <w:rPr>
          <w:rFonts w:ascii="Times New Roman" w:hAnsi="Times New Roman" w:cs="Times New Roman"/>
          <w:sz w:val="28"/>
          <w:szCs w:val="28"/>
        </w:rPr>
        <w:t xml:space="preserve"> B2 (FB2). These toxins are difficult to detect, persist through food processing, and commonly contaminate staples like maize, groundnuts, and dried fruits. In many developing countries, poor storage conditions, limited awareness, and weak regulations increase the risk of contamination and prolonged exposure.</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 xml:space="preserve">While previous studies have focused on purified toxins under laboratory conditions, such approaches may not reflect the complex interactions and cumulative effects found in naturally contaminated foods. This study addresses that gap by assessing the toxicity of crude </w:t>
      </w:r>
      <w:r w:rsidR="00E720F0" w:rsidRPr="00E720F0">
        <w:rPr>
          <w:rFonts w:ascii="Times New Roman" w:hAnsi="Times New Roman" w:cs="Times New Roman"/>
          <w:i/>
          <w:sz w:val="28"/>
          <w:szCs w:val="28"/>
        </w:rPr>
        <w:t xml:space="preserve">A.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extracts using experimental animal models</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mimicking real-world exposure in low-resource settings. The findings are expected to provide practical insights for food safety authorities and support public health interventions aimed at reducing mycotoxin-related risks.</w:t>
      </w:r>
    </w:p>
    <w:p w14:paraId="59E9845B" w14:textId="77777777" w:rsidR="00E720F0" w:rsidRDefault="00E720F0" w:rsidP="00883215">
      <w:pPr>
        <w:spacing w:line="480" w:lineRule="auto"/>
        <w:jc w:val="both"/>
        <w:rPr>
          <w:rFonts w:ascii="Times New Roman" w:hAnsi="Times New Roman" w:cs="Times New Roman"/>
          <w:b/>
          <w:sz w:val="28"/>
          <w:szCs w:val="28"/>
        </w:rPr>
      </w:pPr>
    </w:p>
    <w:p w14:paraId="5F9DDB39" w14:textId="77777777" w:rsidR="00E720F0" w:rsidRDefault="00E720F0" w:rsidP="00883215">
      <w:pPr>
        <w:spacing w:line="480" w:lineRule="auto"/>
        <w:jc w:val="both"/>
        <w:rPr>
          <w:rFonts w:ascii="Times New Roman" w:hAnsi="Times New Roman" w:cs="Times New Roman"/>
          <w:b/>
          <w:sz w:val="28"/>
          <w:szCs w:val="28"/>
        </w:rPr>
      </w:pPr>
    </w:p>
    <w:p w14:paraId="161323B5" w14:textId="6E878247" w:rsidR="000575A4" w:rsidRPr="000575A4" w:rsidRDefault="00D74686" w:rsidP="00883215">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1.5 </w:t>
      </w:r>
      <w:r w:rsidR="000575A4" w:rsidRPr="00E43285">
        <w:rPr>
          <w:rFonts w:ascii="Times New Roman" w:hAnsi="Times New Roman" w:cs="Times New Roman"/>
          <w:b/>
          <w:sz w:val="28"/>
          <w:szCs w:val="28"/>
        </w:rPr>
        <w:t>Aims and Objective of the Research</w:t>
      </w:r>
    </w:p>
    <w:p w14:paraId="774D8DD3" w14:textId="273C0CAA" w:rsidR="000575A4" w:rsidRDefault="000575A4" w:rsidP="000575A4">
      <w:pPr>
        <w:spacing w:line="480" w:lineRule="auto"/>
        <w:jc w:val="both"/>
        <w:rPr>
          <w:rFonts w:ascii="Times New Roman" w:eastAsia="Calibri" w:hAnsi="Times New Roman"/>
          <w:color w:val="252525"/>
          <w:sz w:val="28"/>
          <w:szCs w:val="28"/>
        </w:rPr>
      </w:pPr>
      <w:r>
        <w:rPr>
          <w:rFonts w:ascii="Times New Roman" w:eastAsia="Calibri" w:hAnsi="Times New Roman"/>
          <w:color w:val="252525"/>
          <w:sz w:val="28"/>
          <w:szCs w:val="28"/>
        </w:rPr>
        <w:t>This study aims to examine the potency of its toxins through laboratory analysis and experimental testing.</w:t>
      </w:r>
    </w:p>
    <w:p w14:paraId="7546C4E5" w14:textId="2D7A9DE7" w:rsidR="000575A4" w:rsidRDefault="000575A4" w:rsidP="000575A4">
      <w:pPr>
        <w:spacing w:line="480" w:lineRule="auto"/>
        <w:jc w:val="both"/>
        <w:rPr>
          <w:rFonts w:ascii="Times New Roman" w:eastAsia="Calibri" w:hAnsi="Times New Roman"/>
          <w:b/>
          <w:color w:val="252525"/>
          <w:sz w:val="28"/>
          <w:szCs w:val="28"/>
        </w:rPr>
      </w:pPr>
      <w:r>
        <w:rPr>
          <w:rFonts w:ascii="Times New Roman" w:eastAsia="Calibri" w:hAnsi="Times New Roman"/>
          <w:color w:val="252525"/>
          <w:sz w:val="28"/>
          <w:szCs w:val="28"/>
        </w:rPr>
        <w:t xml:space="preserve"> </w:t>
      </w:r>
      <w:r>
        <w:rPr>
          <w:rFonts w:ascii="Times New Roman" w:eastAsia="Calibri" w:hAnsi="Times New Roman"/>
          <w:b/>
          <w:color w:val="252525"/>
          <w:sz w:val="28"/>
          <w:szCs w:val="28"/>
        </w:rPr>
        <w:t>Objectives</w:t>
      </w:r>
      <w:r w:rsidR="00D74686">
        <w:rPr>
          <w:rFonts w:ascii="Times New Roman" w:eastAsia="Calibri" w:hAnsi="Times New Roman"/>
          <w:b/>
          <w:color w:val="252525"/>
          <w:sz w:val="28"/>
          <w:szCs w:val="28"/>
        </w:rPr>
        <w:t xml:space="preserve"> are: </w:t>
      </w:r>
    </w:p>
    <w:p w14:paraId="7E2D7002"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 xml:space="preserve">To isolate and identify </w:t>
      </w:r>
      <w:r w:rsidRPr="00E34BC8">
        <w:rPr>
          <w:rFonts w:ascii="Times New Roman" w:eastAsia="Calibri" w:hAnsi="Times New Roman"/>
          <w:i/>
          <w:color w:val="252525"/>
          <w:sz w:val="28"/>
          <w:szCs w:val="28"/>
        </w:rPr>
        <w:t xml:space="preserve">Aspergillus </w:t>
      </w:r>
      <w:proofErr w:type="spellStart"/>
      <w:r w:rsidRPr="00E34BC8">
        <w:rPr>
          <w:rFonts w:ascii="Times New Roman" w:eastAsia="Calibri" w:hAnsi="Times New Roman"/>
          <w:i/>
          <w:color w:val="252525"/>
          <w:sz w:val="28"/>
          <w:szCs w:val="28"/>
        </w:rPr>
        <w:t>niger</w:t>
      </w:r>
      <w:proofErr w:type="spellEnd"/>
      <w:r w:rsidRPr="00E34BC8">
        <w:rPr>
          <w:rFonts w:ascii="Times New Roman" w:eastAsia="Calibri" w:hAnsi="Times New Roman"/>
          <w:i/>
          <w:color w:val="252525"/>
          <w:sz w:val="28"/>
          <w:szCs w:val="28"/>
        </w:rPr>
        <w:t xml:space="preserve"> </w:t>
      </w:r>
      <w:r w:rsidRPr="00E34BC8">
        <w:rPr>
          <w:rFonts w:ascii="Times New Roman" w:eastAsia="Calibri" w:hAnsi="Times New Roman"/>
          <w:color w:val="252525"/>
          <w:sz w:val="28"/>
          <w:szCs w:val="28"/>
        </w:rPr>
        <w:t>from environmental samples.</w:t>
      </w:r>
    </w:p>
    <w:p w14:paraId="26CA7D1B"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induce toxin production in the isolated strain and confirm its presence using standard biochemical and analytical techniques.</w:t>
      </w:r>
    </w:p>
    <w:p w14:paraId="49464065" w14:textId="41AB7D1A" w:rsidR="007C1DD2" w:rsidRDefault="000575A4" w:rsidP="007C1DD2">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evaluate the potency of the produced toxin through controlled exposure in experimental animals (rats) by assessing physiological, and morphological changes.</w:t>
      </w:r>
    </w:p>
    <w:p w14:paraId="626F11A1" w14:textId="5A0438A2" w:rsidR="00BB2AB6" w:rsidRDefault="00BB2AB6" w:rsidP="00462973">
      <w:pPr>
        <w:spacing w:line="480" w:lineRule="auto"/>
        <w:jc w:val="both"/>
        <w:rPr>
          <w:rFonts w:ascii="Times New Roman" w:eastAsia="Calibri" w:hAnsi="Times New Roman"/>
          <w:color w:val="252525"/>
          <w:sz w:val="28"/>
          <w:szCs w:val="28"/>
        </w:rPr>
      </w:pPr>
    </w:p>
    <w:p w14:paraId="6EFD9550" w14:textId="090EFD3A" w:rsidR="00BB2AB6" w:rsidRDefault="00BB2AB6" w:rsidP="00462973">
      <w:pPr>
        <w:spacing w:line="480" w:lineRule="auto"/>
        <w:jc w:val="both"/>
        <w:rPr>
          <w:rFonts w:ascii="Times New Roman" w:eastAsia="Calibri" w:hAnsi="Times New Roman"/>
          <w:color w:val="252525"/>
          <w:sz w:val="28"/>
          <w:szCs w:val="28"/>
        </w:rPr>
      </w:pPr>
    </w:p>
    <w:p w14:paraId="1F154049" w14:textId="0D4FFC6D" w:rsidR="00822895" w:rsidRDefault="00822895" w:rsidP="00462973">
      <w:pPr>
        <w:spacing w:line="480" w:lineRule="auto"/>
        <w:jc w:val="both"/>
        <w:rPr>
          <w:rFonts w:ascii="Times New Roman" w:eastAsia="Calibri" w:hAnsi="Times New Roman"/>
          <w:color w:val="252525"/>
          <w:sz w:val="28"/>
          <w:szCs w:val="28"/>
        </w:rPr>
      </w:pPr>
    </w:p>
    <w:p w14:paraId="50939526" w14:textId="48CDAB72" w:rsidR="00822895" w:rsidRDefault="00822895" w:rsidP="00462973">
      <w:pPr>
        <w:spacing w:line="480" w:lineRule="auto"/>
        <w:jc w:val="both"/>
        <w:rPr>
          <w:rFonts w:ascii="Times New Roman" w:eastAsia="Calibri" w:hAnsi="Times New Roman"/>
          <w:color w:val="252525"/>
          <w:sz w:val="28"/>
          <w:szCs w:val="28"/>
        </w:rPr>
      </w:pPr>
    </w:p>
    <w:p w14:paraId="153709AF" w14:textId="7B7B4D2C" w:rsidR="00822895" w:rsidRDefault="00822895" w:rsidP="00462973">
      <w:pPr>
        <w:spacing w:line="480" w:lineRule="auto"/>
        <w:jc w:val="both"/>
        <w:rPr>
          <w:rFonts w:ascii="Times New Roman" w:eastAsia="Calibri" w:hAnsi="Times New Roman"/>
          <w:color w:val="252525"/>
          <w:sz w:val="28"/>
          <w:szCs w:val="28"/>
        </w:rPr>
      </w:pPr>
    </w:p>
    <w:p w14:paraId="444C7F94" w14:textId="45C72E80" w:rsidR="00822895" w:rsidRDefault="00822895" w:rsidP="00462973">
      <w:pPr>
        <w:spacing w:line="480" w:lineRule="auto"/>
        <w:jc w:val="both"/>
        <w:rPr>
          <w:rFonts w:ascii="Times New Roman" w:eastAsia="Calibri" w:hAnsi="Times New Roman"/>
          <w:color w:val="252525"/>
          <w:sz w:val="28"/>
          <w:szCs w:val="28"/>
        </w:rPr>
      </w:pPr>
    </w:p>
    <w:p w14:paraId="599B732C" w14:textId="77777777" w:rsidR="00822895" w:rsidRDefault="00822895" w:rsidP="00462973">
      <w:pPr>
        <w:spacing w:line="480" w:lineRule="auto"/>
        <w:jc w:val="both"/>
        <w:rPr>
          <w:rFonts w:ascii="Times New Roman" w:eastAsia="Calibri" w:hAnsi="Times New Roman"/>
          <w:color w:val="252525"/>
          <w:sz w:val="28"/>
          <w:szCs w:val="28"/>
        </w:rPr>
      </w:pPr>
    </w:p>
    <w:p w14:paraId="6CFC515D" w14:textId="77777777" w:rsidR="00462973" w:rsidRDefault="00462973" w:rsidP="0046297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14:paraId="26CA52E0" w14:textId="77777777" w:rsidR="00462973" w:rsidRDefault="00462973" w:rsidP="00462973">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14:paraId="3ADA190B"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Sample Collection </w:t>
      </w:r>
    </w:p>
    <w:p w14:paraId="5BFF8147" w14:textId="77777777" w:rsidR="00462973" w:rsidRDefault="00462973" w:rsidP="00462973">
      <w:pPr>
        <w:spacing w:line="480" w:lineRule="auto"/>
        <w:jc w:val="both"/>
        <w:rPr>
          <w:rFonts w:ascii="Times New Roman" w:hAnsi="Times New Roman" w:cs="Times New Roman"/>
          <w:sz w:val="28"/>
          <w:szCs w:val="28"/>
        </w:rPr>
      </w:pPr>
      <w:r w:rsidRPr="00CD59B2">
        <w:rPr>
          <w:rFonts w:ascii="Times New Roman" w:hAnsi="Times New Roman" w:cs="Times New Roman"/>
          <w:sz w:val="28"/>
          <w:szCs w:val="28"/>
        </w:rPr>
        <w:t>Cashew was obtained</w:t>
      </w:r>
      <w:r>
        <w:rPr>
          <w:rFonts w:ascii="Times New Roman" w:hAnsi="Times New Roman" w:cs="Times New Roman"/>
          <w:sz w:val="28"/>
          <w:szCs w:val="28"/>
        </w:rPr>
        <w:t xml:space="preserve"> from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spellStart"/>
      <w:r>
        <w:rPr>
          <w:rFonts w:ascii="Times New Roman" w:hAnsi="Times New Roman" w:cs="Times New Roman"/>
          <w:sz w:val="28"/>
          <w:szCs w:val="28"/>
        </w:rPr>
        <w:t>yankari</w:t>
      </w:r>
      <w:proofErr w:type="spellEnd"/>
      <w:r>
        <w:rPr>
          <w:rFonts w:ascii="Times New Roman" w:hAnsi="Times New Roman" w:cs="Times New Roman"/>
          <w:sz w:val="28"/>
          <w:szCs w:val="28"/>
        </w:rPr>
        <w:t xml:space="preserve"> axis, Ilorin, Nigeria and placed in a sterile container and taken to the laboratory.</w:t>
      </w:r>
    </w:p>
    <w:p w14:paraId="740F692A"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Sterilization of Equipment and Environment</w:t>
      </w:r>
    </w:p>
    <w:p w14:paraId="0E427170" w14:textId="6D6B3E6E" w:rsidR="00462973" w:rsidRPr="00E85611"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sz w:val="28"/>
          <w:szCs w:val="28"/>
        </w:rPr>
        <w:t>The working surface area was sterilized with cotton wool soaked  in 70% ethanol and all the glass wear such as conical flask, beaker, and test tubes, were also sterilized by first washing and cleaning with 70% ethanol, then autoclaved</w:t>
      </w:r>
      <w:r w:rsidR="00533C92">
        <w:rPr>
          <w:rFonts w:ascii="Times New Roman" w:hAnsi="Times New Roman" w:cs="Times New Roman"/>
          <w:sz w:val="28"/>
          <w:szCs w:val="28"/>
        </w:rPr>
        <w:t xml:space="preserve"> (Mishra et al., 2022)</w:t>
      </w:r>
    </w:p>
    <w:p w14:paraId="26068EDC" w14:textId="5FD262EB" w:rsidR="00462973" w:rsidRDefault="00462973" w:rsidP="00462973">
      <w:pPr>
        <w:pStyle w:val="ListParagraph"/>
        <w:numPr>
          <w:ilvl w:val="1"/>
          <w:numId w:val="3"/>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910BE">
        <w:rPr>
          <w:rFonts w:ascii="Times New Roman" w:hAnsi="Times New Roman" w:cs="Times New Roman"/>
          <w:b/>
          <w:sz w:val="28"/>
          <w:szCs w:val="28"/>
        </w:rPr>
        <w:t xml:space="preserve">Media Preparation for Fungal Isolation </w:t>
      </w:r>
    </w:p>
    <w:p w14:paraId="64A35819" w14:textId="77777777" w:rsidR="00462973" w:rsidRPr="00180982" w:rsidRDefault="00462973" w:rsidP="00462973">
      <w:pPr>
        <w:pStyle w:val="ListParagraph"/>
        <w:numPr>
          <w:ilvl w:val="0"/>
          <w:numId w:val="4"/>
        </w:numPr>
        <w:spacing w:after="160" w:line="480" w:lineRule="auto"/>
        <w:jc w:val="both"/>
        <w:rPr>
          <w:rFonts w:ascii="Times New Roman" w:hAnsi="Times New Roman" w:cs="Times New Roman"/>
          <w:b/>
          <w:sz w:val="28"/>
          <w:szCs w:val="28"/>
        </w:rPr>
      </w:pPr>
      <w:r w:rsidRPr="00180982">
        <w:rPr>
          <w:rFonts w:ascii="Times New Roman" w:hAnsi="Times New Roman" w:cs="Times New Roman"/>
          <w:b/>
          <w:sz w:val="28"/>
          <w:szCs w:val="28"/>
        </w:rPr>
        <w:t>Potato Dextrose Agar (PDA) preparation</w:t>
      </w:r>
    </w:p>
    <w:p w14:paraId="6977B08A" w14:textId="1C2B7519"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Thirty-nine (39) gram of PDA powder was weighed and dispensed in a conical flask and 1000ml of distilled was added </w:t>
      </w:r>
      <w:r w:rsidR="00C61B3C">
        <w:rPr>
          <w:rFonts w:ascii="Times New Roman" w:hAnsi="Times New Roman" w:cs="Times New Roman"/>
          <w:sz w:val="28"/>
          <w:szCs w:val="28"/>
        </w:rPr>
        <w:t xml:space="preserve">according to manufacturer instruction </w:t>
      </w:r>
      <w:r>
        <w:rPr>
          <w:rFonts w:ascii="Times New Roman" w:hAnsi="Times New Roman" w:cs="Times New Roman"/>
          <w:sz w:val="28"/>
          <w:szCs w:val="28"/>
        </w:rPr>
        <w:t xml:space="preserve">and </w:t>
      </w:r>
      <w:r w:rsidR="00C61B3C">
        <w:rPr>
          <w:rFonts w:ascii="Times New Roman" w:hAnsi="Times New Roman" w:cs="Times New Roman"/>
          <w:sz w:val="28"/>
          <w:szCs w:val="28"/>
        </w:rPr>
        <w:t xml:space="preserve">it was </w:t>
      </w:r>
      <w:r>
        <w:rPr>
          <w:rFonts w:ascii="Times New Roman" w:hAnsi="Times New Roman" w:cs="Times New Roman"/>
          <w:sz w:val="28"/>
          <w:szCs w:val="28"/>
        </w:rPr>
        <w:t xml:space="preserve">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w:t>
      </w:r>
      <w:r>
        <w:rPr>
          <w:rFonts w:ascii="Times New Roman" w:hAnsi="Times New Roman" w:cs="Times New Roman"/>
          <w:sz w:val="28"/>
          <w:szCs w:val="28"/>
        </w:rPr>
        <w:lastRenderedPageBreak/>
        <w:t>powder (antibiotics) was weighed into 10ml of distilled water to make a stock solution. Then, 1ml of the stock solution was added to the PDA aseptically to inhibit bacterial growth. The medium was mixed well and dispensed into four (4) sterile Petri dish and allow to solidify</w:t>
      </w:r>
    </w:p>
    <w:p w14:paraId="2FBC88D5" w14:textId="70430FB0" w:rsidR="00462973" w:rsidRPr="00180982" w:rsidRDefault="00462973" w:rsidP="00462973">
      <w:pPr>
        <w:pStyle w:val="ListParagraph"/>
        <w:numPr>
          <w:ilvl w:val="0"/>
          <w:numId w:val="4"/>
        </w:numPr>
        <w:spacing w:after="160" w:line="480" w:lineRule="auto"/>
        <w:jc w:val="both"/>
        <w:rPr>
          <w:rFonts w:ascii="Times New Roman" w:hAnsi="Times New Roman" w:cs="Times New Roman"/>
          <w:sz w:val="28"/>
          <w:szCs w:val="28"/>
        </w:rPr>
      </w:pPr>
      <w:r w:rsidRPr="00180982">
        <w:rPr>
          <w:rFonts w:ascii="Times New Roman" w:hAnsi="Times New Roman" w:cs="Times New Roman"/>
          <w:b/>
          <w:sz w:val="28"/>
          <w:szCs w:val="28"/>
        </w:rPr>
        <w:t>Potato Dextrose Broth (PDB)</w:t>
      </w:r>
      <w:r>
        <w:rPr>
          <w:rFonts w:ascii="Times New Roman" w:hAnsi="Times New Roman" w:cs="Times New Roman"/>
          <w:b/>
          <w:sz w:val="28"/>
          <w:szCs w:val="28"/>
        </w:rPr>
        <w:t xml:space="preserve"> </w:t>
      </w:r>
    </w:p>
    <w:p w14:paraId="6EDA2007" w14:textId="22134E87" w:rsidR="00462973" w:rsidRPr="00180982" w:rsidRDefault="00462973" w:rsidP="00462973">
      <w:pPr>
        <w:spacing w:line="480" w:lineRule="auto"/>
        <w:ind w:left="360"/>
        <w:jc w:val="both"/>
        <w:rPr>
          <w:rFonts w:ascii="Times New Roman" w:hAnsi="Times New Roman" w:cs="Times New Roman"/>
          <w:sz w:val="28"/>
          <w:szCs w:val="28"/>
        </w:rPr>
      </w:pPr>
      <w:r w:rsidRPr="00180982">
        <w:rPr>
          <w:rFonts w:ascii="Times New Roman" w:hAnsi="Times New Roman" w:cs="Times New Roman"/>
          <w:sz w:val="28"/>
          <w:szCs w:val="28"/>
        </w:rPr>
        <w:t>Twenty-nine (24) gram of PD</w:t>
      </w:r>
      <w:r>
        <w:rPr>
          <w:rFonts w:ascii="Times New Roman" w:hAnsi="Times New Roman" w:cs="Times New Roman"/>
          <w:sz w:val="28"/>
          <w:szCs w:val="28"/>
        </w:rPr>
        <w:t>B</w:t>
      </w:r>
      <w:r w:rsidRPr="00180982">
        <w:rPr>
          <w:rFonts w:ascii="Times New Roman" w:hAnsi="Times New Roman" w:cs="Times New Roman"/>
          <w:sz w:val="28"/>
          <w:szCs w:val="28"/>
        </w:rPr>
        <w:t xml:space="preserve"> powder was weighed and dispensed in a con</w:t>
      </w:r>
      <w:r>
        <w:rPr>
          <w:rFonts w:ascii="Times New Roman" w:hAnsi="Times New Roman" w:cs="Times New Roman"/>
          <w:sz w:val="28"/>
          <w:szCs w:val="28"/>
        </w:rPr>
        <w:t>i</w:t>
      </w:r>
      <w:r w:rsidRPr="00180982">
        <w:rPr>
          <w:rFonts w:ascii="Times New Roman" w:hAnsi="Times New Roman" w:cs="Times New Roman"/>
          <w:sz w:val="28"/>
          <w:szCs w:val="28"/>
        </w:rPr>
        <w:t xml:space="preserve">cal flask and 1000ml of distilled was added </w:t>
      </w:r>
      <w:r w:rsidR="006F04F7">
        <w:rPr>
          <w:rFonts w:ascii="Times New Roman" w:hAnsi="Times New Roman" w:cs="Times New Roman"/>
          <w:sz w:val="28"/>
          <w:szCs w:val="28"/>
        </w:rPr>
        <w:t>according to manufacturer instruction and it was gently stirred</w:t>
      </w:r>
      <w:r w:rsidRPr="00180982">
        <w:rPr>
          <w:rFonts w:ascii="Times New Roman" w:hAnsi="Times New Roman" w:cs="Times New Roman"/>
          <w:sz w:val="28"/>
          <w:szCs w:val="28"/>
        </w:rPr>
        <w:t xml:space="preserve">. The mixture was heated to allow total dissolution of the potato dextrose </w:t>
      </w:r>
      <w:r>
        <w:rPr>
          <w:rFonts w:ascii="Times New Roman" w:hAnsi="Times New Roman" w:cs="Times New Roman"/>
          <w:sz w:val="28"/>
          <w:szCs w:val="28"/>
        </w:rPr>
        <w:t>broth</w:t>
      </w:r>
      <w:r w:rsidRPr="00180982">
        <w:rPr>
          <w:rFonts w:ascii="Times New Roman" w:hAnsi="Times New Roman" w:cs="Times New Roman"/>
          <w:sz w:val="28"/>
          <w:szCs w:val="28"/>
        </w:rPr>
        <w:t xml:space="preserve">.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t>one drop</w:t>
      </w:r>
      <w:r w:rsidRPr="00180982">
        <w:rPr>
          <w:rFonts w:ascii="Times New Roman" w:hAnsi="Times New Roman" w:cs="Times New Roman"/>
          <w:sz w:val="28"/>
          <w:szCs w:val="28"/>
        </w:rPr>
        <w:t xml:space="preserve"> of streptomycin </w:t>
      </w:r>
      <w:r>
        <w:rPr>
          <w:rFonts w:ascii="Times New Roman" w:hAnsi="Times New Roman" w:cs="Times New Roman"/>
          <w:sz w:val="28"/>
          <w:szCs w:val="28"/>
        </w:rPr>
        <w:t>stock solution</w:t>
      </w:r>
      <w:r w:rsidRPr="00180982">
        <w:rPr>
          <w:rFonts w:ascii="Times New Roman" w:hAnsi="Times New Roman" w:cs="Times New Roman"/>
          <w:sz w:val="28"/>
          <w:szCs w:val="28"/>
        </w:rPr>
        <w:t xml:space="preserve"> (antibiotics</w:t>
      </w:r>
      <w:r>
        <w:rPr>
          <w:rFonts w:ascii="Times New Roman" w:hAnsi="Times New Roman" w:cs="Times New Roman"/>
          <w:sz w:val="28"/>
          <w:szCs w:val="28"/>
        </w:rPr>
        <w:t>)</w:t>
      </w:r>
      <w:r w:rsidRPr="00180982">
        <w:rPr>
          <w:rFonts w:ascii="Times New Roman" w:hAnsi="Times New Roman" w:cs="Times New Roman"/>
          <w:sz w:val="28"/>
          <w:szCs w:val="28"/>
        </w:rPr>
        <w:t xml:space="preserve"> was added to the PD</w:t>
      </w:r>
      <w:r>
        <w:rPr>
          <w:rFonts w:ascii="Times New Roman" w:hAnsi="Times New Roman" w:cs="Times New Roman"/>
          <w:sz w:val="28"/>
          <w:szCs w:val="28"/>
        </w:rPr>
        <w:t>B</w:t>
      </w:r>
      <w:r w:rsidRPr="00180982">
        <w:rPr>
          <w:rFonts w:ascii="Times New Roman" w:hAnsi="Times New Roman" w:cs="Times New Roman"/>
          <w:sz w:val="28"/>
          <w:szCs w:val="28"/>
        </w:rPr>
        <w:t xml:space="preserve"> aseptically to inhibit bacterial growth. The medium was mixed </w:t>
      </w:r>
      <w:r>
        <w:rPr>
          <w:rFonts w:ascii="Times New Roman" w:hAnsi="Times New Roman" w:cs="Times New Roman"/>
          <w:sz w:val="28"/>
          <w:szCs w:val="28"/>
        </w:rPr>
        <w:t>thoroughly</w:t>
      </w:r>
      <w:r w:rsidR="00C61B3C">
        <w:rPr>
          <w:rFonts w:ascii="Times New Roman" w:hAnsi="Times New Roman" w:cs="Times New Roman"/>
          <w:sz w:val="28"/>
          <w:szCs w:val="28"/>
        </w:rPr>
        <w:t xml:space="preserve"> (Zhang et al., 2021).</w:t>
      </w:r>
    </w:p>
    <w:p w14:paraId="410BA5C7" w14:textId="4D62E837" w:rsidR="00462973" w:rsidRPr="00E85611" w:rsidRDefault="00462973" w:rsidP="00462973">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 xml:space="preserve">3.1  </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6E3993C" w14:textId="4F545C7E" w:rsidR="00462973" w:rsidRPr="00821FD4" w:rsidRDefault="00C61B3C" w:rsidP="00462973">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kurmal</w:t>
      </w:r>
      <w:proofErr w:type="spellEnd"/>
      <w:r w:rsidR="00B12A8D">
        <w:rPr>
          <w:rFonts w:ascii="Times New Roman" w:hAnsi="Times New Roman" w:cs="Times New Roman"/>
          <w:sz w:val="28"/>
          <w:szCs w:val="28"/>
        </w:rPr>
        <w:t xml:space="preserve"> et al., 2023 t</w:t>
      </w:r>
      <w:r w:rsidR="00462973">
        <w:rPr>
          <w:rFonts w:ascii="Times New Roman" w:hAnsi="Times New Roman" w:cs="Times New Roman"/>
          <w:sz w:val="28"/>
          <w:szCs w:val="28"/>
        </w:rPr>
        <w:t>he rotten cashew was rinsed with distilled water and the decayed part was homogenized in 10ml of sterile distilled water using a sterile inoculating loop and thoroughly agitated for some minute to ensure even mixing to give 10</w:t>
      </w:r>
      <w:r w:rsidR="00462973" w:rsidRPr="0096091E">
        <w:rPr>
          <w:rFonts w:ascii="Times New Roman" w:hAnsi="Times New Roman" w:cs="Times New Roman"/>
          <w:sz w:val="28"/>
          <w:szCs w:val="28"/>
          <w:vertAlign w:val="superscript"/>
        </w:rPr>
        <w:t>-2</w:t>
      </w:r>
      <w:r w:rsidR="00462973">
        <w:rPr>
          <w:rFonts w:ascii="Times New Roman" w:hAnsi="Times New Roman" w:cs="Times New Roman"/>
          <w:sz w:val="28"/>
          <w:szCs w:val="28"/>
        </w:rPr>
        <w:t xml:space="preserve"> dilution, further dilution were made  up to</w:t>
      </w:r>
      <w:r w:rsidR="00462973">
        <w:rPr>
          <w:rFonts w:ascii="Arial" w:eastAsia="Arial" w:hAnsi="Arial" w:cs="Arial"/>
          <w:color w:val="252525"/>
          <w:sz w:val="47"/>
        </w:rPr>
        <w:t xml:space="preserve"> </w:t>
      </w:r>
      <w:r w:rsidR="00462973" w:rsidRPr="007E3C13">
        <w:rPr>
          <w:rFonts w:ascii="Times New Roman" w:eastAsia="Arial" w:hAnsi="Times New Roman" w:cs="Times New Roman"/>
          <w:color w:val="252525"/>
          <w:sz w:val="28"/>
          <w:szCs w:val="28"/>
        </w:rPr>
        <w:t>10</w:t>
      </w:r>
      <w:r w:rsidR="00462973" w:rsidRPr="0096091E">
        <w:rPr>
          <w:rFonts w:ascii="Times New Roman" w:eastAsia="Arial" w:hAnsi="Times New Roman" w:cs="Times New Roman"/>
          <w:color w:val="252525"/>
          <w:sz w:val="28"/>
          <w:szCs w:val="28"/>
          <w:vertAlign w:val="superscript"/>
        </w:rPr>
        <w:t>⁻3</w:t>
      </w:r>
      <w:r w:rsidR="00462973">
        <w:rPr>
          <w:rFonts w:ascii="Times New Roman" w:eastAsia="Arial" w:hAnsi="Times New Roman" w:cs="Times New Roman"/>
          <w:color w:val="252525"/>
          <w:sz w:val="28"/>
          <w:szCs w:val="28"/>
        </w:rPr>
        <w:t xml:space="preserve"> then </w:t>
      </w:r>
      <w:r w:rsidR="00462973" w:rsidRPr="007E3C13">
        <w:rPr>
          <w:rFonts w:ascii="Times New Roman" w:eastAsia="Arial" w:hAnsi="Times New Roman" w:cs="Times New Roman"/>
          <w:color w:val="252525"/>
          <w:sz w:val="28"/>
          <w:szCs w:val="28"/>
        </w:rPr>
        <w:t xml:space="preserve">0.5mL </w:t>
      </w:r>
      <w:r w:rsidR="00462973" w:rsidRPr="007E3C13">
        <w:rPr>
          <w:rFonts w:ascii="Times New Roman" w:eastAsia="Arial" w:hAnsi="Times New Roman" w:cs="Times New Roman"/>
          <w:color w:val="252525"/>
          <w:sz w:val="28"/>
          <w:szCs w:val="28"/>
        </w:rPr>
        <w:lastRenderedPageBreak/>
        <w:t xml:space="preserve">from appropriate dilutions were plated on Potato Dextrose Agar (PDA) supplemented with 0.01% streptomycin to inhibit bacterial growth. Plates were incubated at 28–30°C for </w:t>
      </w:r>
      <w:r w:rsidR="00462973">
        <w:rPr>
          <w:rFonts w:ascii="Times New Roman" w:eastAsia="Arial" w:hAnsi="Times New Roman" w:cs="Times New Roman"/>
          <w:color w:val="252525"/>
          <w:sz w:val="28"/>
          <w:szCs w:val="28"/>
        </w:rPr>
        <w:t>3</w:t>
      </w:r>
      <w:r w:rsidR="00462973" w:rsidRPr="007E3C13">
        <w:rPr>
          <w:rFonts w:ascii="Times New Roman" w:eastAsia="Arial" w:hAnsi="Times New Roman" w:cs="Times New Roman"/>
          <w:color w:val="252525"/>
          <w:sz w:val="28"/>
          <w:szCs w:val="28"/>
        </w:rPr>
        <w:t xml:space="preserve"> to </w:t>
      </w:r>
      <w:r w:rsidR="00462973">
        <w:rPr>
          <w:rFonts w:ascii="Times New Roman" w:eastAsia="Arial" w:hAnsi="Times New Roman" w:cs="Times New Roman"/>
          <w:color w:val="252525"/>
          <w:sz w:val="28"/>
          <w:szCs w:val="28"/>
        </w:rPr>
        <w:t>5</w:t>
      </w:r>
      <w:r w:rsidR="00462973" w:rsidRPr="007E3C13">
        <w:rPr>
          <w:rFonts w:ascii="Times New Roman" w:eastAsia="Arial" w:hAnsi="Times New Roman" w:cs="Times New Roman"/>
          <w:color w:val="252525"/>
          <w:sz w:val="28"/>
          <w:szCs w:val="28"/>
        </w:rPr>
        <w:t xml:space="preserve"> days</w:t>
      </w:r>
      <w:r w:rsidR="00462973">
        <w:rPr>
          <w:rFonts w:ascii="Times New Roman" w:eastAsia="Arial" w:hAnsi="Times New Roman" w:cs="Times New Roman"/>
          <w:color w:val="252525"/>
          <w:sz w:val="28"/>
          <w:szCs w:val="28"/>
        </w:rPr>
        <w:t>.</w:t>
      </w:r>
    </w:p>
    <w:p w14:paraId="147A79C0" w14:textId="77777777" w:rsidR="00462973" w:rsidRDefault="00462973" w:rsidP="00462973">
      <w:pPr>
        <w:spacing w:line="480" w:lineRule="auto"/>
        <w:ind w:left="428"/>
        <w:jc w:val="both"/>
        <w:rPr>
          <w:rFonts w:ascii="Times New Roman" w:hAnsi="Times New Roman" w:cs="Times New Roman"/>
          <w:b/>
          <w:sz w:val="28"/>
          <w:szCs w:val="28"/>
        </w:rPr>
      </w:pPr>
    </w:p>
    <w:p w14:paraId="399D8468" w14:textId="5CC7BAFE" w:rsidR="00462973" w:rsidRPr="002E09D5" w:rsidRDefault="00462973" w:rsidP="00462973">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t>2.</w:t>
      </w:r>
      <w:r>
        <w:rPr>
          <w:rFonts w:ascii="Times New Roman" w:hAnsi="Times New Roman" w:cs="Times New Roman"/>
          <w:b/>
          <w:sz w:val="28"/>
          <w:szCs w:val="28"/>
        </w:rPr>
        <w:t>3.2 Morphological Characteristics of Isolates</w:t>
      </w:r>
    </w:p>
    <w:p w14:paraId="6AED5276" w14:textId="3F996EAF" w:rsidR="00462973" w:rsidRPr="00C07179" w:rsidRDefault="00462973" w:rsidP="00462973">
      <w:pPr>
        <w:spacing w:line="480" w:lineRule="auto"/>
        <w:jc w:val="both"/>
        <w:rPr>
          <w:rFonts w:ascii="Times New Roman" w:hAnsi="Times New Roman" w:cs="Times New Roman"/>
          <w:b/>
          <w:sz w:val="28"/>
          <w:szCs w:val="28"/>
        </w:rPr>
      </w:pPr>
      <w:r w:rsidRPr="0096091E">
        <w:rPr>
          <w:rFonts w:ascii="Times New Roman" w:hAnsi="Times New Roman" w:cs="Times New Roman"/>
          <w:sz w:val="28"/>
          <w:szCs w:val="28"/>
        </w:rPr>
        <w:t xml:space="preserve">Growing fungal colonies with typical </w:t>
      </w:r>
      <w:r w:rsidRPr="0096091E">
        <w:rPr>
          <w:rFonts w:ascii="Times New Roman" w:hAnsi="Times New Roman" w:cs="Times New Roman"/>
          <w:i/>
          <w:sz w:val="28"/>
          <w:szCs w:val="28"/>
        </w:rPr>
        <w:t xml:space="preserve">Aspergillus </w:t>
      </w:r>
      <w:proofErr w:type="spellStart"/>
      <w:r w:rsidRPr="0096091E">
        <w:rPr>
          <w:rFonts w:ascii="Times New Roman" w:hAnsi="Times New Roman" w:cs="Times New Roman"/>
          <w:i/>
          <w:sz w:val="28"/>
          <w:szCs w:val="28"/>
        </w:rPr>
        <w:t>niger</w:t>
      </w:r>
      <w:proofErr w:type="spellEnd"/>
      <w:r w:rsidRPr="0096091E">
        <w:rPr>
          <w:rFonts w:ascii="Times New Roman" w:hAnsi="Times New Roman" w:cs="Times New Roman"/>
          <w:sz w:val="28"/>
          <w:szCs w:val="28"/>
        </w:rPr>
        <w:t xml:space="preserve"> morphology (Dark brown to black color with a cottony texture) were sub</w:t>
      </w:r>
      <w:r>
        <w:rPr>
          <w:rFonts w:ascii="Times New Roman" w:hAnsi="Times New Roman" w:cs="Times New Roman"/>
          <w:sz w:val="28"/>
          <w:szCs w:val="28"/>
        </w:rPr>
        <w:t xml:space="preserve"> </w:t>
      </w:r>
      <w:r w:rsidRPr="0096091E">
        <w:rPr>
          <w:rFonts w:ascii="Times New Roman" w:hAnsi="Times New Roman" w:cs="Times New Roman"/>
          <w:sz w:val="28"/>
          <w:szCs w:val="28"/>
        </w:rPr>
        <w:t xml:space="preserve">cultured on a fresh prepared PDA to obtain pure </w:t>
      </w:r>
      <w:r>
        <w:rPr>
          <w:rFonts w:ascii="Times New Roman" w:hAnsi="Times New Roman" w:cs="Times New Roman"/>
          <w:sz w:val="28"/>
          <w:szCs w:val="28"/>
        </w:rPr>
        <w:t>culture</w:t>
      </w:r>
      <w:r w:rsidRPr="0096091E">
        <w:rPr>
          <w:rFonts w:ascii="Times New Roman" w:hAnsi="Times New Roman" w:cs="Times New Roman"/>
          <w:sz w:val="28"/>
          <w:szCs w:val="28"/>
        </w:rPr>
        <w:t>. Once purified, the isolate were maintained by transferring them onto sterile PDA slants, which were then sealed and stored at 4</w:t>
      </w:r>
      <w:r w:rsidRPr="00C07179">
        <w:rPr>
          <w:rFonts w:ascii="Times New Roman" w:hAnsi="Times New Roman" w:cs="Times New Roman"/>
          <w:sz w:val="28"/>
          <w:szCs w:val="28"/>
          <w:vertAlign w:val="superscript"/>
        </w:rPr>
        <w:t>0</w:t>
      </w:r>
      <w:r>
        <w:rPr>
          <w:rFonts w:ascii="Times New Roman" w:hAnsi="Times New Roman" w:cs="Times New Roman"/>
          <w:sz w:val="28"/>
          <w:szCs w:val="28"/>
        </w:rPr>
        <w:t>c</w:t>
      </w:r>
      <w:r w:rsidRPr="0096091E">
        <w:rPr>
          <w:rFonts w:ascii="Times New Roman" w:hAnsi="Times New Roman" w:cs="Times New Roman"/>
          <w:sz w:val="28"/>
          <w:szCs w:val="28"/>
        </w:rPr>
        <w:t xml:space="preserve"> for further analysis. These were incubated under the same conditions for 3 to 5 days</w:t>
      </w:r>
      <w:r w:rsidR="00B12A8D">
        <w:rPr>
          <w:rFonts w:ascii="Times New Roman" w:hAnsi="Times New Roman" w:cs="Times New Roman"/>
          <w:sz w:val="28"/>
          <w:szCs w:val="28"/>
        </w:rPr>
        <w:t xml:space="preserve"> (Deshmukh et al., 2021).</w:t>
      </w:r>
    </w:p>
    <w:p w14:paraId="56686ED3" w14:textId="0B0AAD7D" w:rsidR="00462973" w:rsidRPr="006F1558" w:rsidRDefault="00462973" w:rsidP="00B12A8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The fungal colonies was described as they appear on the media, the colonial morphology include: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shape, hyphae. The isolate were also examined for microscopic identification using lactophenol cotton blue stain</w:t>
      </w:r>
      <w:r w:rsidR="00B12A8D">
        <w:rPr>
          <w:rFonts w:ascii="Times New Roman" w:hAnsi="Times New Roman" w:cs="Times New Roman"/>
          <w:sz w:val="28"/>
          <w:szCs w:val="28"/>
        </w:rPr>
        <w:t xml:space="preserve"> </w:t>
      </w:r>
      <w:r w:rsidRPr="006F1558">
        <w:rPr>
          <w:rFonts w:ascii="Times New Roman" w:hAnsi="Times New Roman" w:cs="Times New Roman"/>
          <w:b/>
          <w:sz w:val="28"/>
          <w:szCs w:val="28"/>
        </w:rPr>
        <w:t>Lactophenol Cotton Blue Stain</w:t>
      </w:r>
    </w:p>
    <w:p w14:paraId="33AE4258" w14:textId="3BEB12B8" w:rsidR="00B12A8D" w:rsidRDefault="00462973" w:rsidP="00B12A8D">
      <w:pPr>
        <w:spacing w:line="480" w:lineRule="auto"/>
        <w:jc w:val="both"/>
        <w:rPr>
          <w:rFonts w:ascii="Times New Roman" w:hAnsi="Times New Roman" w:cs="Times New Roman"/>
          <w:sz w:val="28"/>
          <w:szCs w:val="28"/>
        </w:rPr>
      </w:pP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The slide was observed under the microscope at x40 magnification. The presence of long, smooth </w:t>
      </w:r>
      <w:r w:rsidRPr="006F1558">
        <w:rPr>
          <w:rFonts w:ascii="Times New Roman" w:hAnsi="Times New Roman" w:cs="Times New Roman"/>
          <w:sz w:val="28"/>
          <w:szCs w:val="28"/>
        </w:rPr>
        <w:lastRenderedPageBreak/>
        <w:t xml:space="preserve">conidiophores terminating in globose vesicles with biseriate phialides and chains of black conidia confirmed the identity of </w:t>
      </w:r>
      <w:r w:rsidRPr="006F1558">
        <w:rPr>
          <w:rFonts w:ascii="Times New Roman" w:hAnsi="Times New Roman" w:cs="Times New Roman"/>
          <w:i/>
          <w:sz w:val="28"/>
          <w:szCs w:val="28"/>
        </w:rPr>
        <w:t xml:space="preserve">Aspergillus </w:t>
      </w:r>
      <w:proofErr w:type="spellStart"/>
      <w:r w:rsidRPr="006F1558">
        <w:rPr>
          <w:rFonts w:ascii="Times New Roman" w:hAnsi="Times New Roman" w:cs="Times New Roman"/>
          <w:i/>
          <w:sz w:val="28"/>
          <w:szCs w:val="28"/>
        </w:rPr>
        <w:t>niger</w:t>
      </w:r>
      <w:proofErr w:type="spellEnd"/>
      <w:r w:rsidR="00B12A8D">
        <w:rPr>
          <w:rFonts w:ascii="Times New Roman" w:hAnsi="Times New Roman" w:cs="Times New Roman"/>
          <w:sz w:val="28"/>
          <w:szCs w:val="28"/>
        </w:rPr>
        <w:t xml:space="preserve"> (Fox et al., 2023).</w:t>
      </w:r>
    </w:p>
    <w:p w14:paraId="7F708724" w14:textId="77777777" w:rsidR="00462973" w:rsidRPr="006F1558" w:rsidRDefault="00462973" w:rsidP="00462973">
      <w:pPr>
        <w:spacing w:line="480" w:lineRule="auto"/>
        <w:jc w:val="both"/>
        <w:rPr>
          <w:rFonts w:ascii="Times New Roman" w:hAnsi="Times New Roman" w:cs="Times New Roman"/>
          <w:sz w:val="28"/>
          <w:szCs w:val="28"/>
        </w:rPr>
      </w:pPr>
    </w:p>
    <w:p w14:paraId="1AFD5EE6" w14:textId="77777777" w:rsidR="00462973" w:rsidRDefault="00462973" w:rsidP="00462973">
      <w:pPr>
        <w:pStyle w:val="ListParagraph"/>
        <w:numPr>
          <w:ilvl w:val="1"/>
          <w:numId w:val="4"/>
        </w:numPr>
        <w:spacing w:after="160"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Toxin production</w:t>
      </w:r>
    </w:p>
    <w:p w14:paraId="052E69E9" w14:textId="61C56AAF" w:rsidR="00462973" w:rsidRPr="00BB68BB" w:rsidRDefault="00462973" w:rsidP="00462973">
      <w:pPr>
        <w:spacing w:line="480" w:lineRule="auto"/>
        <w:ind w:left="428"/>
        <w:jc w:val="both"/>
        <w:rPr>
          <w:rFonts w:ascii="Times New Roman" w:hAnsi="Times New Roman" w:cs="Times New Roman"/>
          <w:b/>
          <w:sz w:val="28"/>
          <w:szCs w:val="28"/>
        </w:rPr>
      </w:pPr>
      <w:r w:rsidRPr="00BB68BB">
        <w:rPr>
          <w:rFonts w:ascii="Times New Roman" w:hAnsi="Times New Roman" w:cs="Times New Roman"/>
          <w:sz w:val="28"/>
          <w:szCs w:val="28"/>
        </w:rPr>
        <w:t>The pure colonies from PDA</w:t>
      </w:r>
      <w:r>
        <w:rPr>
          <w:rFonts w:ascii="Times New Roman" w:hAnsi="Times New Roman" w:cs="Times New Roman"/>
          <w:sz w:val="28"/>
          <w:szCs w:val="28"/>
        </w:rPr>
        <w:t xml:space="preserve"> plate </w:t>
      </w:r>
      <w:r w:rsidRPr="00BB68BB">
        <w:rPr>
          <w:rFonts w:ascii="Times New Roman" w:hAnsi="Times New Roman" w:cs="Times New Roman"/>
          <w:sz w:val="28"/>
          <w:szCs w:val="28"/>
        </w:rPr>
        <w:t xml:space="preserve"> was put into the agar flask</w:t>
      </w:r>
      <w:r>
        <w:rPr>
          <w:rFonts w:ascii="Times New Roman" w:hAnsi="Times New Roman" w:cs="Times New Roman"/>
          <w:sz w:val="28"/>
          <w:szCs w:val="28"/>
        </w:rPr>
        <w:t xml:space="preserve"> filled with 150ml of PDB</w:t>
      </w:r>
      <w:r w:rsidRPr="00BB68BB">
        <w:rPr>
          <w:rFonts w:ascii="Times New Roman" w:hAnsi="Times New Roman" w:cs="Times New Roman"/>
          <w:sz w:val="28"/>
          <w:szCs w:val="28"/>
        </w:rPr>
        <w:t xml:space="preserve"> and the flasks was placed on a rotary shaker and agitated continuously for 3 days to enhance metabolite production, then left at room temperature </w:t>
      </w:r>
      <w:r>
        <w:rPr>
          <w:rFonts w:ascii="Times New Roman" w:hAnsi="Times New Roman" w:cs="Times New Roman"/>
          <w:sz w:val="28"/>
          <w:szCs w:val="28"/>
        </w:rPr>
        <w:t xml:space="preserve">undisturbed for </w:t>
      </w:r>
      <w:r w:rsidRPr="00BB68BB">
        <w:rPr>
          <w:rFonts w:ascii="Times New Roman" w:hAnsi="Times New Roman" w:cs="Times New Roman"/>
          <w:sz w:val="28"/>
          <w:szCs w:val="28"/>
        </w:rPr>
        <w:t xml:space="preserve"> 7days</w:t>
      </w:r>
      <w:r w:rsidR="00B12A8D">
        <w:rPr>
          <w:rFonts w:ascii="Times New Roman" w:hAnsi="Times New Roman" w:cs="Times New Roman"/>
          <w:sz w:val="28"/>
          <w:szCs w:val="28"/>
        </w:rPr>
        <w:t xml:space="preserve"> (</w:t>
      </w:r>
      <w:proofErr w:type="spellStart"/>
      <w:r w:rsidR="00B12A8D">
        <w:rPr>
          <w:rFonts w:ascii="Times New Roman" w:hAnsi="Times New Roman" w:cs="Times New Roman"/>
          <w:sz w:val="28"/>
          <w:szCs w:val="28"/>
        </w:rPr>
        <w:t>Mahato</w:t>
      </w:r>
      <w:proofErr w:type="spellEnd"/>
      <w:r w:rsidR="00B12A8D">
        <w:rPr>
          <w:rFonts w:ascii="Times New Roman" w:hAnsi="Times New Roman" w:cs="Times New Roman"/>
          <w:sz w:val="28"/>
          <w:szCs w:val="28"/>
        </w:rPr>
        <w:t xml:space="preserve"> et al., 2023)</w:t>
      </w:r>
    </w:p>
    <w:p w14:paraId="60A1C6A4" w14:textId="77777777" w:rsidR="00462973" w:rsidRPr="002E09D5" w:rsidRDefault="00462973" w:rsidP="00462973">
      <w:pPr>
        <w:spacing w:line="480" w:lineRule="auto"/>
        <w:jc w:val="both"/>
        <w:rPr>
          <w:rFonts w:ascii="Times New Roman" w:hAnsi="Times New Roman" w:cs="Times New Roman"/>
          <w:b/>
          <w:sz w:val="28"/>
          <w:szCs w:val="28"/>
        </w:rPr>
      </w:pPr>
      <w:r w:rsidRPr="002E09D5">
        <w:rPr>
          <w:rFonts w:ascii="Times New Roman" w:hAnsi="Times New Roman" w:cs="Times New Roman"/>
          <w:b/>
          <w:sz w:val="28"/>
          <w:szCs w:val="28"/>
        </w:rPr>
        <w:t>2.</w:t>
      </w:r>
      <w:r>
        <w:rPr>
          <w:rFonts w:ascii="Times New Roman" w:hAnsi="Times New Roman" w:cs="Times New Roman"/>
          <w:b/>
          <w:sz w:val="28"/>
          <w:szCs w:val="28"/>
        </w:rPr>
        <w:t>4.1 Toxin Extraction</w:t>
      </w:r>
    </w:p>
    <w:p w14:paraId="394E67D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poured into six (6) test tubes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14:paraId="0FF31414" w14:textId="77777777" w:rsidR="00462973" w:rsidRPr="00704236" w:rsidRDefault="00462973" w:rsidP="00462973">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7B55FCB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prepared concentration was measured into a sterile test tube as follows:</w:t>
      </w:r>
    </w:p>
    <w:p w14:paraId="2CCD9E5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w:t>
      </w:r>
    </w:p>
    <w:p w14:paraId="6740A57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toxin mixed with 1 mL of sterile distilled water.</w:t>
      </w:r>
    </w:p>
    <w:p w14:paraId="36184D46"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toxin mixed with 2 mL of sterile distilled water.</w:t>
      </w:r>
    </w:p>
    <w:p w14:paraId="5D59531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toxin mixed with 2.5 mL of sterile distilled water. All mixtures were thoroughly homogenized and stored in labeled test tubes for experimental use.</w:t>
      </w:r>
    </w:p>
    <w:p w14:paraId="46D673D3" w14:textId="77777777" w:rsidR="00462973" w:rsidRPr="00BB68BB" w:rsidRDefault="00462973" w:rsidP="00462973">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and Grouping</w:t>
      </w:r>
    </w:p>
    <w:p w14:paraId="2C263BE5"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51D49CA7"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648A920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BLUE – 80% concentration</w:t>
      </w:r>
    </w:p>
    <w:p w14:paraId="3311DF5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4FB174D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w:t>
      </w:r>
    </w:p>
    <w:p w14:paraId="65DCB92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color marking was maintained throughout the experiment for accurate tracking and observation.</w:t>
      </w:r>
    </w:p>
    <w:p w14:paraId="5FB79422"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2.5.1 Toxin Administration</w:t>
      </w:r>
    </w:p>
    <w:p w14:paraId="20BAD86F" w14:textId="783ACB91"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0.5 mL of the prepared toxin concentration was administered orally to each rat using a sterile syringe for 3days. After administration the rats were observed daily for a period of </w:t>
      </w:r>
      <w:r w:rsidR="00B12A8D">
        <w:rPr>
          <w:rFonts w:ascii="Times New Roman" w:hAnsi="Times New Roman" w:cs="Times New Roman"/>
          <w:sz w:val="28"/>
          <w:szCs w:val="28"/>
        </w:rPr>
        <w:t xml:space="preserve">4 </w:t>
      </w:r>
      <w:r>
        <w:rPr>
          <w:rFonts w:ascii="Times New Roman" w:hAnsi="Times New Roman" w:cs="Times New Roman"/>
          <w:sz w:val="28"/>
          <w:szCs w:val="28"/>
        </w:rPr>
        <w:t>days for signs of change in physical appearance, behavior, feeding pattern, and body weight. Daily parameters such as body weight, activeness, feeding, behavior, physical appearance (fur condition, eye retraction) were observed and recorded.</w:t>
      </w:r>
    </w:p>
    <w:p w14:paraId="3B0DEC5F"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 xml:space="preserve"> 2.5.2 Dissection and Post-Mortem Examination</w:t>
      </w:r>
    </w:p>
    <w:p w14:paraId="6FE50AD6" w14:textId="1254E4D0" w:rsidR="00BE5F42"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w:t>
      </w:r>
      <w:r w:rsidR="00B12A8D">
        <w:rPr>
          <w:rFonts w:ascii="Times New Roman" w:hAnsi="Times New Roman" w:cs="Times New Roman"/>
          <w:sz w:val="28"/>
          <w:szCs w:val="28"/>
        </w:rPr>
        <w:t>four</w:t>
      </w:r>
      <w:r>
        <w:rPr>
          <w:rFonts w:ascii="Times New Roman" w:hAnsi="Times New Roman" w:cs="Times New Roman"/>
          <w:sz w:val="28"/>
          <w:szCs w:val="28"/>
        </w:rPr>
        <w:t xml:space="preserve"> day</w:t>
      </w:r>
      <w:r w:rsidR="00B12A8D">
        <w:rPr>
          <w:rFonts w:ascii="Times New Roman" w:hAnsi="Times New Roman" w:cs="Times New Roman"/>
          <w:sz w:val="28"/>
          <w:szCs w:val="28"/>
        </w:rPr>
        <w:t>s</w:t>
      </w:r>
      <w:r>
        <w:rPr>
          <w:rFonts w:ascii="Times New Roman" w:hAnsi="Times New Roman" w:cs="Times New Roman"/>
          <w:sz w:val="28"/>
          <w:szCs w:val="28"/>
        </w:rPr>
        <w:t xml:space="preserve"> close observation , rats were dissected, and organs (liver, kidney, intestine, lung and heart) were examined macroscopically for any abnormalities</w:t>
      </w:r>
      <w:r w:rsidR="00B12A8D">
        <w:rPr>
          <w:rFonts w:ascii="Times New Roman" w:hAnsi="Times New Roman" w:cs="Times New Roman"/>
          <w:sz w:val="28"/>
          <w:szCs w:val="28"/>
        </w:rPr>
        <w:t xml:space="preserve"> </w:t>
      </w:r>
    </w:p>
    <w:p w14:paraId="295DE866" w14:textId="77777777" w:rsidR="004F6E67" w:rsidRDefault="004F6E67" w:rsidP="00462973">
      <w:pPr>
        <w:spacing w:line="480" w:lineRule="auto"/>
        <w:jc w:val="center"/>
        <w:rPr>
          <w:rFonts w:ascii="Times New Roman" w:hAnsi="Times New Roman" w:cs="Times New Roman"/>
          <w:b/>
          <w:sz w:val="28"/>
          <w:szCs w:val="28"/>
        </w:rPr>
      </w:pPr>
    </w:p>
    <w:p w14:paraId="06405E58" w14:textId="77777777" w:rsidR="004F6E67" w:rsidRDefault="004F6E67" w:rsidP="00462973">
      <w:pPr>
        <w:spacing w:line="480" w:lineRule="auto"/>
        <w:jc w:val="center"/>
        <w:rPr>
          <w:rFonts w:ascii="Times New Roman" w:hAnsi="Times New Roman" w:cs="Times New Roman"/>
          <w:b/>
          <w:sz w:val="28"/>
          <w:szCs w:val="28"/>
        </w:rPr>
      </w:pPr>
    </w:p>
    <w:p w14:paraId="5C048220" w14:textId="77777777" w:rsidR="004F6E67" w:rsidRDefault="004F6E67" w:rsidP="00462973">
      <w:pPr>
        <w:spacing w:line="480" w:lineRule="auto"/>
        <w:jc w:val="center"/>
        <w:rPr>
          <w:rFonts w:ascii="Times New Roman" w:hAnsi="Times New Roman" w:cs="Times New Roman"/>
          <w:b/>
          <w:sz w:val="28"/>
          <w:szCs w:val="28"/>
        </w:rPr>
      </w:pPr>
    </w:p>
    <w:p w14:paraId="401643F1" w14:textId="77777777" w:rsidR="004F6E67" w:rsidRDefault="004F6E67" w:rsidP="000D5351">
      <w:pPr>
        <w:spacing w:line="480" w:lineRule="auto"/>
        <w:rPr>
          <w:rFonts w:ascii="Times New Roman" w:hAnsi="Times New Roman" w:cs="Times New Roman"/>
          <w:b/>
          <w:sz w:val="28"/>
          <w:szCs w:val="28"/>
        </w:rPr>
      </w:pPr>
    </w:p>
    <w:p w14:paraId="125D6138" w14:textId="35F982A8" w:rsidR="00462973" w:rsidRPr="00462973" w:rsidRDefault="00462973" w:rsidP="00462973">
      <w:pPr>
        <w:spacing w:line="480" w:lineRule="auto"/>
        <w:jc w:val="center"/>
        <w:rPr>
          <w:rFonts w:ascii="Times New Roman" w:hAnsi="Times New Roman" w:cs="Times New Roman"/>
          <w:b/>
          <w:sz w:val="28"/>
          <w:szCs w:val="28"/>
        </w:rPr>
      </w:pPr>
      <w:r w:rsidRPr="00462973">
        <w:rPr>
          <w:rFonts w:ascii="Times New Roman" w:hAnsi="Times New Roman" w:cs="Times New Roman"/>
          <w:b/>
          <w:sz w:val="28"/>
          <w:szCs w:val="28"/>
        </w:rPr>
        <w:lastRenderedPageBreak/>
        <w:t>CHAPTER THREE</w:t>
      </w:r>
    </w:p>
    <w:p w14:paraId="23676D40" w14:textId="3EC53043" w:rsidR="00462973" w:rsidRDefault="00462973" w:rsidP="00462973">
      <w:pPr>
        <w:spacing w:line="480" w:lineRule="auto"/>
        <w:jc w:val="both"/>
        <w:rPr>
          <w:rFonts w:ascii="Times New Roman" w:hAnsi="Times New Roman" w:cs="Times New Roman"/>
          <w:b/>
          <w:sz w:val="28"/>
          <w:szCs w:val="28"/>
        </w:rPr>
      </w:pPr>
      <w:r w:rsidRPr="00462973">
        <w:rPr>
          <w:rFonts w:ascii="Times New Roman" w:hAnsi="Times New Roman" w:cs="Times New Roman"/>
          <w:b/>
          <w:sz w:val="28"/>
          <w:szCs w:val="28"/>
        </w:rPr>
        <w:t xml:space="preserve">                                                          RESULTS</w:t>
      </w:r>
    </w:p>
    <w:p w14:paraId="6E4AA9D7" w14:textId="0148D82D" w:rsidR="00E32CE6"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B67D45">
        <w:rPr>
          <w:rFonts w:ascii="Times New Roman" w:hAnsi="Times New Roman" w:cs="Times New Roman"/>
          <w:b/>
          <w:sz w:val="28"/>
          <w:szCs w:val="28"/>
        </w:rPr>
        <w:t xml:space="preserve">characteristics and identification of </w:t>
      </w:r>
      <w:r w:rsidR="00BC44F3">
        <w:rPr>
          <w:rFonts w:ascii="Times New Roman" w:hAnsi="Times New Roman" w:cs="Times New Roman"/>
          <w:b/>
          <w:sz w:val="28"/>
          <w:szCs w:val="28"/>
        </w:rPr>
        <w:t xml:space="preserve">fungal </w:t>
      </w:r>
      <w:r w:rsidR="00B67D45">
        <w:rPr>
          <w:rFonts w:ascii="Times New Roman" w:hAnsi="Times New Roman" w:cs="Times New Roman"/>
          <w:b/>
          <w:sz w:val="28"/>
          <w:szCs w:val="28"/>
        </w:rPr>
        <w:t>isolates</w:t>
      </w:r>
    </w:p>
    <w:p w14:paraId="4F221388" w14:textId="77777777" w:rsidR="00B67D45" w:rsidRDefault="001B7CBC" w:rsidP="00F134DD">
      <w:pPr>
        <w:spacing w:line="240" w:lineRule="auto"/>
        <w:jc w:val="both"/>
        <w:rPr>
          <w:rFonts w:ascii="Times New Roman" w:hAnsi="Times New Roman" w:cs="Times New Roman"/>
          <w:b/>
          <w:sz w:val="28"/>
          <w:szCs w:val="28"/>
        </w:rPr>
      </w:pPr>
      <w:r w:rsidRPr="001B7CBC">
        <w:rPr>
          <w:rFonts w:ascii="Times New Roman" w:hAnsi="Times New Roman" w:cs="Times New Roman"/>
          <w:b/>
          <w:sz w:val="28"/>
          <w:szCs w:val="28"/>
        </w:rPr>
        <w:t>3.1</w:t>
      </w:r>
      <w:r w:rsidRPr="001B7CBC">
        <w:rPr>
          <w:rFonts w:ascii="Times New Roman" w:hAnsi="Times New Roman" w:cs="Times New Roman"/>
          <w:sz w:val="28"/>
          <w:szCs w:val="28"/>
        </w:rPr>
        <w:t xml:space="preserve"> </w:t>
      </w:r>
      <w:r w:rsidR="00B67D45">
        <w:rPr>
          <w:rFonts w:ascii="Times New Roman" w:hAnsi="Times New Roman" w:cs="Times New Roman"/>
          <w:b/>
          <w:sz w:val="28"/>
          <w:szCs w:val="28"/>
        </w:rPr>
        <w:t>Table 1</w:t>
      </w:r>
    </w:p>
    <w:p w14:paraId="2DD945DE" w14:textId="4CE72FE1" w:rsidR="00462973" w:rsidRDefault="00E32CE6" w:rsidP="00F134DD">
      <w:pPr>
        <w:spacing w:line="240" w:lineRule="auto"/>
        <w:jc w:val="both"/>
        <w:rPr>
          <w:rFonts w:ascii="Times New Roman" w:hAnsi="Times New Roman" w:cs="Times New Roman"/>
          <w:sz w:val="28"/>
          <w:szCs w:val="28"/>
        </w:rPr>
      </w:pPr>
      <w:r w:rsidRPr="00E32CE6">
        <w:rPr>
          <w:rFonts w:ascii="Times New Roman" w:hAnsi="Times New Roman" w:cs="Times New Roman"/>
          <w:i/>
          <w:sz w:val="28"/>
          <w:szCs w:val="28"/>
        </w:rPr>
        <w:t>Identification of Fungal Isolate</w:t>
      </w:r>
      <w:r w:rsidR="00B67D45">
        <w:rPr>
          <w:rFonts w:ascii="Times New Roman" w:hAnsi="Times New Roman" w:cs="Times New Roman"/>
          <w:i/>
          <w:sz w:val="28"/>
          <w:szCs w:val="28"/>
        </w:rPr>
        <w:t xml:space="preserve"> after culturing</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F134DD" w:rsidRPr="00F134DD" w14:paraId="74D25CF0" w14:textId="77777777" w:rsidTr="00F134DD">
        <w:trPr>
          <w:trHeight w:val="344"/>
        </w:trPr>
        <w:tc>
          <w:tcPr>
            <w:tcW w:w="5239" w:type="dxa"/>
          </w:tcPr>
          <w:p w14:paraId="12B9F6CD" w14:textId="396BE207"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033DCC46" w14:textId="0FF6F2A0"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F134DD" w:rsidRPr="00F134DD" w14:paraId="72D65FB0" w14:textId="77777777" w:rsidTr="00F134DD">
        <w:trPr>
          <w:trHeight w:val="1348"/>
        </w:trPr>
        <w:tc>
          <w:tcPr>
            <w:tcW w:w="5239" w:type="dxa"/>
          </w:tcPr>
          <w:p w14:paraId="165CF962"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dark brown</w:t>
            </w:r>
          </w:p>
          <w:p w14:paraId="1309602B" w14:textId="77777777" w:rsidR="00F134DD" w:rsidRDefault="00F134DD" w:rsidP="00F134DD">
            <w:pPr>
              <w:spacing w:line="276" w:lineRule="auto"/>
              <w:jc w:val="center"/>
              <w:rPr>
                <w:rFonts w:ascii="Times New Roman" w:hAnsi="Times New Roman" w:cs="Times New Roman"/>
                <w:sz w:val="28"/>
                <w:szCs w:val="28"/>
              </w:rPr>
            </w:pPr>
          </w:p>
          <w:p w14:paraId="673E4376" w14:textId="345A9B6C"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45445648" w14:textId="442168A2"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66CC0795"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Long smooth, unbranched stalk arising from hyphae</w:t>
            </w:r>
          </w:p>
          <w:p w14:paraId="6FDA9C30"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Large globose (spherical) structure</w:t>
            </w:r>
          </w:p>
          <w:p w14:paraId="69AED2B5" w14:textId="190A1F2C"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Small rough- walled, black spherical spores formed in chains </w:t>
            </w:r>
          </w:p>
        </w:tc>
      </w:tr>
    </w:tbl>
    <w:p w14:paraId="2D53452D" w14:textId="7EF02625" w:rsidR="00BE71EB" w:rsidRDefault="00BE71EB" w:rsidP="00BE71EB">
      <w:pPr>
        <w:spacing w:line="240" w:lineRule="auto"/>
        <w:jc w:val="both"/>
        <w:rPr>
          <w:rFonts w:ascii="Times New Roman" w:hAnsi="Times New Roman" w:cs="Times New Roman"/>
          <w:sz w:val="28"/>
          <w:szCs w:val="28"/>
        </w:rPr>
      </w:pPr>
    </w:p>
    <w:p w14:paraId="24A651FB" w14:textId="77777777" w:rsidR="00A15154" w:rsidRDefault="00A15154" w:rsidP="00BE71EB">
      <w:pPr>
        <w:spacing w:line="240" w:lineRule="auto"/>
        <w:jc w:val="both"/>
        <w:rPr>
          <w:rFonts w:ascii="Times New Roman" w:hAnsi="Times New Roman" w:cs="Times New Roman"/>
          <w:sz w:val="28"/>
          <w:szCs w:val="28"/>
        </w:rPr>
      </w:pPr>
    </w:p>
    <w:p w14:paraId="77D19E79" w14:textId="77777777" w:rsidR="00A15154" w:rsidRDefault="00A15154" w:rsidP="00BE71EB">
      <w:pPr>
        <w:spacing w:line="240" w:lineRule="auto"/>
        <w:jc w:val="both"/>
        <w:rPr>
          <w:rFonts w:ascii="Times New Roman" w:hAnsi="Times New Roman" w:cs="Times New Roman"/>
          <w:sz w:val="28"/>
          <w:szCs w:val="28"/>
        </w:rPr>
      </w:pPr>
    </w:p>
    <w:p w14:paraId="6870EBE6" w14:textId="39F17053" w:rsidR="00BE71EB" w:rsidRDefault="00BE71EB" w:rsidP="00BE71EB">
      <w:pPr>
        <w:spacing w:line="240" w:lineRule="auto"/>
        <w:jc w:val="both"/>
        <w:rPr>
          <w:rFonts w:ascii="Times New Roman" w:hAnsi="Times New Roman" w:cs="Times New Roman"/>
          <w:sz w:val="28"/>
          <w:szCs w:val="28"/>
        </w:rPr>
      </w:pPr>
      <w:r>
        <w:rPr>
          <w:rFonts w:ascii="Times New Roman" w:hAnsi="Times New Roman" w:cs="Times New Roman"/>
          <w:sz w:val="28"/>
          <w:szCs w:val="28"/>
        </w:rPr>
        <w:t>Figure 1: showing colonies on PDA              Figure 2: showing microscopic view</w:t>
      </w:r>
    </w:p>
    <w:p w14:paraId="62673868" w14:textId="6CB7EFDF" w:rsidR="00462973" w:rsidRDefault="00462973" w:rsidP="00462973">
      <w:pPr>
        <w:spacing w:line="480" w:lineRule="auto"/>
        <w:jc w:val="both"/>
        <w:rPr>
          <w:rFonts w:ascii="Times New Roman" w:hAnsi="Times New Roman" w:cs="Times New Roman"/>
          <w:sz w:val="28"/>
          <w:szCs w:val="28"/>
        </w:rPr>
      </w:pPr>
    </w:p>
    <w:p w14:paraId="35BC9DF4" w14:textId="40DD9AC5" w:rsidR="00DD34A1" w:rsidRDefault="00A15154"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752" behindDoc="0" locked="0" layoutInCell="1" allowOverlap="1" wp14:anchorId="3A2FE407" wp14:editId="638ABEED">
            <wp:simplePos x="0" y="0"/>
            <wp:positionH relativeFrom="column">
              <wp:posOffset>3451225</wp:posOffset>
            </wp:positionH>
            <wp:positionV relativeFrom="paragraph">
              <wp:posOffset>394970</wp:posOffset>
            </wp:positionV>
            <wp:extent cx="2644140" cy="299593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314-WA000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4140" cy="29959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75136" behindDoc="0" locked="0" layoutInCell="1" allowOverlap="1" wp14:anchorId="30ACB1C9" wp14:editId="1BE3BE3A">
            <wp:simplePos x="0" y="0"/>
            <wp:positionH relativeFrom="column">
              <wp:posOffset>0</wp:posOffset>
            </wp:positionH>
            <wp:positionV relativeFrom="paragraph">
              <wp:posOffset>440130</wp:posOffset>
            </wp:positionV>
            <wp:extent cx="2301240" cy="230124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526_043338.jpg"/>
                    <pic:cNvPicPr/>
                  </pic:nvPicPr>
                  <pic:blipFill>
                    <a:blip r:embed="rId11">
                      <a:extLst>
                        <a:ext uri="{28A0092B-C50C-407E-A947-70E740481C1C}">
                          <a14:useLocalDpi xmlns:a14="http://schemas.microsoft.com/office/drawing/2010/main" val="0"/>
                        </a:ext>
                      </a:extLst>
                    </a:blip>
                    <a:stretch>
                      <a:fillRect/>
                    </a:stretch>
                  </pic:blipFill>
                  <pic:spPr>
                    <a:xfrm>
                      <a:off x="0" y="0"/>
                      <a:ext cx="2301240" cy="2301240"/>
                    </a:xfrm>
                    <a:prstGeom prst="rect">
                      <a:avLst/>
                    </a:prstGeom>
                  </pic:spPr>
                </pic:pic>
              </a:graphicData>
            </a:graphic>
            <wp14:sizeRelH relativeFrom="page">
              <wp14:pctWidth>0</wp14:pctWidth>
            </wp14:sizeRelH>
            <wp14:sizeRelV relativeFrom="page">
              <wp14:pctHeight>0</wp14:pctHeight>
            </wp14:sizeRelV>
          </wp:anchor>
        </w:drawing>
      </w:r>
    </w:p>
    <w:p w14:paraId="62B88AEB" w14:textId="77777777" w:rsidR="00DD34A1" w:rsidRDefault="00DD34A1" w:rsidP="00DD34A1">
      <w:pPr>
        <w:spacing w:line="240" w:lineRule="auto"/>
        <w:jc w:val="both"/>
        <w:rPr>
          <w:rFonts w:ascii="Times New Roman" w:hAnsi="Times New Roman" w:cs="Times New Roman"/>
          <w:sz w:val="28"/>
          <w:szCs w:val="28"/>
        </w:rPr>
      </w:pPr>
    </w:p>
    <w:p w14:paraId="6FE2BBA8" w14:textId="77777777" w:rsidR="003E67F0" w:rsidRDefault="003E67F0" w:rsidP="003E67F0">
      <w:pPr>
        <w:spacing w:line="240" w:lineRule="auto"/>
        <w:jc w:val="both"/>
        <w:rPr>
          <w:rFonts w:ascii="Times New Roman" w:hAnsi="Times New Roman" w:cs="Times New Roman"/>
          <w:sz w:val="28"/>
          <w:szCs w:val="28"/>
        </w:rPr>
      </w:pPr>
    </w:p>
    <w:p w14:paraId="150302C7" w14:textId="77777777" w:rsidR="00BC44F3" w:rsidRDefault="001B7CBC" w:rsidP="00BC44F3">
      <w:pPr>
        <w:spacing w:line="240" w:lineRule="auto"/>
        <w:jc w:val="both"/>
        <w:rPr>
          <w:rFonts w:ascii="Times New Roman" w:hAnsi="Times New Roman" w:cs="Times New Roman"/>
          <w:sz w:val="28"/>
          <w:szCs w:val="28"/>
        </w:rPr>
      </w:pPr>
      <w:bookmarkStart w:id="3" w:name="_Hlk201809488"/>
      <w:r w:rsidRPr="001B7CBC">
        <w:rPr>
          <w:rFonts w:ascii="Times New Roman" w:hAnsi="Times New Roman" w:cs="Times New Roman"/>
          <w:b/>
          <w:sz w:val="28"/>
          <w:szCs w:val="28"/>
        </w:rPr>
        <w:t>3.2</w:t>
      </w:r>
      <w:r>
        <w:rPr>
          <w:rFonts w:ascii="Times New Roman" w:hAnsi="Times New Roman" w:cs="Times New Roman"/>
          <w:sz w:val="28"/>
          <w:szCs w:val="28"/>
        </w:rPr>
        <w:t xml:space="preserve"> </w:t>
      </w:r>
      <w:r w:rsidR="00BC44F3">
        <w:rPr>
          <w:rFonts w:ascii="Times New Roman" w:hAnsi="Times New Roman" w:cs="Times New Roman"/>
          <w:sz w:val="28"/>
          <w:szCs w:val="28"/>
        </w:rPr>
        <w:t xml:space="preserve">Table 2: </w:t>
      </w:r>
    </w:p>
    <w:p w14:paraId="09C3D0AA" w14:textId="2EB0FA29" w:rsidR="00E46BB7" w:rsidRDefault="00E46BB7" w:rsidP="00A15154">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Daily Observation During Toxin Administration</w:t>
      </w:r>
      <w:r>
        <w:rPr>
          <w:rFonts w:ascii="Times New Roman" w:hAnsi="Times New Roman" w:cs="Times New Roman"/>
          <w:sz w:val="28"/>
          <w:szCs w:val="28"/>
        </w:rPr>
        <w:t xml:space="preserve"> </w:t>
      </w:r>
      <w:r w:rsidR="00F36E19" w:rsidRPr="00F36E19">
        <w:rPr>
          <w:rFonts w:ascii="Times New Roman" w:hAnsi="Times New Roman" w:cs="Times New Roman"/>
          <w:i/>
          <w:sz w:val="28"/>
          <w:szCs w:val="28"/>
        </w:rPr>
        <w:t>for four days</w:t>
      </w:r>
    </w:p>
    <w:tbl>
      <w:tblPr>
        <w:tblStyle w:val="TableGrid"/>
        <w:tblW w:w="11247" w:type="dxa"/>
        <w:tblInd w:w="-657" w:type="dxa"/>
        <w:tblBorders>
          <w:left w:val="none" w:sz="0" w:space="0" w:color="auto"/>
          <w:right w:val="none" w:sz="0" w:space="0" w:color="auto"/>
          <w:insideV w:val="none" w:sz="0" w:space="0" w:color="auto"/>
        </w:tblBorders>
        <w:tblLook w:val="04A0" w:firstRow="1" w:lastRow="0" w:firstColumn="1" w:lastColumn="0" w:noHBand="0" w:noVBand="1"/>
      </w:tblPr>
      <w:tblGrid>
        <w:gridCol w:w="1558"/>
        <w:gridCol w:w="1725"/>
        <w:gridCol w:w="1577"/>
        <w:gridCol w:w="1626"/>
        <w:gridCol w:w="1560"/>
        <w:gridCol w:w="1660"/>
        <w:gridCol w:w="1541"/>
      </w:tblGrid>
      <w:tr w:rsidR="009F5B77" w14:paraId="6F1DD745" w14:textId="77777777" w:rsidTr="009F5B77">
        <w:trPr>
          <w:trHeight w:val="730"/>
        </w:trPr>
        <w:tc>
          <w:tcPr>
            <w:tcW w:w="1558" w:type="dxa"/>
          </w:tcPr>
          <w:bookmarkEnd w:id="3"/>
          <w:p w14:paraId="0372BABC" w14:textId="39B85C0F" w:rsidR="00E46BB7" w:rsidRDefault="00F36E19" w:rsidP="003E67F0">
            <w:pPr>
              <w:rPr>
                <w:rFonts w:ascii="Times New Roman" w:hAnsi="Times New Roman" w:cs="Times New Roman"/>
                <w:sz w:val="28"/>
                <w:szCs w:val="28"/>
              </w:rPr>
            </w:pPr>
            <w:r>
              <w:rPr>
                <w:rFonts w:ascii="Times New Roman" w:hAnsi="Times New Roman" w:cs="Times New Roman"/>
                <w:sz w:val="28"/>
                <w:szCs w:val="28"/>
              </w:rPr>
              <w:t>Rat ID</w:t>
            </w:r>
            <w:r w:rsidR="00E46BB7">
              <w:rPr>
                <w:rFonts w:ascii="Times New Roman" w:hAnsi="Times New Roman" w:cs="Times New Roman"/>
                <w:sz w:val="28"/>
                <w:szCs w:val="28"/>
              </w:rPr>
              <w:t xml:space="preserve"> </w:t>
            </w:r>
          </w:p>
        </w:tc>
        <w:tc>
          <w:tcPr>
            <w:tcW w:w="1725" w:type="dxa"/>
          </w:tcPr>
          <w:p w14:paraId="63727AD6" w14:textId="33D3653E"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1577" w:type="dxa"/>
          </w:tcPr>
          <w:p w14:paraId="39DF5AF4" w14:textId="4F15728B"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Behavior</w:t>
            </w:r>
          </w:p>
        </w:tc>
        <w:tc>
          <w:tcPr>
            <w:tcW w:w="1626" w:type="dxa"/>
          </w:tcPr>
          <w:p w14:paraId="48B11C1B" w14:textId="4DEA2B8F"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locomotion</w:t>
            </w:r>
          </w:p>
        </w:tc>
        <w:tc>
          <w:tcPr>
            <w:tcW w:w="1560" w:type="dxa"/>
          </w:tcPr>
          <w:p w14:paraId="4D900D00" w14:textId="63E13959" w:rsidR="00E46BB7" w:rsidRDefault="008D2B30" w:rsidP="003E67F0">
            <w:pPr>
              <w:jc w:val="center"/>
              <w:rPr>
                <w:rFonts w:ascii="Times New Roman" w:hAnsi="Times New Roman" w:cs="Times New Roman"/>
                <w:sz w:val="28"/>
                <w:szCs w:val="28"/>
              </w:rPr>
            </w:pPr>
            <w:r>
              <w:rPr>
                <w:rFonts w:ascii="Times New Roman" w:hAnsi="Times New Roman" w:cs="Times New Roman"/>
                <w:sz w:val="28"/>
                <w:szCs w:val="28"/>
              </w:rPr>
              <w:t>F</w:t>
            </w:r>
            <w:r w:rsidR="00E46BB7">
              <w:rPr>
                <w:rFonts w:ascii="Times New Roman" w:hAnsi="Times New Roman" w:cs="Times New Roman"/>
                <w:sz w:val="28"/>
                <w:szCs w:val="28"/>
              </w:rPr>
              <w:t>eeding</w:t>
            </w:r>
          </w:p>
        </w:tc>
        <w:tc>
          <w:tcPr>
            <w:tcW w:w="1660" w:type="dxa"/>
          </w:tcPr>
          <w:p w14:paraId="2A4FA6FF" w14:textId="7F9F3644"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R</w:t>
            </w:r>
            <w:r w:rsidR="00E46BB7">
              <w:rPr>
                <w:rFonts w:ascii="Times New Roman" w:hAnsi="Times New Roman" w:cs="Times New Roman"/>
                <w:sz w:val="28"/>
                <w:szCs w:val="28"/>
              </w:rPr>
              <w:t>espir</w:t>
            </w:r>
            <w:r>
              <w:rPr>
                <w:rFonts w:ascii="Times New Roman" w:hAnsi="Times New Roman" w:cs="Times New Roman"/>
                <w:sz w:val="28"/>
                <w:szCs w:val="28"/>
              </w:rPr>
              <w:t>atory signs</w:t>
            </w:r>
          </w:p>
        </w:tc>
        <w:tc>
          <w:tcPr>
            <w:tcW w:w="1541" w:type="dxa"/>
          </w:tcPr>
          <w:p w14:paraId="4CC650FD" w14:textId="28F29995"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Eyes and nose</w:t>
            </w:r>
          </w:p>
        </w:tc>
      </w:tr>
      <w:tr w:rsidR="009F5B77" w14:paraId="4FA63107" w14:textId="77777777" w:rsidTr="009F5B77">
        <w:trPr>
          <w:trHeight w:val="1667"/>
        </w:trPr>
        <w:tc>
          <w:tcPr>
            <w:tcW w:w="1558" w:type="dxa"/>
          </w:tcPr>
          <w:p w14:paraId="4F7AF8C6" w14:textId="77777777"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 xml:space="preserve">Red </w:t>
            </w:r>
          </w:p>
          <w:p w14:paraId="57A263F9" w14:textId="21929253"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Blue</w:t>
            </w:r>
          </w:p>
          <w:p w14:paraId="488B74C1" w14:textId="2034648B"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Green</w:t>
            </w:r>
          </w:p>
          <w:p w14:paraId="66D85857" w14:textId="0B770BE0"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6A345E6" w14:textId="394CD2B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224FA0C2" w14:textId="30F22D28"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38A5AB" w14:textId="48D96AE0"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3CBF3661" w14:textId="7175F25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4C1FF90" w14:textId="16219B4D" w:rsidR="003E67F0" w:rsidRDefault="003E67F0" w:rsidP="003E67F0">
            <w:pPr>
              <w:spacing w:line="276" w:lineRule="auto"/>
              <w:jc w:val="both"/>
              <w:rPr>
                <w:rFonts w:ascii="Times New Roman" w:hAnsi="Times New Roman" w:cs="Times New Roman"/>
                <w:sz w:val="28"/>
                <w:szCs w:val="28"/>
              </w:rPr>
            </w:pPr>
          </w:p>
        </w:tc>
        <w:tc>
          <w:tcPr>
            <w:tcW w:w="1577" w:type="dxa"/>
          </w:tcPr>
          <w:p w14:paraId="26450730" w14:textId="7613433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Sedentary</w:t>
            </w:r>
          </w:p>
          <w:p w14:paraId="5C06E162" w14:textId="09C396C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33722773" w14:textId="3740DFAB"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498F98D0" w14:textId="448636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7175F7C0" w14:textId="50B0B60E" w:rsidR="003E67F0" w:rsidRDefault="003E67F0" w:rsidP="003E67F0">
            <w:pPr>
              <w:spacing w:line="276" w:lineRule="auto"/>
              <w:jc w:val="both"/>
              <w:rPr>
                <w:rFonts w:ascii="Times New Roman" w:hAnsi="Times New Roman" w:cs="Times New Roman"/>
                <w:sz w:val="28"/>
                <w:szCs w:val="28"/>
              </w:rPr>
            </w:pPr>
          </w:p>
        </w:tc>
        <w:tc>
          <w:tcPr>
            <w:tcW w:w="1626" w:type="dxa"/>
          </w:tcPr>
          <w:p w14:paraId="42DED7AF"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Dormant </w:t>
            </w:r>
          </w:p>
          <w:p w14:paraId="387DBF26" w14:textId="56D7115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45E8E46" w14:textId="7ABFC88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55AE62AE" w14:textId="6618C1CE"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60" w:type="dxa"/>
          </w:tcPr>
          <w:p w14:paraId="1DF27055"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7DD1854" w14:textId="7F1150C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0063453D" w14:textId="3F936CE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E0C96A3" w14:textId="531E266C"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660" w:type="dxa"/>
          </w:tcPr>
          <w:p w14:paraId="3EF9CC06" w14:textId="3116C8D8" w:rsidR="003E67F0" w:rsidRDefault="009F5B77"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Palpitation</w:t>
            </w:r>
          </w:p>
          <w:p w14:paraId="7700E431" w14:textId="2A069A02"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39CA690" w14:textId="3D2435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3FBB47E" w14:textId="27F9A6BD"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41" w:type="dxa"/>
          </w:tcPr>
          <w:p w14:paraId="32200A7E" w14:textId="218FFD63"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46C6AD" w14:textId="51C01F61"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A3C1C97" w14:textId="00205A7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4A483857" w14:textId="51D9B4CB" w:rsidR="003E67F0" w:rsidRDefault="003E67F0" w:rsidP="009F5B77">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r>
      <w:tr w:rsidR="009F5B77" w14:paraId="05EF913A" w14:textId="77777777" w:rsidTr="009F5B77">
        <w:trPr>
          <w:trHeight w:val="357"/>
        </w:trPr>
        <w:tc>
          <w:tcPr>
            <w:tcW w:w="1558" w:type="dxa"/>
          </w:tcPr>
          <w:p w14:paraId="526CCB0F" w14:textId="77777777" w:rsidR="003E67F0" w:rsidRDefault="003E67F0" w:rsidP="003E67F0">
            <w:pPr>
              <w:rPr>
                <w:rFonts w:ascii="Times New Roman" w:hAnsi="Times New Roman" w:cs="Times New Roman"/>
                <w:sz w:val="28"/>
                <w:szCs w:val="28"/>
              </w:rPr>
            </w:pPr>
            <w:r>
              <w:rPr>
                <w:rFonts w:ascii="Times New Roman" w:hAnsi="Times New Roman" w:cs="Times New Roman"/>
                <w:sz w:val="28"/>
                <w:szCs w:val="28"/>
              </w:rPr>
              <w:t xml:space="preserve">Red </w:t>
            </w:r>
          </w:p>
          <w:p w14:paraId="1A2E43C3" w14:textId="65368B52"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Blue</w:t>
            </w:r>
          </w:p>
          <w:p w14:paraId="5AC383E4" w14:textId="4E146068" w:rsidR="003E67F0" w:rsidRDefault="003E67F0" w:rsidP="003E67F0">
            <w:pPr>
              <w:rPr>
                <w:rFonts w:ascii="Times New Roman" w:hAnsi="Times New Roman" w:cs="Times New Roman"/>
                <w:sz w:val="28"/>
                <w:szCs w:val="28"/>
              </w:rPr>
            </w:pPr>
            <w:r>
              <w:rPr>
                <w:rFonts w:ascii="Times New Roman" w:hAnsi="Times New Roman" w:cs="Times New Roman"/>
                <w:sz w:val="28"/>
                <w:szCs w:val="28"/>
              </w:rPr>
              <w:t>Green</w:t>
            </w:r>
          </w:p>
          <w:p w14:paraId="35B3C810" w14:textId="6C15B503"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1294A75" w14:textId="0DF14CDE"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0AC8192F" w14:textId="39A7E7A9"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5AF83A76" w14:textId="75D8C462"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D0EE494" w14:textId="50F2345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Death </w:t>
            </w:r>
          </w:p>
        </w:tc>
        <w:tc>
          <w:tcPr>
            <w:tcW w:w="1577" w:type="dxa"/>
          </w:tcPr>
          <w:p w14:paraId="7C5C6C80" w14:textId="2DCEB19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04F07F26"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087EEB51" w14:textId="5801C65F"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Active</w:t>
            </w:r>
          </w:p>
          <w:p w14:paraId="4F63E8A4" w14:textId="20661D4E" w:rsidR="009F5B77" w:rsidRDefault="009F5B77" w:rsidP="003E67F0">
            <w:pPr>
              <w:jc w:val="both"/>
              <w:rPr>
                <w:rFonts w:ascii="Times New Roman" w:hAnsi="Times New Roman" w:cs="Times New Roman"/>
                <w:sz w:val="28"/>
                <w:szCs w:val="28"/>
              </w:rPr>
            </w:pPr>
          </w:p>
        </w:tc>
        <w:tc>
          <w:tcPr>
            <w:tcW w:w="1626" w:type="dxa"/>
          </w:tcPr>
          <w:p w14:paraId="4687A3D9" w14:textId="56F8BE54"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2288ED7C" w14:textId="23836E0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1A90FA79" w14:textId="771AF38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6E0C47A" w14:textId="1A07067F" w:rsidR="009F5B77" w:rsidRDefault="009F5B77" w:rsidP="003E67F0">
            <w:pPr>
              <w:jc w:val="both"/>
              <w:rPr>
                <w:rFonts w:ascii="Times New Roman" w:hAnsi="Times New Roman" w:cs="Times New Roman"/>
                <w:sz w:val="28"/>
                <w:szCs w:val="28"/>
              </w:rPr>
            </w:pPr>
          </w:p>
        </w:tc>
        <w:tc>
          <w:tcPr>
            <w:tcW w:w="1560" w:type="dxa"/>
          </w:tcPr>
          <w:p w14:paraId="2F411DC5" w14:textId="0FFBF3CC"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4674316" w14:textId="454EFAD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1EA5E342" w14:textId="366D3D7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7DE618D" w14:textId="48CDEA64" w:rsidR="009F5B77" w:rsidRDefault="009F5B77" w:rsidP="003E67F0">
            <w:pPr>
              <w:jc w:val="both"/>
              <w:rPr>
                <w:rFonts w:ascii="Times New Roman" w:hAnsi="Times New Roman" w:cs="Times New Roman"/>
                <w:sz w:val="28"/>
                <w:szCs w:val="28"/>
              </w:rPr>
            </w:pPr>
          </w:p>
        </w:tc>
        <w:tc>
          <w:tcPr>
            <w:tcW w:w="1660" w:type="dxa"/>
          </w:tcPr>
          <w:p w14:paraId="65329377"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3DECE0EB" w14:textId="3F24EE0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605BCA78" w14:textId="2BE0267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95120E8" w14:textId="3473FA73" w:rsidR="009F5B77" w:rsidRDefault="009F5B77" w:rsidP="003E67F0">
            <w:pPr>
              <w:jc w:val="both"/>
              <w:rPr>
                <w:rFonts w:ascii="Times New Roman" w:hAnsi="Times New Roman" w:cs="Times New Roman"/>
                <w:sz w:val="28"/>
                <w:szCs w:val="28"/>
              </w:rPr>
            </w:pPr>
          </w:p>
        </w:tc>
        <w:tc>
          <w:tcPr>
            <w:tcW w:w="1541" w:type="dxa"/>
          </w:tcPr>
          <w:p w14:paraId="52B671B4" w14:textId="5268B62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5270D57" w14:textId="1CA7E80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7A8AF306" w14:textId="182801C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8685772" w14:textId="17217B7C" w:rsidR="009F5B77" w:rsidRDefault="009F5B77" w:rsidP="003E67F0">
            <w:pPr>
              <w:jc w:val="both"/>
              <w:rPr>
                <w:rFonts w:ascii="Times New Roman" w:hAnsi="Times New Roman" w:cs="Times New Roman"/>
                <w:sz w:val="28"/>
                <w:szCs w:val="28"/>
              </w:rPr>
            </w:pPr>
          </w:p>
        </w:tc>
      </w:tr>
      <w:tr w:rsidR="009F5B77" w14:paraId="0FB00A81" w14:textId="77777777" w:rsidTr="009F5B77">
        <w:trPr>
          <w:trHeight w:val="372"/>
        </w:trPr>
        <w:tc>
          <w:tcPr>
            <w:tcW w:w="1558" w:type="dxa"/>
          </w:tcPr>
          <w:p w14:paraId="140A4622"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 xml:space="preserve">Red </w:t>
            </w:r>
          </w:p>
          <w:p w14:paraId="6931370E"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Blue</w:t>
            </w:r>
          </w:p>
          <w:p w14:paraId="2019F07A"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Green</w:t>
            </w:r>
          </w:p>
          <w:p w14:paraId="52A30542" w14:textId="1E2B2A60" w:rsidR="003E67F0"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Black</w:t>
            </w:r>
          </w:p>
        </w:tc>
        <w:tc>
          <w:tcPr>
            <w:tcW w:w="1725" w:type="dxa"/>
          </w:tcPr>
          <w:p w14:paraId="03F8E761" w14:textId="395AA4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E8042D5" w14:textId="20668021"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3AED874C"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027CA4C2"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530D8EBD" w14:textId="50951613" w:rsidR="004D02C9" w:rsidRDefault="004D02C9" w:rsidP="003E67F0">
            <w:pPr>
              <w:jc w:val="both"/>
              <w:rPr>
                <w:rFonts w:ascii="Times New Roman" w:hAnsi="Times New Roman" w:cs="Times New Roman"/>
                <w:sz w:val="28"/>
                <w:szCs w:val="28"/>
              </w:rPr>
            </w:pPr>
          </w:p>
        </w:tc>
        <w:tc>
          <w:tcPr>
            <w:tcW w:w="1577" w:type="dxa"/>
          </w:tcPr>
          <w:p w14:paraId="0BE7E981" w14:textId="1CDCC1B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3CB6FE9E" w14:textId="77777777" w:rsidR="009F5B77" w:rsidRDefault="009F5B77" w:rsidP="003E67F0">
            <w:pPr>
              <w:jc w:val="both"/>
              <w:rPr>
                <w:rFonts w:ascii="Times New Roman" w:hAnsi="Times New Roman" w:cs="Times New Roman"/>
                <w:sz w:val="28"/>
                <w:szCs w:val="28"/>
              </w:rPr>
            </w:pPr>
          </w:p>
          <w:p w14:paraId="0172B6A1"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4A29D9BA" w14:textId="09F1BB3D" w:rsidR="009F5B77" w:rsidRDefault="009F5B77" w:rsidP="003E67F0">
            <w:pPr>
              <w:jc w:val="both"/>
              <w:rPr>
                <w:rFonts w:ascii="Times New Roman" w:hAnsi="Times New Roman" w:cs="Times New Roman"/>
                <w:sz w:val="28"/>
                <w:szCs w:val="28"/>
              </w:rPr>
            </w:pPr>
          </w:p>
        </w:tc>
        <w:tc>
          <w:tcPr>
            <w:tcW w:w="1626" w:type="dxa"/>
          </w:tcPr>
          <w:p w14:paraId="2CA77679" w14:textId="4534F3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6E1740EE" w14:textId="77777777" w:rsidR="009F5B77" w:rsidRDefault="009F5B77" w:rsidP="003E67F0">
            <w:pPr>
              <w:jc w:val="both"/>
              <w:rPr>
                <w:rFonts w:ascii="Times New Roman" w:hAnsi="Times New Roman" w:cs="Times New Roman"/>
                <w:sz w:val="28"/>
                <w:szCs w:val="28"/>
              </w:rPr>
            </w:pPr>
          </w:p>
          <w:p w14:paraId="74C19DC5" w14:textId="05AA56F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42929215" w14:textId="2C02714F" w:rsidR="009F5B77" w:rsidRDefault="009F5B77" w:rsidP="003E67F0">
            <w:pPr>
              <w:jc w:val="both"/>
              <w:rPr>
                <w:rFonts w:ascii="Times New Roman" w:hAnsi="Times New Roman" w:cs="Times New Roman"/>
                <w:sz w:val="28"/>
                <w:szCs w:val="28"/>
              </w:rPr>
            </w:pPr>
          </w:p>
        </w:tc>
        <w:tc>
          <w:tcPr>
            <w:tcW w:w="1560" w:type="dxa"/>
          </w:tcPr>
          <w:p w14:paraId="080C4505" w14:textId="1528749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w:t>
            </w:r>
            <w:r w:rsidR="00A14106">
              <w:rPr>
                <w:rFonts w:ascii="Times New Roman" w:hAnsi="Times New Roman" w:cs="Times New Roman"/>
                <w:sz w:val="28"/>
                <w:szCs w:val="28"/>
              </w:rPr>
              <w:t>t eating</w:t>
            </w:r>
          </w:p>
          <w:p w14:paraId="67FF2F7F" w14:textId="77777777" w:rsidR="009F5B77" w:rsidRDefault="009F5B77" w:rsidP="003E67F0">
            <w:pPr>
              <w:jc w:val="both"/>
              <w:rPr>
                <w:rFonts w:ascii="Times New Roman" w:hAnsi="Times New Roman" w:cs="Times New Roman"/>
                <w:sz w:val="28"/>
                <w:szCs w:val="28"/>
              </w:rPr>
            </w:pPr>
          </w:p>
          <w:p w14:paraId="0BFAFD7C" w14:textId="201095C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w:t>
            </w:r>
            <w:r w:rsidR="00A14106">
              <w:rPr>
                <w:rFonts w:ascii="Times New Roman" w:hAnsi="Times New Roman" w:cs="Times New Roman"/>
                <w:sz w:val="28"/>
                <w:szCs w:val="28"/>
              </w:rPr>
              <w:t xml:space="preserve"> eating</w:t>
            </w:r>
          </w:p>
        </w:tc>
        <w:tc>
          <w:tcPr>
            <w:tcW w:w="1660" w:type="dxa"/>
          </w:tcPr>
          <w:p w14:paraId="45091F9B"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Palpitation </w:t>
            </w:r>
          </w:p>
          <w:p w14:paraId="61D08E62" w14:textId="77777777" w:rsidR="009F5B77" w:rsidRDefault="009F5B77" w:rsidP="003E67F0">
            <w:pPr>
              <w:jc w:val="both"/>
              <w:rPr>
                <w:rFonts w:ascii="Times New Roman" w:hAnsi="Times New Roman" w:cs="Times New Roman"/>
                <w:sz w:val="28"/>
                <w:szCs w:val="28"/>
              </w:rPr>
            </w:pPr>
          </w:p>
          <w:p w14:paraId="36DB26F5" w14:textId="120BE2D8"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tc>
        <w:tc>
          <w:tcPr>
            <w:tcW w:w="1541" w:type="dxa"/>
          </w:tcPr>
          <w:p w14:paraId="4C7DEBFD" w14:textId="4E77D647" w:rsidR="003E67F0" w:rsidRDefault="004D02C9" w:rsidP="003E67F0">
            <w:pPr>
              <w:jc w:val="both"/>
              <w:rPr>
                <w:rFonts w:ascii="Times New Roman" w:hAnsi="Times New Roman" w:cs="Times New Roman"/>
                <w:sz w:val="28"/>
                <w:szCs w:val="28"/>
              </w:rPr>
            </w:pPr>
            <w:r>
              <w:rPr>
                <w:rFonts w:ascii="Times New Roman" w:hAnsi="Times New Roman" w:cs="Times New Roman"/>
                <w:sz w:val="28"/>
                <w:szCs w:val="28"/>
              </w:rPr>
              <w:t>D</w:t>
            </w:r>
            <w:r w:rsidR="009F5B77">
              <w:rPr>
                <w:rFonts w:ascii="Times New Roman" w:hAnsi="Times New Roman" w:cs="Times New Roman"/>
                <w:sz w:val="28"/>
                <w:szCs w:val="28"/>
              </w:rPr>
              <w:t>ischarge</w:t>
            </w:r>
          </w:p>
          <w:p w14:paraId="7C6A28B4" w14:textId="6664478B" w:rsidR="004D02C9" w:rsidRDefault="004D02C9" w:rsidP="003E67F0">
            <w:pPr>
              <w:jc w:val="both"/>
              <w:rPr>
                <w:rFonts w:ascii="Times New Roman" w:hAnsi="Times New Roman" w:cs="Times New Roman"/>
                <w:sz w:val="28"/>
                <w:szCs w:val="28"/>
              </w:rPr>
            </w:pPr>
          </w:p>
          <w:p w14:paraId="301992F6" w14:textId="75637CB1" w:rsidR="004D02C9" w:rsidRDefault="004D02C9" w:rsidP="003E67F0">
            <w:pPr>
              <w:jc w:val="both"/>
              <w:rPr>
                <w:rFonts w:ascii="Times New Roman" w:hAnsi="Times New Roman" w:cs="Times New Roman"/>
                <w:sz w:val="28"/>
                <w:szCs w:val="28"/>
              </w:rPr>
            </w:pPr>
            <w:r>
              <w:rPr>
                <w:rFonts w:ascii="Times New Roman" w:hAnsi="Times New Roman" w:cs="Times New Roman"/>
                <w:sz w:val="28"/>
                <w:szCs w:val="28"/>
              </w:rPr>
              <w:t xml:space="preserve">Discharge </w:t>
            </w:r>
          </w:p>
          <w:p w14:paraId="10726597" w14:textId="3A7C2910" w:rsidR="009F5B77" w:rsidRDefault="009F5B77" w:rsidP="003E67F0">
            <w:pPr>
              <w:jc w:val="both"/>
              <w:rPr>
                <w:rFonts w:ascii="Times New Roman" w:hAnsi="Times New Roman" w:cs="Times New Roman"/>
                <w:sz w:val="28"/>
                <w:szCs w:val="28"/>
              </w:rPr>
            </w:pPr>
          </w:p>
        </w:tc>
      </w:tr>
      <w:tr w:rsidR="004D02C9" w14:paraId="19A9C56A" w14:textId="77777777" w:rsidTr="009F5B77">
        <w:trPr>
          <w:trHeight w:val="372"/>
        </w:trPr>
        <w:tc>
          <w:tcPr>
            <w:tcW w:w="1558" w:type="dxa"/>
          </w:tcPr>
          <w:p w14:paraId="3DE66904" w14:textId="77A027C3" w:rsidR="004D02C9" w:rsidRDefault="00A14106" w:rsidP="009F5B77">
            <w:pPr>
              <w:rPr>
                <w:rFonts w:ascii="Times New Roman" w:hAnsi="Times New Roman" w:cs="Times New Roman"/>
                <w:sz w:val="28"/>
                <w:szCs w:val="28"/>
              </w:rPr>
            </w:pPr>
            <w:r>
              <w:rPr>
                <w:rFonts w:ascii="Times New Roman" w:hAnsi="Times New Roman" w:cs="Times New Roman"/>
                <w:sz w:val="28"/>
                <w:szCs w:val="28"/>
              </w:rPr>
              <w:t>Red</w:t>
            </w:r>
          </w:p>
          <w:p w14:paraId="492431C8" w14:textId="09B0D9F8" w:rsidR="00A14106" w:rsidRDefault="00A14106" w:rsidP="009F5B77">
            <w:pPr>
              <w:rPr>
                <w:rFonts w:ascii="Times New Roman" w:hAnsi="Times New Roman" w:cs="Times New Roman"/>
                <w:sz w:val="28"/>
                <w:szCs w:val="28"/>
              </w:rPr>
            </w:pPr>
            <w:r>
              <w:rPr>
                <w:rFonts w:ascii="Times New Roman" w:hAnsi="Times New Roman" w:cs="Times New Roman"/>
                <w:sz w:val="28"/>
                <w:szCs w:val="28"/>
              </w:rPr>
              <w:t>Blue</w:t>
            </w:r>
          </w:p>
          <w:p w14:paraId="5EC7620D" w14:textId="61792866" w:rsidR="00A14106" w:rsidRDefault="00A14106" w:rsidP="009F5B77">
            <w:pPr>
              <w:rPr>
                <w:rFonts w:ascii="Times New Roman" w:hAnsi="Times New Roman" w:cs="Times New Roman"/>
                <w:sz w:val="28"/>
                <w:szCs w:val="28"/>
              </w:rPr>
            </w:pPr>
            <w:r>
              <w:rPr>
                <w:rFonts w:ascii="Times New Roman" w:hAnsi="Times New Roman" w:cs="Times New Roman"/>
                <w:sz w:val="28"/>
                <w:szCs w:val="28"/>
              </w:rPr>
              <w:t>Green</w:t>
            </w:r>
          </w:p>
          <w:p w14:paraId="43719FE4" w14:textId="1DA040EE" w:rsidR="00A14106" w:rsidRPr="004D02C9" w:rsidRDefault="00A14106" w:rsidP="009F5B77">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57650749" w14:textId="6B23DA77" w:rsidR="004D02C9"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A4CC464" w14:textId="1FC3A0C9"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C640791" w14:textId="7777777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790FBB00" w14:textId="268C358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tc>
        <w:tc>
          <w:tcPr>
            <w:tcW w:w="1577" w:type="dxa"/>
          </w:tcPr>
          <w:p w14:paraId="366956D6" w14:textId="77777777" w:rsidR="004D02C9" w:rsidRDefault="004D02C9" w:rsidP="003E67F0">
            <w:pPr>
              <w:jc w:val="both"/>
              <w:rPr>
                <w:rFonts w:ascii="Times New Roman" w:hAnsi="Times New Roman" w:cs="Times New Roman"/>
                <w:sz w:val="28"/>
                <w:szCs w:val="28"/>
              </w:rPr>
            </w:pPr>
          </w:p>
          <w:p w14:paraId="4BC59398" w14:textId="77777777" w:rsidR="00A14106" w:rsidRDefault="00A14106" w:rsidP="003E67F0">
            <w:pPr>
              <w:jc w:val="both"/>
              <w:rPr>
                <w:rFonts w:ascii="Times New Roman" w:hAnsi="Times New Roman" w:cs="Times New Roman"/>
                <w:sz w:val="28"/>
                <w:szCs w:val="28"/>
              </w:rPr>
            </w:pPr>
          </w:p>
          <w:p w14:paraId="0FDD3C2C" w14:textId="5C70D97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Inactive</w:t>
            </w:r>
          </w:p>
          <w:p w14:paraId="6B85F2A6" w14:textId="039F4315" w:rsidR="00A14106" w:rsidRDefault="00A14106" w:rsidP="003E67F0">
            <w:pPr>
              <w:jc w:val="both"/>
              <w:rPr>
                <w:rFonts w:ascii="Times New Roman" w:hAnsi="Times New Roman" w:cs="Times New Roman"/>
                <w:sz w:val="28"/>
                <w:szCs w:val="28"/>
              </w:rPr>
            </w:pPr>
          </w:p>
        </w:tc>
        <w:tc>
          <w:tcPr>
            <w:tcW w:w="1626" w:type="dxa"/>
          </w:tcPr>
          <w:p w14:paraId="564AE426" w14:textId="77777777" w:rsidR="004D02C9" w:rsidRDefault="004D02C9" w:rsidP="003E67F0">
            <w:pPr>
              <w:jc w:val="both"/>
              <w:rPr>
                <w:rFonts w:ascii="Times New Roman" w:hAnsi="Times New Roman" w:cs="Times New Roman"/>
                <w:sz w:val="28"/>
                <w:szCs w:val="28"/>
              </w:rPr>
            </w:pPr>
          </w:p>
          <w:p w14:paraId="599683C0" w14:textId="77777777" w:rsidR="00A14106" w:rsidRDefault="00A14106" w:rsidP="003E67F0">
            <w:pPr>
              <w:jc w:val="both"/>
              <w:rPr>
                <w:rFonts w:ascii="Times New Roman" w:hAnsi="Times New Roman" w:cs="Times New Roman"/>
                <w:sz w:val="28"/>
                <w:szCs w:val="28"/>
              </w:rPr>
            </w:pPr>
          </w:p>
          <w:p w14:paraId="43F2F0B5" w14:textId="2BBBA755"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Paralyzed</w:t>
            </w:r>
          </w:p>
          <w:p w14:paraId="0CBAA9B1" w14:textId="4AF56A11" w:rsidR="00A14106" w:rsidRDefault="00A14106" w:rsidP="003E67F0">
            <w:pPr>
              <w:jc w:val="both"/>
              <w:rPr>
                <w:rFonts w:ascii="Times New Roman" w:hAnsi="Times New Roman" w:cs="Times New Roman"/>
                <w:sz w:val="28"/>
                <w:szCs w:val="28"/>
              </w:rPr>
            </w:pPr>
          </w:p>
        </w:tc>
        <w:tc>
          <w:tcPr>
            <w:tcW w:w="1560" w:type="dxa"/>
          </w:tcPr>
          <w:p w14:paraId="385EECC5" w14:textId="77777777" w:rsidR="004D02C9" w:rsidRDefault="004D02C9" w:rsidP="003E67F0">
            <w:pPr>
              <w:jc w:val="both"/>
              <w:rPr>
                <w:rFonts w:ascii="Times New Roman" w:hAnsi="Times New Roman" w:cs="Times New Roman"/>
                <w:sz w:val="28"/>
                <w:szCs w:val="28"/>
              </w:rPr>
            </w:pPr>
          </w:p>
          <w:p w14:paraId="2A8A028E" w14:textId="77777777" w:rsidR="00A14106" w:rsidRDefault="00A14106" w:rsidP="003E67F0">
            <w:pPr>
              <w:jc w:val="both"/>
              <w:rPr>
                <w:rFonts w:ascii="Times New Roman" w:hAnsi="Times New Roman" w:cs="Times New Roman"/>
                <w:sz w:val="28"/>
                <w:szCs w:val="28"/>
              </w:rPr>
            </w:pPr>
          </w:p>
          <w:p w14:paraId="700CA79E" w14:textId="140C4A32"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Not eating</w:t>
            </w:r>
          </w:p>
        </w:tc>
        <w:tc>
          <w:tcPr>
            <w:tcW w:w="1660" w:type="dxa"/>
          </w:tcPr>
          <w:p w14:paraId="4C4CE0F6" w14:textId="77777777" w:rsidR="004D02C9" w:rsidRDefault="004D02C9" w:rsidP="003E67F0">
            <w:pPr>
              <w:jc w:val="both"/>
              <w:rPr>
                <w:rFonts w:ascii="Times New Roman" w:hAnsi="Times New Roman" w:cs="Times New Roman"/>
                <w:sz w:val="28"/>
                <w:szCs w:val="28"/>
              </w:rPr>
            </w:pPr>
          </w:p>
          <w:p w14:paraId="29E71CF3" w14:textId="77777777" w:rsidR="00A14106" w:rsidRDefault="00A14106" w:rsidP="003E67F0">
            <w:pPr>
              <w:jc w:val="both"/>
              <w:rPr>
                <w:rFonts w:ascii="Times New Roman" w:hAnsi="Times New Roman" w:cs="Times New Roman"/>
                <w:sz w:val="28"/>
                <w:szCs w:val="28"/>
              </w:rPr>
            </w:pPr>
          </w:p>
          <w:p w14:paraId="30873AB5" w14:textId="7286EA95" w:rsidR="00A14106" w:rsidRDefault="00AA4509" w:rsidP="003E67F0">
            <w:pPr>
              <w:jc w:val="both"/>
              <w:rPr>
                <w:rFonts w:ascii="Times New Roman" w:hAnsi="Times New Roman" w:cs="Times New Roman"/>
                <w:sz w:val="28"/>
                <w:szCs w:val="28"/>
              </w:rPr>
            </w:pPr>
            <w:r>
              <w:rPr>
                <w:rFonts w:ascii="Times New Roman" w:hAnsi="Times New Roman" w:cs="Times New Roman"/>
                <w:sz w:val="28"/>
                <w:szCs w:val="28"/>
              </w:rPr>
              <w:t>P</w:t>
            </w:r>
            <w:r w:rsidR="00A14106">
              <w:rPr>
                <w:rFonts w:ascii="Times New Roman" w:hAnsi="Times New Roman" w:cs="Times New Roman"/>
                <w:sz w:val="28"/>
                <w:szCs w:val="28"/>
              </w:rPr>
              <w:t>alpitation</w:t>
            </w:r>
          </w:p>
        </w:tc>
        <w:tc>
          <w:tcPr>
            <w:tcW w:w="1541" w:type="dxa"/>
          </w:tcPr>
          <w:p w14:paraId="6E28FB72" w14:textId="77777777" w:rsidR="004D02C9" w:rsidRDefault="004D02C9" w:rsidP="003E67F0">
            <w:pPr>
              <w:jc w:val="both"/>
              <w:rPr>
                <w:rFonts w:ascii="Times New Roman" w:hAnsi="Times New Roman" w:cs="Times New Roman"/>
                <w:sz w:val="28"/>
                <w:szCs w:val="28"/>
              </w:rPr>
            </w:pPr>
          </w:p>
          <w:p w14:paraId="6FF9FB29" w14:textId="77777777" w:rsidR="00A14106" w:rsidRDefault="00A14106" w:rsidP="003E67F0">
            <w:pPr>
              <w:jc w:val="both"/>
              <w:rPr>
                <w:rFonts w:ascii="Times New Roman" w:hAnsi="Times New Roman" w:cs="Times New Roman"/>
                <w:sz w:val="28"/>
                <w:szCs w:val="28"/>
              </w:rPr>
            </w:pPr>
          </w:p>
          <w:p w14:paraId="4EE3F138" w14:textId="667C32A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Discharge</w:t>
            </w:r>
          </w:p>
        </w:tc>
      </w:tr>
    </w:tbl>
    <w:p w14:paraId="7DCFD471" w14:textId="248C7F43" w:rsidR="00E46BB7" w:rsidRDefault="00E46BB7" w:rsidP="004D02C9">
      <w:pPr>
        <w:spacing w:line="240" w:lineRule="auto"/>
        <w:jc w:val="both"/>
        <w:rPr>
          <w:rFonts w:ascii="Times New Roman" w:hAnsi="Times New Roman" w:cs="Times New Roman"/>
          <w:sz w:val="28"/>
          <w:szCs w:val="28"/>
        </w:rPr>
      </w:pPr>
    </w:p>
    <w:p w14:paraId="1826D360" w14:textId="55D97965" w:rsidR="00BE5F42" w:rsidRPr="008D0051" w:rsidRDefault="00BE5F42" w:rsidP="00BE5F42">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235E4A" w14:textId="626580F2" w:rsidR="008D0051" w:rsidRDefault="008D0051" w:rsidP="008D0051">
      <w:pPr>
        <w:rPr>
          <w:rFonts w:ascii="Times New Roman" w:hAnsi="Times New Roman" w:cs="Times New Roman"/>
          <w:sz w:val="28"/>
          <w:szCs w:val="28"/>
        </w:rPr>
      </w:pPr>
      <w:r>
        <w:rPr>
          <w:rFonts w:ascii="Times New Roman" w:hAnsi="Times New Roman" w:cs="Times New Roman"/>
          <w:sz w:val="28"/>
          <w:szCs w:val="28"/>
        </w:rPr>
        <w:t>Red – 100%</w:t>
      </w:r>
    </w:p>
    <w:p w14:paraId="62065B6E" w14:textId="0CEFB0FD" w:rsidR="008D0051" w:rsidRDefault="008D0051" w:rsidP="008D0051">
      <w:pPr>
        <w:rPr>
          <w:rFonts w:ascii="Times New Roman" w:hAnsi="Times New Roman" w:cs="Times New Roman"/>
          <w:sz w:val="28"/>
          <w:szCs w:val="28"/>
        </w:rPr>
      </w:pPr>
      <w:r>
        <w:rPr>
          <w:rFonts w:ascii="Times New Roman" w:hAnsi="Times New Roman" w:cs="Times New Roman"/>
          <w:sz w:val="28"/>
          <w:szCs w:val="28"/>
        </w:rPr>
        <w:t xml:space="preserve">Blue – 80% </w:t>
      </w:r>
    </w:p>
    <w:p w14:paraId="72BF9339" w14:textId="70D74144" w:rsidR="008D0051" w:rsidRDefault="008D0051" w:rsidP="008D0051">
      <w:pPr>
        <w:rPr>
          <w:rFonts w:ascii="Times New Roman" w:hAnsi="Times New Roman" w:cs="Times New Roman"/>
          <w:sz w:val="28"/>
          <w:szCs w:val="28"/>
        </w:rPr>
      </w:pPr>
      <w:r>
        <w:rPr>
          <w:rFonts w:ascii="Times New Roman" w:hAnsi="Times New Roman" w:cs="Times New Roman"/>
          <w:sz w:val="28"/>
          <w:szCs w:val="28"/>
        </w:rPr>
        <w:t>Green – 60%</w:t>
      </w:r>
    </w:p>
    <w:p w14:paraId="3A7FE1E0" w14:textId="5B4B3FB1" w:rsidR="008D0051" w:rsidRDefault="008D0051" w:rsidP="008D0051">
      <w:pPr>
        <w:rPr>
          <w:rFonts w:ascii="Times New Roman" w:hAnsi="Times New Roman" w:cs="Times New Roman"/>
          <w:sz w:val="28"/>
          <w:szCs w:val="28"/>
        </w:rPr>
      </w:pPr>
      <w:r>
        <w:rPr>
          <w:rFonts w:ascii="Times New Roman" w:hAnsi="Times New Roman" w:cs="Times New Roman"/>
          <w:sz w:val="28"/>
          <w:szCs w:val="28"/>
        </w:rPr>
        <w:t>Black – 50%</w:t>
      </w:r>
    </w:p>
    <w:p w14:paraId="0352BCEF" w14:textId="77777777" w:rsidR="00BE5F42" w:rsidRDefault="00BE5F42" w:rsidP="00DD34A1">
      <w:pPr>
        <w:spacing w:line="240" w:lineRule="auto"/>
        <w:jc w:val="both"/>
        <w:rPr>
          <w:rFonts w:ascii="Times New Roman" w:hAnsi="Times New Roman" w:cs="Times New Roman"/>
          <w:sz w:val="28"/>
          <w:szCs w:val="28"/>
        </w:rPr>
      </w:pPr>
    </w:p>
    <w:p w14:paraId="0CB3682F" w14:textId="65C793E6" w:rsidR="004F6E67" w:rsidRDefault="004F6E67"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7EABA6D" wp14:editId="6BBB791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083668" w14:textId="708EA40B" w:rsidR="00EE344D" w:rsidRPr="00EE344D" w:rsidRDefault="00EE344D" w:rsidP="00EE344D">
      <w:pPr>
        <w:spacing w:line="240" w:lineRule="auto"/>
        <w:jc w:val="both"/>
        <w:rPr>
          <w:rFonts w:ascii="Times New Roman" w:hAnsi="Times New Roman" w:cs="Times New Roman"/>
          <w:sz w:val="28"/>
          <w:szCs w:val="28"/>
        </w:rPr>
      </w:pPr>
      <w:r w:rsidRPr="00EE344D">
        <w:rPr>
          <w:rFonts w:ascii="Times New Roman" w:hAnsi="Times New Roman" w:cs="Times New Roman"/>
          <w:bCs/>
          <w:sz w:val="28"/>
          <w:szCs w:val="28"/>
        </w:rPr>
        <w:t>Figure 3: Cumulative frequency chart for 100% conc</w:t>
      </w:r>
      <w:r w:rsidRPr="00EE344D">
        <w:rPr>
          <w:rFonts w:ascii="Times New Roman" w:hAnsi="Times New Roman" w:cs="Times New Roman"/>
          <w:sz w:val="28"/>
          <w:szCs w:val="28"/>
        </w:rPr>
        <w:t>.</w:t>
      </w:r>
      <w:r w:rsidR="0027472D">
        <w:rPr>
          <w:rFonts w:ascii="Times New Roman" w:hAnsi="Times New Roman" w:cs="Times New Roman"/>
          <w:sz w:val="28"/>
          <w:szCs w:val="28"/>
        </w:rPr>
        <w:t xml:space="preserve"> Red rat</w:t>
      </w:r>
    </w:p>
    <w:p w14:paraId="3481C030" w14:textId="70B6BEE9" w:rsidR="00EE344D" w:rsidRDefault="00EE344D" w:rsidP="00DD34A1">
      <w:pPr>
        <w:spacing w:line="240" w:lineRule="auto"/>
        <w:jc w:val="both"/>
        <w:rPr>
          <w:rFonts w:ascii="Times New Roman" w:hAnsi="Times New Roman" w:cs="Times New Roman"/>
          <w:sz w:val="28"/>
          <w:szCs w:val="28"/>
        </w:rPr>
      </w:pPr>
    </w:p>
    <w:p w14:paraId="2DC6E9CE" w14:textId="430452BC"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7E6DA67" wp14:editId="62DB2B09">
            <wp:extent cx="5486400" cy="3061252"/>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DE989E" w14:textId="0CA0AE96" w:rsidR="004F6E67" w:rsidRDefault="00EE344D" w:rsidP="00DD34A1">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4</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Blue rat</w:t>
      </w:r>
    </w:p>
    <w:p w14:paraId="1A684D94" w14:textId="77777777" w:rsidR="00EE344D" w:rsidRDefault="00EE344D" w:rsidP="00DD34A1">
      <w:pPr>
        <w:spacing w:line="240" w:lineRule="auto"/>
        <w:jc w:val="both"/>
        <w:rPr>
          <w:rFonts w:ascii="Times New Roman" w:hAnsi="Times New Roman" w:cs="Times New Roman"/>
          <w:sz w:val="28"/>
          <w:szCs w:val="28"/>
        </w:rPr>
      </w:pPr>
    </w:p>
    <w:p w14:paraId="56E4CBAA" w14:textId="77777777" w:rsidR="00EE344D" w:rsidRDefault="00EE344D" w:rsidP="00DD34A1">
      <w:pPr>
        <w:spacing w:line="240" w:lineRule="auto"/>
        <w:jc w:val="both"/>
        <w:rPr>
          <w:rFonts w:ascii="Times New Roman" w:hAnsi="Times New Roman" w:cs="Times New Roman"/>
          <w:sz w:val="28"/>
          <w:szCs w:val="28"/>
        </w:rPr>
      </w:pPr>
    </w:p>
    <w:p w14:paraId="42A794F3" w14:textId="77777777" w:rsidR="00EE344D" w:rsidRDefault="00EE344D" w:rsidP="00DD34A1">
      <w:pPr>
        <w:spacing w:line="240" w:lineRule="auto"/>
        <w:jc w:val="both"/>
        <w:rPr>
          <w:rFonts w:ascii="Times New Roman" w:hAnsi="Times New Roman" w:cs="Times New Roman"/>
          <w:sz w:val="28"/>
          <w:szCs w:val="28"/>
        </w:rPr>
      </w:pPr>
    </w:p>
    <w:p w14:paraId="469B506C" w14:textId="507DD38F"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29E97AA" wp14:editId="4AA1C94F">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1FA806" w14:textId="2B3825AB" w:rsidR="00EE344D" w:rsidRDefault="00EE344D" w:rsidP="00EE344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5</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Green rat</w:t>
      </w:r>
    </w:p>
    <w:p w14:paraId="279D10CE" w14:textId="77777777" w:rsidR="0027472D" w:rsidRDefault="0027472D" w:rsidP="00EE344D">
      <w:pPr>
        <w:spacing w:line="240" w:lineRule="auto"/>
        <w:jc w:val="both"/>
        <w:rPr>
          <w:rFonts w:ascii="Times New Roman" w:hAnsi="Times New Roman" w:cs="Times New Roman"/>
          <w:bCs/>
          <w:sz w:val="28"/>
          <w:szCs w:val="28"/>
        </w:rPr>
      </w:pPr>
    </w:p>
    <w:p w14:paraId="2409EBB6" w14:textId="090B56A1" w:rsidR="0027472D" w:rsidRDefault="0027472D" w:rsidP="00EE344D">
      <w:pPr>
        <w:spacing w:line="240" w:lineRule="auto"/>
        <w:jc w:val="both"/>
        <w:rPr>
          <w:rFonts w:ascii="Times New Roman" w:hAnsi="Times New Roman" w:cs="Times New Roman"/>
          <w:bCs/>
          <w:sz w:val="28"/>
          <w:szCs w:val="28"/>
        </w:rPr>
      </w:pPr>
      <w:r>
        <w:rPr>
          <w:rFonts w:ascii="Times New Roman" w:hAnsi="Times New Roman" w:cs="Times New Roman"/>
          <w:noProof/>
          <w:sz w:val="28"/>
          <w:szCs w:val="28"/>
        </w:rPr>
        <w:drawing>
          <wp:inline distT="0" distB="0" distL="0" distR="0" wp14:anchorId="0049BFD1" wp14:editId="1BBD0024">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300D92" w14:textId="711412DF" w:rsidR="0027472D" w:rsidRDefault="0027472D" w:rsidP="0027472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6</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Pr>
          <w:rFonts w:ascii="Times New Roman" w:hAnsi="Times New Roman" w:cs="Times New Roman"/>
          <w:bCs/>
          <w:sz w:val="28"/>
          <w:szCs w:val="28"/>
        </w:rPr>
        <w:t xml:space="preserve"> Black rat</w:t>
      </w:r>
    </w:p>
    <w:p w14:paraId="4D368DAA" w14:textId="77777777" w:rsidR="008515B7" w:rsidRDefault="008515B7" w:rsidP="00EE344D">
      <w:pPr>
        <w:spacing w:line="240" w:lineRule="auto"/>
        <w:jc w:val="both"/>
        <w:rPr>
          <w:rFonts w:ascii="Times New Roman" w:hAnsi="Times New Roman" w:cs="Times New Roman"/>
          <w:bCs/>
          <w:sz w:val="28"/>
          <w:szCs w:val="28"/>
        </w:rPr>
      </w:pPr>
    </w:p>
    <w:p w14:paraId="13071A22" w14:textId="40E5985D" w:rsidR="0027472D"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Key:</w:t>
      </w:r>
    </w:p>
    <w:p w14:paraId="4312F26A" w14:textId="0CCCB393" w:rsidR="008515B7"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Normal</w:t>
      </w:r>
      <w:r w:rsidRPr="008515B7">
        <w:rPr>
          <w:rFonts w:ascii="Times New Roman" w:hAnsi="Times New Roman" w:cs="Times New Roman"/>
          <w:b/>
          <w:bCs/>
          <w:sz w:val="28"/>
          <w:szCs w:val="28"/>
        </w:rPr>
        <w:t>/</w:t>
      </w:r>
      <w:r>
        <w:rPr>
          <w:rFonts w:ascii="Times New Roman" w:hAnsi="Times New Roman" w:cs="Times New Roman"/>
          <w:bCs/>
          <w:sz w:val="28"/>
          <w:szCs w:val="28"/>
        </w:rPr>
        <w:t>Active (1), Less active (2), Sedentary (2.5), Dormant (3), Not eating</w:t>
      </w:r>
      <w:r w:rsidRPr="008515B7">
        <w:rPr>
          <w:rFonts w:ascii="Times New Roman" w:hAnsi="Times New Roman" w:cs="Times New Roman"/>
          <w:b/>
          <w:bCs/>
          <w:sz w:val="28"/>
          <w:szCs w:val="28"/>
        </w:rPr>
        <w:t>/</w:t>
      </w:r>
      <w:r>
        <w:rPr>
          <w:rFonts w:ascii="Times New Roman" w:hAnsi="Times New Roman" w:cs="Times New Roman"/>
          <w:bCs/>
          <w:sz w:val="28"/>
          <w:szCs w:val="28"/>
        </w:rPr>
        <w:t>Less eating (3.5), Palpitation (4), Swollen fur (4.5), Discharge (5), Paralysis (5.5), Death</w:t>
      </w:r>
      <w:r w:rsidR="00AF5F41">
        <w:rPr>
          <w:rFonts w:ascii="Times New Roman" w:hAnsi="Times New Roman" w:cs="Times New Roman"/>
          <w:bCs/>
          <w:sz w:val="28"/>
          <w:szCs w:val="28"/>
        </w:rPr>
        <w:t xml:space="preserve"> </w:t>
      </w:r>
      <w:r>
        <w:rPr>
          <w:rFonts w:ascii="Times New Roman" w:hAnsi="Times New Roman" w:cs="Times New Roman"/>
          <w:bCs/>
          <w:sz w:val="28"/>
          <w:szCs w:val="28"/>
        </w:rPr>
        <w:t>(6).</w:t>
      </w:r>
    </w:p>
    <w:p w14:paraId="76BB0EA4" w14:textId="77777777" w:rsidR="008515B7" w:rsidRDefault="008515B7" w:rsidP="00EE344D">
      <w:pPr>
        <w:spacing w:line="240" w:lineRule="auto"/>
        <w:jc w:val="both"/>
        <w:rPr>
          <w:rFonts w:ascii="Times New Roman" w:hAnsi="Times New Roman" w:cs="Times New Roman"/>
          <w:bCs/>
          <w:sz w:val="28"/>
          <w:szCs w:val="28"/>
        </w:rPr>
      </w:pPr>
    </w:p>
    <w:p w14:paraId="75075733" w14:textId="77777777" w:rsidR="0027472D" w:rsidRDefault="0027472D" w:rsidP="00EE344D">
      <w:pPr>
        <w:spacing w:line="240" w:lineRule="auto"/>
        <w:jc w:val="both"/>
        <w:rPr>
          <w:rFonts w:ascii="Times New Roman" w:hAnsi="Times New Roman" w:cs="Times New Roman"/>
          <w:bCs/>
          <w:sz w:val="28"/>
          <w:szCs w:val="28"/>
        </w:rPr>
      </w:pPr>
    </w:p>
    <w:p w14:paraId="1F177CE9" w14:textId="77777777" w:rsidR="00EE344D" w:rsidRDefault="00EE344D" w:rsidP="00DD34A1">
      <w:pPr>
        <w:spacing w:line="240" w:lineRule="auto"/>
        <w:jc w:val="both"/>
        <w:rPr>
          <w:rFonts w:ascii="Times New Roman" w:hAnsi="Times New Roman" w:cs="Times New Roman"/>
          <w:sz w:val="28"/>
          <w:szCs w:val="28"/>
        </w:rPr>
      </w:pPr>
    </w:p>
    <w:p w14:paraId="7764580E" w14:textId="59B08B58" w:rsidR="004D02C9" w:rsidRDefault="00A14106"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080E783" wp14:editId="39070EC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5C7790" w14:textId="2A24E6E8" w:rsidR="00AA4509" w:rsidRDefault="008D2B30"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27472D">
        <w:rPr>
          <w:rFonts w:ascii="Times New Roman" w:hAnsi="Times New Roman" w:cs="Times New Roman"/>
          <w:sz w:val="28"/>
          <w:szCs w:val="28"/>
        </w:rPr>
        <w:t>7</w:t>
      </w:r>
      <w:r w:rsidR="00AD5713">
        <w:rPr>
          <w:rFonts w:ascii="Times New Roman" w:hAnsi="Times New Roman" w:cs="Times New Roman"/>
          <w:sz w:val="28"/>
          <w:szCs w:val="28"/>
        </w:rPr>
        <w:t>: Showing</w:t>
      </w:r>
      <w:r w:rsidR="00C95AF4">
        <w:rPr>
          <w:rFonts w:ascii="Times New Roman" w:hAnsi="Times New Roman" w:cs="Times New Roman"/>
          <w:sz w:val="28"/>
          <w:szCs w:val="28"/>
        </w:rPr>
        <w:t xml:space="preserve"> Total Weight Loss </w:t>
      </w:r>
      <w:r w:rsidR="00932B4D">
        <w:rPr>
          <w:rFonts w:ascii="Times New Roman" w:hAnsi="Times New Roman" w:cs="Times New Roman"/>
          <w:sz w:val="28"/>
          <w:szCs w:val="28"/>
        </w:rPr>
        <w:t>After</w:t>
      </w:r>
      <w:r w:rsidR="00AD5713">
        <w:rPr>
          <w:rFonts w:ascii="Times New Roman" w:hAnsi="Times New Roman" w:cs="Times New Roman"/>
          <w:sz w:val="28"/>
          <w:szCs w:val="28"/>
        </w:rPr>
        <w:t xml:space="preserve"> Toxin Exposure</w:t>
      </w:r>
    </w:p>
    <w:p w14:paraId="0F22017B" w14:textId="269F90C5" w:rsidR="00AD5713" w:rsidRDefault="00AD5713" w:rsidP="00DD34A1">
      <w:pPr>
        <w:spacing w:line="240" w:lineRule="auto"/>
        <w:jc w:val="both"/>
        <w:rPr>
          <w:rFonts w:ascii="Times New Roman" w:hAnsi="Times New Roman" w:cs="Times New Roman"/>
          <w:sz w:val="28"/>
          <w:szCs w:val="28"/>
        </w:rPr>
      </w:pPr>
    </w:p>
    <w:p w14:paraId="328CD9E0" w14:textId="77777777" w:rsidR="00BC3764" w:rsidRDefault="00BC3764" w:rsidP="00DD34A1">
      <w:pPr>
        <w:spacing w:line="240" w:lineRule="auto"/>
        <w:jc w:val="both"/>
        <w:rPr>
          <w:rFonts w:ascii="Times New Roman" w:hAnsi="Times New Roman" w:cs="Times New Roman"/>
          <w:sz w:val="28"/>
          <w:szCs w:val="28"/>
        </w:rPr>
      </w:pPr>
    </w:p>
    <w:p w14:paraId="6F88D337" w14:textId="77777777" w:rsidR="00BC3764" w:rsidRDefault="00BC3764" w:rsidP="00DD34A1">
      <w:pPr>
        <w:spacing w:line="240" w:lineRule="auto"/>
        <w:jc w:val="both"/>
        <w:rPr>
          <w:rFonts w:ascii="Times New Roman" w:hAnsi="Times New Roman" w:cs="Times New Roman"/>
          <w:sz w:val="28"/>
          <w:szCs w:val="28"/>
        </w:rPr>
      </w:pPr>
    </w:p>
    <w:p w14:paraId="197F4D11" w14:textId="77777777" w:rsidR="00BC3764" w:rsidRDefault="00BC3764" w:rsidP="00DD34A1">
      <w:pPr>
        <w:spacing w:line="240" w:lineRule="auto"/>
        <w:jc w:val="both"/>
        <w:rPr>
          <w:rFonts w:ascii="Times New Roman" w:hAnsi="Times New Roman" w:cs="Times New Roman"/>
          <w:sz w:val="28"/>
          <w:szCs w:val="28"/>
        </w:rPr>
      </w:pPr>
    </w:p>
    <w:p w14:paraId="283AA04E" w14:textId="77777777" w:rsidR="00BC3764" w:rsidRDefault="00BC3764" w:rsidP="00DD34A1">
      <w:pPr>
        <w:spacing w:line="240" w:lineRule="auto"/>
        <w:jc w:val="both"/>
        <w:rPr>
          <w:rFonts w:ascii="Times New Roman" w:hAnsi="Times New Roman" w:cs="Times New Roman"/>
          <w:sz w:val="28"/>
          <w:szCs w:val="28"/>
        </w:rPr>
      </w:pPr>
    </w:p>
    <w:p w14:paraId="53B8A801" w14:textId="77777777" w:rsidR="00BC3764" w:rsidRDefault="00BC3764" w:rsidP="00DD34A1">
      <w:pPr>
        <w:spacing w:line="240" w:lineRule="auto"/>
        <w:jc w:val="both"/>
        <w:rPr>
          <w:rFonts w:ascii="Times New Roman" w:hAnsi="Times New Roman" w:cs="Times New Roman"/>
          <w:sz w:val="28"/>
          <w:szCs w:val="28"/>
        </w:rPr>
      </w:pPr>
    </w:p>
    <w:p w14:paraId="46417402" w14:textId="77777777" w:rsidR="00BC3764" w:rsidRDefault="00BC3764" w:rsidP="00DD34A1">
      <w:pPr>
        <w:spacing w:line="240" w:lineRule="auto"/>
        <w:jc w:val="both"/>
        <w:rPr>
          <w:rFonts w:ascii="Times New Roman" w:hAnsi="Times New Roman" w:cs="Times New Roman"/>
          <w:sz w:val="28"/>
          <w:szCs w:val="28"/>
        </w:rPr>
      </w:pPr>
    </w:p>
    <w:p w14:paraId="54A54F83" w14:textId="6A208B08" w:rsidR="00A15154" w:rsidRDefault="003356B2"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Table 3</w:t>
      </w:r>
      <w:r w:rsidR="00A15154">
        <w:rPr>
          <w:rFonts w:ascii="Times New Roman" w:hAnsi="Times New Roman" w:cs="Times New Roman"/>
          <w:sz w:val="28"/>
          <w:szCs w:val="28"/>
        </w:rPr>
        <w:t xml:space="preserve">: </w:t>
      </w:r>
    </w:p>
    <w:p w14:paraId="52819B2D" w14:textId="59DC0C6A" w:rsidR="00AD5713" w:rsidRDefault="001B7CBC" w:rsidP="00DD34A1">
      <w:pPr>
        <w:spacing w:line="240" w:lineRule="auto"/>
        <w:jc w:val="both"/>
        <w:rPr>
          <w:rFonts w:ascii="Times New Roman" w:hAnsi="Times New Roman" w:cs="Times New Roman"/>
          <w:i/>
          <w:sz w:val="28"/>
          <w:szCs w:val="28"/>
        </w:rPr>
      </w:pPr>
      <w:r w:rsidRPr="001B7CBC">
        <w:rPr>
          <w:rFonts w:ascii="Times New Roman" w:hAnsi="Times New Roman" w:cs="Times New Roman"/>
          <w:b/>
          <w:sz w:val="28"/>
          <w:szCs w:val="28"/>
        </w:rPr>
        <w:t>3.3</w:t>
      </w:r>
      <w:r w:rsidRPr="001B7CBC">
        <w:rPr>
          <w:rFonts w:ascii="Times New Roman" w:hAnsi="Times New Roman" w:cs="Times New Roman"/>
          <w:sz w:val="28"/>
          <w:szCs w:val="28"/>
        </w:rPr>
        <w:t xml:space="preserve"> </w:t>
      </w:r>
      <w:r w:rsidR="00A15154" w:rsidRPr="00A15154">
        <w:rPr>
          <w:rFonts w:ascii="Times New Roman" w:hAnsi="Times New Roman" w:cs="Times New Roman"/>
          <w:i/>
          <w:sz w:val="28"/>
          <w:szCs w:val="28"/>
        </w:rPr>
        <w:t>Post-Mortem Gross Pathological Findings</w:t>
      </w:r>
      <w:r w:rsidR="00A15154">
        <w:rPr>
          <w:rFonts w:ascii="Times New Roman" w:hAnsi="Times New Roman" w:cs="Times New Roman"/>
          <w:i/>
          <w:sz w:val="28"/>
          <w:szCs w:val="28"/>
        </w:rPr>
        <w:t xml:space="preserve"> of green rat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5154" w14:paraId="1C40E86D" w14:textId="77777777" w:rsidTr="00A15154">
        <w:tc>
          <w:tcPr>
            <w:tcW w:w="3192" w:type="dxa"/>
          </w:tcPr>
          <w:p w14:paraId="0D5F6873" w14:textId="149C132E" w:rsidR="00A15154" w:rsidRDefault="00A15154" w:rsidP="006348C7">
            <w:pPr>
              <w:rPr>
                <w:rFonts w:ascii="Times New Roman" w:hAnsi="Times New Roman" w:cs="Times New Roman"/>
                <w:sz w:val="28"/>
                <w:szCs w:val="28"/>
              </w:rPr>
            </w:pPr>
            <w:r>
              <w:rPr>
                <w:rFonts w:ascii="Times New Roman" w:hAnsi="Times New Roman" w:cs="Times New Roman"/>
                <w:sz w:val="28"/>
                <w:szCs w:val="28"/>
              </w:rPr>
              <w:t>Organ observed</w:t>
            </w:r>
          </w:p>
        </w:tc>
        <w:tc>
          <w:tcPr>
            <w:tcW w:w="3192" w:type="dxa"/>
          </w:tcPr>
          <w:p w14:paraId="2036B588" w14:textId="18C9C2CA"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Control rat</w:t>
            </w:r>
          </w:p>
        </w:tc>
        <w:tc>
          <w:tcPr>
            <w:tcW w:w="3192" w:type="dxa"/>
          </w:tcPr>
          <w:p w14:paraId="6DDEED42" w14:textId="53C196F6"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Green rat (80%)</w:t>
            </w:r>
          </w:p>
        </w:tc>
      </w:tr>
      <w:tr w:rsidR="00A15154" w14:paraId="3E90260F" w14:textId="77777777" w:rsidTr="00A15154">
        <w:tc>
          <w:tcPr>
            <w:tcW w:w="3192" w:type="dxa"/>
          </w:tcPr>
          <w:p w14:paraId="5B7A4E3E" w14:textId="77777777" w:rsidR="00A15154"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Heart </w:t>
            </w:r>
          </w:p>
          <w:p w14:paraId="0D180814" w14:textId="77777777" w:rsidR="006348C7" w:rsidRDefault="006348C7" w:rsidP="006348C7">
            <w:pPr>
              <w:rPr>
                <w:rFonts w:ascii="Times New Roman" w:hAnsi="Times New Roman" w:cs="Times New Roman"/>
                <w:sz w:val="28"/>
                <w:szCs w:val="28"/>
              </w:rPr>
            </w:pPr>
          </w:p>
          <w:p w14:paraId="1EF19EDE" w14:textId="77777777" w:rsidR="006348C7" w:rsidRDefault="006348C7" w:rsidP="006348C7">
            <w:pPr>
              <w:rPr>
                <w:rFonts w:ascii="Times New Roman" w:hAnsi="Times New Roman" w:cs="Times New Roman"/>
                <w:sz w:val="28"/>
                <w:szCs w:val="28"/>
              </w:rPr>
            </w:pPr>
          </w:p>
          <w:p w14:paraId="077A32D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Intestine </w:t>
            </w:r>
          </w:p>
          <w:p w14:paraId="23D9D3C8" w14:textId="77777777" w:rsidR="006348C7" w:rsidRDefault="006348C7" w:rsidP="006348C7">
            <w:pPr>
              <w:rPr>
                <w:rFonts w:ascii="Times New Roman" w:hAnsi="Times New Roman" w:cs="Times New Roman"/>
                <w:sz w:val="28"/>
                <w:szCs w:val="28"/>
              </w:rPr>
            </w:pPr>
          </w:p>
          <w:p w14:paraId="23C03E4E" w14:textId="77777777" w:rsidR="006348C7" w:rsidRDefault="006348C7" w:rsidP="006348C7">
            <w:pPr>
              <w:rPr>
                <w:rFonts w:ascii="Times New Roman" w:hAnsi="Times New Roman" w:cs="Times New Roman"/>
                <w:sz w:val="28"/>
                <w:szCs w:val="28"/>
              </w:rPr>
            </w:pPr>
          </w:p>
          <w:p w14:paraId="7B057F5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Kidney</w:t>
            </w:r>
          </w:p>
          <w:p w14:paraId="56535614" w14:textId="77777777" w:rsidR="006348C7" w:rsidRDefault="006348C7" w:rsidP="006348C7">
            <w:pPr>
              <w:rPr>
                <w:rFonts w:ascii="Times New Roman" w:hAnsi="Times New Roman" w:cs="Times New Roman"/>
                <w:sz w:val="28"/>
                <w:szCs w:val="28"/>
              </w:rPr>
            </w:pPr>
          </w:p>
          <w:p w14:paraId="4384C681" w14:textId="77777777" w:rsidR="006348C7" w:rsidRDefault="006348C7" w:rsidP="006348C7">
            <w:pPr>
              <w:rPr>
                <w:rFonts w:ascii="Times New Roman" w:hAnsi="Times New Roman" w:cs="Times New Roman"/>
                <w:sz w:val="28"/>
                <w:szCs w:val="28"/>
              </w:rPr>
            </w:pPr>
          </w:p>
          <w:p w14:paraId="2F4C8640" w14:textId="77777777" w:rsidR="00765B6F" w:rsidRDefault="00765B6F" w:rsidP="006348C7">
            <w:pPr>
              <w:rPr>
                <w:rFonts w:ascii="Times New Roman" w:hAnsi="Times New Roman" w:cs="Times New Roman"/>
                <w:sz w:val="28"/>
                <w:szCs w:val="28"/>
              </w:rPr>
            </w:pPr>
          </w:p>
          <w:p w14:paraId="0121635C" w14:textId="25C714AD" w:rsidR="00765B6F"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Liver </w:t>
            </w:r>
          </w:p>
        </w:tc>
        <w:tc>
          <w:tcPr>
            <w:tcW w:w="3192" w:type="dxa"/>
          </w:tcPr>
          <w:p w14:paraId="480ADF16" w14:textId="77777777" w:rsidR="006348C7" w:rsidRP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69B211D9" w14:textId="77777777" w:rsidR="00A15154" w:rsidRDefault="00A15154" w:rsidP="006348C7">
            <w:pPr>
              <w:jc w:val="center"/>
              <w:rPr>
                <w:rFonts w:ascii="Times New Roman" w:hAnsi="Times New Roman" w:cs="Times New Roman"/>
                <w:sz w:val="28"/>
                <w:szCs w:val="28"/>
              </w:rPr>
            </w:pPr>
          </w:p>
          <w:p w14:paraId="5CBDAB71" w14:textId="77777777" w:rsidR="006348C7" w:rsidRDefault="006348C7" w:rsidP="006348C7">
            <w:pPr>
              <w:jc w:val="center"/>
              <w:rPr>
                <w:rFonts w:ascii="Times New Roman" w:hAnsi="Times New Roman" w:cs="Times New Roman"/>
                <w:sz w:val="28"/>
                <w:szCs w:val="28"/>
              </w:rPr>
            </w:pPr>
          </w:p>
          <w:p w14:paraId="5EBA11C0" w14:textId="77777777" w:rsid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 inflammation</w:t>
            </w:r>
          </w:p>
          <w:p w14:paraId="155544F6" w14:textId="77777777" w:rsidR="006348C7" w:rsidRDefault="006348C7" w:rsidP="006348C7">
            <w:pPr>
              <w:jc w:val="center"/>
              <w:rPr>
                <w:rFonts w:ascii="Times New Roman" w:hAnsi="Times New Roman" w:cs="Times New Roman"/>
                <w:sz w:val="28"/>
                <w:szCs w:val="28"/>
              </w:rPr>
            </w:pPr>
          </w:p>
          <w:p w14:paraId="46EE618E" w14:textId="77777777" w:rsidR="006348C7" w:rsidRDefault="006348C7" w:rsidP="006348C7">
            <w:pPr>
              <w:jc w:val="center"/>
              <w:rPr>
                <w:rFonts w:ascii="Times New Roman" w:hAnsi="Times New Roman" w:cs="Times New Roman"/>
                <w:sz w:val="28"/>
                <w:szCs w:val="28"/>
              </w:rPr>
            </w:pPr>
          </w:p>
          <w:p w14:paraId="2D9323D0" w14:textId="77777777" w:rsidR="008D725C" w:rsidRDefault="008D725C" w:rsidP="008D725C">
            <w:pPr>
              <w:spacing w:after="200"/>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19D48B49" w14:textId="77777777" w:rsidR="00765B6F" w:rsidRDefault="00765B6F" w:rsidP="006348C7">
            <w:pPr>
              <w:jc w:val="center"/>
              <w:rPr>
                <w:rFonts w:ascii="Times New Roman" w:hAnsi="Times New Roman" w:cs="Times New Roman"/>
                <w:sz w:val="28"/>
                <w:szCs w:val="28"/>
              </w:rPr>
            </w:pPr>
          </w:p>
          <w:p w14:paraId="3B1BF21C" w14:textId="77777777" w:rsidR="008D725C" w:rsidRDefault="008D725C" w:rsidP="006348C7">
            <w:pPr>
              <w:jc w:val="center"/>
              <w:rPr>
                <w:rFonts w:ascii="Times New Roman" w:hAnsi="Times New Roman" w:cs="Times New Roman"/>
                <w:sz w:val="28"/>
                <w:szCs w:val="28"/>
              </w:rPr>
            </w:pPr>
          </w:p>
          <w:p w14:paraId="78ED7804" w14:textId="0D85EB34" w:rsidR="006348C7" w:rsidRDefault="00C51BF2" w:rsidP="006348C7">
            <w:pPr>
              <w:jc w:val="center"/>
              <w:rPr>
                <w:rFonts w:ascii="Times New Roman" w:hAnsi="Times New Roman" w:cs="Times New Roman"/>
                <w:sz w:val="28"/>
                <w:szCs w:val="28"/>
              </w:rPr>
            </w:pPr>
            <w:r w:rsidRPr="006348C7">
              <w:rPr>
                <w:rFonts w:ascii="Times New Roman" w:hAnsi="Times New Roman" w:cs="Times New Roman"/>
                <w:sz w:val="28"/>
                <w:szCs w:val="28"/>
              </w:rPr>
              <w:t>Reddish brown</w:t>
            </w:r>
          </w:p>
        </w:tc>
        <w:tc>
          <w:tcPr>
            <w:tcW w:w="3192" w:type="dxa"/>
          </w:tcPr>
          <w:p w14:paraId="2DD6C5D5" w14:textId="1DFF9218" w:rsidR="00A15154" w:rsidRDefault="006348C7" w:rsidP="00765B6F">
            <w:pPr>
              <w:jc w:val="center"/>
              <w:rPr>
                <w:rFonts w:ascii="Times New Roman" w:hAnsi="Times New Roman" w:cs="Times New Roman"/>
                <w:sz w:val="28"/>
                <w:szCs w:val="28"/>
              </w:rPr>
            </w:pPr>
            <w:r>
              <w:rPr>
                <w:rFonts w:ascii="Times New Roman" w:hAnsi="Times New Roman" w:cs="Times New Roman"/>
                <w:sz w:val="28"/>
                <w:szCs w:val="28"/>
              </w:rPr>
              <w:t>Dark colorations of veins connecting to the heart</w:t>
            </w:r>
          </w:p>
          <w:p w14:paraId="095EE3F0" w14:textId="77777777" w:rsidR="006348C7" w:rsidRDefault="006348C7" w:rsidP="00765B6F">
            <w:pPr>
              <w:jc w:val="center"/>
              <w:rPr>
                <w:rFonts w:ascii="Times New Roman" w:hAnsi="Times New Roman" w:cs="Times New Roman"/>
                <w:sz w:val="28"/>
                <w:szCs w:val="28"/>
              </w:rPr>
            </w:pPr>
          </w:p>
          <w:p w14:paraId="30065A69" w14:textId="1E7AF9BB" w:rsidR="006348C7" w:rsidRDefault="006348C7" w:rsidP="00765B6F">
            <w:pPr>
              <w:jc w:val="center"/>
              <w:rPr>
                <w:rFonts w:ascii="Times New Roman" w:hAnsi="Times New Roman" w:cs="Times New Roman"/>
                <w:sz w:val="28"/>
                <w:szCs w:val="28"/>
              </w:rPr>
            </w:pPr>
            <w:r>
              <w:rPr>
                <w:rFonts w:ascii="Times New Roman" w:hAnsi="Times New Roman" w:cs="Times New Roman"/>
                <w:sz w:val="28"/>
                <w:szCs w:val="28"/>
              </w:rPr>
              <w:t>Blocked intestine with two color discoloration</w:t>
            </w:r>
          </w:p>
          <w:p w14:paraId="3CE24E93" w14:textId="77777777" w:rsidR="006348C7" w:rsidRDefault="006348C7" w:rsidP="00765B6F">
            <w:pPr>
              <w:jc w:val="center"/>
              <w:rPr>
                <w:rFonts w:ascii="Times New Roman" w:hAnsi="Times New Roman" w:cs="Times New Roman"/>
                <w:sz w:val="28"/>
                <w:szCs w:val="28"/>
              </w:rPr>
            </w:pPr>
          </w:p>
          <w:p w14:paraId="53889DD6" w14:textId="77777777" w:rsidR="008D725C" w:rsidRDefault="008D725C" w:rsidP="008D725C">
            <w:pPr>
              <w:jc w:val="center"/>
              <w:rPr>
                <w:rFonts w:ascii="Times New Roman" w:hAnsi="Times New Roman" w:cs="Times New Roman"/>
                <w:sz w:val="28"/>
                <w:szCs w:val="28"/>
              </w:rPr>
            </w:pPr>
            <w:r>
              <w:rPr>
                <w:rFonts w:ascii="Times New Roman" w:hAnsi="Times New Roman" w:cs="Times New Roman"/>
                <w:sz w:val="28"/>
                <w:szCs w:val="28"/>
              </w:rPr>
              <w:t>Damaged kidney compared to control in appearance</w:t>
            </w:r>
          </w:p>
          <w:p w14:paraId="28B324D3" w14:textId="77777777" w:rsidR="00765B6F" w:rsidRDefault="00765B6F" w:rsidP="00765B6F">
            <w:pPr>
              <w:spacing w:after="200"/>
              <w:jc w:val="center"/>
              <w:rPr>
                <w:rFonts w:ascii="Times New Roman" w:hAnsi="Times New Roman" w:cs="Times New Roman"/>
                <w:sz w:val="28"/>
                <w:szCs w:val="28"/>
              </w:rPr>
            </w:pPr>
          </w:p>
          <w:p w14:paraId="4922291D" w14:textId="5D5452DB" w:rsidR="00765B6F" w:rsidRDefault="00C51BF2" w:rsidP="00C51BF2">
            <w:pPr>
              <w:jc w:val="both"/>
              <w:rPr>
                <w:rFonts w:ascii="Times New Roman" w:hAnsi="Times New Roman" w:cs="Times New Roman"/>
                <w:sz w:val="28"/>
                <w:szCs w:val="28"/>
              </w:rPr>
            </w:pPr>
            <w:r>
              <w:rPr>
                <w:rFonts w:ascii="Times New Roman" w:hAnsi="Times New Roman" w:cs="Times New Roman"/>
                <w:sz w:val="28"/>
                <w:szCs w:val="28"/>
              </w:rPr>
              <w:t>Slight discoloration</w:t>
            </w:r>
          </w:p>
        </w:tc>
      </w:tr>
    </w:tbl>
    <w:p w14:paraId="195A45FA" w14:textId="373B3F31" w:rsidR="00765B6F" w:rsidRDefault="00765B6F" w:rsidP="00DD34A1">
      <w:pPr>
        <w:spacing w:line="240" w:lineRule="auto"/>
        <w:jc w:val="both"/>
        <w:rPr>
          <w:rFonts w:ascii="Times New Roman" w:hAnsi="Times New Roman" w:cs="Times New Roman"/>
          <w:sz w:val="28"/>
          <w:szCs w:val="28"/>
        </w:rPr>
      </w:pPr>
    </w:p>
    <w:p w14:paraId="06FB85E3" w14:textId="580C53DB" w:rsidR="00C51BF2" w:rsidRDefault="00C51BF2" w:rsidP="00765B6F">
      <w:pPr>
        <w:spacing w:line="480" w:lineRule="auto"/>
        <w:jc w:val="center"/>
        <w:rPr>
          <w:rFonts w:ascii="Times New Roman" w:hAnsi="Times New Roman" w:cs="Times New Roman"/>
          <w:sz w:val="28"/>
          <w:szCs w:val="28"/>
        </w:rPr>
      </w:pPr>
    </w:p>
    <w:p w14:paraId="6BF9DE4F" w14:textId="6BD27029" w:rsidR="00BC3764" w:rsidRDefault="00BC3764" w:rsidP="00765B6F">
      <w:pPr>
        <w:spacing w:line="480" w:lineRule="auto"/>
        <w:jc w:val="center"/>
        <w:rPr>
          <w:rFonts w:ascii="Times New Roman" w:hAnsi="Times New Roman" w:cs="Times New Roman"/>
          <w:sz w:val="28"/>
          <w:szCs w:val="28"/>
        </w:rPr>
      </w:pPr>
    </w:p>
    <w:p w14:paraId="0325D1A7" w14:textId="5CE8B7C7" w:rsidR="00BC3764" w:rsidRDefault="00BC3764" w:rsidP="00765B6F">
      <w:pPr>
        <w:spacing w:line="480" w:lineRule="auto"/>
        <w:jc w:val="center"/>
        <w:rPr>
          <w:rFonts w:ascii="Times New Roman" w:hAnsi="Times New Roman" w:cs="Times New Roman"/>
          <w:sz w:val="28"/>
          <w:szCs w:val="28"/>
        </w:rPr>
      </w:pPr>
    </w:p>
    <w:p w14:paraId="66DF2B67" w14:textId="1A9104A8" w:rsidR="00BC3764" w:rsidRDefault="00BC3764" w:rsidP="00765B6F">
      <w:pPr>
        <w:spacing w:line="480" w:lineRule="auto"/>
        <w:jc w:val="center"/>
        <w:rPr>
          <w:rFonts w:ascii="Times New Roman" w:hAnsi="Times New Roman" w:cs="Times New Roman"/>
          <w:sz w:val="28"/>
          <w:szCs w:val="28"/>
        </w:rPr>
      </w:pPr>
    </w:p>
    <w:p w14:paraId="486C6CA2" w14:textId="02906742" w:rsidR="00BC3764" w:rsidRDefault="00BC3764" w:rsidP="00765B6F">
      <w:pPr>
        <w:spacing w:line="480" w:lineRule="auto"/>
        <w:jc w:val="center"/>
        <w:rPr>
          <w:rFonts w:ascii="Times New Roman" w:hAnsi="Times New Roman" w:cs="Times New Roman"/>
          <w:sz w:val="28"/>
          <w:szCs w:val="28"/>
        </w:rPr>
      </w:pPr>
    </w:p>
    <w:p w14:paraId="78D611BC" w14:textId="4773536F" w:rsidR="00BC3764" w:rsidRDefault="00BC3764" w:rsidP="00765B6F">
      <w:pPr>
        <w:spacing w:line="480" w:lineRule="auto"/>
        <w:jc w:val="center"/>
        <w:rPr>
          <w:rFonts w:ascii="Times New Roman" w:hAnsi="Times New Roman" w:cs="Times New Roman"/>
          <w:sz w:val="28"/>
          <w:szCs w:val="28"/>
        </w:rPr>
      </w:pPr>
    </w:p>
    <w:p w14:paraId="2E5496BA" w14:textId="7E272965" w:rsidR="00BC3764" w:rsidRDefault="00BC3764" w:rsidP="00765B6F">
      <w:pPr>
        <w:spacing w:line="480" w:lineRule="auto"/>
        <w:jc w:val="center"/>
        <w:rPr>
          <w:rFonts w:ascii="Times New Roman" w:hAnsi="Times New Roman" w:cs="Times New Roman"/>
          <w:sz w:val="28"/>
          <w:szCs w:val="28"/>
        </w:rPr>
      </w:pPr>
    </w:p>
    <w:p w14:paraId="7AF4CAB4" w14:textId="1C116556" w:rsidR="00BC3764" w:rsidRDefault="00BC3764" w:rsidP="00765B6F">
      <w:pPr>
        <w:spacing w:line="480" w:lineRule="auto"/>
        <w:jc w:val="center"/>
        <w:rPr>
          <w:rFonts w:ascii="Times New Roman" w:hAnsi="Times New Roman" w:cs="Times New Roman"/>
          <w:sz w:val="28"/>
          <w:szCs w:val="28"/>
        </w:rPr>
      </w:pPr>
    </w:p>
    <w:p w14:paraId="62695727" w14:textId="77777777" w:rsidR="00BC3764" w:rsidRDefault="00BC3764" w:rsidP="00765B6F">
      <w:pPr>
        <w:spacing w:line="480" w:lineRule="auto"/>
        <w:jc w:val="center"/>
        <w:rPr>
          <w:rFonts w:ascii="Times New Roman" w:hAnsi="Times New Roman" w:cs="Times New Roman"/>
          <w:sz w:val="28"/>
          <w:szCs w:val="28"/>
        </w:rPr>
      </w:pPr>
    </w:p>
    <w:p w14:paraId="0E1EB9DD" w14:textId="77777777" w:rsidR="00765B6F" w:rsidRDefault="00765B6F" w:rsidP="00765B6F">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BCD0EB4" w14:textId="77777777" w:rsidR="00765B6F" w:rsidRPr="00BE7B4F" w:rsidRDefault="00765B6F" w:rsidP="00765B6F">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14B9EACE" w14:textId="77777777" w:rsidR="00765B6F" w:rsidRDefault="00765B6F" w:rsidP="00765B6F">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68E7D5E"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assessed the toxicity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providing in</w:t>
      </w:r>
      <w:r>
        <w:rPr>
          <w:rFonts w:ascii="Times New Roman" w:hAnsi="Times New Roman" w:cs="Times New Roman"/>
          <w:sz w:val="28"/>
          <w:szCs w:val="28"/>
        </w:rPr>
        <w:t xml:space="preserve">formation </w:t>
      </w:r>
      <w:r w:rsidRPr="00E17267">
        <w:rPr>
          <w:rFonts w:ascii="Times New Roman" w:hAnsi="Times New Roman" w:cs="Times New Roman"/>
          <w:sz w:val="28"/>
          <w:szCs w:val="28"/>
        </w:rPr>
        <w:t xml:space="preserve">into the potential health hazards posed by fungal contamination of food products. The findings demonstrated a clear dose-dependent response in both behavioral and physiological parameters, emphasizing the biological potency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secondary metabolites, even in their unrefined form.</w:t>
      </w:r>
    </w:p>
    <w:p w14:paraId="636C56F6" w14:textId="77777777" w:rsidR="00BE7B4F" w:rsidRPr="00E17267" w:rsidRDefault="00BE7B4F" w:rsidP="00BE7B4F">
      <w:pPr>
        <w:spacing w:line="480" w:lineRule="auto"/>
        <w:jc w:val="both"/>
        <w:rPr>
          <w:rFonts w:ascii="Times New Roman" w:hAnsi="Times New Roman" w:cs="Times New Roman"/>
          <w:sz w:val="28"/>
          <w:szCs w:val="28"/>
        </w:rPr>
      </w:pPr>
      <w:r>
        <w:rPr>
          <w:rFonts w:ascii="Times New Roman" w:hAnsi="Times New Roman" w:cs="Times New Roman"/>
          <w:sz w:val="28"/>
          <w:szCs w:val="28"/>
        </w:rPr>
        <w:t>From table [3] it shows that r</w:t>
      </w:r>
      <w:r w:rsidRPr="00E17267">
        <w:rPr>
          <w:rFonts w:ascii="Times New Roman" w:hAnsi="Times New Roman" w:cs="Times New Roman"/>
          <w:sz w:val="28"/>
          <w:szCs w:val="28"/>
        </w:rPr>
        <w:t xml:space="preserve">ats exposed to the fungal extract, particularly in the medium and high-dose groups, displayed progressive signs of systemic toxicity. These included reduced activity, inappetence, fur roughness, respiratory difficulty, and </w:t>
      </w:r>
      <w:r>
        <w:rPr>
          <w:rFonts w:ascii="Times New Roman" w:hAnsi="Times New Roman" w:cs="Times New Roman"/>
          <w:sz w:val="28"/>
          <w:szCs w:val="28"/>
        </w:rPr>
        <w:t xml:space="preserve">lead to </w:t>
      </w:r>
      <w:r w:rsidRPr="00E17267">
        <w:rPr>
          <w:rFonts w:ascii="Times New Roman" w:hAnsi="Times New Roman" w:cs="Times New Roman"/>
          <w:sz w:val="28"/>
          <w:szCs w:val="28"/>
        </w:rPr>
        <w:t xml:space="preserve">mortality. The onset of such symptoms as early as the second day of exposure indicates rapid absorption and systemic distribution of toxic compounds present in the extract. These symptoms are consistent with known effects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such as ochratoxin A (OTA),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and citrinin, all of which are associated with nephrotoxicity, hepatotoxicity, and immunosuppression (Cao et al., 2022; </w:t>
      </w:r>
      <w:proofErr w:type="spellStart"/>
      <w:r w:rsidRPr="00E17267">
        <w:rPr>
          <w:rFonts w:ascii="Times New Roman" w:hAnsi="Times New Roman" w:cs="Times New Roman"/>
          <w:sz w:val="28"/>
          <w:szCs w:val="28"/>
        </w:rPr>
        <w:t>Mahato</w:t>
      </w:r>
      <w:proofErr w:type="spellEnd"/>
      <w:r w:rsidRPr="00E17267">
        <w:rPr>
          <w:rFonts w:ascii="Times New Roman" w:hAnsi="Times New Roman" w:cs="Times New Roman"/>
          <w:sz w:val="28"/>
          <w:szCs w:val="28"/>
        </w:rPr>
        <w:t xml:space="preserve"> et al., 2023).</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rapid decline and subsequent death of rats in the high-dose group (BLACK and BLUE rats), and the visible signs of neurotoxicity and weakness in others (e.g., the GREEN rat), support the hypothesis </w:t>
      </w:r>
      <w:r w:rsidRPr="00E17267">
        <w:rPr>
          <w:rFonts w:ascii="Times New Roman" w:hAnsi="Times New Roman" w:cs="Times New Roman"/>
          <w:sz w:val="28"/>
          <w:szCs w:val="28"/>
        </w:rPr>
        <w:lastRenderedPageBreak/>
        <w:t xml:space="preserve">that crude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extracts can cause acute toxicity. Notable features such as paralyzed movement, irregular heart rate, and discharges from the eyes and nose are consistent with previous reports on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-related cardiotoxicity and OTA-induced systemic effects (Righetti et al., 2021; Zhang et al., 2021). These findings are significant given that the extract used was not</w:t>
      </w:r>
      <w:r>
        <w:rPr>
          <w:rFonts w:ascii="Times New Roman" w:hAnsi="Times New Roman" w:cs="Times New Roman"/>
          <w:sz w:val="28"/>
          <w:szCs w:val="28"/>
        </w:rPr>
        <w:t xml:space="preserve"> purified</w:t>
      </w:r>
      <w:r w:rsidRPr="00E17267">
        <w:rPr>
          <w:rFonts w:ascii="Times New Roman" w:hAnsi="Times New Roman" w:cs="Times New Roman"/>
          <w:sz w:val="28"/>
          <w:szCs w:val="28"/>
        </w:rPr>
        <w:t>, suggesting high potency in the natural metabolic output of the fungus.</w:t>
      </w:r>
    </w:p>
    <w:p w14:paraId="4E511713"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Post-mortem examination </w:t>
      </w:r>
      <w:r>
        <w:rPr>
          <w:rFonts w:ascii="Times New Roman" w:hAnsi="Times New Roman" w:cs="Times New Roman"/>
          <w:sz w:val="28"/>
          <w:szCs w:val="28"/>
        </w:rPr>
        <w:t xml:space="preserve">from table 4 </w:t>
      </w:r>
      <w:r w:rsidRPr="00E17267">
        <w:rPr>
          <w:rFonts w:ascii="Times New Roman" w:hAnsi="Times New Roman" w:cs="Times New Roman"/>
          <w:sz w:val="28"/>
          <w:szCs w:val="28"/>
        </w:rPr>
        <w:t>revealed gross pathological changes such as liver pallor, kidney discoloration, blocked intestines, and cardiac tissue damage in exposed animals. These pathological alterations suggest functional impairment of key detoxifying and circulatory organs. The observed liver and kidney changes correlate with the biochemical targets of OTA and citrinin, both of which accumulate in renal and hepatic tissues, leading to oxidative stress, mitochondrial dysfunction, and cellular necrosis (Milicevic et al., 2021; Hassan et al., 2022). The presence of intestinal blockage and darkened cardiac tissue in high-dose rats also indicates gastrointestinal stasis and compromised cardiovascular function, potentially driven by toxin-induced vasoconstriction or hemorrhage.</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pale appearance of the liver and the shrunken kidneys in some groups also reflect chronic stress on these organs due to metabolic overload or failure in detoxifying circulating mycotoxins. In line with these findings, several studies have reported </w:t>
      </w:r>
      <w:r w:rsidRPr="00E17267">
        <w:rPr>
          <w:rFonts w:ascii="Times New Roman" w:hAnsi="Times New Roman" w:cs="Times New Roman"/>
          <w:sz w:val="28"/>
          <w:szCs w:val="28"/>
        </w:rPr>
        <w:lastRenderedPageBreak/>
        <w:t>that OTA and citrinin have additive or synergistic effects, especially in inducing nephropathy and altering electrolyte balance (Zhang et al., 2021).</w:t>
      </w:r>
    </w:p>
    <w:p w14:paraId="17EF0979" w14:textId="5A6496A6"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Importantly, these effects were observed despite the crude nature of the toxin, without isolation or purification of specific components. This</w:t>
      </w:r>
      <w:r>
        <w:rPr>
          <w:rFonts w:ascii="Times New Roman" w:hAnsi="Times New Roman" w:cs="Times New Roman"/>
          <w:sz w:val="28"/>
          <w:szCs w:val="28"/>
        </w:rPr>
        <w:t xml:space="preserve"> reveals</w:t>
      </w:r>
      <w:r w:rsidRPr="00E17267">
        <w:rPr>
          <w:rFonts w:ascii="Times New Roman" w:hAnsi="Times New Roman" w:cs="Times New Roman"/>
          <w:sz w:val="28"/>
          <w:szCs w:val="28"/>
        </w:rPr>
        <w:t xml:space="preserve"> a significant limitation of the present study</w:t>
      </w:r>
      <w:r>
        <w:rPr>
          <w:rFonts w:ascii="Times New Roman" w:hAnsi="Times New Roman" w:cs="Times New Roman"/>
          <w:sz w:val="28"/>
          <w:szCs w:val="28"/>
        </w:rPr>
        <w:t xml:space="preserve"> </w:t>
      </w:r>
      <w:r w:rsidRPr="00E17267">
        <w:rPr>
          <w:rFonts w:ascii="Times New Roman" w:hAnsi="Times New Roman" w:cs="Times New Roman"/>
          <w:sz w:val="28"/>
          <w:szCs w:val="28"/>
        </w:rPr>
        <w:t>while the effects of the crude extract were clear, the individual contributions of specific mycotoxins (e.g., OTA, FB2, citrinin) could not be independently evaluated. Nevertheless, the observed biological effects are consistent with those reported in studies using purified toxin preparations, suggesting that even the raw metabolite complex poses substantial toxicological risks.</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These findings have important public health implications, particularly in regions where food is often stored under suboptimal conditions conducive to fungal proliferation. The results strongly support the need for strict post-harvest handling, routine mycotoxin screening, and public awareness programs. Additionally, the study </w:t>
      </w:r>
      <w:r>
        <w:rPr>
          <w:rFonts w:ascii="Times New Roman" w:hAnsi="Times New Roman" w:cs="Times New Roman"/>
          <w:sz w:val="28"/>
          <w:szCs w:val="28"/>
        </w:rPr>
        <w:t xml:space="preserve">highlight </w:t>
      </w:r>
      <w:r w:rsidRPr="00E17267">
        <w:rPr>
          <w:rFonts w:ascii="Times New Roman" w:hAnsi="Times New Roman" w:cs="Times New Roman"/>
          <w:sz w:val="28"/>
          <w:szCs w:val="28"/>
        </w:rPr>
        <w:t xml:space="preserve">the need for affordable detection tools and better enforcement of safety standards to limit human and animal exposure to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the results provide compelling evidence of the harmful effects of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when consumed, even in their crude form. They support previous studies linking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 severe organ damage and highlight the relevance of this fungus in food safety risk assessments.</w:t>
      </w:r>
    </w:p>
    <w:p w14:paraId="61B899DD" w14:textId="77777777" w:rsidR="006B5D2E" w:rsidRDefault="006B5D2E" w:rsidP="006B5D2E">
      <w:pPr>
        <w:spacing w:line="480" w:lineRule="auto"/>
        <w:jc w:val="both"/>
        <w:rPr>
          <w:rFonts w:ascii="Times New Roman" w:hAnsi="Times New Roman" w:cs="Times New Roman"/>
          <w:b/>
          <w:sz w:val="28"/>
          <w:szCs w:val="28"/>
        </w:rPr>
      </w:pPr>
    </w:p>
    <w:p w14:paraId="379E2FBF" w14:textId="4CB1F2B3"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4.2 </w:t>
      </w:r>
      <w:r w:rsidRPr="00E17267">
        <w:rPr>
          <w:rFonts w:ascii="Times New Roman" w:hAnsi="Times New Roman" w:cs="Times New Roman"/>
          <w:b/>
          <w:sz w:val="28"/>
          <w:szCs w:val="28"/>
        </w:rPr>
        <w:t>Conclusion</w:t>
      </w:r>
    </w:p>
    <w:p w14:paraId="7D323D14" w14:textId="1C2159CD" w:rsidR="006B5D2E" w:rsidRPr="00E17267" w:rsidRDefault="006B5D2E" w:rsidP="006B5D2E">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w:t>
      </w:r>
      <w:r>
        <w:rPr>
          <w:rFonts w:ascii="Times New Roman" w:hAnsi="Times New Roman" w:cs="Times New Roman"/>
          <w:sz w:val="28"/>
          <w:szCs w:val="28"/>
        </w:rPr>
        <w:t>investigate</w:t>
      </w:r>
      <w:r w:rsidRPr="00E17267">
        <w:rPr>
          <w:rFonts w:ascii="Times New Roman" w:hAnsi="Times New Roman" w:cs="Times New Roman"/>
          <w:sz w:val="28"/>
          <w:szCs w:val="28"/>
        </w:rPr>
        <w:t xml:space="preserve"> the toxicological effects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to evaluate its potency and health implications. The findings revealed a dose-dependent toxic response, with marked behavioral, physiological, and organ-related abnormalities in exposed animals. Rats administered higher concentrations of the extract exhibited lethargy, reduced feeding, fur roughening, and mortality. Gross pathological changes such as pale liver, discolored kidneys, and blocked intestines were observed in toxin-treated groups, </w:t>
      </w:r>
      <w:r>
        <w:rPr>
          <w:rFonts w:ascii="Times New Roman" w:hAnsi="Times New Roman" w:cs="Times New Roman"/>
          <w:sz w:val="28"/>
          <w:szCs w:val="28"/>
        </w:rPr>
        <w:t xml:space="preserve">across all doses.  </w:t>
      </w:r>
      <w:r w:rsidRPr="00E17267">
        <w:rPr>
          <w:rFonts w:ascii="Times New Roman" w:hAnsi="Times New Roman" w:cs="Times New Roman"/>
          <w:sz w:val="28"/>
          <w:szCs w:val="28"/>
        </w:rPr>
        <w:t xml:space="preserve">These results support earlier scientific reports on the nephrotoxic, hepatotoxic, and immunosuppressive nature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including ochratoxin A, citrinin, and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Notably, the study employed the crude form of the fungal extract without isolating individual mycotoxins, yet the symptoms observed were profound. This highlights the inherent toxicity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metabolites even without purification or enhancement.</w:t>
      </w:r>
      <w:r>
        <w:rPr>
          <w:rFonts w:ascii="Times New Roman" w:hAnsi="Times New Roman" w:cs="Times New Roman"/>
          <w:sz w:val="28"/>
          <w:szCs w:val="28"/>
        </w:rPr>
        <w:t xml:space="preserve"> </w:t>
      </w:r>
      <w:r w:rsidRPr="00E17267">
        <w:rPr>
          <w:rFonts w:ascii="Times New Roman" w:hAnsi="Times New Roman" w:cs="Times New Roman"/>
          <w:sz w:val="28"/>
          <w:szCs w:val="28"/>
        </w:rPr>
        <w:t>The implications of these findings are significant, particularly in regions where food preservation, storage hygiene, and mycotoxin surveillance are</w:t>
      </w:r>
      <w:r>
        <w:rPr>
          <w:rFonts w:ascii="Times New Roman" w:hAnsi="Times New Roman" w:cs="Times New Roman"/>
          <w:sz w:val="28"/>
          <w:szCs w:val="28"/>
        </w:rPr>
        <w:t xml:space="preserve"> not of </w:t>
      </w:r>
      <w:r w:rsidRPr="00E17267">
        <w:rPr>
          <w:rFonts w:ascii="Times New Roman" w:hAnsi="Times New Roman" w:cs="Times New Roman"/>
          <w:sz w:val="28"/>
          <w:szCs w:val="28"/>
        </w:rPr>
        <w:t>standard.</w:t>
      </w:r>
    </w:p>
    <w:p w14:paraId="33507A61" w14:textId="2816F735"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E17267">
        <w:rPr>
          <w:rFonts w:ascii="Times New Roman" w:hAnsi="Times New Roman" w:cs="Times New Roman"/>
          <w:b/>
          <w:sz w:val="28"/>
          <w:szCs w:val="28"/>
        </w:rPr>
        <w:t>Recommendations</w:t>
      </w:r>
    </w:p>
    <w:p w14:paraId="3E35FA9A" w14:textId="3CA79615" w:rsidR="006B5D2E" w:rsidRPr="006B5D2E" w:rsidRDefault="006B5D2E" w:rsidP="006B5D2E">
      <w:pPr>
        <w:pStyle w:val="ListParagraph"/>
        <w:numPr>
          <w:ilvl w:val="0"/>
          <w:numId w:val="13"/>
        </w:numPr>
        <w:spacing w:after="160" w:line="480" w:lineRule="auto"/>
        <w:jc w:val="both"/>
        <w:rPr>
          <w:rFonts w:ascii="Times New Roman" w:hAnsi="Times New Roman" w:cs="Times New Roman"/>
          <w:sz w:val="28"/>
          <w:szCs w:val="28"/>
        </w:rPr>
      </w:pPr>
      <w:r w:rsidRPr="006B5D2E">
        <w:rPr>
          <w:rFonts w:ascii="Times New Roman" w:hAnsi="Times New Roman" w:cs="Times New Roman"/>
          <w:sz w:val="28"/>
          <w:szCs w:val="28"/>
        </w:rPr>
        <w:t xml:space="preserve">Adopting proper drying and storage techniques to prevent </w:t>
      </w:r>
      <w:r w:rsidRPr="006B5D2E">
        <w:rPr>
          <w:rFonts w:ascii="Times New Roman" w:hAnsi="Times New Roman" w:cs="Times New Roman"/>
          <w:i/>
          <w:sz w:val="28"/>
          <w:szCs w:val="28"/>
        </w:rPr>
        <w:t xml:space="preserve">A. </w:t>
      </w:r>
      <w:proofErr w:type="spellStart"/>
      <w:r w:rsidRPr="006B5D2E">
        <w:rPr>
          <w:rFonts w:ascii="Times New Roman" w:hAnsi="Times New Roman" w:cs="Times New Roman"/>
          <w:i/>
          <w:sz w:val="28"/>
          <w:szCs w:val="28"/>
        </w:rPr>
        <w:t>niger</w:t>
      </w:r>
      <w:proofErr w:type="spellEnd"/>
      <w:r w:rsidRPr="006B5D2E">
        <w:rPr>
          <w:rFonts w:ascii="Times New Roman" w:hAnsi="Times New Roman" w:cs="Times New Roman"/>
          <w:sz w:val="28"/>
          <w:szCs w:val="28"/>
        </w:rPr>
        <w:t xml:space="preserve"> growth and subsequent mycotoxin production.</w:t>
      </w:r>
    </w:p>
    <w:p w14:paraId="37DBC6E7" w14:textId="6AD043FE"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lastRenderedPageBreak/>
        <w:t xml:space="preserve"> Agricultural produce, particularly cereals, nuts, and dried fruits, should be routinely tested for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using affordable and sensitive techniques, even at the community level.</w:t>
      </w:r>
    </w:p>
    <w:p w14:paraId="056A6769" w14:textId="52CD5F02"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Educational programs should be launched to raise awareness about fungal contamination and its health implications, especially in rural and semi-urban communities.</w:t>
      </w:r>
    </w:p>
    <w:p w14:paraId="5E0DD24D" w14:textId="06A74344" w:rsidR="006B5D2E"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Future studies should focus on isolating and characterizing individual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to better understand their specific toxic mechanisms. Dose-response studies using purified toxins would provide a clearer toxicological profile.</w:t>
      </w:r>
    </w:p>
    <w:p w14:paraId="59CC34E2" w14:textId="0A15B040" w:rsidR="006B5D2E" w:rsidRDefault="006B5D2E" w:rsidP="006B5D2E">
      <w:pPr>
        <w:spacing w:after="160" w:line="480" w:lineRule="auto"/>
        <w:ind w:left="720"/>
        <w:jc w:val="both"/>
        <w:rPr>
          <w:rFonts w:ascii="Times New Roman" w:hAnsi="Times New Roman" w:cs="Times New Roman"/>
          <w:sz w:val="28"/>
          <w:szCs w:val="28"/>
        </w:rPr>
      </w:pPr>
    </w:p>
    <w:p w14:paraId="7D173B2C" w14:textId="7F460276" w:rsidR="006B5D2E" w:rsidRDefault="006B5D2E" w:rsidP="006B5D2E">
      <w:pPr>
        <w:spacing w:after="160" w:line="480" w:lineRule="auto"/>
        <w:ind w:left="720"/>
        <w:jc w:val="both"/>
        <w:rPr>
          <w:rFonts w:ascii="Times New Roman" w:hAnsi="Times New Roman" w:cs="Times New Roman"/>
          <w:sz w:val="28"/>
          <w:szCs w:val="28"/>
        </w:rPr>
      </w:pPr>
    </w:p>
    <w:p w14:paraId="3BD97642" w14:textId="209A9287" w:rsidR="006B5D2E" w:rsidRDefault="006B5D2E" w:rsidP="006B5D2E">
      <w:pPr>
        <w:spacing w:after="160" w:line="480" w:lineRule="auto"/>
        <w:ind w:left="720"/>
        <w:jc w:val="both"/>
        <w:rPr>
          <w:rFonts w:ascii="Times New Roman" w:hAnsi="Times New Roman" w:cs="Times New Roman"/>
          <w:sz w:val="28"/>
          <w:szCs w:val="28"/>
        </w:rPr>
      </w:pPr>
    </w:p>
    <w:p w14:paraId="64F402A2" w14:textId="0015E689" w:rsidR="006B5D2E" w:rsidRDefault="006B5D2E" w:rsidP="006B5D2E">
      <w:pPr>
        <w:spacing w:after="160" w:line="480" w:lineRule="auto"/>
        <w:ind w:left="720"/>
        <w:jc w:val="both"/>
        <w:rPr>
          <w:rFonts w:ascii="Times New Roman" w:hAnsi="Times New Roman" w:cs="Times New Roman"/>
          <w:sz w:val="28"/>
          <w:szCs w:val="28"/>
        </w:rPr>
      </w:pPr>
    </w:p>
    <w:p w14:paraId="6339B58A" w14:textId="37F64993" w:rsidR="006B5D2E" w:rsidRDefault="006B5D2E" w:rsidP="006B5D2E">
      <w:pPr>
        <w:spacing w:after="160" w:line="480" w:lineRule="auto"/>
        <w:ind w:left="720"/>
        <w:jc w:val="both"/>
        <w:rPr>
          <w:rFonts w:ascii="Times New Roman" w:hAnsi="Times New Roman" w:cs="Times New Roman"/>
          <w:sz w:val="28"/>
          <w:szCs w:val="28"/>
        </w:rPr>
      </w:pPr>
    </w:p>
    <w:p w14:paraId="7E7156BA" w14:textId="5D1924F7" w:rsidR="006B5D2E" w:rsidRDefault="006B5D2E" w:rsidP="006B5D2E">
      <w:pPr>
        <w:spacing w:after="160" w:line="480" w:lineRule="auto"/>
        <w:ind w:left="720"/>
        <w:jc w:val="both"/>
        <w:rPr>
          <w:rFonts w:ascii="Times New Roman" w:hAnsi="Times New Roman" w:cs="Times New Roman"/>
          <w:sz w:val="28"/>
          <w:szCs w:val="28"/>
        </w:rPr>
      </w:pPr>
    </w:p>
    <w:p w14:paraId="49DB01CB" w14:textId="71E0A02F" w:rsidR="006B5D2E" w:rsidRDefault="006B5D2E" w:rsidP="006B5D2E">
      <w:pPr>
        <w:spacing w:after="160" w:line="480" w:lineRule="auto"/>
        <w:ind w:left="720"/>
        <w:jc w:val="both"/>
        <w:rPr>
          <w:rFonts w:ascii="Times New Roman" w:hAnsi="Times New Roman" w:cs="Times New Roman"/>
          <w:sz w:val="28"/>
          <w:szCs w:val="28"/>
        </w:rPr>
      </w:pPr>
    </w:p>
    <w:p w14:paraId="516E2A4D" w14:textId="0A59B64D" w:rsidR="006B5D2E" w:rsidRDefault="006B5D2E" w:rsidP="006B5D2E">
      <w:pPr>
        <w:spacing w:after="160" w:line="480" w:lineRule="auto"/>
        <w:ind w:left="720"/>
        <w:jc w:val="both"/>
        <w:rPr>
          <w:rFonts w:ascii="Times New Roman" w:hAnsi="Times New Roman" w:cs="Times New Roman"/>
          <w:sz w:val="28"/>
          <w:szCs w:val="28"/>
        </w:rPr>
      </w:pPr>
    </w:p>
    <w:p w14:paraId="2EB351C9" w14:textId="5FF54C9F" w:rsidR="006B5D2E" w:rsidRDefault="006B5D2E" w:rsidP="006B5D2E">
      <w:pPr>
        <w:spacing w:after="160" w:line="480" w:lineRule="auto"/>
        <w:ind w:left="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6B5D2E">
        <w:rPr>
          <w:rFonts w:ascii="Times New Roman" w:hAnsi="Times New Roman" w:cs="Times New Roman"/>
          <w:b/>
          <w:sz w:val="28"/>
          <w:szCs w:val="28"/>
        </w:rPr>
        <w:t>REFRENCES</w:t>
      </w:r>
    </w:p>
    <w:p w14:paraId="1093EB32"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roofErr w:type="spellStart"/>
      <w:r w:rsidRPr="001000F3">
        <w:rPr>
          <w:rFonts w:ascii="Times New Roman" w:eastAsia="Arial" w:hAnsi="Times New Roman" w:cs="Times New Roman"/>
          <w:color w:val="252525"/>
          <w:sz w:val="28"/>
          <w:szCs w:val="28"/>
        </w:rPr>
        <w:t>Baldin</w:t>
      </w:r>
      <w:proofErr w:type="spellEnd"/>
      <w:r w:rsidRPr="001000F3">
        <w:rPr>
          <w:rFonts w:ascii="Times New Roman" w:eastAsia="Arial" w:hAnsi="Times New Roman" w:cs="Times New Roman"/>
          <w:color w:val="252525"/>
          <w:sz w:val="28"/>
          <w:szCs w:val="28"/>
        </w:rPr>
        <w:t xml:space="preserve">, C., &amp; Valdes, I. D. (2020). Occupational exposure to fungal bioaerosols: Health risks and prevention strategies. </w:t>
      </w:r>
      <w:r w:rsidRPr="001000F3">
        <w:rPr>
          <w:rFonts w:ascii="Times New Roman" w:eastAsia="Arial" w:hAnsi="Times New Roman" w:cs="Times New Roman"/>
          <w:i/>
          <w:color w:val="252525"/>
          <w:sz w:val="28"/>
          <w:szCs w:val="28"/>
        </w:rPr>
        <w:t>International Journal of Environmental Research and Public Health, 17</w:t>
      </w:r>
      <w:r w:rsidRPr="001000F3">
        <w:rPr>
          <w:rFonts w:ascii="Times New Roman" w:eastAsia="Arial" w:hAnsi="Times New Roman" w:cs="Times New Roman"/>
          <w:color w:val="252525"/>
          <w:sz w:val="28"/>
          <w:szCs w:val="28"/>
        </w:rPr>
        <w:t xml:space="preserve">(12), 4452. </w:t>
      </w:r>
      <w:hyperlink r:id="rId17" w:history="1">
        <w:r w:rsidRPr="001000F3">
          <w:rPr>
            <w:rStyle w:val="Hyperlink"/>
            <w:rFonts w:ascii="Times New Roman" w:eastAsia="Arial" w:hAnsi="Times New Roman" w:cs="Times New Roman"/>
            <w:sz w:val="28"/>
            <w:szCs w:val="28"/>
          </w:rPr>
          <w:t>https://doi.org/10.3390/ijerph17124452</w:t>
        </w:r>
      </w:hyperlink>
    </w:p>
    <w:p w14:paraId="15B28C39"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p>
    <w:p w14:paraId="7DBA1CE0"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Cao, X., Li, P., Liu, X., &amp; Zhang, Q. (2022). Occurrence of ochratoxin A in food and feed: A review of analytical methods, contamination status, and control strategies. </w:t>
      </w:r>
      <w:r w:rsidRPr="001000F3">
        <w:rPr>
          <w:rFonts w:ascii="Times New Roman" w:eastAsia="Arial" w:hAnsi="Times New Roman" w:cs="Times New Roman"/>
          <w:i/>
          <w:color w:val="252525"/>
          <w:sz w:val="28"/>
          <w:szCs w:val="28"/>
        </w:rPr>
        <w:t>Toxins, 14</w:t>
      </w:r>
      <w:r w:rsidRPr="001000F3">
        <w:rPr>
          <w:rFonts w:ascii="Times New Roman" w:eastAsia="Arial" w:hAnsi="Times New Roman" w:cs="Times New Roman"/>
          <w:color w:val="252525"/>
          <w:sz w:val="28"/>
          <w:szCs w:val="28"/>
        </w:rPr>
        <w:t xml:space="preserve">(2), 94. </w:t>
      </w:r>
      <w:hyperlink r:id="rId18" w:history="1">
        <w:r w:rsidRPr="004E7F4E">
          <w:rPr>
            <w:rStyle w:val="Hyperlink"/>
            <w:rFonts w:ascii="Times New Roman" w:eastAsia="Arial" w:hAnsi="Times New Roman" w:cs="Times New Roman"/>
            <w:sz w:val="28"/>
            <w:szCs w:val="28"/>
          </w:rPr>
          <w:t>https://doi.org/10.3390/toxins14020094</w:t>
        </w:r>
      </w:hyperlink>
    </w:p>
    <w:p w14:paraId="67F2CA17"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683FB2FD"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European Food Safety Authority (EFSA). (2022). Scientific opinion on the risks to human and animal health related to the presence of </w:t>
      </w:r>
      <w:proofErr w:type="spellStart"/>
      <w:r w:rsidRPr="001000F3">
        <w:rPr>
          <w:rFonts w:ascii="Times New Roman" w:eastAsia="Arial" w:hAnsi="Times New Roman" w:cs="Times New Roman"/>
          <w:color w:val="252525"/>
          <w:sz w:val="28"/>
          <w:szCs w:val="28"/>
        </w:rPr>
        <w:t>fumonisins</w:t>
      </w:r>
      <w:proofErr w:type="spellEnd"/>
      <w:r w:rsidRPr="001000F3">
        <w:rPr>
          <w:rFonts w:ascii="Times New Roman" w:eastAsia="Arial" w:hAnsi="Times New Roman" w:cs="Times New Roman"/>
          <w:color w:val="252525"/>
          <w:sz w:val="28"/>
          <w:szCs w:val="28"/>
        </w:rPr>
        <w:t xml:space="preserve"> in food and feed. </w:t>
      </w:r>
      <w:r w:rsidRPr="001000F3">
        <w:rPr>
          <w:rFonts w:ascii="Times New Roman" w:eastAsia="Arial" w:hAnsi="Times New Roman" w:cs="Times New Roman"/>
          <w:i/>
          <w:color w:val="252525"/>
          <w:sz w:val="28"/>
          <w:szCs w:val="28"/>
        </w:rPr>
        <w:t>EFSA Journal, 20</w:t>
      </w:r>
      <w:r w:rsidRPr="001000F3">
        <w:rPr>
          <w:rFonts w:ascii="Times New Roman" w:eastAsia="Arial" w:hAnsi="Times New Roman" w:cs="Times New Roman"/>
          <w:color w:val="252525"/>
          <w:sz w:val="28"/>
          <w:szCs w:val="28"/>
        </w:rPr>
        <w:t>(3), e07098. https://doi.org/10.2903/j.efsa.2022.7098</w:t>
      </w:r>
    </w:p>
    <w:p w14:paraId="6EC27D8E"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3657B523" w14:textId="77777777" w:rsidR="006B5D2E" w:rsidRPr="00F50E89" w:rsidRDefault="006B5D2E" w:rsidP="006B5D2E">
      <w:pPr>
        <w:spacing w:line="360" w:lineRule="auto"/>
        <w:ind w:left="720" w:hanging="720"/>
        <w:jc w:val="both"/>
        <w:rPr>
          <w:rFonts w:ascii="Times New Roman" w:eastAsia="Arial" w:hAnsi="Times New Roman" w:cs="Times New Roman"/>
          <w:color w:val="252525"/>
          <w:sz w:val="28"/>
          <w:szCs w:val="28"/>
        </w:rPr>
      </w:pPr>
      <w:r w:rsidRPr="00F50E89">
        <w:rPr>
          <w:rFonts w:ascii="Times New Roman" w:eastAsia="Arial" w:hAnsi="Times New Roman" w:cs="Times New Roman"/>
          <w:color w:val="252525"/>
          <w:sz w:val="28"/>
          <w:szCs w:val="28"/>
        </w:rPr>
        <w:t xml:space="preserve">Emmanuel, I. O., Usman, H. A., &amp; </w:t>
      </w:r>
      <w:proofErr w:type="spellStart"/>
      <w:r w:rsidRPr="00F50E89">
        <w:rPr>
          <w:rFonts w:ascii="Times New Roman" w:eastAsia="Arial" w:hAnsi="Times New Roman" w:cs="Times New Roman"/>
          <w:color w:val="252525"/>
          <w:sz w:val="28"/>
          <w:szCs w:val="28"/>
        </w:rPr>
        <w:t>Salawu</w:t>
      </w:r>
      <w:proofErr w:type="spellEnd"/>
      <w:r w:rsidRPr="00F50E89">
        <w:rPr>
          <w:rFonts w:ascii="Times New Roman" w:eastAsia="Arial" w:hAnsi="Times New Roman" w:cs="Times New Roman"/>
          <w:color w:val="252525"/>
          <w:sz w:val="28"/>
          <w:szCs w:val="28"/>
        </w:rPr>
        <w:t xml:space="preserve">, R. A. (2022). Occurrence and identification of black aspergilli in maize samples from Nigerian open markets. </w:t>
      </w:r>
      <w:r w:rsidRPr="00F50E89">
        <w:rPr>
          <w:rFonts w:ascii="Times New Roman" w:eastAsia="Arial" w:hAnsi="Times New Roman" w:cs="Times New Roman"/>
          <w:i/>
          <w:color w:val="252525"/>
          <w:sz w:val="28"/>
          <w:szCs w:val="28"/>
        </w:rPr>
        <w:t>Journal of Mycology and Plant Pathology, 52</w:t>
      </w:r>
      <w:r w:rsidRPr="00F50E89">
        <w:rPr>
          <w:rFonts w:ascii="Times New Roman" w:eastAsia="Arial" w:hAnsi="Times New Roman" w:cs="Times New Roman"/>
          <w:color w:val="252525"/>
          <w:sz w:val="28"/>
          <w:szCs w:val="28"/>
        </w:rPr>
        <w:t>(2), 87–94.</w:t>
      </w:r>
    </w:p>
    <w:p w14:paraId="5DCCBFA1"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12E05B02"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Escrivá, L., Font, G., &amp; </w:t>
      </w:r>
      <w:proofErr w:type="spellStart"/>
      <w:r w:rsidRPr="00F50E89">
        <w:rPr>
          <w:rFonts w:ascii="Times New Roman" w:hAnsi="Times New Roman" w:cs="Times New Roman"/>
          <w:sz w:val="28"/>
          <w:szCs w:val="28"/>
        </w:rPr>
        <w:t>Manyes</w:t>
      </w:r>
      <w:proofErr w:type="spellEnd"/>
      <w:r w:rsidRPr="00F50E89">
        <w:rPr>
          <w:rFonts w:ascii="Times New Roman" w:hAnsi="Times New Roman" w:cs="Times New Roman"/>
          <w:sz w:val="28"/>
          <w:szCs w:val="28"/>
        </w:rPr>
        <w:t xml:space="preserve">, L. (2022). Binders as detoxifying agents of mycotoxins in animal feed: A review. </w:t>
      </w:r>
      <w:r w:rsidRPr="00F50E89">
        <w:rPr>
          <w:rFonts w:ascii="Times New Roman" w:hAnsi="Times New Roman" w:cs="Times New Roman"/>
          <w:i/>
          <w:sz w:val="28"/>
          <w:szCs w:val="28"/>
        </w:rPr>
        <w:t>Toxins</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14</w:t>
      </w:r>
      <w:r w:rsidRPr="00F50E89">
        <w:rPr>
          <w:rFonts w:ascii="Times New Roman" w:hAnsi="Times New Roman" w:cs="Times New Roman"/>
          <w:sz w:val="28"/>
          <w:szCs w:val="28"/>
        </w:rPr>
        <w:t xml:space="preserve">(1), 44. </w:t>
      </w:r>
      <w:hyperlink r:id="rId19" w:history="1">
        <w:r w:rsidRPr="00F50E89">
          <w:rPr>
            <w:rStyle w:val="Hyperlink"/>
            <w:rFonts w:ascii="Times New Roman" w:hAnsi="Times New Roman" w:cs="Times New Roman"/>
            <w:sz w:val="28"/>
            <w:szCs w:val="28"/>
          </w:rPr>
          <w:t>https://doi.org/10.3390/toxins14010044</w:t>
        </w:r>
      </w:hyperlink>
    </w:p>
    <w:p w14:paraId="44101532"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80A0538"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EFSA Panel on Contaminants in the Food Chain (CONTAM). (2022). </w:t>
      </w:r>
      <w:r w:rsidRPr="00F50E89">
        <w:rPr>
          <w:rFonts w:ascii="Times New Roman" w:hAnsi="Times New Roman" w:cs="Times New Roman"/>
          <w:i/>
          <w:sz w:val="28"/>
          <w:szCs w:val="28"/>
        </w:rPr>
        <w:t>Approaches to the risk assessment of chemical mixtures in food</w:t>
      </w:r>
      <w:r w:rsidRPr="00F50E89">
        <w:rPr>
          <w:rFonts w:ascii="Times New Roman" w:hAnsi="Times New Roman" w:cs="Times New Roman"/>
          <w:sz w:val="28"/>
          <w:szCs w:val="28"/>
        </w:rPr>
        <w:t>. EFSA Journal, 20(2), e07063. https://doi.org/10.2903/j.efsa.2022.7063</w:t>
      </w:r>
    </w:p>
    <w:p w14:paraId="7376F7F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61337D7"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Fekete, C., </w:t>
      </w:r>
      <w:proofErr w:type="spellStart"/>
      <w:r w:rsidRPr="00F50E89">
        <w:rPr>
          <w:rFonts w:ascii="Times New Roman" w:hAnsi="Times New Roman" w:cs="Times New Roman"/>
          <w:sz w:val="28"/>
          <w:szCs w:val="28"/>
        </w:rPr>
        <w:t>Gyurkovics</w:t>
      </w:r>
      <w:proofErr w:type="spellEnd"/>
      <w:r w:rsidRPr="00F50E89">
        <w:rPr>
          <w:rFonts w:ascii="Times New Roman" w:hAnsi="Times New Roman" w:cs="Times New Roman"/>
          <w:sz w:val="28"/>
          <w:szCs w:val="28"/>
        </w:rPr>
        <w:t xml:space="preserve">, A., &amp; Nagy, G. (2022). Clinical relevance of black aspergilli in invasive fungal infections. </w:t>
      </w:r>
      <w:r w:rsidRPr="00F50E89">
        <w:rPr>
          <w:rFonts w:ascii="Times New Roman" w:hAnsi="Times New Roman" w:cs="Times New Roman"/>
          <w:i/>
          <w:sz w:val="28"/>
          <w:szCs w:val="28"/>
        </w:rPr>
        <w:t>Medical Mycology</w:t>
      </w:r>
      <w:r w:rsidRPr="00F50E89">
        <w:rPr>
          <w:rFonts w:ascii="Times New Roman" w:hAnsi="Times New Roman" w:cs="Times New Roman"/>
          <w:sz w:val="28"/>
          <w:szCs w:val="28"/>
        </w:rPr>
        <w:t xml:space="preserve">, 60(5), myac014. </w:t>
      </w:r>
      <w:hyperlink r:id="rId20" w:history="1">
        <w:r w:rsidRPr="00F50E89">
          <w:rPr>
            <w:rStyle w:val="Hyperlink"/>
            <w:rFonts w:ascii="Times New Roman" w:hAnsi="Times New Roman" w:cs="Times New Roman"/>
            <w:sz w:val="28"/>
            <w:szCs w:val="28"/>
          </w:rPr>
          <w:t>https://doi.org/10.1093/mmy/myac014</w:t>
        </w:r>
      </w:hyperlink>
    </w:p>
    <w:p w14:paraId="1A51F1AC" w14:textId="77777777" w:rsidR="006B5D2E" w:rsidRDefault="006B5D2E" w:rsidP="006B5D2E">
      <w:pPr>
        <w:spacing w:line="360" w:lineRule="auto"/>
        <w:ind w:left="720" w:hanging="720"/>
        <w:jc w:val="both"/>
        <w:rPr>
          <w:rFonts w:ascii="Times New Roman" w:hAnsi="Times New Roman" w:cs="Times New Roman"/>
          <w:sz w:val="28"/>
          <w:szCs w:val="28"/>
        </w:rPr>
      </w:pPr>
    </w:p>
    <w:p w14:paraId="54B120A9"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Hussain, S., Anwar, J., &amp; Bhatti, I. A. (2021). Detection of </w:t>
      </w:r>
      <w:proofErr w:type="spellStart"/>
      <w:r w:rsidRPr="00F50E89">
        <w:rPr>
          <w:rFonts w:ascii="Times New Roman" w:hAnsi="Times New Roman" w:cs="Times New Roman"/>
          <w:sz w:val="28"/>
          <w:szCs w:val="28"/>
        </w:rPr>
        <w:t>fumonisins</w:t>
      </w:r>
      <w:proofErr w:type="spellEnd"/>
      <w:r w:rsidRPr="00F50E89">
        <w:rPr>
          <w:rFonts w:ascii="Times New Roman" w:hAnsi="Times New Roman" w:cs="Times New Roman"/>
          <w:sz w:val="28"/>
          <w:szCs w:val="28"/>
        </w:rPr>
        <w:t xml:space="preserve"> in red chili using thin-layer chromatography. </w:t>
      </w:r>
      <w:r w:rsidRPr="00F50E89">
        <w:rPr>
          <w:rFonts w:ascii="Times New Roman" w:hAnsi="Times New Roman" w:cs="Times New Roman"/>
          <w:i/>
          <w:sz w:val="28"/>
          <w:szCs w:val="28"/>
        </w:rPr>
        <w:t>Journal of Food Safety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w:t>
      </w:r>
      <w:r w:rsidRPr="00F50E89">
        <w:rPr>
          <w:rFonts w:ascii="Times New Roman" w:hAnsi="Times New Roman" w:cs="Times New Roman"/>
          <w:sz w:val="28"/>
          <w:szCs w:val="28"/>
        </w:rPr>
        <w:t>(2), e12865. https://doi.org/10.1111/jfs.12865</w:t>
      </w:r>
    </w:p>
    <w:p w14:paraId="2A3ED0AF"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6D88285"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Hassan, M. A., </w:t>
      </w:r>
      <w:proofErr w:type="spellStart"/>
      <w:r w:rsidRPr="00F50E89">
        <w:rPr>
          <w:rFonts w:ascii="Times New Roman" w:hAnsi="Times New Roman" w:cs="Times New Roman"/>
          <w:sz w:val="28"/>
          <w:szCs w:val="28"/>
        </w:rPr>
        <w:t>Sulaiman</w:t>
      </w:r>
      <w:proofErr w:type="spellEnd"/>
      <w:r w:rsidRPr="00F50E89">
        <w:rPr>
          <w:rFonts w:ascii="Times New Roman" w:hAnsi="Times New Roman" w:cs="Times New Roman"/>
          <w:sz w:val="28"/>
          <w:szCs w:val="28"/>
        </w:rPr>
        <w:t xml:space="preserve">, R. A., &amp; Tijani, A. A. (2021). Mycological analysis of groundnut and melon seeds from household storage: A public health concern. </w:t>
      </w:r>
      <w:r w:rsidRPr="00F50E89">
        <w:rPr>
          <w:rFonts w:ascii="Times New Roman" w:hAnsi="Times New Roman" w:cs="Times New Roman"/>
          <w:i/>
          <w:sz w:val="28"/>
          <w:szCs w:val="28"/>
        </w:rPr>
        <w:t>African Journal of Food Science, 15</w:t>
      </w:r>
      <w:r w:rsidRPr="00F50E89">
        <w:rPr>
          <w:rFonts w:ascii="Times New Roman" w:hAnsi="Times New Roman" w:cs="Times New Roman"/>
          <w:sz w:val="28"/>
          <w:szCs w:val="28"/>
        </w:rPr>
        <w:t xml:space="preserve">(8), 267–274. </w:t>
      </w:r>
      <w:hyperlink r:id="rId21" w:history="1">
        <w:r w:rsidRPr="00F50E89">
          <w:rPr>
            <w:rStyle w:val="Hyperlink"/>
            <w:rFonts w:ascii="Times New Roman" w:hAnsi="Times New Roman" w:cs="Times New Roman"/>
            <w:sz w:val="28"/>
            <w:szCs w:val="28"/>
          </w:rPr>
          <w:t>https://doi.org/10.5897/AJFS2021.2101</w:t>
        </w:r>
      </w:hyperlink>
    </w:p>
    <w:p w14:paraId="7B1403F3"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9E88719" w14:textId="77777777" w:rsidR="006B5D2E"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Kumar, A., Kushwaha, R., &amp; Gautam, P. (2023). Mycotoxins and food safety: Recent advances in detection and control. </w:t>
      </w:r>
      <w:r w:rsidRPr="005A2A75">
        <w:rPr>
          <w:rFonts w:ascii="Times New Roman" w:hAnsi="Times New Roman" w:cs="Times New Roman"/>
          <w:i/>
          <w:sz w:val="28"/>
          <w:szCs w:val="28"/>
        </w:rPr>
        <w:t>Frontiers in Microbiology, 14</w:t>
      </w:r>
      <w:r w:rsidRPr="005A2A75">
        <w:rPr>
          <w:rFonts w:ascii="Times New Roman" w:hAnsi="Times New Roman" w:cs="Times New Roman"/>
          <w:sz w:val="28"/>
          <w:szCs w:val="28"/>
        </w:rPr>
        <w:t xml:space="preserve">, 1190325. </w:t>
      </w:r>
      <w:hyperlink r:id="rId22" w:history="1">
        <w:r w:rsidRPr="005A2A75">
          <w:rPr>
            <w:rStyle w:val="Hyperlink"/>
            <w:rFonts w:ascii="Times New Roman" w:hAnsi="Times New Roman" w:cs="Times New Roman"/>
            <w:sz w:val="28"/>
            <w:szCs w:val="28"/>
          </w:rPr>
          <w:t>https://doi.org/10.3389/fmicb.2023.1190325</w:t>
        </w:r>
      </w:hyperlink>
    </w:p>
    <w:p w14:paraId="7893B3CD"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565CAFD"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Kumar, M., Rawal, N., Thakur, M., &amp; Sharma, A. (2023). Occurrence, toxicity and mitigation strategies of ochratoxin A in food: A review. </w:t>
      </w:r>
      <w:r w:rsidRPr="00F50E89">
        <w:rPr>
          <w:rFonts w:ascii="Times New Roman" w:hAnsi="Times New Roman" w:cs="Times New Roman"/>
          <w:i/>
          <w:sz w:val="28"/>
          <w:szCs w:val="28"/>
        </w:rPr>
        <w:t>Environmental Research</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219</w:t>
      </w:r>
      <w:r w:rsidRPr="00F50E89">
        <w:rPr>
          <w:rFonts w:ascii="Times New Roman" w:hAnsi="Times New Roman" w:cs="Times New Roman"/>
          <w:sz w:val="28"/>
          <w:szCs w:val="28"/>
        </w:rPr>
        <w:t xml:space="preserve">, 114906. </w:t>
      </w:r>
      <w:hyperlink r:id="rId23" w:history="1">
        <w:r w:rsidRPr="00F50E89">
          <w:rPr>
            <w:rStyle w:val="Hyperlink"/>
            <w:rFonts w:ascii="Times New Roman" w:hAnsi="Times New Roman" w:cs="Times New Roman"/>
            <w:sz w:val="28"/>
            <w:szCs w:val="28"/>
          </w:rPr>
          <w:t>https://doi.org/10.1016/j.envres.2022.114906</w:t>
        </w:r>
      </w:hyperlink>
    </w:p>
    <w:p w14:paraId="3D292E2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6FDBF9E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 384</w:t>
      </w:r>
      <w:r w:rsidRPr="00F50E89">
        <w:rPr>
          <w:rFonts w:ascii="Times New Roman" w:hAnsi="Times New Roman" w:cs="Times New Roman"/>
          <w:sz w:val="28"/>
          <w:szCs w:val="28"/>
        </w:rPr>
        <w:t xml:space="preserve">, 109915. </w:t>
      </w:r>
      <w:hyperlink r:id="rId24" w:history="1">
        <w:r w:rsidRPr="00F50E89">
          <w:rPr>
            <w:rStyle w:val="Hyperlink"/>
            <w:rFonts w:ascii="Times New Roman" w:hAnsi="Times New Roman" w:cs="Times New Roman"/>
            <w:sz w:val="28"/>
            <w:szCs w:val="28"/>
          </w:rPr>
          <w:t>https://doi.org/10.1016/j.ijfoodmicro.2023.109915</w:t>
        </w:r>
      </w:hyperlink>
    </w:p>
    <w:p w14:paraId="6510446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C1C0F23" w14:textId="08145505"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Khalil, M. I., Umar, I. M., &amp; </w:t>
      </w:r>
      <w:proofErr w:type="spellStart"/>
      <w:r w:rsidRPr="00F50E89">
        <w:rPr>
          <w:rFonts w:ascii="Times New Roman" w:hAnsi="Times New Roman" w:cs="Times New Roman"/>
          <w:sz w:val="28"/>
          <w:szCs w:val="28"/>
        </w:rPr>
        <w:t>Olaleye</w:t>
      </w:r>
      <w:proofErr w:type="spellEnd"/>
      <w:r w:rsidRPr="00F50E89">
        <w:rPr>
          <w:rFonts w:ascii="Times New Roman" w:hAnsi="Times New Roman" w:cs="Times New Roman"/>
          <w:sz w:val="28"/>
          <w:szCs w:val="28"/>
        </w:rPr>
        <w:t xml:space="preserve">, T. A. (2022). Morphological and molecular identification of fungi associated with maize in Nigeria. </w:t>
      </w:r>
      <w:r w:rsidRPr="00F50E89">
        <w:rPr>
          <w:rFonts w:ascii="Times New Roman" w:hAnsi="Times New Roman" w:cs="Times New Roman"/>
          <w:i/>
          <w:sz w:val="28"/>
          <w:szCs w:val="28"/>
        </w:rPr>
        <w:t>African Journal of Microbiological Research, 16</w:t>
      </w:r>
      <w:r w:rsidRPr="00F50E89">
        <w:rPr>
          <w:rFonts w:ascii="Times New Roman" w:hAnsi="Times New Roman" w:cs="Times New Roman"/>
          <w:sz w:val="28"/>
          <w:szCs w:val="28"/>
        </w:rPr>
        <w:t xml:space="preserve">(4), 101–110. </w:t>
      </w:r>
    </w:p>
    <w:p w14:paraId="1B7D79A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7B0972B"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w:t>
      </w:r>
      <w:r w:rsidRPr="00F50E89">
        <w:rPr>
          <w:rFonts w:ascii="Times New Roman" w:hAnsi="Times New Roman" w:cs="Times New Roman"/>
          <w:sz w:val="28"/>
          <w:szCs w:val="28"/>
        </w:rPr>
        <w:t xml:space="preserve">, 384, 109915. </w:t>
      </w:r>
      <w:hyperlink r:id="rId25" w:history="1">
        <w:r w:rsidRPr="00F50E89">
          <w:rPr>
            <w:rStyle w:val="Hyperlink"/>
            <w:rFonts w:ascii="Times New Roman" w:hAnsi="Times New Roman" w:cs="Times New Roman"/>
            <w:sz w:val="28"/>
            <w:szCs w:val="28"/>
          </w:rPr>
          <w:t>https://doi.org/10.1016/j.ijfoodmicro.2023.109915</w:t>
        </w:r>
      </w:hyperlink>
    </w:p>
    <w:p w14:paraId="0CA4198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0E7304E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 </w:t>
      </w: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Gupta, A., </w:t>
      </w:r>
      <w:proofErr w:type="spellStart"/>
      <w:r w:rsidRPr="005A2A75">
        <w:rPr>
          <w:rFonts w:ascii="Times New Roman" w:hAnsi="Times New Roman" w:cs="Times New Roman"/>
          <w:sz w:val="28"/>
          <w:szCs w:val="28"/>
        </w:rPr>
        <w:t>Pandhi</w:t>
      </w:r>
      <w:proofErr w:type="spellEnd"/>
      <w:r w:rsidRPr="005A2A75">
        <w:rPr>
          <w:rFonts w:ascii="Times New Roman" w:hAnsi="Times New Roman" w:cs="Times New Roman"/>
          <w:sz w:val="28"/>
          <w:szCs w:val="28"/>
        </w:rPr>
        <w:t xml:space="preserve">, S., &amp; Sharma, B. (2023). Mycotoxins in food and feed: Occurrence, detection, and control strategies. </w:t>
      </w:r>
      <w:r w:rsidRPr="005A2A75">
        <w:rPr>
          <w:rFonts w:ascii="Times New Roman" w:hAnsi="Times New Roman" w:cs="Times New Roman"/>
          <w:i/>
          <w:sz w:val="28"/>
          <w:szCs w:val="28"/>
        </w:rPr>
        <w:t>Frontiers in Microbiology</w:t>
      </w:r>
      <w:r w:rsidRPr="005A2A75">
        <w:rPr>
          <w:rFonts w:ascii="Times New Roman" w:hAnsi="Times New Roman" w:cs="Times New Roman"/>
          <w:sz w:val="28"/>
          <w:szCs w:val="28"/>
        </w:rPr>
        <w:t xml:space="preserve">, </w:t>
      </w:r>
      <w:r w:rsidRPr="005A2A75">
        <w:rPr>
          <w:rFonts w:ascii="Times New Roman" w:hAnsi="Times New Roman" w:cs="Times New Roman"/>
          <w:i/>
          <w:sz w:val="28"/>
          <w:szCs w:val="28"/>
        </w:rPr>
        <w:t>14</w:t>
      </w:r>
      <w:r w:rsidRPr="005A2A75">
        <w:rPr>
          <w:rFonts w:ascii="Times New Roman" w:hAnsi="Times New Roman" w:cs="Times New Roman"/>
          <w:sz w:val="28"/>
          <w:szCs w:val="28"/>
        </w:rPr>
        <w:t xml:space="preserve">, 1089642. </w:t>
      </w:r>
      <w:hyperlink r:id="rId26" w:history="1">
        <w:r w:rsidRPr="005A2A75">
          <w:rPr>
            <w:rStyle w:val="Hyperlink"/>
            <w:rFonts w:ascii="Times New Roman" w:hAnsi="Times New Roman" w:cs="Times New Roman"/>
            <w:sz w:val="28"/>
            <w:szCs w:val="28"/>
          </w:rPr>
          <w:t>https://doi.org/10.3389/fmicb.2023.1089642</w:t>
        </w:r>
      </w:hyperlink>
    </w:p>
    <w:p w14:paraId="6D904E6F"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541DF8D3" w14:textId="77777777" w:rsidR="006B5D2E" w:rsidRPr="00F50E89"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lastRenderedPageBreak/>
        <w:t>Molla</w:t>
      </w:r>
      <w:proofErr w:type="spellEnd"/>
      <w:r w:rsidRPr="00F50E89">
        <w:rPr>
          <w:rFonts w:ascii="Times New Roman" w:hAnsi="Times New Roman" w:cs="Times New Roman"/>
          <w:sz w:val="28"/>
          <w:szCs w:val="28"/>
        </w:rPr>
        <w:t xml:space="preserve">, M., Adeoye, A. O., &amp; Yakubu, M. E. (2021). Spectrum of fungal agents in otomycosis among patients attending tertiary hospital in North-Central Nigeria. </w:t>
      </w:r>
      <w:r w:rsidRPr="00F50E89">
        <w:rPr>
          <w:rFonts w:ascii="Times New Roman" w:hAnsi="Times New Roman" w:cs="Times New Roman"/>
          <w:i/>
          <w:sz w:val="28"/>
          <w:szCs w:val="28"/>
        </w:rPr>
        <w:t>Nigerian Journal of Medical Mycology, 17</w:t>
      </w:r>
      <w:r w:rsidRPr="00F50E89">
        <w:rPr>
          <w:rFonts w:ascii="Times New Roman" w:hAnsi="Times New Roman" w:cs="Times New Roman"/>
          <w:sz w:val="28"/>
          <w:szCs w:val="28"/>
        </w:rPr>
        <w:t>(1), 22–28.</w:t>
      </w:r>
    </w:p>
    <w:p w14:paraId="1CDFA44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AADE14E"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 170</w:t>
      </w:r>
      <w:r w:rsidRPr="00F50E89">
        <w:rPr>
          <w:rFonts w:ascii="Times New Roman" w:hAnsi="Times New Roman" w:cs="Times New Roman"/>
          <w:sz w:val="28"/>
          <w:szCs w:val="28"/>
        </w:rPr>
        <w:t xml:space="preserve">, 113559. </w:t>
      </w:r>
      <w:hyperlink r:id="rId27" w:history="1">
        <w:r w:rsidRPr="00F50E89">
          <w:rPr>
            <w:rStyle w:val="Hyperlink"/>
            <w:rFonts w:ascii="Times New Roman" w:hAnsi="Times New Roman" w:cs="Times New Roman"/>
            <w:sz w:val="28"/>
            <w:szCs w:val="28"/>
          </w:rPr>
          <w:t>https://doi.org/10.1016/j.fct.2023.113559</w:t>
        </w:r>
      </w:hyperlink>
    </w:p>
    <w:p w14:paraId="0BA938F1"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5FA3397" w14:textId="77777777" w:rsidR="006B5D2E"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w:t>
      </w:r>
      <w:r w:rsidRPr="00F50E89">
        <w:rPr>
          <w:rFonts w:ascii="Times New Roman" w:hAnsi="Times New Roman" w:cs="Times New Roman"/>
          <w:sz w:val="28"/>
          <w:szCs w:val="28"/>
        </w:rPr>
        <w:t xml:space="preserve">, 170, 113559. </w:t>
      </w:r>
      <w:hyperlink r:id="rId28" w:history="1">
        <w:r w:rsidRPr="00F50E89">
          <w:rPr>
            <w:rStyle w:val="Hyperlink"/>
            <w:rFonts w:ascii="Times New Roman" w:hAnsi="Times New Roman" w:cs="Times New Roman"/>
            <w:sz w:val="28"/>
            <w:szCs w:val="28"/>
          </w:rPr>
          <w:t>https://doi.org/10.1016/j.fct.2023.113559</w:t>
        </w:r>
      </w:hyperlink>
    </w:p>
    <w:p w14:paraId="1A9A10FC"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238A4108"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Lee, K. E., </w:t>
      </w:r>
      <w:proofErr w:type="spellStart"/>
      <w:r w:rsidRPr="005A2A75">
        <w:rPr>
          <w:rFonts w:ascii="Times New Roman" w:hAnsi="Times New Roman" w:cs="Times New Roman"/>
          <w:sz w:val="28"/>
          <w:szCs w:val="28"/>
        </w:rPr>
        <w:t>Kamle</w:t>
      </w:r>
      <w:proofErr w:type="spellEnd"/>
      <w:r w:rsidRPr="005A2A75">
        <w:rPr>
          <w:rFonts w:ascii="Times New Roman" w:hAnsi="Times New Roman" w:cs="Times New Roman"/>
          <w:sz w:val="28"/>
          <w:szCs w:val="28"/>
        </w:rPr>
        <w:t xml:space="preserve">, M., Devi, S., </w:t>
      </w:r>
      <w:proofErr w:type="spellStart"/>
      <w:r w:rsidRPr="005A2A75">
        <w:rPr>
          <w:rFonts w:ascii="Times New Roman" w:hAnsi="Times New Roman" w:cs="Times New Roman"/>
          <w:sz w:val="28"/>
          <w:szCs w:val="28"/>
        </w:rPr>
        <w:t>Dewangan</w:t>
      </w:r>
      <w:proofErr w:type="spellEnd"/>
      <w:r w:rsidRPr="005A2A75">
        <w:rPr>
          <w:rFonts w:ascii="Times New Roman" w:hAnsi="Times New Roman" w:cs="Times New Roman"/>
          <w:sz w:val="28"/>
          <w:szCs w:val="28"/>
        </w:rPr>
        <w:t xml:space="preserve">, H. K., Kumar, P., &amp; Kang, S. G. (2023). Citrinin and its health effects: An overview and recent updates. </w:t>
      </w:r>
      <w:proofErr w:type="spellStart"/>
      <w:r w:rsidRPr="005A2A75">
        <w:rPr>
          <w:rFonts w:ascii="Times New Roman" w:hAnsi="Times New Roman" w:cs="Times New Roman"/>
          <w:i/>
          <w:sz w:val="28"/>
          <w:szCs w:val="28"/>
        </w:rPr>
        <w:t>Toxicon</w:t>
      </w:r>
      <w:proofErr w:type="spellEnd"/>
      <w:r w:rsidRPr="005A2A75">
        <w:rPr>
          <w:rFonts w:ascii="Times New Roman" w:hAnsi="Times New Roman" w:cs="Times New Roman"/>
          <w:i/>
          <w:sz w:val="28"/>
          <w:szCs w:val="28"/>
        </w:rPr>
        <w:t>, 225</w:t>
      </w:r>
      <w:r w:rsidRPr="005A2A75">
        <w:rPr>
          <w:rFonts w:ascii="Times New Roman" w:hAnsi="Times New Roman" w:cs="Times New Roman"/>
          <w:sz w:val="28"/>
          <w:szCs w:val="28"/>
        </w:rPr>
        <w:t>, 106022. https://doi.org/10.1016/j.toxicon.2023.106022</w:t>
      </w:r>
    </w:p>
    <w:p w14:paraId="09ED8D34"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Milicevic, D. R., </w:t>
      </w:r>
      <w:proofErr w:type="spellStart"/>
      <w:r w:rsidRPr="005A2A75">
        <w:rPr>
          <w:rFonts w:ascii="Times New Roman" w:hAnsi="Times New Roman" w:cs="Times New Roman"/>
          <w:sz w:val="28"/>
          <w:szCs w:val="28"/>
        </w:rPr>
        <w:t>Jurisic</w:t>
      </w:r>
      <w:proofErr w:type="spellEnd"/>
      <w:r w:rsidRPr="005A2A75">
        <w:rPr>
          <w:rFonts w:ascii="Times New Roman" w:hAnsi="Times New Roman" w:cs="Times New Roman"/>
          <w:sz w:val="28"/>
          <w:szCs w:val="28"/>
        </w:rPr>
        <w:t xml:space="preserve">, V. B., &amp; </w:t>
      </w:r>
      <w:proofErr w:type="spellStart"/>
      <w:r w:rsidRPr="005A2A75">
        <w:rPr>
          <w:rFonts w:ascii="Times New Roman" w:hAnsi="Times New Roman" w:cs="Times New Roman"/>
          <w:sz w:val="28"/>
          <w:szCs w:val="28"/>
        </w:rPr>
        <w:t>Mandic</w:t>
      </w:r>
      <w:proofErr w:type="spellEnd"/>
      <w:r w:rsidRPr="005A2A75">
        <w:rPr>
          <w:rFonts w:ascii="Times New Roman" w:hAnsi="Times New Roman" w:cs="Times New Roman"/>
          <w:sz w:val="28"/>
          <w:szCs w:val="28"/>
        </w:rPr>
        <w:t xml:space="preserve">, A. I. (2021). Ochratoxin A in foodstuffs: Recent insights into toxicity, detection, and regulation. </w:t>
      </w:r>
      <w:r w:rsidRPr="005A2A75">
        <w:rPr>
          <w:rFonts w:ascii="Times New Roman" w:hAnsi="Times New Roman" w:cs="Times New Roman"/>
          <w:i/>
          <w:sz w:val="28"/>
          <w:szCs w:val="28"/>
        </w:rPr>
        <w:t>Food and Chemical Toxicology, 153</w:t>
      </w:r>
      <w:r w:rsidRPr="005A2A75">
        <w:rPr>
          <w:rFonts w:ascii="Times New Roman" w:hAnsi="Times New Roman" w:cs="Times New Roman"/>
          <w:sz w:val="28"/>
          <w:szCs w:val="28"/>
        </w:rPr>
        <w:t>, 112254. https://doi.org/10.1016/j.fct.2021.112254</w:t>
      </w:r>
    </w:p>
    <w:p w14:paraId="794EA75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9763E7F"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Ogbonna, D. N., Okafor, F. C., &amp; </w:t>
      </w:r>
      <w:proofErr w:type="spellStart"/>
      <w:r w:rsidRPr="00F50E89">
        <w:rPr>
          <w:rFonts w:ascii="Times New Roman" w:hAnsi="Times New Roman" w:cs="Times New Roman"/>
          <w:sz w:val="28"/>
          <w:szCs w:val="28"/>
        </w:rPr>
        <w:t>Umeh</w:t>
      </w:r>
      <w:proofErr w:type="spellEnd"/>
      <w:r w:rsidRPr="00F50E89">
        <w:rPr>
          <w:rFonts w:ascii="Times New Roman" w:hAnsi="Times New Roman" w:cs="Times New Roman"/>
          <w:sz w:val="28"/>
          <w:szCs w:val="28"/>
        </w:rPr>
        <w:t xml:space="preserve">, E. U. (2021). Occurrence of fungi and aflatoxins in stored food grains. </w:t>
      </w:r>
      <w:r w:rsidRPr="00F50E89">
        <w:rPr>
          <w:rFonts w:ascii="Times New Roman" w:hAnsi="Times New Roman" w:cs="Times New Roman"/>
          <w:i/>
          <w:sz w:val="28"/>
          <w:szCs w:val="28"/>
        </w:rPr>
        <w:t>Journal of Environmental Health Research, 31</w:t>
      </w:r>
      <w:r w:rsidRPr="00F50E89">
        <w:rPr>
          <w:rFonts w:ascii="Times New Roman" w:hAnsi="Times New Roman" w:cs="Times New Roman"/>
          <w:sz w:val="28"/>
          <w:szCs w:val="28"/>
        </w:rPr>
        <w:t>(2), 145–153.</w:t>
      </w:r>
    </w:p>
    <w:p w14:paraId="28486714"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CA7350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Righetti, L., </w:t>
      </w:r>
      <w:proofErr w:type="spellStart"/>
      <w:r w:rsidRPr="005A2A75">
        <w:rPr>
          <w:rFonts w:ascii="Times New Roman" w:hAnsi="Times New Roman" w:cs="Times New Roman"/>
          <w:sz w:val="28"/>
          <w:szCs w:val="28"/>
        </w:rPr>
        <w:t>Dall’Asta</w:t>
      </w:r>
      <w:proofErr w:type="spellEnd"/>
      <w:r w:rsidRPr="005A2A75">
        <w:rPr>
          <w:rFonts w:ascii="Times New Roman" w:hAnsi="Times New Roman" w:cs="Times New Roman"/>
          <w:sz w:val="28"/>
          <w:szCs w:val="28"/>
        </w:rPr>
        <w:t xml:space="preserve">, C., &amp; </w:t>
      </w:r>
      <w:proofErr w:type="spellStart"/>
      <w:r w:rsidRPr="005A2A75">
        <w:rPr>
          <w:rFonts w:ascii="Times New Roman" w:hAnsi="Times New Roman" w:cs="Times New Roman"/>
          <w:sz w:val="28"/>
          <w:szCs w:val="28"/>
        </w:rPr>
        <w:t>Galaverna</w:t>
      </w:r>
      <w:proofErr w:type="spellEnd"/>
      <w:r w:rsidRPr="005A2A75">
        <w:rPr>
          <w:rFonts w:ascii="Times New Roman" w:hAnsi="Times New Roman" w:cs="Times New Roman"/>
          <w:sz w:val="28"/>
          <w:szCs w:val="28"/>
        </w:rPr>
        <w:t xml:space="preserve">, G. (2021). </w:t>
      </w:r>
      <w:proofErr w:type="spellStart"/>
      <w:r w:rsidRPr="005A2A75">
        <w:rPr>
          <w:rFonts w:ascii="Times New Roman" w:hAnsi="Times New Roman" w:cs="Times New Roman"/>
          <w:sz w:val="28"/>
          <w:szCs w:val="28"/>
        </w:rPr>
        <w:t>Fumonisins</w:t>
      </w:r>
      <w:proofErr w:type="spellEnd"/>
      <w:r w:rsidRPr="005A2A75">
        <w:rPr>
          <w:rFonts w:ascii="Times New Roman" w:hAnsi="Times New Roman" w:cs="Times New Roman"/>
          <w:sz w:val="28"/>
          <w:szCs w:val="28"/>
        </w:rPr>
        <w:t xml:space="preserve">: Chemistry, occurrence, toxicology, and methods of analysis. </w:t>
      </w:r>
      <w:r w:rsidRPr="005A2A75">
        <w:rPr>
          <w:rFonts w:ascii="Times New Roman" w:hAnsi="Times New Roman" w:cs="Times New Roman"/>
          <w:i/>
          <w:sz w:val="28"/>
          <w:szCs w:val="28"/>
        </w:rPr>
        <w:t>World Mycotoxin Journal, 14</w:t>
      </w:r>
      <w:r w:rsidRPr="005A2A75">
        <w:rPr>
          <w:rFonts w:ascii="Times New Roman" w:hAnsi="Times New Roman" w:cs="Times New Roman"/>
          <w:sz w:val="28"/>
          <w:szCs w:val="28"/>
        </w:rPr>
        <w:t>(1), 5–24. https://doi.org/10.3920/WMJ2020.2557</w:t>
      </w:r>
    </w:p>
    <w:p w14:paraId="35AACB7A"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744CD11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Righetti, L., </w:t>
      </w:r>
      <w:proofErr w:type="spellStart"/>
      <w:r w:rsidRPr="00F50E89">
        <w:rPr>
          <w:rFonts w:ascii="Times New Roman" w:hAnsi="Times New Roman" w:cs="Times New Roman"/>
          <w:sz w:val="28"/>
          <w:szCs w:val="28"/>
        </w:rPr>
        <w:t>Galaverna</w:t>
      </w:r>
      <w:proofErr w:type="spellEnd"/>
      <w:r w:rsidRPr="00F50E89">
        <w:rPr>
          <w:rFonts w:ascii="Times New Roman" w:hAnsi="Times New Roman" w:cs="Times New Roman"/>
          <w:sz w:val="28"/>
          <w:szCs w:val="28"/>
        </w:rPr>
        <w:t xml:space="preserve">, G., &amp; </w:t>
      </w:r>
      <w:proofErr w:type="spellStart"/>
      <w:r w:rsidRPr="00F50E89">
        <w:rPr>
          <w:rFonts w:ascii="Times New Roman" w:hAnsi="Times New Roman" w:cs="Times New Roman"/>
          <w:sz w:val="28"/>
          <w:szCs w:val="28"/>
        </w:rPr>
        <w:t>Dall’Asta</w:t>
      </w:r>
      <w:proofErr w:type="spellEnd"/>
      <w:r w:rsidRPr="00F50E89">
        <w:rPr>
          <w:rFonts w:ascii="Times New Roman" w:hAnsi="Times New Roman" w:cs="Times New Roman"/>
          <w:sz w:val="28"/>
          <w:szCs w:val="28"/>
        </w:rPr>
        <w:t xml:space="preserve">, C. (2021). Innovation in mycotoxin detection: From the laboratory to the field. </w:t>
      </w:r>
      <w:r w:rsidRPr="00F50E89">
        <w:rPr>
          <w:rFonts w:ascii="Times New Roman" w:hAnsi="Times New Roman" w:cs="Times New Roman"/>
          <w:i/>
          <w:sz w:val="28"/>
          <w:szCs w:val="28"/>
        </w:rPr>
        <w:t>Analytical and Bioanalytical Chemistry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413</w:t>
      </w:r>
      <w:r w:rsidRPr="00F50E89">
        <w:rPr>
          <w:rFonts w:ascii="Times New Roman" w:hAnsi="Times New Roman" w:cs="Times New Roman"/>
          <w:sz w:val="28"/>
          <w:szCs w:val="28"/>
        </w:rPr>
        <w:t xml:space="preserve">(1), 97–113. </w:t>
      </w:r>
      <w:hyperlink r:id="rId29" w:history="1">
        <w:r w:rsidRPr="00F50E89">
          <w:rPr>
            <w:rStyle w:val="Hyperlink"/>
            <w:rFonts w:ascii="Times New Roman" w:hAnsi="Times New Roman" w:cs="Times New Roman"/>
            <w:sz w:val="28"/>
            <w:szCs w:val="28"/>
          </w:rPr>
          <w:t>https://doi.org/10.1007/s00216-020-03063-w</w:t>
        </w:r>
      </w:hyperlink>
    </w:p>
    <w:p w14:paraId="41FF8F3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427167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World Health Organization (WHO). (2022). </w:t>
      </w:r>
      <w:r w:rsidRPr="001000F3">
        <w:rPr>
          <w:rFonts w:ascii="Times New Roman" w:hAnsi="Times New Roman" w:cs="Times New Roman"/>
          <w:i/>
          <w:sz w:val="28"/>
          <w:szCs w:val="28"/>
        </w:rPr>
        <w:t>Mycotoxins: Health impacts and control strategies</w:t>
      </w:r>
      <w:r w:rsidRPr="001000F3">
        <w:rPr>
          <w:rFonts w:ascii="Times New Roman" w:hAnsi="Times New Roman" w:cs="Times New Roman"/>
          <w:sz w:val="28"/>
          <w:szCs w:val="28"/>
        </w:rPr>
        <w:t xml:space="preserve">. Geneva: WHO. https://www. Kumar, A., Singh, P., &amp; Verma, R. (2023). Ochratoxin A and </w:t>
      </w:r>
      <w:proofErr w:type="spellStart"/>
      <w:r w:rsidRPr="001000F3">
        <w:rPr>
          <w:rFonts w:ascii="Times New Roman" w:hAnsi="Times New Roman" w:cs="Times New Roman"/>
          <w:sz w:val="28"/>
          <w:szCs w:val="28"/>
        </w:rPr>
        <w:t>fumonisin</w:t>
      </w:r>
      <w:proofErr w:type="spellEnd"/>
      <w:r w:rsidRPr="001000F3">
        <w:rPr>
          <w:rFonts w:ascii="Times New Roman" w:hAnsi="Times New Roman" w:cs="Times New Roman"/>
          <w:sz w:val="28"/>
          <w:szCs w:val="28"/>
        </w:rPr>
        <w:t xml:space="preserve"> B2 production in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 food safety concern. </w:t>
      </w:r>
      <w:r w:rsidRPr="001000F3">
        <w:rPr>
          <w:rFonts w:ascii="Times New Roman" w:hAnsi="Times New Roman" w:cs="Times New Roman"/>
          <w:i/>
          <w:sz w:val="28"/>
          <w:szCs w:val="28"/>
        </w:rPr>
        <w:t>International Journal of Food Microbiology</w:t>
      </w:r>
      <w:r w:rsidRPr="001000F3">
        <w:rPr>
          <w:rFonts w:ascii="Times New Roman" w:hAnsi="Times New Roman" w:cs="Times New Roman"/>
          <w:sz w:val="28"/>
          <w:szCs w:val="28"/>
        </w:rPr>
        <w:t>, 384, 109915.</w:t>
      </w:r>
    </w:p>
    <w:p w14:paraId="6A959E02"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8DB9736"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Zain, M. E. (2011). Impact of mycotoxins on humans and animals. </w:t>
      </w:r>
      <w:r w:rsidRPr="001000F3">
        <w:rPr>
          <w:rFonts w:ascii="Times New Roman" w:hAnsi="Times New Roman" w:cs="Times New Roman"/>
          <w:i/>
          <w:sz w:val="28"/>
          <w:szCs w:val="28"/>
        </w:rPr>
        <w:t>Journal of Saudi Chemical Society</w:t>
      </w:r>
      <w:r w:rsidRPr="001000F3">
        <w:rPr>
          <w:rFonts w:ascii="Times New Roman" w:hAnsi="Times New Roman" w:cs="Times New Roman"/>
          <w:sz w:val="28"/>
          <w:szCs w:val="28"/>
        </w:rPr>
        <w:t xml:space="preserve">, 15(2), 129–144. </w:t>
      </w:r>
      <w:hyperlink r:id="rId30" w:history="1">
        <w:r w:rsidRPr="001000F3">
          <w:rPr>
            <w:rStyle w:val="Hyperlink"/>
            <w:rFonts w:ascii="Times New Roman" w:hAnsi="Times New Roman" w:cs="Times New Roman"/>
            <w:sz w:val="28"/>
            <w:szCs w:val="28"/>
          </w:rPr>
          <w:t>https://doi.org/10.1016/j.jscs.2010.06.006</w:t>
        </w:r>
      </w:hyperlink>
    </w:p>
    <w:p w14:paraId="6B4495FB"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413AB432" w14:textId="77777777" w:rsidR="006B5D2E"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lastRenderedPageBreak/>
        <w:t xml:space="preserve">Zhang, X., Wang, S., Zhou, Y., &amp; Tang, H. (2021). Molecular detection and quantification of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and ochratoxin A production genes in coffee beans using qPCR. </w:t>
      </w:r>
      <w:r w:rsidRPr="001000F3">
        <w:rPr>
          <w:rFonts w:ascii="Times New Roman" w:hAnsi="Times New Roman" w:cs="Times New Roman"/>
          <w:i/>
          <w:sz w:val="28"/>
          <w:szCs w:val="28"/>
        </w:rPr>
        <w:t>Journal of Applied Microbiology</w:t>
      </w:r>
      <w:r w:rsidRPr="001000F3">
        <w:rPr>
          <w:rFonts w:ascii="Times New Roman" w:hAnsi="Times New Roman" w:cs="Times New Roman"/>
          <w:sz w:val="28"/>
          <w:szCs w:val="28"/>
        </w:rPr>
        <w:t xml:space="preserve">, </w:t>
      </w:r>
      <w:r w:rsidRPr="001000F3">
        <w:rPr>
          <w:rFonts w:ascii="Times New Roman" w:hAnsi="Times New Roman" w:cs="Times New Roman"/>
          <w:i/>
          <w:sz w:val="28"/>
          <w:szCs w:val="28"/>
        </w:rPr>
        <w:t>130</w:t>
      </w:r>
      <w:r w:rsidRPr="001000F3">
        <w:rPr>
          <w:rFonts w:ascii="Times New Roman" w:hAnsi="Times New Roman" w:cs="Times New Roman"/>
          <w:sz w:val="28"/>
          <w:szCs w:val="28"/>
        </w:rPr>
        <w:t xml:space="preserve">(6), 1942–1953. </w:t>
      </w:r>
      <w:hyperlink r:id="rId31" w:history="1">
        <w:r w:rsidRPr="001000F3">
          <w:rPr>
            <w:rStyle w:val="Hyperlink"/>
            <w:rFonts w:ascii="Times New Roman" w:hAnsi="Times New Roman" w:cs="Times New Roman"/>
            <w:sz w:val="28"/>
            <w:szCs w:val="28"/>
          </w:rPr>
          <w:t>https://doi.org/10.1111/jam.149</w:t>
        </w:r>
      </w:hyperlink>
    </w:p>
    <w:p w14:paraId="041FBF4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50FABE5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Zhang, Q., Liu, X., Wang, Y., &amp; Zhou, H. (2021). Synergistic toxicity of ochratoxin A and citrinin: Evidence from in vitro and in vivo studies. </w:t>
      </w:r>
      <w:r w:rsidRPr="005A2A75">
        <w:rPr>
          <w:rFonts w:ascii="Times New Roman" w:hAnsi="Times New Roman" w:cs="Times New Roman"/>
          <w:i/>
          <w:sz w:val="28"/>
          <w:szCs w:val="28"/>
        </w:rPr>
        <w:t>Toxicology Letters, 348</w:t>
      </w:r>
      <w:r w:rsidRPr="005A2A75">
        <w:rPr>
          <w:rFonts w:ascii="Times New Roman" w:hAnsi="Times New Roman" w:cs="Times New Roman"/>
          <w:sz w:val="28"/>
          <w:szCs w:val="28"/>
        </w:rPr>
        <w:t>, 1–9. https://doi.org/10.1016/j.toxlet.2021.04.002</w:t>
      </w:r>
    </w:p>
    <w:p w14:paraId="3E6519D9"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79D788B"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60895BCF" w14:textId="77777777" w:rsidR="006B5D2E" w:rsidRPr="006B5D2E" w:rsidRDefault="006B5D2E" w:rsidP="006B5D2E">
      <w:pPr>
        <w:spacing w:after="160" w:line="480" w:lineRule="auto"/>
        <w:ind w:left="720"/>
        <w:jc w:val="both"/>
        <w:rPr>
          <w:rFonts w:ascii="Times New Roman" w:hAnsi="Times New Roman" w:cs="Times New Roman"/>
          <w:b/>
          <w:sz w:val="28"/>
          <w:szCs w:val="28"/>
        </w:rPr>
      </w:pPr>
    </w:p>
    <w:p w14:paraId="76F41D8E" w14:textId="77777777" w:rsidR="00765B6F" w:rsidRPr="00A15154" w:rsidRDefault="00765B6F" w:rsidP="00DD34A1">
      <w:pPr>
        <w:spacing w:line="240" w:lineRule="auto"/>
        <w:jc w:val="both"/>
        <w:rPr>
          <w:rFonts w:ascii="Times New Roman" w:hAnsi="Times New Roman" w:cs="Times New Roman"/>
          <w:sz w:val="28"/>
          <w:szCs w:val="28"/>
        </w:rPr>
      </w:pPr>
    </w:p>
    <w:sectPr w:rsidR="00765B6F" w:rsidRPr="00A15154" w:rsidSect="00BD057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63ED1" w14:textId="77777777" w:rsidR="00C5689D" w:rsidRDefault="00C5689D" w:rsidP="00C5689D">
      <w:pPr>
        <w:spacing w:after="0" w:line="240" w:lineRule="auto"/>
      </w:pPr>
      <w:r>
        <w:separator/>
      </w:r>
    </w:p>
  </w:endnote>
  <w:endnote w:type="continuationSeparator" w:id="0">
    <w:p w14:paraId="30EEE6FE" w14:textId="77777777" w:rsidR="00C5689D" w:rsidRDefault="00C5689D" w:rsidP="00C5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1D678029" w14:textId="77777777" w:rsidR="00BD057E" w:rsidRDefault="00BD05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AC78BE" w14:textId="77777777" w:rsidR="00BD057E" w:rsidRDefault="00BD0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563215"/>
      <w:docPartObj>
        <w:docPartGallery w:val="Page Numbers (Bottom of Page)"/>
        <w:docPartUnique/>
      </w:docPartObj>
    </w:sdtPr>
    <w:sdtEndPr>
      <w:rPr>
        <w:noProof/>
      </w:rPr>
    </w:sdtEndPr>
    <w:sdtContent>
      <w:p w14:paraId="04ED1ADA" w14:textId="087DD650" w:rsidR="00C5689D" w:rsidRDefault="00C5689D">
        <w:pPr>
          <w:pStyle w:val="Footer"/>
          <w:jc w:val="center"/>
        </w:pPr>
        <w:r>
          <w:fldChar w:fldCharType="begin"/>
        </w:r>
        <w:r>
          <w:instrText xml:space="preserve"> PAGE   \* MERGEFORMAT </w:instrText>
        </w:r>
        <w:r>
          <w:fldChar w:fldCharType="separate"/>
        </w:r>
        <w:r w:rsidR="003356B2">
          <w:rPr>
            <w:noProof/>
          </w:rPr>
          <w:t>30</w:t>
        </w:r>
        <w:r>
          <w:rPr>
            <w:noProof/>
          </w:rPr>
          <w:fldChar w:fldCharType="end"/>
        </w:r>
      </w:p>
    </w:sdtContent>
  </w:sdt>
  <w:p w14:paraId="52D6D18C" w14:textId="77777777" w:rsidR="00C5689D" w:rsidRDefault="00C56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CDCCE" w14:textId="77777777" w:rsidR="00C5689D" w:rsidRDefault="00C5689D" w:rsidP="00C5689D">
      <w:pPr>
        <w:spacing w:after="0" w:line="240" w:lineRule="auto"/>
      </w:pPr>
      <w:r>
        <w:separator/>
      </w:r>
    </w:p>
  </w:footnote>
  <w:footnote w:type="continuationSeparator" w:id="0">
    <w:p w14:paraId="12A88F26" w14:textId="77777777" w:rsidR="00C5689D" w:rsidRDefault="00C5689D" w:rsidP="00C56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4051"/>
    <w:multiLevelType w:val="multilevel"/>
    <w:tmpl w:val="4300D20E"/>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1" w15:restartNumberingAfterBreak="0">
    <w:nsid w:val="220E34F0"/>
    <w:multiLevelType w:val="multilevel"/>
    <w:tmpl w:val="4BD0BF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7CF2531"/>
    <w:multiLevelType w:val="multilevel"/>
    <w:tmpl w:val="1206E00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A130045"/>
    <w:multiLevelType w:val="hybridMultilevel"/>
    <w:tmpl w:val="2B38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7726E"/>
    <w:multiLevelType w:val="hybridMultilevel"/>
    <w:tmpl w:val="54ACC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D1D3F"/>
    <w:multiLevelType w:val="hybridMultilevel"/>
    <w:tmpl w:val="631CC130"/>
    <w:lvl w:ilvl="0" w:tplc="E5D8441E">
      <w:start w:val="1"/>
      <w:numFmt w:val="bullet"/>
      <w:lvlText w:val=""/>
      <w:lvlJc w:val="left"/>
      <w:pPr>
        <w:ind w:left="360" w:hanging="360"/>
      </w:pPr>
      <w:rPr>
        <w:rFonts w:ascii="Wingdings" w:hAnsi="Wingdings" w:hint="default"/>
        <w:sz w:val="22"/>
      </w:rPr>
    </w:lvl>
    <w:lvl w:ilvl="1" w:tplc="A21A6B02">
      <w:numFmt w:val="decimal"/>
      <w:lvlText w:val=""/>
      <w:lvlJc w:val="left"/>
    </w:lvl>
    <w:lvl w:ilvl="2" w:tplc="95485A16">
      <w:numFmt w:val="decimal"/>
      <w:lvlText w:val=""/>
      <w:lvlJc w:val="left"/>
    </w:lvl>
    <w:lvl w:ilvl="3" w:tplc="68341002">
      <w:numFmt w:val="decimal"/>
      <w:lvlText w:val=""/>
      <w:lvlJc w:val="left"/>
    </w:lvl>
    <w:lvl w:ilvl="4" w:tplc="5C886142">
      <w:numFmt w:val="decimal"/>
      <w:lvlText w:val=""/>
      <w:lvlJc w:val="left"/>
    </w:lvl>
    <w:lvl w:ilvl="5" w:tplc="A8FC3776">
      <w:numFmt w:val="decimal"/>
      <w:lvlText w:val=""/>
      <w:lvlJc w:val="left"/>
    </w:lvl>
    <w:lvl w:ilvl="6" w:tplc="31DAE712">
      <w:numFmt w:val="decimal"/>
      <w:lvlText w:val=""/>
      <w:lvlJc w:val="left"/>
    </w:lvl>
    <w:lvl w:ilvl="7" w:tplc="1AE4FF32">
      <w:numFmt w:val="decimal"/>
      <w:lvlText w:val=""/>
      <w:lvlJc w:val="left"/>
    </w:lvl>
    <w:lvl w:ilvl="8" w:tplc="A70C1364">
      <w:numFmt w:val="decimal"/>
      <w:lvlText w:val=""/>
      <w:lvlJc w:val="left"/>
    </w:lvl>
  </w:abstractNum>
  <w:abstractNum w:abstractNumId="6"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848"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abstractNum w:abstractNumId="7" w15:restartNumberingAfterBreak="0">
    <w:nsid w:val="71256D1F"/>
    <w:multiLevelType w:val="hybridMultilevel"/>
    <w:tmpl w:val="04442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7"/>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9D3"/>
    <w:rsid w:val="0002243A"/>
    <w:rsid w:val="000575A4"/>
    <w:rsid w:val="00067BF8"/>
    <w:rsid w:val="00071AC7"/>
    <w:rsid w:val="0008272F"/>
    <w:rsid w:val="000D5351"/>
    <w:rsid w:val="0011187F"/>
    <w:rsid w:val="001269D3"/>
    <w:rsid w:val="00161A26"/>
    <w:rsid w:val="00192AF5"/>
    <w:rsid w:val="001B7CBC"/>
    <w:rsid w:val="001F59B3"/>
    <w:rsid w:val="002352E7"/>
    <w:rsid w:val="0027472D"/>
    <w:rsid w:val="002F26A4"/>
    <w:rsid w:val="0030478E"/>
    <w:rsid w:val="003307FC"/>
    <w:rsid w:val="003356B2"/>
    <w:rsid w:val="003E2783"/>
    <w:rsid w:val="003E67F0"/>
    <w:rsid w:val="00462973"/>
    <w:rsid w:val="004D02C9"/>
    <w:rsid w:val="004F6E67"/>
    <w:rsid w:val="00533C92"/>
    <w:rsid w:val="005D51CA"/>
    <w:rsid w:val="005E6FD4"/>
    <w:rsid w:val="006348C7"/>
    <w:rsid w:val="00645AAF"/>
    <w:rsid w:val="006B5D2E"/>
    <w:rsid w:val="006F04F7"/>
    <w:rsid w:val="00765B6F"/>
    <w:rsid w:val="007C1DD2"/>
    <w:rsid w:val="007E5CA2"/>
    <w:rsid w:val="00822895"/>
    <w:rsid w:val="008515B7"/>
    <w:rsid w:val="00873231"/>
    <w:rsid w:val="00883215"/>
    <w:rsid w:val="008D0051"/>
    <w:rsid w:val="008D2B30"/>
    <w:rsid w:val="008D725C"/>
    <w:rsid w:val="00932B4D"/>
    <w:rsid w:val="00940E7B"/>
    <w:rsid w:val="009D521B"/>
    <w:rsid w:val="009E20CC"/>
    <w:rsid w:val="009F5B77"/>
    <w:rsid w:val="00A14106"/>
    <w:rsid w:val="00A15154"/>
    <w:rsid w:val="00A1691A"/>
    <w:rsid w:val="00A60AAA"/>
    <w:rsid w:val="00A918A7"/>
    <w:rsid w:val="00A9402B"/>
    <w:rsid w:val="00AA4509"/>
    <w:rsid w:val="00AB3F88"/>
    <w:rsid w:val="00AD5713"/>
    <w:rsid w:val="00AF5F41"/>
    <w:rsid w:val="00B12A8D"/>
    <w:rsid w:val="00B42B05"/>
    <w:rsid w:val="00B51DD8"/>
    <w:rsid w:val="00B67D45"/>
    <w:rsid w:val="00BB2AB6"/>
    <w:rsid w:val="00BC3764"/>
    <w:rsid w:val="00BC44F3"/>
    <w:rsid w:val="00BD057E"/>
    <w:rsid w:val="00BE5F42"/>
    <w:rsid w:val="00BE71EB"/>
    <w:rsid w:val="00BE7B4F"/>
    <w:rsid w:val="00C13044"/>
    <w:rsid w:val="00C20BC6"/>
    <w:rsid w:val="00C35AE1"/>
    <w:rsid w:val="00C51BF2"/>
    <w:rsid w:val="00C53E4A"/>
    <w:rsid w:val="00C5689D"/>
    <w:rsid w:val="00C602ED"/>
    <w:rsid w:val="00C61B3C"/>
    <w:rsid w:val="00C92C9A"/>
    <w:rsid w:val="00C95AF4"/>
    <w:rsid w:val="00CB052C"/>
    <w:rsid w:val="00D23785"/>
    <w:rsid w:val="00D43FFB"/>
    <w:rsid w:val="00D518C2"/>
    <w:rsid w:val="00D7167A"/>
    <w:rsid w:val="00D74686"/>
    <w:rsid w:val="00DD34A1"/>
    <w:rsid w:val="00E32CE6"/>
    <w:rsid w:val="00E34BC8"/>
    <w:rsid w:val="00E453F5"/>
    <w:rsid w:val="00E46BB7"/>
    <w:rsid w:val="00E713DC"/>
    <w:rsid w:val="00E720F0"/>
    <w:rsid w:val="00EE344D"/>
    <w:rsid w:val="00F11E56"/>
    <w:rsid w:val="00F134DD"/>
    <w:rsid w:val="00F36E19"/>
    <w:rsid w:val="00F41B65"/>
    <w:rsid w:val="00F565BF"/>
    <w:rsid w:val="00FB384F"/>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9A8D"/>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964">
      <w:bodyDiv w:val="1"/>
      <w:marLeft w:val="0"/>
      <w:marRight w:val="0"/>
      <w:marTop w:val="0"/>
      <w:marBottom w:val="0"/>
      <w:divBdr>
        <w:top w:val="none" w:sz="0" w:space="0" w:color="auto"/>
        <w:left w:val="none" w:sz="0" w:space="0" w:color="auto"/>
        <w:bottom w:val="none" w:sz="0" w:space="0" w:color="auto"/>
        <w:right w:val="none" w:sz="0" w:space="0" w:color="auto"/>
      </w:divBdr>
    </w:div>
    <w:div w:id="24134641">
      <w:bodyDiv w:val="1"/>
      <w:marLeft w:val="0"/>
      <w:marRight w:val="0"/>
      <w:marTop w:val="0"/>
      <w:marBottom w:val="0"/>
      <w:divBdr>
        <w:top w:val="none" w:sz="0" w:space="0" w:color="auto"/>
        <w:left w:val="none" w:sz="0" w:space="0" w:color="auto"/>
        <w:bottom w:val="none" w:sz="0" w:space="0" w:color="auto"/>
        <w:right w:val="none" w:sz="0" w:space="0" w:color="auto"/>
      </w:divBdr>
    </w:div>
    <w:div w:id="46684375">
      <w:bodyDiv w:val="1"/>
      <w:marLeft w:val="0"/>
      <w:marRight w:val="0"/>
      <w:marTop w:val="0"/>
      <w:marBottom w:val="0"/>
      <w:divBdr>
        <w:top w:val="none" w:sz="0" w:space="0" w:color="auto"/>
        <w:left w:val="none" w:sz="0" w:space="0" w:color="auto"/>
        <w:bottom w:val="none" w:sz="0" w:space="0" w:color="auto"/>
        <w:right w:val="none" w:sz="0" w:space="0" w:color="auto"/>
      </w:divBdr>
    </w:div>
    <w:div w:id="104540065">
      <w:bodyDiv w:val="1"/>
      <w:marLeft w:val="0"/>
      <w:marRight w:val="0"/>
      <w:marTop w:val="0"/>
      <w:marBottom w:val="0"/>
      <w:divBdr>
        <w:top w:val="none" w:sz="0" w:space="0" w:color="auto"/>
        <w:left w:val="none" w:sz="0" w:space="0" w:color="auto"/>
        <w:bottom w:val="none" w:sz="0" w:space="0" w:color="auto"/>
        <w:right w:val="none" w:sz="0" w:space="0" w:color="auto"/>
      </w:divBdr>
    </w:div>
    <w:div w:id="242103948">
      <w:bodyDiv w:val="1"/>
      <w:marLeft w:val="0"/>
      <w:marRight w:val="0"/>
      <w:marTop w:val="0"/>
      <w:marBottom w:val="0"/>
      <w:divBdr>
        <w:top w:val="none" w:sz="0" w:space="0" w:color="auto"/>
        <w:left w:val="none" w:sz="0" w:space="0" w:color="auto"/>
        <w:bottom w:val="none" w:sz="0" w:space="0" w:color="auto"/>
        <w:right w:val="none" w:sz="0" w:space="0" w:color="auto"/>
      </w:divBdr>
    </w:div>
    <w:div w:id="244651573">
      <w:bodyDiv w:val="1"/>
      <w:marLeft w:val="0"/>
      <w:marRight w:val="0"/>
      <w:marTop w:val="0"/>
      <w:marBottom w:val="0"/>
      <w:divBdr>
        <w:top w:val="none" w:sz="0" w:space="0" w:color="auto"/>
        <w:left w:val="none" w:sz="0" w:space="0" w:color="auto"/>
        <w:bottom w:val="none" w:sz="0" w:space="0" w:color="auto"/>
        <w:right w:val="none" w:sz="0" w:space="0" w:color="auto"/>
      </w:divBdr>
    </w:div>
    <w:div w:id="277873825">
      <w:bodyDiv w:val="1"/>
      <w:marLeft w:val="0"/>
      <w:marRight w:val="0"/>
      <w:marTop w:val="0"/>
      <w:marBottom w:val="0"/>
      <w:divBdr>
        <w:top w:val="none" w:sz="0" w:space="0" w:color="auto"/>
        <w:left w:val="none" w:sz="0" w:space="0" w:color="auto"/>
        <w:bottom w:val="none" w:sz="0" w:space="0" w:color="auto"/>
        <w:right w:val="none" w:sz="0" w:space="0" w:color="auto"/>
      </w:divBdr>
    </w:div>
    <w:div w:id="409501658">
      <w:bodyDiv w:val="1"/>
      <w:marLeft w:val="0"/>
      <w:marRight w:val="0"/>
      <w:marTop w:val="0"/>
      <w:marBottom w:val="0"/>
      <w:divBdr>
        <w:top w:val="none" w:sz="0" w:space="0" w:color="auto"/>
        <w:left w:val="none" w:sz="0" w:space="0" w:color="auto"/>
        <w:bottom w:val="none" w:sz="0" w:space="0" w:color="auto"/>
        <w:right w:val="none" w:sz="0" w:space="0" w:color="auto"/>
      </w:divBdr>
    </w:div>
    <w:div w:id="448667953">
      <w:bodyDiv w:val="1"/>
      <w:marLeft w:val="0"/>
      <w:marRight w:val="0"/>
      <w:marTop w:val="0"/>
      <w:marBottom w:val="0"/>
      <w:divBdr>
        <w:top w:val="none" w:sz="0" w:space="0" w:color="auto"/>
        <w:left w:val="none" w:sz="0" w:space="0" w:color="auto"/>
        <w:bottom w:val="none" w:sz="0" w:space="0" w:color="auto"/>
        <w:right w:val="none" w:sz="0" w:space="0" w:color="auto"/>
      </w:divBdr>
    </w:div>
    <w:div w:id="537813152">
      <w:bodyDiv w:val="1"/>
      <w:marLeft w:val="0"/>
      <w:marRight w:val="0"/>
      <w:marTop w:val="0"/>
      <w:marBottom w:val="0"/>
      <w:divBdr>
        <w:top w:val="none" w:sz="0" w:space="0" w:color="auto"/>
        <w:left w:val="none" w:sz="0" w:space="0" w:color="auto"/>
        <w:bottom w:val="none" w:sz="0" w:space="0" w:color="auto"/>
        <w:right w:val="none" w:sz="0" w:space="0" w:color="auto"/>
      </w:divBdr>
    </w:div>
    <w:div w:id="563099338">
      <w:bodyDiv w:val="1"/>
      <w:marLeft w:val="0"/>
      <w:marRight w:val="0"/>
      <w:marTop w:val="0"/>
      <w:marBottom w:val="0"/>
      <w:divBdr>
        <w:top w:val="none" w:sz="0" w:space="0" w:color="auto"/>
        <w:left w:val="none" w:sz="0" w:space="0" w:color="auto"/>
        <w:bottom w:val="none" w:sz="0" w:space="0" w:color="auto"/>
        <w:right w:val="none" w:sz="0" w:space="0" w:color="auto"/>
      </w:divBdr>
    </w:div>
    <w:div w:id="630091100">
      <w:bodyDiv w:val="1"/>
      <w:marLeft w:val="0"/>
      <w:marRight w:val="0"/>
      <w:marTop w:val="0"/>
      <w:marBottom w:val="0"/>
      <w:divBdr>
        <w:top w:val="none" w:sz="0" w:space="0" w:color="auto"/>
        <w:left w:val="none" w:sz="0" w:space="0" w:color="auto"/>
        <w:bottom w:val="none" w:sz="0" w:space="0" w:color="auto"/>
        <w:right w:val="none" w:sz="0" w:space="0" w:color="auto"/>
      </w:divBdr>
    </w:div>
    <w:div w:id="692733562">
      <w:bodyDiv w:val="1"/>
      <w:marLeft w:val="0"/>
      <w:marRight w:val="0"/>
      <w:marTop w:val="0"/>
      <w:marBottom w:val="0"/>
      <w:divBdr>
        <w:top w:val="none" w:sz="0" w:space="0" w:color="auto"/>
        <w:left w:val="none" w:sz="0" w:space="0" w:color="auto"/>
        <w:bottom w:val="none" w:sz="0" w:space="0" w:color="auto"/>
        <w:right w:val="none" w:sz="0" w:space="0" w:color="auto"/>
      </w:divBdr>
    </w:div>
    <w:div w:id="711225036">
      <w:bodyDiv w:val="1"/>
      <w:marLeft w:val="0"/>
      <w:marRight w:val="0"/>
      <w:marTop w:val="0"/>
      <w:marBottom w:val="0"/>
      <w:divBdr>
        <w:top w:val="none" w:sz="0" w:space="0" w:color="auto"/>
        <w:left w:val="none" w:sz="0" w:space="0" w:color="auto"/>
        <w:bottom w:val="none" w:sz="0" w:space="0" w:color="auto"/>
        <w:right w:val="none" w:sz="0" w:space="0" w:color="auto"/>
      </w:divBdr>
    </w:div>
    <w:div w:id="772553571">
      <w:bodyDiv w:val="1"/>
      <w:marLeft w:val="0"/>
      <w:marRight w:val="0"/>
      <w:marTop w:val="0"/>
      <w:marBottom w:val="0"/>
      <w:divBdr>
        <w:top w:val="none" w:sz="0" w:space="0" w:color="auto"/>
        <w:left w:val="none" w:sz="0" w:space="0" w:color="auto"/>
        <w:bottom w:val="none" w:sz="0" w:space="0" w:color="auto"/>
        <w:right w:val="none" w:sz="0" w:space="0" w:color="auto"/>
      </w:divBdr>
    </w:div>
    <w:div w:id="905645133">
      <w:bodyDiv w:val="1"/>
      <w:marLeft w:val="0"/>
      <w:marRight w:val="0"/>
      <w:marTop w:val="0"/>
      <w:marBottom w:val="0"/>
      <w:divBdr>
        <w:top w:val="none" w:sz="0" w:space="0" w:color="auto"/>
        <w:left w:val="none" w:sz="0" w:space="0" w:color="auto"/>
        <w:bottom w:val="none" w:sz="0" w:space="0" w:color="auto"/>
        <w:right w:val="none" w:sz="0" w:space="0" w:color="auto"/>
      </w:divBdr>
    </w:div>
    <w:div w:id="943923545">
      <w:bodyDiv w:val="1"/>
      <w:marLeft w:val="0"/>
      <w:marRight w:val="0"/>
      <w:marTop w:val="0"/>
      <w:marBottom w:val="0"/>
      <w:divBdr>
        <w:top w:val="none" w:sz="0" w:space="0" w:color="auto"/>
        <w:left w:val="none" w:sz="0" w:space="0" w:color="auto"/>
        <w:bottom w:val="none" w:sz="0" w:space="0" w:color="auto"/>
        <w:right w:val="none" w:sz="0" w:space="0" w:color="auto"/>
      </w:divBdr>
    </w:div>
    <w:div w:id="947154358">
      <w:bodyDiv w:val="1"/>
      <w:marLeft w:val="0"/>
      <w:marRight w:val="0"/>
      <w:marTop w:val="0"/>
      <w:marBottom w:val="0"/>
      <w:divBdr>
        <w:top w:val="none" w:sz="0" w:space="0" w:color="auto"/>
        <w:left w:val="none" w:sz="0" w:space="0" w:color="auto"/>
        <w:bottom w:val="none" w:sz="0" w:space="0" w:color="auto"/>
        <w:right w:val="none" w:sz="0" w:space="0" w:color="auto"/>
      </w:divBdr>
    </w:div>
    <w:div w:id="1004626013">
      <w:bodyDiv w:val="1"/>
      <w:marLeft w:val="0"/>
      <w:marRight w:val="0"/>
      <w:marTop w:val="0"/>
      <w:marBottom w:val="0"/>
      <w:divBdr>
        <w:top w:val="none" w:sz="0" w:space="0" w:color="auto"/>
        <w:left w:val="none" w:sz="0" w:space="0" w:color="auto"/>
        <w:bottom w:val="none" w:sz="0" w:space="0" w:color="auto"/>
        <w:right w:val="none" w:sz="0" w:space="0" w:color="auto"/>
      </w:divBdr>
    </w:div>
    <w:div w:id="1020200223">
      <w:bodyDiv w:val="1"/>
      <w:marLeft w:val="0"/>
      <w:marRight w:val="0"/>
      <w:marTop w:val="0"/>
      <w:marBottom w:val="0"/>
      <w:divBdr>
        <w:top w:val="none" w:sz="0" w:space="0" w:color="auto"/>
        <w:left w:val="none" w:sz="0" w:space="0" w:color="auto"/>
        <w:bottom w:val="none" w:sz="0" w:space="0" w:color="auto"/>
        <w:right w:val="none" w:sz="0" w:space="0" w:color="auto"/>
      </w:divBdr>
    </w:div>
    <w:div w:id="1038622115">
      <w:bodyDiv w:val="1"/>
      <w:marLeft w:val="0"/>
      <w:marRight w:val="0"/>
      <w:marTop w:val="0"/>
      <w:marBottom w:val="0"/>
      <w:divBdr>
        <w:top w:val="none" w:sz="0" w:space="0" w:color="auto"/>
        <w:left w:val="none" w:sz="0" w:space="0" w:color="auto"/>
        <w:bottom w:val="none" w:sz="0" w:space="0" w:color="auto"/>
        <w:right w:val="none" w:sz="0" w:space="0" w:color="auto"/>
      </w:divBdr>
    </w:div>
    <w:div w:id="1046833430">
      <w:bodyDiv w:val="1"/>
      <w:marLeft w:val="0"/>
      <w:marRight w:val="0"/>
      <w:marTop w:val="0"/>
      <w:marBottom w:val="0"/>
      <w:divBdr>
        <w:top w:val="none" w:sz="0" w:space="0" w:color="auto"/>
        <w:left w:val="none" w:sz="0" w:space="0" w:color="auto"/>
        <w:bottom w:val="none" w:sz="0" w:space="0" w:color="auto"/>
        <w:right w:val="none" w:sz="0" w:space="0" w:color="auto"/>
      </w:divBdr>
    </w:div>
    <w:div w:id="1061371506">
      <w:bodyDiv w:val="1"/>
      <w:marLeft w:val="0"/>
      <w:marRight w:val="0"/>
      <w:marTop w:val="0"/>
      <w:marBottom w:val="0"/>
      <w:divBdr>
        <w:top w:val="none" w:sz="0" w:space="0" w:color="auto"/>
        <w:left w:val="none" w:sz="0" w:space="0" w:color="auto"/>
        <w:bottom w:val="none" w:sz="0" w:space="0" w:color="auto"/>
        <w:right w:val="none" w:sz="0" w:space="0" w:color="auto"/>
      </w:divBdr>
    </w:div>
    <w:div w:id="1248731857">
      <w:bodyDiv w:val="1"/>
      <w:marLeft w:val="0"/>
      <w:marRight w:val="0"/>
      <w:marTop w:val="0"/>
      <w:marBottom w:val="0"/>
      <w:divBdr>
        <w:top w:val="none" w:sz="0" w:space="0" w:color="auto"/>
        <w:left w:val="none" w:sz="0" w:space="0" w:color="auto"/>
        <w:bottom w:val="none" w:sz="0" w:space="0" w:color="auto"/>
        <w:right w:val="none" w:sz="0" w:space="0" w:color="auto"/>
      </w:divBdr>
    </w:div>
    <w:div w:id="1273439918">
      <w:bodyDiv w:val="1"/>
      <w:marLeft w:val="0"/>
      <w:marRight w:val="0"/>
      <w:marTop w:val="0"/>
      <w:marBottom w:val="0"/>
      <w:divBdr>
        <w:top w:val="none" w:sz="0" w:space="0" w:color="auto"/>
        <w:left w:val="none" w:sz="0" w:space="0" w:color="auto"/>
        <w:bottom w:val="none" w:sz="0" w:space="0" w:color="auto"/>
        <w:right w:val="none" w:sz="0" w:space="0" w:color="auto"/>
      </w:divBdr>
    </w:div>
    <w:div w:id="1373924523">
      <w:bodyDiv w:val="1"/>
      <w:marLeft w:val="0"/>
      <w:marRight w:val="0"/>
      <w:marTop w:val="0"/>
      <w:marBottom w:val="0"/>
      <w:divBdr>
        <w:top w:val="none" w:sz="0" w:space="0" w:color="auto"/>
        <w:left w:val="none" w:sz="0" w:space="0" w:color="auto"/>
        <w:bottom w:val="none" w:sz="0" w:space="0" w:color="auto"/>
        <w:right w:val="none" w:sz="0" w:space="0" w:color="auto"/>
      </w:divBdr>
    </w:div>
    <w:div w:id="1374886132">
      <w:bodyDiv w:val="1"/>
      <w:marLeft w:val="0"/>
      <w:marRight w:val="0"/>
      <w:marTop w:val="0"/>
      <w:marBottom w:val="0"/>
      <w:divBdr>
        <w:top w:val="none" w:sz="0" w:space="0" w:color="auto"/>
        <w:left w:val="none" w:sz="0" w:space="0" w:color="auto"/>
        <w:bottom w:val="none" w:sz="0" w:space="0" w:color="auto"/>
        <w:right w:val="none" w:sz="0" w:space="0" w:color="auto"/>
      </w:divBdr>
    </w:div>
    <w:div w:id="1425805729">
      <w:bodyDiv w:val="1"/>
      <w:marLeft w:val="0"/>
      <w:marRight w:val="0"/>
      <w:marTop w:val="0"/>
      <w:marBottom w:val="0"/>
      <w:divBdr>
        <w:top w:val="none" w:sz="0" w:space="0" w:color="auto"/>
        <w:left w:val="none" w:sz="0" w:space="0" w:color="auto"/>
        <w:bottom w:val="none" w:sz="0" w:space="0" w:color="auto"/>
        <w:right w:val="none" w:sz="0" w:space="0" w:color="auto"/>
      </w:divBdr>
    </w:div>
    <w:div w:id="1427919520">
      <w:bodyDiv w:val="1"/>
      <w:marLeft w:val="0"/>
      <w:marRight w:val="0"/>
      <w:marTop w:val="0"/>
      <w:marBottom w:val="0"/>
      <w:divBdr>
        <w:top w:val="none" w:sz="0" w:space="0" w:color="auto"/>
        <w:left w:val="none" w:sz="0" w:space="0" w:color="auto"/>
        <w:bottom w:val="none" w:sz="0" w:space="0" w:color="auto"/>
        <w:right w:val="none" w:sz="0" w:space="0" w:color="auto"/>
      </w:divBdr>
    </w:div>
    <w:div w:id="1436710275">
      <w:bodyDiv w:val="1"/>
      <w:marLeft w:val="0"/>
      <w:marRight w:val="0"/>
      <w:marTop w:val="0"/>
      <w:marBottom w:val="0"/>
      <w:divBdr>
        <w:top w:val="none" w:sz="0" w:space="0" w:color="auto"/>
        <w:left w:val="none" w:sz="0" w:space="0" w:color="auto"/>
        <w:bottom w:val="none" w:sz="0" w:space="0" w:color="auto"/>
        <w:right w:val="none" w:sz="0" w:space="0" w:color="auto"/>
      </w:divBdr>
    </w:div>
    <w:div w:id="1461533873">
      <w:bodyDiv w:val="1"/>
      <w:marLeft w:val="0"/>
      <w:marRight w:val="0"/>
      <w:marTop w:val="0"/>
      <w:marBottom w:val="0"/>
      <w:divBdr>
        <w:top w:val="none" w:sz="0" w:space="0" w:color="auto"/>
        <w:left w:val="none" w:sz="0" w:space="0" w:color="auto"/>
        <w:bottom w:val="none" w:sz="0" w:space="0" w:color="auto"/>
        <w:right w:val="none" w:sz="0" w:space="0" w:color="auto"/>
      </w:divBdr>
    </w:div>
    <w:div w:id="1465780885">
      <w:bodyDiv w:val="1"/>
      <w:marLeft w:val="0"/>
      <w:marRight w:val="0"/>
      <w:marTop w:val="0"/>
      <w:marBottom w:val="0"/>
      <w:divBdr>
        <w:top w:val="none" w:sz="0" w:space="0" w:color="auto"/>
        <w:left w:val="none" w:sz="0" w:space="0" w:color="auto"/>
        <w:bottom w:val="none" w:sz="0" w:space="0" w:color="auto"/>
        <w:right w:val="none" w:sz="0" w:space="0" w:color="auto"/>
      </w:divBdr>
    </w:div>
    <w:div w:id="1528836234">
      <w:bodyDiv w:val="1"/>
      <w:marLeft w:val="0"/>
      <w:marRight w:val="0"/>
      <w:marTop w:val="0"/>
      <w:marBottom w:val="0"/>
      <w:divBdr>
        <w:top w:val="none" w:sz="0" w:space="0" w:color="auto"/>
        <w:left w:val="none" w:sz="0" w:space="0" w:color="auto"/>
        <w:bottom w:val="none" w:sz="0" w:space="0" w:color="auto"/>
        <w:right w:val="none" w:sz="0" w:space="0" w:color="auto"/>
      </w:divBdr>
    </w:div>
    <w:div w:id="1549492787">
      <w:bodyDiv w:val="1"/>
      <w:marLeft w:val="0"/>
      <w:marRight w:val="0"/>
      <w:marTop w:val="0"/>
      <w:marBottom w:val="0"/>
      <w:divBdr>
        <w:top w:val="none" w:sz="0" w:space="0" w:color="auto"/>
        <w:left w:val="none" w:sz="0" w:space="0" w:color="auto"/>
        <w:bottom w:val="none" w:sz="0" w:space="0" w:color="auto"/>
        <w:right w:val="none" w:sz="0" w:space="0" w:color="auto"/>
      </w:divBdr>
    </w:div>
    <w:div w:id="1739354726">
      <w:bodyDiv w:val="1"/>
      <w:marLeft w:val="0"/>
      <w:marRight w:val="0"/>
      <w:marTop w:val="0"/>
      <w:marBottom w:val="0"/>
      <w:divBdr>
        <w:top w:val="none" w:sz="0" w:space="0" w:color="auto"/>
        <w:left w:val="none" w:sz="0" w:space="0" w:color="auto"/>
        <w:bottom w:val="none" w:sz="0" w:space="0" w:color="auto"/>
        <w:right w:val="none" w:sz="0" w:space="0" w:color="auto"/>
      </w:divBdr>
    </w:div>
    <w:div w:id="1751543032">
      <w:bodyDiv w:val="1"/>
      <w:marLeft w:val="0"/>
      <w:marRight w:val="0"/>
      <w:marTop w:val="0"/>
      <w:marBottom w:val="0"/>
      <w:divBdr>
        <w:top w:val="none" w:sz="0" w:space="0" w:color="auto"/>
        <w:left w:val="none" w:sz="0" w:space="0" w:color="auto"/>
        <w:bottom w:val="none" w:sz="0" w:space="0" w:color="auto"/>
        <w:right w:val="none" w:sz="0" w:space="0" w:color="auto"/>
      </w:divBdr>
    </w:div>
    <w:div w:id="1805197418">
      <w:bodyDiv w:val="1"/>
      <w:marLeft w:val="0"/>
      <w:marRight w:val="0"/>
      <w:marTop w:val="0"/>
      <w:marBottom w:val="0"/>
      <w:divBdr>
        <w:top w:val="none" w:sz="0" w:space="0" w:color="auto"/>
        <w:left w:val="none" w:sz="0" w:space="0" w:color="auto"/>
        <w:bottom w:val="none" w:sz="0" w:space="0" w:color="auto"/>
        <w:right w:val="none" w:sz="0" w:space="0" w:color="auto"/>
      </w:divBdr>
    </w:div>
    <w:div w:id="1864171576">
      <w:bodyDiv w:val="1"/>
      <w:marLeft w:val="0"/>
      <w:marRight w:val="0"/>
      <w:marTop w:val="0"/>
      <w:marBottom w:val="0"/>
      <w:divBdr>
        <w:top w:val="none" w:sz="0" w:space="0" w:color="auto"/>
        <w:left w:val="none" w:sz="0" w:space="0" w:color="auto"/>
        <w:bottom w:val="none" w:sz="0" w:space="0" w:color="auto"/>
        <w:right w:val="none" w:sz="0" w:space="0" w:color="auto"/>
      </w:divBdr>
    </w:div>
    <w:div w:id="20515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3390/toxins14020094" TargetMode="External"/><Relationship Id="rId26" Type="http://schemas.openxmlformats.org/officeDocument/2006/relationships/hyperlink" Target="https://doi.org/10.3389/fmicb.2023.1089642" TargetMode="External"/><Relationship Id="rId3" Type="http://schemas.openxmlformats.org/officeDocument/2006/relationships/settings" Target="settings.xml"/><Relationship Id="rId21" Type="http://schemas.openxmlformats.org/officeDocument/2006/relationships/hyperlink" Target="https://doi.org/10.5897/AJFS2021.2101" TargetMode="External"/><Relationship Id="rId7" Type="http://schemas.openxmlformats.org/officeDocument/2006/relationships/footer" Target="footer1.xml"/><Relationship Id="rId12" Type="http://schemas.openxmlformats.org/officeDocument/2006/relationships/chart" Target="charts/chart1.xml"/><Relationship Id="rId17" Type="http://schemas.openxmlformats.org/officeDocument/2006/relationships/hyperlink" Target="https://doi.org/10.3390/ijerph17124452" TargetMode="External"/><Relationship Id="rId25" Type="http://schemas.openxmlformats.org/officeDocument/2006/relationships/hyperlink" Target="https://doi.org/10.1016/j.ijfoodmicro.2023.10991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s://doi.org/10.1093/mmy/myac014" TargetMode="External"/><Relationship Id="rId29" Type="http://schemas.openxmlformats.org/officeDocument/2006/relationships/hyperlink" Target="https://doi.org/10.1007/s00216-020-03063-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hyperlink" Target="https://doi.org/10.1016/j.ijfoodmicro.2023.10991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yperlink" Target="https://doi.org/10.1016/j.envres.2022.114906" TargetMode="External"/><Relationship Id="rId28" Type="http://schemas.openxmlformats.org/officeDocument/2006/relationships/hyperlink" Target="https://doi.org/10.1016/j.fct.2023.113559" TargetMode="External"/><Relationship Id="rId10" Type="http://schemas.openxmlformats.org/officeDocument/2006/relationships/image" Target="media/image2.jpg"/><Relationship Id="rId19" Type="http://schemas.openxmlformats.org/officeDocument/2006/relationships/hyperlink" Target="https://doi.org/10.3390/toxins14010044" TargetMode="External"/><Relationship Id="rId31" Type="http://schemas.openxmlformats.org/officeDocument/2006/relationships/hyperlink" Target="https://doi.org/10.1111/jam.149"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3.xml"/><Relationship Id="rId22" Type="http://schemas.openxmlformats.org/officeDocument/2006/relationships/hyperlink" Target="https://doi.org/10.3389/fmicb.2023.1190325" TargetMode="External"/><Relationship Id="rId27" Type="http://schemas.openxmlformats.org/officeDocument/2006/relationships/hyperlink" Target="https://doi.org/10.1016/j.fct.2023.113559" TargetMode="External"/><Relationship Id="rId30" Type="http://schemas.openxmlformats.org/officeDocument/2006/relationships/hyperlink" Target="https://doi.org/10.1016/j.jscs.2010.06.006" TargetMode="External"/><Relationship Id="rId8"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1</c:v>
                </c:pt>
                <c:pt idx="3">
                  <c:v>6</c:v>
                </c:pt>
              </c:numCache>
            </c:numRef>
          </c:val>
          <c:extLst>
            <c:ext xmlns:c16="http://schemas.microsoft.com/office/drawing/2014/chart" uri="{C3380CC4-5D6E-409C-BE32-E72D297353CC}">
              <c16:uniqueId val="{00000000-3E7F-4F8E-870C-7A1E1AFEC7D3}"/>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2.5</c:v>
                </c:pt>
                <c:pt idx="1">
                  <c:v>2.5</c:v>
                </c:pt>
                <c:pt idx="2">
                  <c:v>2.5</c:v>
                </c:pt>
                <c:pt idx="3">
                  <c:v>0</c:v>
                </c:pt>
              </c:numCache>
            </c:numRef>
          </c:val>
          <c:extLst>
            <c:ext xmlns:c16="http://schemas.microsoft.com/office/drawing/2014/chart" uri="{C3380CC4-5D6E-409C-BE32-E72D297353CC}">
              <c16:uniqueId val="{00000001-3E7F-4F8E-870C-7A1E1AFEC7D3}"/>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3</c:v>
                </c:pt>
                <c:pt idx="1">
                  <c:v>3</c:v>
                </c:pt>
                <c:pt idx="2">
                  <c:v>3</c:v>
                </c:pt>
                <c:pt idx="3">
                  <c:v>0</c:v>
                </c:pt>
              </c:numCache>
            </c:numRef>
          </c:val>
          <c:extLst>
            <c:ext xmlns:c16="http://schemas.microsoft.com/office/drawing/2014/chart" uri="{C3380CC4-5D6E-409C-BE32-E72D297353CC}">
              <c16:uniqueId val="{00000002-3E7F-4F8E-870C-7A1E1AFEC7D3}"/>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0</c:v>
                </c:pt>
              </c:numCache>
            </c:numRef>
          </c:val>
          <c:extLst>
            <c:ext xmlns:c16="http://schemas.microsoft.com/office/drawing/2014/chart" uri="{C3380CC4-5D6E-409C-BE32-E72D297353CC}">
              <c16:uniqueId val="{00000003-3E7F-4F8E-870C-7A1E1AFEC7D3}"/>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4</c:v>
                </c:pt>
                <c:pt idx="1">
                  <c:v>4</c:v>
                </c:pt>
                <c:pt idx="2">
                  <c:v>4</c:v>
                </c:pt>
                <c:pt idx="3">
                  <c:v>0</c:v>
                </c:pt>
              </c:numCache>
            </c:numRef>
          </c:val>
          <c:extLst>
            <c:ext xmlns:c16="http://schemas.microsoft.com/office/drawing/2014/chart" uri="{C3380CC4-5D6E-409C-BE32-E72D297353CC}">
              <c16:uniqueId val="{00000004-3E7F-4F8E-870C-7A1E1AFEC7D3}"/>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numCache>
            </c:numRef>
          </c:val>
          <c:extLst>
            <c:ext xmlns:c16="http://schemas.microsoft.com/office/drawing/2014/chart" uri="{C3380CC4-5D6E-409C-BE32-E72D297353CC}">
              <c16:uniqueId val="{00000005-3E7F-4F8E-870C-7A1E1AFEC7D3}"/>
            </c:ext>
          </c:extLst>
        </c:ser>
        <c:dLbls>
          <c:showLegendKey val="0"/>
          <c:showVal val="0"/>
          <c:showCatName val="0"/>
          <c:showSerName val="0"/>
          <c:showPercent val="0"/>
          <c:showBubbleSize val="0"/>
        </c:dLbls>
        <c:gapWidth val="219"/>
        <c:overlap val="-27"/>
        <c:axId val="127947136"/>
        <c:axId val="127948672"/>
      </c:barChart>
      <c:catAx>
        <c:axId val="12794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48672"/>
        <c:crosses val="autoZero"/>
        <c:auto val="1"/>
        <c:lblAlgn val="ctr"/>
        <c:lblOffset val="100"/>
        <c:noMultiLvlLbl val="0"/>
      </c:catAx>
      <c:valAx>
        <c:axId val="12794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4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3"/>
                <c:pt idx="0">
                  <c:v>DAY 1</c:v>
                </c:pt>
                <c:pt idx="1">
                  <c:v>DAY 2</c:v>
                </c:pt>
                <c:pt idx="2">
                  <c:v>DAY 3</c:v>
                </c:pt>
              </c:strCache>
            </c:strRef>
          </c:cat>
          <c:val>
            <c:numRef>
              <c:f>Sheet1!$B$2:$B$5</c:f>
              <c:numCache>
                <c:formatCode>General</c:formatCode>
                <c:ptCount val="4"/>
                <c:pt idx="0">
                  <c:v>1</c:v>
                </c:pt>
                <c:pt idx="1">
                  <c:v>1</c:v>
                </c:pt>
                <c:pt idx="2">
                  <c:v>6</c:v>
                </c:pt>
                <c:pt idx="3">
                  <c:v>0</c:v>
                </c:pt>
              </c:numCache>
            </c:numRef>
          </c:val>
          <c:extLst>
            <c:ext xmlns:c16="http://schemas.microsoft.com/office/drawing/2014/chart" uri="{C3380CC4-5D6E-409C-BE32-E72D297353CC}">
              <c16:uniqueId val="{00000000-4909-44C0-979A-6BC22E5EEFB5}"/>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3"/>
                <c:pt idx="0">
                  <c:v>DAY 1</c:v>
                </c:pt>
                <c:pt idx="1">
                  <c:v>DAY 2</c:v>
                </c:pt>
                <c:pt idx="2">
                  <c:v>DAY 3</c:v>
                </c:pt>
              </c:strCache>
            </c:strRef>
          </c:cat>
          <c:val>
            <c:numRef>
              <c:f>Sheet1!$C$2:$C$5</c:f>
              <c:numCache>
                <c:formatCode>General</c:formatCode>
                <c:ptCount val="4"/>
                <c:pt idx="0">
                  <c:v>2.5</c:v>
                </c:pt>
                <c:pt idx="1">
                  <c:v>2</c:v>
                </c:pt>
                <c:pt idx="2">
                  <c:v>0</c:v>
                </c:pt>
                <c:pt idx="3">
                  <c:v>0</c:v>
                </c:pt>
              </c:numCache>
            </c:numRef>
          </c:val>
          <c:extLst>
            <c:ext xmlns:c16="http://schemas.microsoft.com/office/drawing/2014/chart" uri="{C3380CC4-5D6E-409C-BE32-E72D297353CC}">
              <c16:uniqueId val="{00000001-4909-44C0-979A-6BC22E5EEFB5}"/>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3"/>
                <c:pt idx="0">
                  <c:v>DAY 1</c:v>
                </c:pt>
                <c:pt idx="1">
                  <c:v>DAY 2</c:v>
                </c:pt>
                <c:pt idx="2">
                  <c:v>DAY 3</c:v>
                </c:pt>
              </c:strCache>
            </c:strRef>
          </c:cat>
          <c:val>
            <c:numRef>
              <c:f>Sheet1!$D$2:$D$5</c:f>
              <c:numCache>
                <c:formatCode>General</c:formatCode>
                <c:ptCount val="4"/>
                <c:pt idx="0">
                  <c:v>1</c:v>
                </c:pt>
                <c:pt idx="1">
                  <c:v>1.5</c:v>
                </c:pt>
                <c:pt idx="2">
                  <c:v>0</c:v>
                </c:pt>
                <c:pt idx="3">
                  <c:v>0</c:v>
                </c:pt>
              </c:numCache>
            </c:numRef>
          </c:val>
          <c:extLst>
            <c:ext xmlns:c16="http://schemas.microsoft.com/office/drawing/2014/chart" uri="{C3380CC4-5D6E-409C-BE32-E72D297353CC}">
              <c16:uniqueId val="{00000002-4909-44C0-979A-6BC22E5EEFB5}"/>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3"/>
                <c:pt idx="0">
                  <c:v>DAY 1</c:v>
                </c:pt>
                <c:pt idx="1">
                  <c:v>DAY 2</c:v>
                </c:pt>
                <c:pt idx="2">
                  <c:v>DAY 3</c:v>
                </c:pt>
              </c:strCache>
            </c:strRef>
          </c:cat>
          <c:val>
            <c:numRef>
              <c:f>Sheet1!$E$2:$E$5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3-4909-44C0-979A-6BC22E5EEFB5}"/>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3"/>
                <c:pt idx="0">
                  <c:v>DAY 1</c:v>
                </c:pt>
                <c:pt idx="1">
                  <c:v>DAY 2</c:v>
                </c:pt>
                <c:pt idx="2">
                  <c:v>DAY 3</c:v>
                </c:pt>
              </c:strCache>
            </c:strRef>
          </c:cat>
          <c:val>
            <c:numRef>
              <c:f>Sheet1!$F$2:$F$5</c:f>
              <c:numCache>
                <c:formatCode>General</c:formatCode>
                <c:ptCount val="4"/>
                <c:pt idx="0">
                  <c:v>4</c:v>
                </c:pt>
                <c:pt idx="1">
                  <c:v>4</c:v>
                </c:pt>
                <c:pt idx="2">
                  <c:v>0</c:v>
                </c:pt>
                <c:pt idx="3">
                  <c:v>0</c:v>
                </c:pt>
              </c:numCache>
            </c:numRef>
          </c:val>
          <c:extLst>
            <c:ext xmlns:c16="http://schemas.microsoft.com/office/drawing/2014/chart" uri="{C3380CC4-5D6E-409C-BE32-E72D297353CC}">
              <c16:uniqueId val="{00000004-4909-44C0-979A-6BC22E5EEFB5}"/>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3"/>
                <c:pt idx="0">
                  <c:v>DAY 1</c:v>
                </c:pt>
                <c:pt idx="1">
                  <c:v>DAY 2</c:v>
                </c:pt>
                <c:pt idx="2">
                  <c:v>DAY 3</c:v>
                </c:pt>
              </c:strCache>
            </c:strRef>
          </c:cat>
          <c:val>
            <c:numRef>
              <c:f>Sheet1!$G$2:$G$5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5-4909-44C0-979A-6BC22E5EEFB5}"/>
            </c:ext>
          </c:extLst>
        </c:ser>
        <c:dLbls>
          <c:showLegendKey val="0"/>
          <c:showVal val="0"/>
          <c:showCatName val="0"/>
          <c:showSerName val="0"/>
          <c:showPercent val="0"/>
          <c:showBubbleSize val="0"/>
        </c:dLbls>
        <c:gapWidth val="219"/>
        <c:overlap val="-27"/>
        <c:axId val="134021504"/>
        <c:axId val="134023040"/>
      </c:barChart>
      <c:catAx>
        <c:axId val="13402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23040"/>
        <c:crosses val="autoZero"/>
        <c:auto val="1"/>
        <c:lblAlgn val="ctr"/>
        <c:lblOffset val="100"/>
        <c:noMultiLvlLbl val="0"/>
      </c:catAx>
      <c:valAx>
        <c:axId val="13402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2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4.5</c:v>
                </c:pt>
                <c:pt idx="3">
                  <c:v>4.5</c:v>
                </c:pt>
              </c:numCache>
            </c:numRef>
          </c:val>
          <c:extLst>
            <c:ext xmlns:c16="http://schemas.microsoft.com/office/drawing/2014/chart" uri="{C3380CC4-5D6E-409C-BE32-E72D297353CC}">
              <c16:uniqueId val="{00000000-76DE-4761-AAE5-3396AB024427}"/>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1</c:v>
                </c:pt>
                <c:pt idx="1">
                  <c:v>1</c:v>
                </c:pt>
                <c:pt idx="2">
                  <c:v>2</c:v>
                </c:pt>
                <c:pt idx="3">
                  <c:v>2</c:v>
                </c:pt>
              </c:numCache>
            </c:numRef>
          </c:val>
          <c:extLst>
            <c:ext xmlns:c16="http://schemas.microsoft.com/office/drawing/2014/chart" uri="{C3380CC4-5D6E-409C-BE32-E72D297353CC}">
              <c16:uniqueId val="{00000001-76DE-4761-AAE5-3396AB024427}"/>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1</c:v>
                </c:pt>
                <c:pt idx="1">
                  <c:v>1</c:v>
                </c:pt>
                <c:pt idx="2">
                  <c:v>1.5</c:v>
                </c:pt>
                <c:pt idx="3">
                  <c:v>5.5</c:v>
                </c:pt>
              </c:numCache>
            </c:numRef>
          </c:val>
          <c:extLst>
            <c:ext xmlns:c16="http://schemas.microsoft.com/office/drawing/2014/chart" uri="{C3380CC4-5D6E-409C-BE32-E72D297353CC}">
              <c16:uniqueId val="{00000002-76DE-4761-AAE5-3396AB024427}"/>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3.5</c:v>
                </c:pt>
              </c:numCache>
            </c:numRef>
          </c:val>
          <c:extLst>
            <c:ext xmlns:c16="http://schemas.microsoft.com/office/drawing/2014/chart" uri="{C3380CC4-5D6E-409C-BE32-E72D297353CC}">
              <c16:uniqueId val="{00000003-76DE-4761-AAE5-3396AB024427}"/>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1</c:v>
                </c:pt>
                <c:pt idx="1">
                  <c:v>1</c:v>
                </c:pt>
                <c:pt idx="2">
                  <c:v>4</c:v>
                </c:pt>
                <c:pt idx="3">
                  <c:v>4</c:v>
                </c:pt>
              </c:numCache>
            </c:numRef>
          </c:val>
          <c:extLst>
            <c:ext xmlns:c16="http://schemas.microsoft.com/office/drawing/2014/chart" uri="{C3380CC4-5D6E-409C-BE32-E72D297353CC}">
              <c16:uniqueId val="{00000004-76DE-4761-AAE5-3396AB024427}"/>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pt idx="3">
                  <c:v>0</c:v>
                </c:pt>
              </c:numCache>
            </c:numRef>
          </c:val>
          <c:extLst>
            <c:ext xmlns:c16="http://schemas.microsoft.com/office/drawing/2014/chart" uri="{C3380CC4-5D6E-409C-BE32-E72D297353CC}">
              <c16:uniqueId val="{00000005-76DE-4761-AAE5-3396AB024427}"/>
            </c:ext>
          </c:extLst>
        </c:ser>
        <c:dLbls>
          <c:showLegendKey val="0"/>
          <c:showVal val="0"/>
          <c:showCatName val="0"/>
          <c:showSerName val="0"/>
          <c:showPercent val="0"/>
          <c:showBubbleSize val="0"/>
        </c:dLbls>
        <c:gapWidth val="219"/>
        <c:overlap val="-27"/>
        <c:axId val="134115712"/>
        <c:axId val="134117248"/>
      </c:barChart>
      <c:catAx>
        <c:axId val="1341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17248"/>
        <c:crosses val="autoZero"/>
        <c:auto val="1"/>
        <c:lblAlgn val="ctr"/>
        <c:lblOffset val="100"/>
        <c:noMultiLvlLbl val="0"/>
      </c:catAx>
      <c:valAx>
        <c:axId val="13411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2"/>
                <c:pt idx="0">
                  <c:v>DAY 1</c:v>
                </c:pt>
                <c:pt idx="1">
                  <c:v>DAY 2</c:v>
                </c:pt>
              </c:strCache>
            </c:strRef>
          </c:cat>
          <c:val>
            <c:numRef>
              <c:f>Sheet1!$B$2:$B$5</c:f>
              <c:numCache>
                <c:formatCode>General</c:formatCode>
                <c:ptCount val="4"/>
                <c:pt idx="0">
                  <c:v>1</c:v>
                </c:pt>
                <c:pt idx="1">
                  <c:v>6</c:v>
                </c:pt>
              </c:numCache>
            </c:numRef>
          </c:val>
          <c:extLst>
            <c:ext xmlns:c16="http://schemas.microsoft.com/office/drawing/2014/chart" uri="{C3380CC4-5D6E-409C-BE32-E72D297353CC}">
              <c16:uniqueId val="{00000000-A71C-4B48-8827-CAD736FDD1AD}"/>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2"/>
                <c:pt idx="0">
                  <c:v>DAY 1</c:v>
                </c:pt>
                <c:pt idx="1">
                  <c:v>DAY 2</c:v>
                </c:pt>
              </c:strCache>
            </c:strRef>
          </c:cat>
          <c:val>
            <c:numRef>
              <c:f>Sheet1!$C$2:$C$5</c:f>
              <c:numCache>
                <c:formatCode>General</c:formatCode>
                <c:ptCount val="4"/>
                <c:pt idx="0">
                  <c:v>1</c:v>
                </c:pt>
              </c:numCache>
            </c:numRef>
          </c:val>
          <c:extLst>
            <c:ext xmlns:c16="http://schemas.microsoft.com/office/drawing/2014/chart" uri="{C3380CC4-5D6E-409C-BE32-E72D297353CC}">
              <c16:uniqueId val="{00000001-A71C-4B48-8827-CAD736FDD1AD}"/>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2"/>
                <c:pt idx="0">
                  <c:v>DAY 1</c:v>
                </c:pt>
                <c:pt idx="1">
                  <c:v>DAY 2</c:v>
                </c:pt>
              </c:strCache>
            </c:strRef>
          </c:cat>
          <c:val>
            <c:numRef>
              <c:f>Sheet1!$D$2:$D$5</c:f>
              <c:numCache>
                <c:formatCode>General</c:formatCode>
                <c:ptCount val="4"/>
                <c:pt idx="0">
                  <c:v>1</c:v>
                </c:pt>
              </c:numCache>
            </c:numRef>
          </c:val>
          <c:extLst>
            <c:ext xmlns:c16="http://schemas.microsoft.com/office/drawing/2014/chart" uri="{C3380CC4-5D6E-409C-BE32-E72D297353CC}">
              <c16:uniqueId val="{00000002-A71C-4B48-8827-CAD736FDD1AD}"/>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2"/>
                <c:pt idx="0">
                  <c:v>DAY 1</c:v>
                </c:pt>
                <c:pt idx="1">
                  <c:v>DAY 2</c:v>
                </c:pt>
              </c:strCache>
            </c:strRef>
          </c:cat>
          <c:val>
            <c:numRef>
              <c:f>Sheet1!$E$2:$E$5</c:f>
              <c:numCache>
                <c:formatCode>General</c:formatCode>
                <c:ptCount val="4"/>
                <c:pt idx="0">
                  <c:v>1</c:v>
                </c:pt>
              </c:numCache>
            </c:numRef>
          </c:val>
          <c:extLst>
            <c:ext xmlns:c16="http://schemas.microsoft.com/office/drawing/2014/chart" uri="{C3380CC4-5D6E-409C-BE32-E72D297353CC}">
              <c16:uniqueId val="{00000003-A71C-4B48-8827-CAD736FDD1AD}"/>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2"/>
                <c:pt idx="0">
                  <c:v>DAY 1</c:v>
                </c:pt>
                <c:pt idx="1">
                  <c:v>DAY 2</c:v>
                </c:pt>
              </c:strCache>
            </c:strRef>
          </c:cat>
          <c:val>
            <c:numRef>
              <c:f>Sheet1!$F$2:$F$5</c:f>
              <c:numCache>
                <c:formatCode>General</c:formatCode>
                <c:ptCount val="4"/>
                <c:pt idx="0">
                  <c:v>1</c:v>
                </c:pt>
              </c:numCache>
            </c:numRef>
          </c:val>
          <c:extLst>
            <c:ext xmlns:c16="http://schemas.microsoft.com/office/drawing/2014/chart" uri="{C3380CC4-5D6E-409C-BE32-E72D297353CC}">
              <c16:uniqueId val="{00000004-A71C-4B48-8827-CAD736FDD1AD}"/>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2"/>
                <c:pt idx="0">
                  <c:v>DAY 1</c:v>
                </c:pt>
                <c:pt idx="1">
                  <c:v>DAY 2</c:v>
                </c:pt>
              </c:strCache>
            </c:strRef>
          </c:cat>
          <c:val>
            <c:numRef>
              <c:f>Sheet1!$G$2:$G$5</c:f>
              <c:numCache>
                <c:formatCode>General</c:formatCode>
                <c:ptCount val="4"/>
                <c:pt idx="0">
                  <c:v>1</c:v>
                </c:pt>
              </c:numCache>
            </c:numRef>
          </c:val>
          <c:extLst>
            <c:ext xmlns:c16="http://schemas.microsoft.com/office/drawing/2014/chart" uri="{C3380CC4-5D6E-409C-BE32-E72D297353CC}">
              <c16:uniqueId val="{00000005-A71C-4B48-8827-CAD736FDD1AD}"/>
            </c:ext>
          </c:extLst>
        </c:ser>
        <c:dLbls>
          <c:showLegendKey val="0"/>
          <c:showVal val="0"/>
          <c:showCatName val="0"/>
          <c:showSerName val="0"/>
          <c:showPercent val="0"/>
          <c:showBubbleSize val="0"/>
        </c:dLbls>
        <c:gapWidth val="219"/>
        <c:overlap val="-27"/>
        <c:axId val="155009408"/>
        <c:axId val="155010944"/>
      </c:barChart>
      <c:catAx>
        <c:axId val="15500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10944"/>
        <c:crosses val="autoZero"/>
        <c:auto val="1"/>
        <c:lblAlgn val="ctr"/>
        <c:lblOffset val="100"/>
        <c:noMultiLvlLbl val="0"/>
      </c:catAx>
      <c:valAx>
        <c:axId val="15501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0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D8-4C2A-9FF6-655E139E55EE}"/>
                </c:ext>
              </c:extLst>
            </c:dLbl>
            <c:dLbl>
              <c:idx val="1"/>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Sheet1!$B$2:$B$5</c:f>
              <c:numCache>
                <c:formatCode>General</c:formatCode>
                <c:ptCount val="4"/>
                <c:pt idx="0">
                  <c:v>3</c:v>
                </c:pt>
                <c:pt idx="1">
                  <c:v>3</c:v>
                </c:pt>
                <c:pt idx="2">
                  <c:v>0</c:v>
                </c:pt>
                <c:pt idx="3">
                  <c:v>0</c:v>
                </c:pt>
              </c:numCache>
            </c:numRef>
          </c:val>
          <c:extLst>
            <c:ext xmlns:c16="http://schemas.microsoft.com/office/drawing/2014/chart" uri="{C3380CC4-5D6E-409C-BE32-E72D297353CC}">
              <c16:uniqueId val="{00000000-7AD8-4C2A-9FF6-655E139E55EE}"/>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D8-4C2A-9FF6-655E139E55EE}"/>
                </c:ext>
              </c:extLst>
            </c:dLbl>
            <c:dLbl>
              <c:idx val="1"/>
              <c:tx>
                <c:rich>
                  <a:bodyPr/>
                  <a:lstStyle/>
                  <a:p>
                    <a:r>
                      <a:rPr lang="en-US"/>
                      <a:t>130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AD8-4C2A-9FF6-655E139E55EE}"/>
                </c:ext>
              </c:extLst>
            </c:dLbl>
            <c:dLbl>
              <c:idx val="2"/>
              <c:tx>
                <c:rich>
                  <a:bodyPr/>
                  <a:lstStyle/>
                  <a:p>
                    <a:r>
                      <a:rPr lang="en-US"/>
                      <a:t>129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Sheet1!$C$2:$C$5</c:f>
              <c:numCache>
                <c:formatCode>General</c:formatCode>
                <c:ptCount val="4"/>
                <c:pt idx="0">
                  <c:v>4.5</c:v>
                </c:pt>
                <c:pt idx="1">
                  <c:v>4</c:v>
                </c:pt>
                <c:pt idx="2">
                  <c:v>3.3</c:v>
                </c:pt>
                <c:pt idx="3">
                  <c:v>0</c:v>
                </c:pt>
              </c:numCache>
            </c:numRef>
          </c:val>
          <c:extLst>
            <c:ext xmlns:c16="http://schemas.microsoft.com/office/drawing/2014/chart" uri="{C3380CC4-5D6E-409C-BE32-E72D297353CC}">
              <c16:uniqueId val="{00000001-7AD8-4C2A-9FF6-655E139E55EE}"/>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AD8-4C2A-9FF6-655E139E55EE}"/>
                </c:ext>
              </c:extLst>
            </c:dLbl>
            <c:dLbl>
              <c:idx val="1"/>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AD8-4C2A-9FF6-655E139E55EE}"/>
                </c:ext>
              </c:extLst>
            </c:dLbl>
            <c:dLbl>
              <c:idx val="2"/>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AD8-4C2A-9FF6-655E139E55EE}"/>
                </c:ext>
              </c:extLst>
            </c:dLbl>
            <c:dLbl>
              <c:idx val="3"/>
              <c:tx>
                <c:rich>
                  <a:bodyPr/>
                  <a:lstStyle/>
                  <a:p>
                    <a:r>
                      <a:rPr lang="en-US"/>
                      <a:t>115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Sheet1!$D$2:$D$5</c:f>
              <c:numCache>
                <c:formatCode>General</c:formatCode>
                <c:ptCount val="4"/>
                <c:pt idx="0">
                  <c:v>3.5</c:v>
                </c:pt>
                <c:pt idx="1">
                  <c:v>3</c:v>
                </c:pt>
                <c:pt idx="2">
                  <c:v>2.5</c:v>
                </c:pt>
                <c:pt idx="3">
                  <c:v>2</c:v>
                </c:pt>
              </c:numCache>
            </c:numRef>
          </c:val>
          <c:extLst>
            <c:ext xmlns:c16="http://schemas.microsoft.com/office/drawing/2014/chart" uri="{C3380CC4-5D6E-409C-BE32-E72D297353CC}">
              <c16:uniqueId val="{00000002-7AD8-4C2A-9FF6-655E139E55EE}"/>
            </c:ext>
          </c:extLst>
        </c:ser>
        <c:ser>
          <c:idx val="3"/>
          <c:order val="3"/>
          <c:tx>
            <c:strRef>
              <c:f>Sheet1!$E$1</c:f>
              <c:strCache>
                <c:ptCount val="1"/>
                <c:pt idx="0">
                  <c:v>black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Sheet1!$E$2:$E$5</c:f>
              <c:numCache>
                <c:formatCode>General</c:formatCode>
                <c:ptCount val="4"/>
                <c:pt idx="0">
                  <c:v>2.2000000000000002</c:v>
                </c:pt>
              </c:numCache>
            </c:numRef>
          </c:val>
          <c:extLst>
            <c:ext xmlns:c16="http://schemas.microsoft.com/office/drawing/2014/chart" uri="{C3380CC4-5D6E-409C-BE32-E72D297353CC}">
              <c16:uniqueId val="{00000003-7AD8-4C2A-9FF6-655E139E55EE}"/>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AD8-4C2A-9FF6-655E139E55EE}"/>
                </c:ext>
              </c:extLst>
            </c:dLbl>
            <c:dLbl>
              <c:idx val="1"/>
              <c:tx>
                <c:rich>
                  <a:bodyPr/>
                  <a:lstStyle/>
                  <a:p>
                    <a:r>
                      <a:rPr lang="en-US"/>
                      <a:t>152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AD8-4C2A-9FF6-655E139E55EE}"/>
                </c:ext>
              </c:extLst>
            </c:dLbl>
            <c:dLbl>
              <c:idx val="2"/>
              <c:tx>
                <c:rich>
                  <a:bodyPr/>
                  <a:lstStyle/>
                  <a:p>
                    <a:r>
                      <a:rPr lang="en-US"/>
                      <a:t>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AD8-4C2A-9FF6-655E139E55EE}"/>
                </c:ext>
              </c:extLst>
            </c:dLbl>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Sheet1!$F$2:$F$5</c:f>
              <c:numCache>
                <c:formatCode>General</c:formatCode>
                <c:ptCount val="4"/>
                <c:pt idx="0">
                  <c:v>5</c:v>
                </c:pt>
                <c:pt idx="1">
                  <c:v>5.2</c:v>
                </c:pt>
                <c:pt idx="2">
                  <c:v>5.5</c:v>
                </c:pt>
                <c:pt idx="3">
                  <c:v>6</c:v>
                </c:pt>
              </c:numCache>
            </c:numRef>
          </c:val>
          <c:extLst>
            <c:ext xmlns:c16="http://schemas.microsoft.com/office/drawing/2014/chart" uri="{C3380CC4-5D6E-409C-BE32-E72D297353CC}">
              <c16:uniqueId val="{00000005-7AD8-4C2A-9FF6-655E139E55EE}"/>
            </c:ext>
          </c:extLst>
        </c:ser>
        <c:dLbls>
          <c:dLblPos val="outEnd"/>
          <c:showLegendKey val="0"/>
          <c:showVal val="1"/>
          <c:showCatName val="0"/>
          <c:showSerName val="0"/>
          <c:showPercent val="0"/>
          <c:showBubbleSize val="0"/>
        </c:dLbls>
        <c:gapWidth val="219"/>
        <c:overlap val="-27"/>
        <c:axId val="155118208"/>
        <c:axId val="155144576"/>
      </c:barChart>
      <c:catAx>
        <c:axId val="15511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44576"/>
        <c:crosses val="autoZero"/>
        <c:auto val="1"/>
        <c:lblAlgn val="ctr"/>
        <c:lblOffset val="100"/>
        <c:noMultiLvlLbl val="0"/>
      </c:catAx>
      <c:valAx>
        <c:axId val="15514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47</Pages>
  <Words>7377</Words>
  <Characters>42053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LEGITMAINMAN</cp:lastModifiedBy>
  <cp:revision>44</cp:revision>
  <dcterms:created xsi:type="dcterms:W3CDTF">2025-04-23T13:38:00Z</dcterms:created>
  <dcterms:modified xsi:type="dcterms:W3CDTF">2025-08-04T15:44:00Z</dcterms:modified>
</cp:coreProperties>
</file>