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THE ROLE OF GREEN HUMAN RESOURCE PRACTICES IN SHAPING ORGANIZATIONAL PERFORMANCE IN THE 21ST CENTURY </w:t>
      </w:r>
    </w:p>
    <w:p>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(A CASE STUDY OF GUARANTY TRUST BANK, ILORIN, KWARA STATE)</w:t>
      </w:r>
    </w:p>
    <w:p>
      <w:pPr>
        <w:spacing w:line="480" w:lineRule="auto"/>
        <w:jc w:val="center"/>
        <w:rPr>
          <w:rFonts w:ascii="Times New Roman" w:hAnsi="Times New Roman" w:cs="Times New Roman"/>
          <w:b/>
          <w:i/>
          <w:sz w:val="28"/>
          <w:szCs w:val="28"/>
        </w:rPr>
      </w:pPr>
      <w:r>
        <w:rPr>
          <w:rFonts w:ascii="Times New Roman" w:hAnsi="Times New Roman" w:cs="Times New Roman"/>
          <w:b/>
          <w:i/>
          <w:sz w:val="28"/>
          <w:szCs w:val="28"/>
        </w:rPr>
        <w:t>BY</w:t>
      </w:r>
    </w:p>
    <w:p>
      <w:pPr>
        <w:spacing w:line="480" w:lineRule="auto"/>
        <w:jc w:val="center"/>
        <w:rPr>
          <w:rFonts w:ascii="Times New Roman" w:hAnsi="Times New Roman" w:cs="Times New Roman"/>
          <w:b/>
          <w:sz w:val="28"/>
          <w:szCs w:val="28"/>
        </w:rPr>
      </w:pPr>
      <w:r>
        <w:rPr>
          <w:rFonts w:ascii="Times New Roman" w:hAnsi="Times New Roman" w:cs="Times New Roman"/>
          <w:b/>
          <w:sz w:val="28"/>
          <w:szCs w:val="28"/>
        </w:rPr>
        <w:t>YUSUF SODIQ OLAMILEKAN</w:t>
      </w:r>
    </w:p>
    <w:p>
      <w:pPr>
        <w:spacing w:line="480" w:lineRule="auto"/>
        <w:jc w:val="center"/>
        <w:rPr>
          <w:rFonts w:ascii="Times New Roman" w:hAnsi="Times New Roman" w:cs="Times New Roman"/>
          <w:b/>
          <w:sz w:val="28"/>
          <w:szCs w:val="28"/>
        </w:rPr>
      </w:pPr>
      <w:r>
        <w:rPr>
          <w:rFonts w:ascii="Times New Roman" w:hAnsi="Times New Roman" w:cs="Times New Roman"/>
          <w:b/>
          <w:sz w:val="28"/>
          <w:szCs w:val="28"/>
        </w:rPr>
        <w:t>HND/23/BAM/FT/1317</w:t>
      </w:r>
    </w:p>
    <w:p>
      <w:pPr>
        <w:spacing w:line="240" w:lineRule="auto"/>
        <w:jc w:val="center"/>
        <w:rPr>
          <w:rFonts w:ascii="Times New Roman" w:hAnsi="Times New Roman" w:cs="Times New Roman"/>
          <w:b/>
          <w:sz w:val="26"/>
          <w:szCs w:val="26"/>
        </w:rPr>
      </w:pPr>
      <w:r>
        <w:rPr>
          <w:rFonts w:ascii="Times New Roman" w:hAnsi="Times New Roman" w:cs="Times New Roman"/>
          <w:b/>
          <w:sz w:val="26"/>
          <w:szCs w:val="26"/>
        </w:rPr>
        <w:t>BEING A PROJECT SUBMITTED TO THE DEPARTMENT OF BUSINESS ADMINISTRATION AND MANAGEMENT, INSTITUTE OF FINANCE AND MANAGEMENT STUDIES.</w:t>
      </w:r>
    </w:p>
    <w:p>
      <w:pPr>
        <w:spacing w:line="240" w:lineRule="auto"/>
        <w:rPr>
          <w:rFonts w:ascii="Times New Roman" w:hAnsi="Times New Roman" w:cs="Times New Roman"/>
          <w:b/>
          <w:sz w:val="26"/>
          <w:szCs w:val="26"/>
        </w:rPr>
      </w:pPr>
    </w:p>
    <w:p>
      <w:pPr>
        <w:spacing w:line="240" w:lineRule="auto"/>
        <w:jc w:val="center"/>
        <w:rPr>
          <w:rFonts w:ascii="Times New Roman" w:hAnsi="Times New Roman" w:cs="Times New Roman"/>
          <w:b/>
          <w:sz w:val="26"/>
          <w:szCs w:val="26"/>
        </w:rPr>
      </w:pPr>
      <w:r>
        <w:rPr>
          <w:rFonts w:ascii="Times New Roman" w:hAnsi="Times New Roman" w:cs="Times New Roman"/>
          <w:b/>
          <w:sz w:val="26"/>
          <w:szCs w:val="26"/>
        </w:rPr>
        <w:t>IN PARTIAL FULFILLMENT OF THE REQUIREMENT FOR THE AWARD OF HIGHER NATIONAL DIPLOMA(HND) IN BUSINESS ADMINISTRATION AND MANAGEMENT, KWARA STATE POLYTECHNIC, ILORIN.</w:t>
      </w:r>
    </w:p>
    <w:p>
      <w:pPr>
        <w:spacing w:line="360" w:lineRule="auto"/>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MAY, 2025</w:t>
      </w:r>
    </w:p>
    <w:p>
      <w:pPr>
        <w:spacing w:line="360" w:lineRule="auto"/>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tabs>
          <w:tab w:val="left" w:pos="8023"/>
        </w:tabs>
        <w:spacing w:line="360" w:lineRule="auto"/>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r>
        <w:rPr>
          <w:rFonts w:ascii="Times New Roman" w:hAnsi="Times New Roman" w:cs="Times New Roman"/>
          <w:b/>
          <w:sz w:val="26"/>
          <w:szCs w:val="26"/>
        </w:rPr>
        <w:t>CERTIFICATION</w:t>
      </w:r>
    </w:p>
    <w:p>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This research work has been read and approved as meeting the requirement for the award of Higher National Diploma (HND) in Business Administration and Management, Institute of Finance and Management Studies Kwara State Polytechnic, Ilorin. </w:t>
      </w:r>
    </w:p>
    <w:p>
      <w:pPr>
        <w:spacing w:after="0"/>
        <w:jc w:val="both"/>
        <w:rPr>
          <w:rFonts w:ascii="Times New Roman" w:hAnsi="Times New Roman" w:cs="Times New Roman"/>
          <w:sz w:val="26"/>
          <w:szCs w:val="26"/>
        </w:rPr>
      </w:pPr>
      <w:r>
        <w:rPr>
          <w:rFonts w:ascii="Times New Roman" w:hAnsi="Times New Roman" w:cs="Times New Roman"/>
          <w:sz w:val="26"/>
          <w:szCs w:val="26"/>
        </w:rPr>
        <w:t>______________________</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 xml:space="preserve">           </w:t>
      </w:r>
      <w:r>
        <w:rPr>
          <w:rFonts w:ascii="Times New Roman" w:hAnsi="Times New Roman" w:cs="Times New Roman"/>
          <w:sz w:val="26"/>
          <w:szCs w:val="26"/>
          <w:lang w:val="en-US"/>
        </w:rPr>
        <w:t xml:space="preserve"> </w:t>
      </w:r>
      <w:r>
        <w:rPr>
          <w:rFonts w:ascii="Times New Roman" w:hAnsi="Times New Roman" w:cs="Times New Roman"/>
          <w:sz w:val="26"/>
          <w:szCs w:val="26"/>
        </w:rPr>
        <w:t xml:space="preserve">_____________ </w:t>
      </w:r>
    </w:p>
    <w:p>
      <w:pPr>
        <w:spacing w:after="0"/>
        <w:jc w:val="both"/>
        <w:rPr>
          <w:rFonts w:ascii="Times New Roman" w:hAnsi="Times New Roman" w:cs="Times New Roman"/>
          <w:b/>
          <w:sz w:val="26"/>
          <w:szCs w:val="26"/>
        </w:rPr>
      </w:pPr>
      <w:r>
        <w:rPr>
          <w:rFonts w:ascii="Times New Roman" w:hAnsi="Times New Roman" w:cs="Times New Roman"/>
          <w:b/>
          <w:sz w:val="26"/>
          <w:szCs w:val="26"/>
        </w:rPr>
        <w:t>MR. JIMOH S.M</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 xml:space="preserve">                                        DATE</w:t>
      </w:r>
    </w:p>
    <w:p>
      <w:pPr>
        <w:spacing w:after="0"/>
        <w:jc w:val="both"/>
        <w:rPr>
          <w:rFonts w:ascii="Times New Roman" w:hAnsi="Times New Roman" w:cs="Times New Roman"/>
          <w:b/>
          <w:sz w:val="26"/>
          <w:szCs w:val="26"/>
        </w:rPr>
      </w:pPr>
      <w:r>
        <w:rPr>
          <w:rFonts w:ascii="Times New Roman" w:hAnsi="Times New Roman" w:cs="Times New Roman"/>
          <w:b/>
          <w:sz w:val="26"/>
          <w:szCs w:val="26"/>
        </w:rPr>
        <w:t>(Project supervisor)</w:t>
      </w:r>
    </w:p>
    <w:p>
      <w:pPr>
        <w:spacing w:after="0"/>
        <w:jc w:val="both"/>
        <w:rPr>
          <w:rFonts w:ascii="Times New Roman" w:hAnsi="Times New Roman" w:cs="Times New Roman"/>
          <w:b/>
          <w:sz w:val="26"/>
          <w:szCs w:val="26"/>
        </w:rPr>
      </w:pPr>
    </w:p>
    <w:p>
      <w:pPr>
        <w:spacing w:after="0" w:line="240" w:lineRule="auto"/>
        <w:rPr>
          <w:rFonts w:ascii="Times New Roman" w:hAnsi="Times New Roman" w:cs="Times New Roman"/>
          <w:sz w:val="26"/>
          <w:szCs w:val="26"/>
        </w:rPr>
      </w:pPr>
    </w:p>
    <w:p>
      <w:pPr>
        <w:spacing w:after="0"/>
        <w:jc w:val="both"/>
        <w:rPr>
          <w:rFonts w:ascii="Times New Roman" w:hAnsi="Times New Roman" w:cs="Times New Roman"/>
          <w:b/>
          <w:sz w:val="26"/>
          <w:szCs w:val="26"/>
        </w:rPr>
      </w:pPr>
      <w:r>
        <w:rPr>
          <w:rFonts w:ascii="Times New Roman" w:hAnsi="Times New Roman" w:cs="Times New Roman"/>
          <w:b/>
          <w:sz w:val="26"/>
          <w:szCs w:val="26"/>
        </w:rPr>
        <w:t>________________________</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 xml:space="preserve">______________ </w:t>
      </w:r>
    </w:p>
    <w:p>
      <w:pPr>
        <w:spacing w:after="0"/>
        <w:jc w:val="both"/>
        <w:rPr>
          <w:rFonts w:ascii="Times New Roman" w:hAnsi="Times New Roman" w:cs="Times New Roman"/>
          <w:b/>
          <w:sz w:val="26"/>
          <w:szCs w:val="26"/>
        </w:rPr>
      </w:pPr>
      <w:r>
        <w:rPr>
          <w:rFonts w:ascii="Times New Roman" w:hAnsi="Times New Roman" w:cs="Times New Roman"/>
          <w:b/>
          <w:sz w:val="26"/>
          <w:szCs w:val="26"/>
        </w:rPr>
        <w:t>MR. UMAR BOLOGI</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 xml:space="preserve">                   DATE</w:t>
      </w:r>
    </w:p>
    <w:p>
      <w:pPr>
        <w:spacing w:after="0"/>
        <w:jc w:val="both"/>
        <w:rPr>
          <w:rFonts w:ascii="Times New Roman" w:hAnsi="Times New Roman" w:cs="Times New Roman"/>
          <w:b/>
          <w:sz w:val="26"/>
          <w:szCs w:val="26"/>
        </w:rPr>
      </w:pPr>
      <w:r>
        <w:rPr>
          <w:rFonts w:ascii="Times New Roman" w:hAnsi="Times New Roman" w:cs="Times New Roman"/>
          <w:b/>
          <w:sz w:val="26"/>
          <w:szCs w:val="26"/>
        </w:rPr>
        <w:t>(Project Coordinator)</w:t>
      </w:r>
    </w:p>
    <w:p>
      <w:pPr>
        <w:spacing w:after="0"/>
        <w:ind w:left="720"/>
        <w:jc w:val="both"/>
        <w:rPr>
          <w:rFonts w:ascii="Times New Roman" w:hAnsi="Times New Roman" w:cs="Times New Roman"/>
          <w:b/>
          <w:sz w:val="26"/>
          <w:szCs w:val="26"/>
        </w:rPr>
      </w:pPr>
    </w:p>
    <w:p>
      <w:pPr>
        <w:spacing w:after="0" w:line="240" w:lineRule="auto"/>
        <w:rPr>
          <w:rFonts w:ascii="Times New Roman" w:hAnsi="Times New Roman" w:cs="Times New Roman"/>
          <w:sz w:val="26"/>
          <w:szCs w:val="26"/>
        </w:rPr>
      </w:pPr>
    </w:p>
    <w:p>
      <w:pPr>
        <w:spacing w:after="0"/>
        <w:jc w:val="both"/>
        <w:rPr>
          <w:rFonts w:ascii="Times New Roman" w:hAnsi="Times New Roman" w:cs="Times New Roman"/>
          <w:b/>
          <w:sz w:val="26"/>
          <w:szCs w:val="26"/>
        </w:rPr>
      </w:pPr>
      <w:r>
        <w:rPr>
          <w:rFonts w:ascii="Times New Roman" w:hAnsi="Times New Roman" w:cs="Times New Roman"/>
          <w:b/>
          <w:sz w:val="26"/>
          <w:szCs w:val="26"/>
        </w:rPr>
        <w:t>______________________</w:t>
      </w:r>
      <w:r>
        <w:rPr>
          <w:rFonts w:ascii="Times New Roman" w:hAnsi="Times New Roman" w:cs="Times New Roman"/>
          <w:b/>
          <w:sz w:val="26"/>
          <w:szCs w:val="26"/>
          <w:lang w:val="en-US"/>
        </w:rPr>
        <w:t xml:space="preserve"> </w:t>
      </w:r>
      <w:r>
        <w:rPr>
          <w:rFonts w:ascii="Times New Roman" w:hAnsi="Times New Roman" w:cs="Times New Roman"/>
          <w:b/>
          <w:sz w:val="26"/>
          <w:szCs w:val="26"/>
        </w:rPr>
        <w:t>__</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 xml:space="preserve">____________ </w:t>
      </w:r>
    </w:p>
    <w:p>
      <w:pPr>
        <w:spacing w:after="0"/>
        <w:rPr>
          <w:rFonts w:ascii="Times New Roman" w:hAnsi="Times New Roman" w:cs="Times New Roman"/>
          <w:b/>
          <w:sz w:val="26"/>
          <w:szCs w:val="26"/>
        </w:rPr>
      </w:pPr>
      <w:r>
        <w:rPr>
          <w:rFonts w:ascii="Times New Roman" w:hAnsi="Times New Roman" w:cs="Times New Roman"/>
          <w:b/>
          <w:sz w:val="26"/>
          <w:szCs w:val="26"/>
        </w:rPr>
        <w:t xml:space="preserve">MR. ALAKOSO I.K  </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 xml:space="preserve">                             DATE</w:t>
      </w:r>
      <w:r>
        <w:rPr>
          <w:rFonts w:ascii="Times New Roman" w:hAnsi="Times New Roman" w:cs="Times New Roman"/>
          <w:b/>
          <w:sz w:val="26"/>
          <w:szCs w:val="26"/>
        </w:rPr>
        <w:tab/>
      </w:r>
      <w:r>
        <w:rPr>
          <w:rFonts w:ascii="Times New Roman" w:hAnsi="Times New Roman" w:cs="Times New Roman"/>
          <w:b/>
          <w:sz w:val="26"/>
          <w:szCs w:val="26"/>
        </w:rPr>
        <w:t xml:space="preserve">                                     </w:t>
      </w:r>
      <w:r>
        <w:rPr>
          <w:rFonts w:ascii="Times New Roman" w:hAnsi="Times New Roman" w:cs="Times New Roman"/>
          <w:b/>
          <w:sz w:val="26"/>
          <w:szCs w:val="26"/>
        </w:rPr>
        <w:tab/>
      </w:r>
    </w:p>
    <w:p>
      <w:pPr>
        <w:spacing w:after="0"/>
        <w:jc w:val="both"/>
        <w:rPr>
          <w:rFonts w:ascii="Times New Roman" w:hAnsi="Times New Roman" w:cs="Times New Roman"/>
          <w:b/>
          <w:sz w:val="26"/>
          <w:szCs w:val="26"/>
        </w:rPr>
      </w:pPr>
      <w:r>
        <w:rPr>
          <w:rFonts w:ascii="Times New Roman" w:hAnsi="Times New Roman" w:cs="Times New Roman"/>
          <w:b/>
          <w:sz w:val="26"/>
          <w:szCs w:val="26"/>
        </w:rPr>
        <w:t>(Head of Department)</w:t>
      </w:r>
    </w:p>
    <w:p>
      <w:pPr>
        <w:spacing w:after="0"/>
        <w:rPr>
          <w:rFonts w:ascii="Times New Roman" w:hAnsi="Times New Roman" w:cs="Times New Roman"/>
          <w:b/>
          <w:sz w:val="26"/>
          <w:szCs w:val="26"/>
        </w:rPr>
      </w:pPr>
    </w:p>
    <w:p>
      <w:pPr>
        <w:spacing w:after="0" w:line="240" w:lineRule="auto"/>
        <w:rPr>
          <w:rFonts w:ascii="Times New Roman" w:hAnsi="Times New Roman" w:cs="Times New Roman"/>
          <w:sz w:val="26"/>
          <w:szCs w:val="26"/>
        </w:rPr>
      </w:pPr>
    </w:p>
    <w:p>
      <w:pPr>
        <w:spacing w:after="0"/>
        <w:jc w:val="both"/>
        <w:rPr>
          <w:rFonts w:ascii="Times New Roman" w:hAnsi="Times New Roman" w:cs="Times New Roman"/>
          <w:b/>
          <w:sz w:val="26"/>
          <w:szCs w:val="26"/>
        </w:rPr>
      </w:pPr>
      <w:r>
        <w:rPr>
          <w:rFonts w:ascii="Times New Roman" w:hAnsi="Times New Roman" w:cs="Times New Roman"/>
          <w:b/>
          <w:sz w:val="26"/>
          <w:szCs w:val="26"/>
        </w:rPr>
        <w:t>_______________________</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lang w:val="en-US"/>
        </w:rPr>
        <w:t xml:space="preserve"> </w:t>
      </w:r>
      <w:bookmarkStart w:id="0" w:name="_GoBack"/>
      <w:bookmarkEnd w:id="0"/>
      <w:r>
        <w:rPr>
          <w:rFonts w:ascii="Times New Roman" w:hAnsi="Times New Roman" w:cs="Times New Roman"/>
          <w:b/>
          <w:sz w:val="26"/>
          <w:szCs w:val="26"/>
        </w:rPr>
        <w:t xml:space="preserve">____________ </w:t>
      </w:r>
    </w:p>
    <w:p>
      <w:pPr>
        <w:spacing w:after="0"/>
        <w:jc w:val="both"/>
        <w:rPr>
          <w:rFonts w:ascii="Times New Roman" w:hAnsi="Times New Roman" w:cs="Times New Roman"/>
          <w:b/>
          <w:sz w:val="26"/>
          <w:szCs w:val="26"/>
        </w:rPr>
      </w:pPr>
      <w:r>
        <w:rPr>
          <w:rFonts w:ascii="Times New Roman" w:hAnsi="Times New Roman" w:cs="Times New Roman"/>
          <w:b/>
          <w:sz w:val="26"/>
          <w:szCs w:val="26"/>
        </w:rPr>
        <w:t>EXTERNAL EXAMINER</w:t>
      </w:r>
      <w:r>
        <w:rPr>
          <w:rFonts w:ascii="Times New Roman" w:hAnsi="Times New Roman" w:cs="Times New Roman"/>
          <w:b/>
          <w:sz w:val="26"/>
          <w:szCs w:val="26"/>
        </w:rPr>
        <w:tab/>
      </w:r>
      <w:r>
        <w:rPr>
          <w:rFonts w:ascii="Times New Roman" w:hAnsi="Times New Roman" w:cs="Times New Roman"/>
          <w:b/>
          <w:sz w:val="26"/>
          <w:szCs w:val="26"/>
        </w:rPr>
        <w:t xml:space="preserve">  </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DATE</w:t>
      </w:r>
      <w:r>
        <w:rPr>
          <w:rFonts w:ascii="Times New Roman" w:hAnsi="Times New Roman" w:cs="Times New Roman"/>
          <w:b/>
          <w:sz w:val="26"/>
          <w:szCs w:val="26"/>
        </w:rPr>
        <w:tab/>
      </w: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r>
        <w:rPr>
          <w:rFonts w:ascii="Times New Roman" w:hAnsi="Times New Roman" w:cs="Times New Roman"/>
          <w:b/>
          <w:sz w:val="26"/>
          <w:szCs w:val="26"/>
        </w:rPr>
        <w:t>DEDICATION</w:t>
      </w:r>
    </w:p>
    <w:p>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This project is dedicated to Almighty God, the creator of Heaven and Earth and to my parent, may God Almighty continue to be with them throughout their entire lives and bless them abundantly. (Amen)</w:t>
      </w:r>
    </w:p>
    <w:p>
      <w:pPr>
        <w:spacing w:line="360" w:lineRule="auto"/>
        <w:ind w:firstLine="720"/>
        <w:rPr>
          <w:rFonts w:ascii="Times New Roman" w:hAnsi="Times New Roman" w:cs="Times New Roman"/>
          <w:sz w:val="26"/>
          <w:szCs w:val="26"/>
        </w:rPr>
      </w:pPr>
    </w:p>
    <w:p>
      <w:pPr>
        <w:spacing w:line="360" w:lineRule="auto"/>
        <w:ind w:firstLine="720"/>
        <w:rPr>
          <w:rFonts w:ascii="Times New Roman" w:hAnsi="Times New Roman" w:cs="Times New Roman"/>
          <w:sz w:val="26"/>
          <w:szCs w:val="26"/>
        </w:rPr>
      </w:pPr>
    </w:p>
    <w:p>
      <w:pPr>
        <w:spacing w:line="360" w:lineRule="auto"/>
        <w:ind w:firstLine="720"/>
        <w:rPr>
          <w:rFonts w:ascii="Times New Roman" w:hAnsi="Times New Roman" w:cs="Times New Roman"/>
          <w:sz w:val="26"/>
          <w:szCs w:val="26"/>
        </w:rPr>
      </w:pPr>
    </w:p>
    <w:p>
      <w:pPr>
        <w:spacing w:line="360" w:lineRule="auto"/>
        <w:ind w:firstLine="720"/>
        <w:rPr>
          <w:rFonts w:ascii="Times New Roman" w:hAnsi="Times New Roman" w:cs="Times New Roman"/>
          <w:sz w:val="26"/>
          <w:szCs w:val="26"/>
        </w:rPr>
      </w:pPr>
    </w:p>
    <w:p>
      <w:pPr>
        <w:spacing w:line="360" w:lineRule="auto"/>
        <w:ind w:firstLine="720"/>
        <w:rPr>
          <w:rFonts w:ascii="Times New Roman" w:hAnsi="Times New Roman" w:cs="Times New Roman"/>
          <w:sz w:val="26"/>
          <w:szCs w:val="26"/>
        </w:rPr>
      </w:pPr>
    </w:p>
    <w:p>
      <w:pPr>
        <w:spacing w:line="360" w:lineRule="auto"/>
        <w:ind w:firstLine="720"/>
        <w:rPr>
          <w:rFonts w:ascii="Times New Roman" w:hAnsi="Times New Roman" w:cs="Times New Roman"/>
          <w:sz w:val="26"/>
          <w:szCs w:val="26"/>
        </w:rPr>
      </w:pPr>
    </w:p>
    <w:p>
      <w:pPr>
        <w:spacing w:line="360" w:lineRule="auto"/>
        <w:ind w:firstLine="720"/>
        <w:rPr>
          <w:rFonts w:ascii="Times New Roman" w:hAnsi="Times New Roman" w:cs="Times New Roman"/>
          <w:sz w:val="26"/>
          <w:szCs w:val="26"/>
        </w:rPr>
      </w:pPr>
    </w:p>
    <w:p>
      <w:pPr>
        <w:spacing w:line="360" w:lineRule="auto"/>
        <w:ind w:firstLine="720"/>
        <w:rPr>
          <w:rFonts w:ascii="Times New Roman" w:hAnsi="Times New Roman" w:cs="Times New Roman"/>
          <w:sz w:val="26"/>
          <w:szCs w:val="26"/>
        </w:rPr>
      </w:pPr>
    </w:p>
    <w:p>
      <w:pPr>
        <w:spacing w:line="360" w:lineRule="auto"/>
        <w:ind w:firstLine="720"/>
        <w:rPr>
          <w:rFonts w:ascii="Times New Roman" w:hAnsi="Times New Roman" w:cs="Times New Roman"/>
          <w:sz w:val="26"/>
          <w:szCs w:val="26"/>
        </w:rPr>
      </w:pPr>
    </w:p>
    <w:p>
      <w:pPr>
        <w:spacing w:line="360" w:lineRule="auto"/>
        <w:ind w:firstLine="720"/>
        <w:rPr>
          <w:rFonts w:ascii="Times New Roman" w:hAnsi="Times New Roman" w:cs="Times New Roman"/>
          <w:sz w:val="26"/>
          <w:szCs w:val="26"/>
        </w:rPr>
      </w:pPr>
    </w:p>
    <w:p>
      <w:pPr>
        <w:spacing w:line="360" w:lineRule="auto"/>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p>
    <w:p>
      <w:pPr>
        <w:spacing w:line="360" w:lineRule="auto"/>
        <w:jc w:val="center"/>
        <w:rPr>
          <w:rFonts w:ascii="Times New Roman" w:hAnsi="Times New Roman" w:cs="Times New Roman"/>
          <w:b/>
          <w:sz w:val="26"/>
          <w:szCs w:val="26"/>
        </w:rPr>
      </w:pPr>
      <w:r>
        <w:rPr>
          <w:rFonts w:ascii="Times New Roman" w:hAnsi="Times New Roman" w:cs="Times New Roman"/>
          <w:b/>
          <w:sz w:val="26"/>
          <w:szCs w:val="26"/>
        </w:rPr>
        <w:t>ACKNOWLEDGEMENTS</w:t>
      </w:r>
    </w:p>
    <w:p>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All Glory and Adoration belongs to God Almighty for the success of my HND programme through thick and thin. He made this course a reality for me, I also want to acknowledge the support of my parent, because without God and them, I’m nobody. They have been so supportive financially, physically and spiritually throughout the course of the study.</w:t>
      </w:r>
    </w:p>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My sincere Appreciation goes to my Supervisor, for taking time to read and correct the manuscript and to my Head of Department of Business Administration and Management, MR. ALAKOSO, and other lecturers in the department. </w:t>
      </w:r>
    </w:p>
    <w:p>
      <w:pPr>
        <w:spacing w:after="0" w:line="360" w:lineRule="auto"/>
        <w:rPr>
          <w:rFonts w:ascii="Times New Roman" w:hAnsi="Times New Roman" w:cs="Times New Roman"/>
          <w:sz w:val="26"/>
          <w:szCs w:val="26"/>
        </w:rPr>
      </w:pPr>
      <w:r>
        <w:rPr>
          <w:rFonts w:ascii="Times New Roman" w:hAnsi="Times New Roman" w:cs="Times New Roman"/>
          <w:sz w:val="26"/>
          <w:szCs w:val="26"/>
        </w:rPr>
        <w:t>Finally, to my friends, I say a big THANKS to you all, for the support throughout the years.</w:t>
      </w:r>
    </w:p>
    <w:p>
      <w:pPr>
        <w:spacing w:after="0" w:line="240" w:lineRule="auto"/>
        <w:jc w:val="center"/>
        <w:rPr>
          <w:rFonts w:ascii="Times New Roman" w:hAnsi="Times New Roman" w:cs="Times New Roman"/>
          <w:sz w:val="26"/>
          <w:szCs w:val="26"/>
        </w:rPr>
      </w:pPr>
    </w:p>
    <w:p>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p>
    <w:p>
      <w:pPr>
        <w:spacing w:after="0" w:line="240" w:lineRule="auto"/>
        <w:rPr>
          <w:rFonts w:ascii="Times New Roman" w:hAnsi="Times New Roman" w:cs="Times New Roman"/>
          <w:sz w:val="26"/>
          <w:szCs w:val="26"/>
        </w:rPr>
      </w:pPr>
    </w:p>
    <w:p>
      <w:pPr>
        <w:spacing w:after="0" w:line="240" w:lineRule="auto"/>
        <w:rPr>
          <w:rFonts w:ascii="Times New Roman" w:hAnsi="Times New Roman" w:cs="Times New Roman"/>
          <w:sz w:val="26"/>
          <w:szCs w:val="26"/>
        </w:rPr>
      </w:pPr>
    </w:p>
    <w:p>
      <w:pPr>
        <w:spacing w:line="480" w:lineRule="auto"/>
        <w:rPr>
          <w:rFonts w:ascii="Times New Roman" w:hAnsi="Times New Roman" w:cs="Times New Roman"/>
          <w:b/>
          <w:bCs/>
          <w:sz w:val="26"/>
          <w:szCs w:val="26"/>
        </w:rPr>
      </w:pPr>
    </w:p>
    <w:p>
      <w:pPr>
        <w:rPr>
          <w:rFonts w:ascii="Times New Roman" w:hAnsi="Times New Roman" w:cs="Times New Roman"/>
          <w:b/>
          <w:bCs/>
          <w:sz w:val="26"/>
          <w:szCs w:val="26"/>
        </w:rPr>
      </w:pPr>
      <w:r>
        <w:rPr>
          <w:rFonts w:ascii="Times New Roman" w:hAnsi="Times New Roman" w:cs="Times New Roman"/>
          <w:b/>
          <w:bCs/>
          <w:sz w:val="26"/>
          <w:szCs w:val="26"/>
        </w:rPr>
        <w:br w:type="page"/>
      </w:r>
    </w:p>
    <w:p>
      <w:pPr>
        <w:spacing w:line="480" w:lineRule="auto"/>
        <w:rPr>
          <w:rFonts w:ascii="Times New Roman" w:hAnsi="Times New Roman" w:cs="Times New Roman"/>
          <w:b/>
          <w:bCs/>
          <w:sz w:val="26"/>
          <w:szCs w:val="26"/>
        </w:rPr>
      </w:pPr>
    </w:p>
    <w:p>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t>Abstract:</w:t>
      </w:r>
    </w:p>
    <w:p>
      <w:pPr>
        <w:spacing w:line="480" w:lineRule="auto"/>
        <w:rPr>
          <w:rFonts w:ascii="Times New Roman" w:hAnsi="Times New Roman" w:cs="Times New Roman"/>
          <w:bCs/>
          <w:i/>
        </w:rPr>
      </w:pPr>
      <w:r>
        <w:rPr>
          <w:rFonts w:ascii="Times New Roman" w:hAnsi="Times New Roman" w:cs="Times New Roman"/>
          <w:bCs/>
          <w:i/>
        </w:rPr>
        <w:t>This study investigates the role of Green Human Resource Management (GHRM) practices in shaping organizational performance in the 21st century, with a specific focus on Guaranty Trust Bank, Ilorin, Kwara State. In response to the growing global emphasis on sustainability, this research examines how the integration of environmentally responsible HR practices contributes to enhanced organizational outcomes. Employing a mixed-methods approach, the study combines quantitative data obtained from structured employee surveys with qualitative insights derived from in-depth interviews with HR professionals and management staff. The quantitative analysis evaluates the influence of GHRM practices on financial performance, employee productivity, and customer satisfaction, while the qualitative component explores the implementation processes and the challenges faced in operationalizing sustainable HR strategies. Findings indicate that green recruitment and selection processes attract environmentally conscious employees whose values align with the organization’s sustainability objectives, thereby enhancing job satisfaction and engagement. Green training and development initiatives are shown to equip staff with the competencies required to integrate sustainable practices into daily operations, leading to improved operational efficiency and reduced environmental impact. Furthermore, green performance management systems that incorporate environmental performance metrics and recognize sustainability-related achievements positively influence employee motivation and organizational commitment. The study also underscores the importance of effective communication and employee involvement in fostering a culture of environmental responsibility. Overall, the research highlights the strategic significance of GHRM practices as a driver of both organizational performance and environmental sustainability, offering practical implications for HR practitioners and policymakers aiming to achieve sustainable competitive advantage in the dynamic business landscape of the 21st century.</w:t>
      </w:r>
    </w:p>
    <w:p>
      <w:pPr>
        <w:spacing w:line="480" w:lineRule="auto"/>
        <w:rPr>
          <w:rFonts w:ascii="Times New Roman" w:hAnsi="Times New Roman" w:cs="Times New Roman"/>
        </w:rPr>
      </w:pPr>
      <w:r>
        <w:rPr>
          <w:rFonts w:ascii="Times New Roman" w:hAnsi="Times New Roman" w:cs="Times New Roman"/>
          <w:bCs/>
          <w:i/>
        </w:rPr>
        <w:t>Keywords: Green Human Resource Management (GHRM), organizational performance, sustainability, green recruitment, employee engagement, environmental responsibility, 21st-century organizations.</w:t>
      </w:r>
    </w:p>
    <w:p>
      <w:pPr>
        <w:rPr>
          <w:rFonts w:ascii="Times New Roman" w:hAnsi="Times New Roman" w:cs="Times New Roman"/>
        </w:rPr>
      </w:pPr>
      <w:r>
        <w:rPr>
          <w:rFonts w:ascii="Times New Roman" w:hAnsi="Times New Roman" w:cs="Times New Roman"/>
        </w:rPr>
        <w:br w:type="page"/>
      </w:r>
    </w:p>
    <w:p>
      <w:pPr>
        <w:spacing w:after="0" w:line="240" w:lineRule="auto"/>
        <w:jc w:val="center"/>
        <w:rPr>
          <w:rFonts w:cstheme="minorHAnsi"/>
          <w:b/>
          <w:sz w:val="28"/>
          <w:szCs w:val="28"/>
        </w:rPr>
      </w:pPr>
      <w:r>
        <w:rPr>
          <w:rFonts w:cstheme="minorHAnsi"/>
          <w:b/>
          <w:sz w:val="28"/>
          <w:szCs w:val="28"/>
        </w:rPr>
        <w:t>TABLE OF CONTENT</w:t>
      </w:r>
    </w:p>
    <w:p>
      <w:pPr>
        <w:spacing w:after="0" w:line="360" w:lineRule="auto"/>
        <w:rPr>
          <w:rFonts w:cstheme="minorHAnsi"/>
          <w:sz w:val="28"/>
          <w:szCs w:val="28"/>
        </w:rPr>
      </w:pPr>
      <w:r>
        <w:rPr>
          <w:rFonts w:cstheme="minorHAnsi"/>
          <w:sz w:val="28"/>
          <w:szCs w:val="28"/>
        </w:rPr>
        <w:t xml:space="preserve">CHAPTER ONE: INTRODUTION </w:t>
      </w:r>
    </w:p>
    <w:p>
      <w:pPr>
        <w:spacing w:after="0" w:line="360" w:lineRule="auto"/>
        <w:rPr>
          <w:rFonts w:cstheme="minorHAnsi"/>
          <w:sz w:val="28"/>
          <w:szCs w:val="28"/>
        </w:rPr>
      </w:pPr>
      <w:r>
        <w:rPr>
          <w:rFonts w:cstheme="minorHAnsi"/>
          <w:sz w:val="28"/>
          <w:szCs w:val="28"/>
        </w:rPr>
        <w:t>1.1 Background to the study</w:t>
      </w:r>
    </w:p>
    <w:p>
      <w:pPr>
        <w:spacing w:after="0" w:line="360" w:lineRule="auto"/>
        <w:rPr>
          <w:rFonts w:cstheme="minorHAnsi"/>
          <w:sz w:val="28"/>
          <w:szCs w:val="28"/>
        </w:rPr>
      </w:pPr>
      <w:r>
        <w:rPr>
          <w:rFonts w:cstheme="minorHAnsi"/>
          <w:sz w:val="28"/>
          <w:szCs w:val="28"/>
        </w:rPr>
        <w:t>1.2 Statement of the Research problem</w:t>
      </w:r>
    </w:p>
    <w:p>
      <w:pPr>
        <w:spacing w:after="0" w:line="360" w:lineRule="auto"/>
        <w:rPr>
          <w:rFonts w:cstheme="minorHAnsi"/>
          <w:sz w:val="28"/>
          <w:szCs w:val="28"/>
        </w:rPr>
      </w:pPr>
      <w:r>
        <w:rPr>
          <w:rFonts w:cstheme="minorHAnsi"/>
          <w:sz w:val="28"/>
          <w:szCs w:val="28"/>
        </w:rPr>
        <w:t>1.3 Research Question</w:t>
      </w:r>
    </w:p>
    <w:p>
      <w:pPr>
        <w:spacing w:after="0" w:line="360" w:lineRule="auto"/>
        <w:rPr>
          <w:rFonts w:cstheme="minorHAnsi"/>
          <w:sz w:val="28"/>
          <w:szCs w:val="28"/>
        </w:rPr>
      </w:pPr>
      <w:r>
        <w:rPr>
          <w:rFonts w:cstheme="minorHAnsi"/>
          <w:sz w:val="28"/>
          <w:szCs w:val="28"/>
        </w:rPr>
        <w:t>1.4 Research Objective</w:t>
      </w:r>
    </w:p>
    <w:p>
      <w:pPr>
        <w:spacing w:after="0" w:line="360" w:lineRule="auto"/>
        <w:rPr>
          <w:rFonts w:cstheme="minorHAnsi"/>
          <w:sz w:val="28"/>
          <w:szCs w:val="28"/>
        </w:rPr>
      </w:pPr>
      <w:r>
        <w:rPr>
          <w:rFonts w:cstheme="minorHAnsi"/>
          <w:sz w:val="28"/>
          <w:szCs w:val="28"/>
        </w:rPr>
        <w:t>1.5 Research Hypotheses</w:t>
      </w:r>
    </w:p>
    <w:p>
      <w:pPr>
        <w:spacing w:after="0" w:line="360" w:lineRule="auto"/>
        <w:rPr>
          <w:rFonts w:cstheme="minorHAnsi"/>
          <w:sz w:val="28"/>
          <w:szCs w:val="28"/>
        </w:rPr>
      </w:pPr>
      <w:r>
        <w:rPr>
          <w:rFonts w:cstheme="minorHAnsi"/>
          <w:sz w:val="28"/>
          <w:szCs w:val="28"/>
        </w:rPr>
        <w:t>1.6 Significance of the study</w:t>
      </w:r>
    </w:p>
    <w:p>
      <w:pPr>
        <w:spacing w:after="0" w:line="360" w:lineRule="auto"/>
        <w:rPr>
          <w:rFonts w:cstheme="minorHAnsi"/>
          <w:sz w:val="28"/>
          <w:szCs w:val="28"/>
        </w:rPr>
      </w:pPr>
      <w:r>
        <w:rPr>
          <w:rFonts w:cstheme="minorHAnsi"/>
          <w:sz w:val="28"/>
          <w:szCs w:val="28"/>
        </w:rPr>
        <w:t>1.7 Scope of the study</w:t>
      </w:r>
    </w:p>
    <w:p>
      <w:pPr>
        <w:spacing w:after="0" w:line="360" w:lineRule="auto"/>
        <w:rPr>
          <w:rFonts w:cstheme="minorHAnsi"/>
          <w:sz w:val="28"/>
          <w:szCs w:val="28"/>
        </w:rPr>
      </w:pPr>
      <w:r>
        <w:rPr>
          <w:rFonts w:cstheme="minorHAnsi"/>
          <w:sz w:val="28"/>
          <w:szCs w:val="28"/>
        </w:rPr>
        <w:t>1.8 Definition of terms</w:t>
      </w:r>
    </w:p>
    <w:p>
      <w:pPr>
        <w:spacing w:after="0" w:line="360" w:lineRule="auto"/>
        <w:contextualSpacing/>
        <w:rPr>
          <w:rFonts w:cstheme="minorHAnsi"/>
          <w:sz w:val="28"/>
          <w:szCs w:val="28"/>
        </w:rPr>
      </w:pPr>
      <w:r>
        <w:rPr>
          <w:rFonts w:cstheme="minorHAnsi"/>
          <w:sz w:val="28"/>
          <w:szCs w:val="28"/>
        </w:rPr>
        <w:t>CHAPTER TWO: LITERATURE REVIEW</w:t>
      </w:r>
    </w:p>
    <w:p>
      <w:pPr>
        <w:spacing w:after="0" w:line="360" w:lineRule="auto"/>
        <w:contextualSpacing/>
        <w:rPr>
          <w:rFonts w:cstheme="minorHAnsi"/>
          <w:sz w:val="28"/>
          <w:szCs w:val="28"/>
        </w:rPr>
      </w:pPr>
      <w:r>
        <w:rPr>
          <w:rFonts w:cstheme="minorHAnsi"/>
          <w:sz w:val="28"/>
          <w:szCs w:val="28"/>
        </w:rPr>
        <w:t>2.1 Introduction</w:t>
      </w:r>
    </w:p>
    <w:p>
      <w:pPr>
        <w:spacing w:after="0" w:line="360" w:lineRule="auto"/>
        <w:contextualSpacing/>
        <w:rPr>
          <w:rFonts w:cstheme="minorHAnsi"/>
          <w:sz w:val="28"/>
          <w:szCs w:val="28"/>
        </w:rPr>
      </w:pPr>
      <w:r>
        <w:rPr>
          <w:rFonts w:cstheme="minorHAnsi"/>
          <w:sz w:val="28"/>
          <w:szCs w:val="28"/>
        </w:rPr>
        <w:t xml:space="preserve">2.2 Conceptual Clarification  </w:t>
      </w:r>
    </w:p>
    <w:p>
      <w:pPr>
        <w:spacing w:after="0" w:line="360" w:lineRule="auto"/>
        <w:contextualSpacing/>
        <w:rPr>
          <w:rFonts w:cstheme="minorHAnsi"/>
          <w:sz w:val="28"/>
          <w:szCs w:val="28"/>
        </w:rPr>
      </w:pPr>
      <w:r>
        <w:rPr>
          <w:rFonts w:cstheme="minorHAnsi"/>
          <w:sz w:val="28"/>
          <w:szCs w:val="28"/>
        </w:rPr>
        <w:t>2.2.1 The concept of Green Human Resource Management (G-HRM)</w:t>
      </w:r>
    </w:p>
    <w:p>
      <w:pPr>
        <w:spacing w:after="0" w:line="360" w:lineRule="auto"/>
        <w:contextualSpacing/>
        <w:rPr>
          <w:rFonts w:cstheme="minorHAnsi"/>
          <w:sz w:val="28"/>
          <w:szCs w:val="28"/>
        </w:rPr>
      </w:pPr>
      <w:r>
        <w:rPr>
          <w:rFonts w:cstheme="minorHAnsi"/>
          <w:sz w:val="28"/>
          <w:szCs w:val="28"/>
        </w:rPr>
        <w:t xml:space="preserve">2.2.2 G-HRM Processes </w:t>
      </w:r>
    </w:p>
    <w:p>
      <w:pPr>
        <w:spacing w:after="0" w:line="360" w:lineRule="auto"/>
        <w:contextualSpacing/>
        <w:rPr>
          <w:rFonts w:cstheme="minorHAnsi"/>
          <w:sz w:val="28"/>
          <w:szCs w:val="28"/>
        </w:rPr>
      </w:pPr>
      <w:r>
        <w:rPr>
          <w:rFonts w:cstheme="minorHAnsi"/>
          <w:sz w:val="28"/>
          <w:szCs w:val="28"/>
        </w:rPr>
        <w:t xml:space="preserve">2.2.3 G-HRM Best Practices </w:t>
      </w:r>
    </w:p>
    <w:p>
      <w:pPr>
        <w:spacing w:after="0" w:line="360" w:lineRule="auto"/>
        <w:contextualSpacing/>
        <w:rPr>
          <w:rFonts w:cstheme="minorHAnsi"/>
          <w:sz w:val="28"/>
          <w:szCs w:val="28"/>
        </w:rPr>
      </w:pPr>
      <w:r>
        <w:rPr>
          <w:rFonts w:cstheme="minorHAnsi"/>
          <w:sz w:val="28"/>
          <w:szCs w:val="28"/>
        </w:rPr>
        <w:t>2.2.4 Strategic Aspect of Green Human Resource Management</w:t>
      </w:r>
    </w:p>
    <w:p>
      <w:pPr>
        <w:spacing w:after="0" w:line="360" w:lineRule="auto"/>
        <w:contextualSpacing/>
        <w:rPr>
          <w:rFonts w:cstheme="minorHAnsi"/>
          <w:sz w:val="28"/>
          <w:szCs w:val="28"/>
        </w:rPr>
      </w:pPr>
      <w:r>
        <w:rPr>
          <w:rFonts w:cstheme="minorHAnsi"/>
          <w:sz w:val="28"/>
          <w:szCs w:val="28"/>
        </w:rPr>
        <w:t>2.2.5 Benefits of Green Human Resource Management</w:t>
      </w:r>
    </w:p>
    <w:p>
      <w:pPr>
        <w:spacing w:after="0" w:line="360" w:lineRule="auto"/>
        <w:contextualSpacing/>
        <w:rPr>
          <w:rFonts w:cstheme="minorHAnsi"/>
          <w:sz w:val="28"/>
          <w:szCs w:val="28"/>
        </w:rPr>
      </w:pPr>
      <w:r>
        <w:rPr>
          <w:rFonts w:cstheme="minorHAnsi"/>
          <w:sz w:val="28"/>
          <w:szCs w:val="28"/>
        </w:rPr>
        <w:t>2.2.6 Challenges and Limitations of G-HRM</w:t>
      </w:r>
    </w:p>
    <w:p>
      <w:pPr>
        <w:spacing w:after="0" w:line="360" w:lineRule="auto"/>
        <w:contextualSpacing/>
        <w:rPr>
          <w:rFonts w:cstheme="minorHAnsi"/>
          <w:sz w:val="28"/>
          <w:szCs w:val="28"/>
        </w:rPr>
      </w:pPr>
      <w:r>
        <w:rPr>
          <w:rFonts w:cstheme="minorHAnsi"/>
          <w:sz w:val="28"/>
          <w:szCs w:val="28"/>
        </w:rPr>
        <w:t>2.2.7 Concept of Organizational Effectiveness in the Context of Green HRM</w:t>
      </w:r>
    </w:p>
    <w:p>
      <w:pPr>
        <w:spacing w:after="0" w:line="360" w:lineRule="auto"/>
        <w:contextualSpacing/>
        <w:rPr>
          <w:rFonts w:cstheme="minorHAnsi"/>
          <w:sz w:val="28"/>
          <w:szCs w:val="28"/>
        </w:rPr>
      </w:pPr>
      <w:r>
        <w:rPr>
          <w:rFonts w:cstheme="minorHAnsi"/>
          <w:sz w:val="28"/>
          <w:szCs w:val="28"/>
        </w:rPr>
        <w:t>2.2.8 Approaches to Organizational Effectiveness in the Application in G-HRM</w:t>
      </w:r>
    </w:p>
    <w:p>
      <w:pPr>
        <w:spacing w:after="0" w:line="360" w:lineRule="auto"/>
        <w:contextualSpacing/>
        <w:rPr>
          <w:rFonts w:cstheme="minorHAnsi"/>
          <w:sz w:val="28"/>
          <w:szCs w:val="28"/>
        </w:rPr>
      </w:pPr>
      <w:r>
        <w:rPr>
          <w:rFonts w:cstheme="minorHAnsi"/>
          <w:sz w:val="28"/>
          <w:szCs w:val="28"/>
        </w:rPr>
        <w:t>2.2.9 Factors Affecting Organizational Effectiveness in the Era of Green HRM</w:t>
      </w:r>
    </w:p>
    <w:p>
      <w:pPr>
        <w:spacing w:after="0" w:line="360" w:lineRule="auto"/>
        <w:contextualSpacing/>
        <w:rPr>
          <w:rFonts w:cstheme="minorHAnsi"/>
          <w:sz w:val="28"/>
          <w:szCs w:val="28"/>
        </w:rPr>
      </w:pPr>
      <w:r>
        <w:rPr>
          <w:rFonts w:cstheme="minorHAnsi"/>
          <w:sz w:val="28"/>
          <w:szCs w:val="28"/>
        </w:rPr>
        <w:t xml:space="preserve">2.3 </w:t>
      </w:r>
      <w:r>
        <w:rPr>
          <w:rFonts w:eastAsia="Calibri" w:cstheme="minorHAnsi"/>
          <w:color w:val="000000"/>
          <w:sz w:val="28"/>
          <w:szCs w:val="28"/>
        </w:rPr>
        <w:t>Theoretical Review</w:t>
      </w:r>
    </w:p>
    <w:p>
      <w:pPr>
        <w:spacing w:after="0" w:line="360" w:lineRule="auto"/>
        <w:contextualSpacing/>
        <w:rPr>
          <w:rFonts w:cstheme="minorHAnsi"/>
          <w:sz w:val="28"/>
          <w:szCs w:val="28"/>
        </w:rPr>
      </w:pPr>
      <w:r>
        <w:rPr>
          <w:rFonts w:eastAsia="Calibri" w:cstheme="minorHAnsi"/>
          <w:color w:val="000000"/>
          <w:sz w:val="28"/>
          <w:szCs w:val="28"/>
        </w:rPr>
        <w:t xml:space="preserve">2.4 </w:t>
      </w:r>
      <w:r>
        <w:rPr>
          <w:rFonts w:eastAsia="Calibri" w:cstheme="minorHAnsi"/>
          <w:color w:val="000000"/>
          <w:sz w:val="28"/>
          <w:szCs w:val="28"/>
        </w:rPr>
        <w:t>Empirical Review</w:t>
      </w:r>
    </w:p>
    <w:p>
      <w:pPr>
        <w:spacing w:after="0" w:line="360" w:lineRule="auto"/>
        <w:ind w:firstLine="40"/>
        <w:contextualSpacing/>
        <w:rPr>
          <w:rFonts w:cstheme="minorHAnsi"/>
          <w:sz w:val="28"/>
          <w:szCs w:val="28"/>
        </w:rPr>
      </w:pPr>
      <w:r>
        <w:rPr>
          <w:rFonts w:cstheme="minorHAnsi"/>
          <w:sz w:val="28"/>
          <w:szCs w:val="28"/>
        </w:rPr>
        <w:t>CHAPTER THREE:</w:t>
      </w:r>
      <w:r>
        <w:rPr>
          <w:rFonts w:eastAsia="Calibri" w:cstheme="minorHAnsi"/>
          <w:color w:val="000000"/>
          <w:sz w:val="28"/>
          <w:szCs w:val="28"/>
        </w:rPr>
        <w:t xml:space="preserve"> </w:t>
      </w:r>
      <w:r>
        <w:rPr>
          <w:rFonts w:eastAsia="Calibri" w:cstheme="minorHAnsi"/>
          <w:color w:val="000000"/>
          <w:sz w:val="28"/>
          <w:szCs w:val="28"/>
        </w:rPr>
        <w:t>METHODOLOGY</w:t>
      </w:r>
      <w:r>
        <w:rPr>
          <w:rFonts w:eastAsia="Calibri" w:cstheme="minorHAnsi"/>
          <w:color w:val="000000"/>
          <w:sz w:val="28"/>
          <w:szCs w:val="28"/>
        </w:rPr>
        <w:t xml:space="preserve"> </w:t>
      </w:r>
    </w:p>
    <w:p>
      <w:pPr>
        <w:spacing w:after="0" w:line="360" w:lineRule="auto"/>
        <w:ind w:firstLine="40"/>
        <w:contextualSpacing/>
        <w:rPr>
          <w:rFonts w:cstheme="minorHAnsi"/>
          <w:sz w:val="28"/>
          <w:szCs w:val="28"/>
        </w:rPr>
      </w:pPr>
      <w:r>
        <w:rPr>
          <w:rFonts w:eastAsia="Calibri" w:cstheme="minorHAnsi"/>
          <w:color w:val="000000"/>
          <w:sz w:val="28"/>
          <w:szCs w:val="28"/>
        </w:rPr>
        <w:t xml:space="preserve">3.1 </w:t>
      </w:r>
      <w:r>
        <w:rPr>
          <w:rFonts w:eastAsia="Calibri" w:cstheme="minorHAnsi"/>
          <w:color w:val="000000"/>
          <w:sz w:val="28"/>
          <w:szCs w:val="28"/>
        </w:rPr>
        <w:t xml:space="preserve">Introduction </w:t>
      </w:r>
    </w:p>
    <w:p>
      <w:pPr>
        <w:spacing w:after="0" w:line="360" w:lineRule="auto"/>
        <w:ind w:firstLine="40"/>
        <w:contextualSpacing/>
        <w:rPr>
          <w:rFonts w:cstheme="minorHAnsi"/>
          <w:sz w:val="28"/>
          <w:szCs w:val="28"/>
        </w:rPr>
      </w:pPr>
      <w:r>
        <w:rPr>
          <w:rFonts w:eastAsia="Calibri" w:cstheme="minorHAnsi"/>
          <w:color w:val="000000"/>
          <w:sz w:val="28"/>
          <w:szCs w:val="28"/>
        </w:rPr>
        <w:t>3.2 Research Design</w:t>
      </w:r>
    </w:p>
    <w:p>
      <w:pPr>
        <w:spacing w:after="0" w:line="360" w:lineRule="auto"/>
        <w:contextualSpacing/>
        <w:rPr>
          <w:rFonts w:cstheme="minorHAnsi"/>
          <w:sz w:val="28"/>
          <w:szCs w:val="28"/>
        </w:rPr>
      </w:pPr>
      <w:r>
        <w:rPr>
          <w:rFonts w:eastAsia="Calibri" w:cstheme="minorHAnsi"/>
          <w:color w:val="000000"/>
          <w:sz w:val="28"/>
          <w:szCs w:val="28"/>
        </w:rPr>
        <w:t xml:space="preserve">3.3 </w:t>
      </w:r>
      <w:r>
        <w:rPr>
          <w:rFonts w:eastAsia="Calibri" w:cstheme="minorHAnsi"/>
          <w:color w:val="000000"/>
          <w:sz w:val="28"/>
          <w:szCs w:val="28"/>
        </w:rPr>
        <w:t>Population of the Study</w:t>
      </w:r>
    </w:p>
    <w:p>
      <w:pPr>
        <w:spacing w:after="0" w:line="360" w:lineRule="auto"/>
        <w:contextualSpacing/>
        <w:rPr>
          <w:rFonts w:cstheme="minorHAnsi"/>
          <w:sz w:val="28"/>
          <w:szCs w:val="28"/>
        </w:rPr>
      </w:pPr>
      <w:r>
        <w:rPr>
          <w:rFonts w:eastAsia="Calibri" w:cstheme="minorHAnsi"/>
          <w:color w:val="000000"/>
          <w:sz w:val="28"/>
          <w:szCs w:val="28"/>
        </w:rPr>
        <w:t xml:space="preserve">3.4 </w:t>
      </w:r>
      <w:r>
        <w:rPr>
          <w:rFonts w:eastAsia="Calibri" w:cstheme="minorHAnsi"/>
          <w:color w:val="000000"/>
          <w:sz w:val="28"/>
          <w:szCs w:val="28"/>
        </w:rPr>
        <w:t>Sample Technique</w:t>
      </w:r>
      <w:r>
        <w:rPr>
          <w:rFonts w:eastAsia="Calibri" w:cstheme="minorHAnsi"/>
          <w:color w:val="000000"/>
          <w:sz w:val="28"/>
          <w:szCs w:val="28"/>
        </w:rPr>
        <w:t>s and Sample Size</w:t>
      </w:r>
    </w:p>
    <w:p>
      <w:pPr>
        <w:spacing w:after="0" w:line="360" w:lineRule="auto"/>
        <w:contextualSpacing/>
        <w:rPr>
          <w:rFonts w:cstheme="minorHAnsi"/>
          <w:sz w:val="28"/>
          <w:szCs w:val="28"/>
        </w:rPr>
      </w:pPr>
      <w:r>
        <w:rPr>
          <w:rFonts w:eastAsia="Calibri" w:cstheme="minorHAnsi"/>
          <w:color w:val="000000"/>
          <w:sz w:val="28"/>
          <w:szCs w:val="28"/>
        </w:rPr>
        <w:t xml:space="preserve">3.5 </w:t>
      </w:r>
      <w:r>
        <w:rPr>
          <w:rFonts w:eastAsia="Calibri" w:cstheme="minorHAnsi"/>
          <w:color w:val="000000"/>
          <w:sz w:val="28"/>
          <w:szCs w:val="28"/>
        </w:rPr>
        <w:t xml:space="preserve">Method of Data Collection </w:t>
      </w:r>
    </w:p>
    <w:p>
      <w:pPr>
        <w:spacing w:after="0" w:line="360" w:lineRule="auto"/>
        <w:contextualSpacing/>
        <w:rPr>
          <w:rFonts w:cstheme="minorHAnsi"/>
          <w:sz w:val="28"/>
          <w:szCs w:val="28"/>
        </w:rPr>
      </w:pPr>
      <w:r>
        <w:rPr>
          <w:rFonts w:eastAsia="Calibri" w:cstheme="minorHAnsi"/>
          <w:color w:val="000000"/>
          <w:sz w:val="28"/>
          <w:szCs w:val="28"/>
        </w:rPr>
        <w:t xml:space="preserve">3.6 </w:t>
      </w:r>
      <w:r>
        <w:rPr>
          <w:rFonts w:eastAsia="Calibri" w:cstheme="minorHAnsi"/>
          <w:color w:val="000000"/>
          <w:sz w:val="28"/>
          <w:szCs w:val="28"/>
        </w:rPr>
        <w:t>Research I</w:t>
      </w:r>
      <w:r>
        <w:rPr>
          <w:rFonts w:eastAsia="Calibri" w:cstheme="minorHAnsi"/>
          <w:color w:val="000000"/>
          <w:sz w:val="28"/>
          <w:szCs w:val="28"/>
        </w:rPr>
        <w:t>nstruments</w:t>
      </w:r>
    </w:p>
    <w:p>
      <w:pPr>
        <w:spacing w:after="0" w:line="360" w:lineRule="auto"/>
        <w:contextualSpacing/>
        <w:rPr>
          <w:rFonts w:cstheme="minorHAnsi"/>
          <w:sz w:val="28"/>
          <w:szCs w:val="28"/>
        </w:rPr>
      </w:pPr>
      <w:r>
        <w:rPr>
          <w:rFonts w:eastAsia="Calibri" w:cstheme="minorHAnsi"/>
          <w:color w:val="000000"/>
          <w:sz w:val="28"/>
          <w:szCs w:val="28"/>
        </w:rPr>
        <w:t>3.6.1</w:t>
      </w:r>
      <w:r>
        <w:rPr>
          <w:rFonts w:eastAsia="Calibri" w:cstheme="minorHAnsi"/>
          <w:color w:val="000000"/>
          <w:sz w:val="28"/>
          <w:szCs w:val="28"/>
        </w:rPr>
        <w:t xml:space="preserve"> Validity and</w:t>
      </w:r>
      <w:r>
        <w:rPr>
          <w:rFonts w:eastAsia="Calibri" w:cstheme="minorHAnsi"/>
          <w:color w:val="000000"/>
          <w:sz w:val="28"/>
          <w:szCs w:val="28"/>
        </w:rPr>
        <w:t xml:space="preserve"> </w:t>
      </w:r>
      <w:r>
        <w:rPr>
          <w:rFonts w:eastAsia="Calibri" w:cstheme="minorHAnsi"/>
          <w:color w:val="000000"/>
          <w:sz w:val="28"/>
          <w:szCs w:val="28"/>
        </w:rPr>
        <w:t>Reliability of R</w:t>
      </w:r>
      <w:r>
        <w:rPr>
          <w:rFonts w:eastAsia="Calibri" w:cstheme="minorHAnsi"/>
          <w:color w:val="000000"/>
          <w:sz w:val="28"/>
          <w:szCs w:val="28"/>
        </w:rPr>
        <w:t>esearch Instruments</w:t>
      </w:r>
    </w:p>
    <w:p>
      <w:pPr>
        <w:spacing w:after="0" w:line="360" w:lineRule="auto"/>
        <w:contextualSpacing/>
        <w:rPr>
          <w:rFonts w:cstheme="minorHAnsi"/>
          <w:sz w:val="28"/>
          <w:szCs w:val="28"/>
        </w:rPr>
      </w:pPr>
      <w:r>
        <w:rPr>
          <w:rFonts w:eastAsia="Calibri" w:cstheme="minorHAnsi"/>
          <w:color w:val="000000"/>
          <w:sz w:val="28"/>
          <w:szCs w:val="28"/>
        </w:rPr>
        <w:t>3.7</w:t>
      </w:r>
      <w:r>
        <w:rPr>
          <w:rFonts w:eastAsia="Calibri" w:cstheme="minorHAnsi"/>
          <w:color w:val="000000"/>
          <w:sz w:val="28"/>
          <w:szCs w:val="28"/>
        </w:rPr>
        <w:t xml:space="preserve"> </w:t>
      </w:r>
      <w:r>
        <w:rPr>
          <w:rFonts w:eastAsia="Calibri" w:cstheme="minorHAnsi"/>
          <w:color w:val="000000"/>
          <w:sz w:val="28"/>
          <w:szCs w:val="28"/>
        </w:rPr>
        <w:t>Method of Data Analysis and Statistical Too</w:t>
      </w:r>
      <w:r>
        <w:rPr>
          <w:rFonts w:eastAsia="Calibri" w:cstheme="minorHAnsi"/>
          <w:color w:val="000000"/>
          <w:sz w:val="28"/>
          <w:szCs w:val="28"/>
        </w:rPr>
        <w:t>l</w:t>
      </w:r>
    </w:p>
    <w:p>
      <w:pPr>
        <w:spacing w:after="0" w:line="360" w:lineRule="auto"/>
        <w:contextualSpacing/>
        <w:rPr>
          <w:rFonts w:eastAsia="Calibri" w:cstheme="minorHAnsi"/>
          <w:color w:val="000000"/>
          <w:sz w:val="28"/>
          <w:szCs w:val="28"/>
        </w:rPr>
      </w:pPr>
      <w:r>
        <w:rPr>
          <w:rFonts w:eastAsia="Calibri" w:cstheme="minorHAnsi"/>
          <w:color w:val="000000"/>
          <w:sz w:val="28"/>
          <w:szCs w:val="28"/>
        </w:rPr>
        <w:t>3.8</w:t>
      </w:r>
      <w:r>
        <w:rPr>
          <w:rFonts w:eastAsia="Calibri" w:cstheme="minorHAnsi"/>
          <w:color w:val="000000"/>
          <w:sz w:val="28"/>
          <w:szCs w:val="28"/>
        </w:rPr>
        <w:t xml:space="preserve"> </w:t>
      </w:r>
      <w:r>
        <w:rPr>
          <w:rFonts w:eastAsia="Calibri" w:cstheme="minorHAnsi"/>
          <w:color w:val="000000"/>
          <w:sz w:val="28"/>
          <w:szCs w:val="28"/>
        </w:rPr>
        <w:t>Historical Background of the Case Study</w:t>
      </w:r>
    </w:p>
    <w:p>
      <w:pPr>
        <w:spacing w:after="0" w:line="360" w:lineRule="auto"/>
        <w:contextualSpacing/>
        <w:rPr>
          <w:rFonts w:cstheme="minorHAnsi"/>
          <w:sz w:val="28"/>
          <w:szCs w:val="28"/>
        </w:rPr>
      </w:pPr>
      <w:r>
        <w:rPr>
          <w:rFonts w:cstheme="minorHAnsi"/>
          <w:sz w:val="28"/>
          <w:szCs w:val="28"/>
        </w:rPr>
        <w:t>CHAPTER</w:t>
      </w:r>
      <w:r>
        <w:rPr>
          <w:rFonts w:eastAsia="Calibri" w:cstheme="minorHAnsi"/>
          <w:color w:val="000000"/>
          <w:sz w:val="28"/>
          <w:szCs w:val="28"/>
        </w:rPr>
        <w:t xml:space="preserve"> FOUR: </w:t>
      </w:r>
      <w:r>
        <w:rPr>
          <w:rFonts w:eastAsia="Calibri" w:cstheme="minorHAnsi"/>
          <w:color w:val="000000"/>
          <w:sz w:val="28"/>
          <w:szCs w:val="28"/>
        </w:rPr>
        <w:t xml:space="preserve">DATA ANALYSIS, INTERPRETATION AND INTERPRETATION </w:t>
      </w:r>
    </w:p>
    <w:p>
      <w:pPr>
        <w:spacing w:after="0" w:line="360" w:lineRule="auto"/>
        <w:contextualSpacing/>
        <w:rPr>
          <w:rFonts w:cstheme="minorHAnsi"/>
          <w:sz w:val="28"/>
          <w:szCs w:val="28"/>
        </w:rPr>
      </w:pPr>
      <w:r>
        <w:rPr>
          <w:rFonts w:eastAsia="Calibri" w:cstheme="minorHAnsi"/>
          <w:color w:val="000000"/>
          <w:sz w:val="28"/>
          <w:szCs w:val="28"/>
        </w:rPr>
        <w:t>4.1</w:t>
      </w:r>
      <w:r>
        <w:rPr>
          <w:rFonts w:eastAsia="Calibri" w:cstheme="minorHAnsi"/>
          <w:color w:val="000000"/>
          <w:sz w:val="28"/>
          <w:szCs w:val="28"/>
        </w:rPr>
        <w:t xml:space="preserve"> Introduction</w:t>
      </w:r>
    </w:p>
    <w:p>
      <w:pPr>
        <w:spacing w:after="0" w:line="360" w:lineRule="auto"/>
        <w:contextualSpacing/>
        <w:rPr>
          <w:rFonts w:cstheme="minorHAnsi"/>
          <w:sz w:val="28"/>
          <w:szCs w:val="28"/>
        </w:rPr>
      </w:pPr>
      <w:r>
        <w:rPr>
          <w:rFonts w:eastAsia="Calibri" w:cstheme="minorHAnsi"/>
          <w:color w:val="000000"/>
          <w:sz w:val="28"/>
          <w:szCs w:val="28"/>
        </w:rPr>
        <w:t xml:space="preserve">4.2 </w:t>
      </w:r>
      <w:r>
        <w:rPr>
          <w:rFonts w:eastAsia="Calibri" w:cstheme="minorHAnsi"/>
          <w:color w:val="000000"/>
          <w:sz w:val="28"/>
          <w:szCs w:val="28"/>
        </w:rPr>
        <w:t>Sample Size Returned</w:t>
      </w:r>
    </w:p>
    <w:p>
      <w:pPr>
        <w:spacing w:after="0" w:line="360" w:lineRule="auto"/>
        <w:contextualSpacing/>
        <w:rPr>
          <w:rFonts w:cstheme="minorHAnsi"/>
          <w:sz w:val="28"/>
          <w:szCs w:val="28"/>
        </w:rPr>
      </w:pPr>
      <w:r>
        <w:rPr>
          <w:rFonts w:eastAsia="Calibri" w:cstheme="minorHAnsi"/>
          <w:color w:val="000000"/>
          <w:sz w:val="28"/>
          <w:szCs w:val="28"/>
        </w:rPr>
        <w:t xml:space="preserve">4.3 </w:t>
      </w:r>
      <w:r>
        <w:rPr>
          <w:rFonts w:eastAsia="Calibri" w:cstheme="minorHAnsi"/>
          <w:color w:val="000000"/>
          <w:sz w:val="28"/>
          <w:szCs w:val="28"/>
        </w:rPr>
        <w:t xml:space="preserve">Demographic </w:t>
      </w:r>
      <w:r>
        <w:rPr>
          <w:rFonts w:eastAsia="Calibri" w:cstheme="minorHAnsi"/>
          <w:color w:val="000000"/>
          <w:sz w:val="28"/>
          <w:szCs w:val="28"/>
        </w:rPr>
        <w:t>Characteristics</w:t>
      </w:r>
      <w:r>
        <w:rPr>
          <w:rFonts w:eastAsia="Calibri" w:cstheme="minorHAnsi"/>
          <w:color w:val="000000"/>
          <w:sz w:val="28"/>
          <w:szCs w:val="28"/>
        </w:rPr>
        <w:t xml:space="preserve"> </w:t>
      </w:r>
    </w:p>
    <w:p>
      <w:pPr>
        <w:spacing w:after="0" w:line="360" w:lineRule="auto"/>
        <w:contextualSpacing/>
        <w:rPr>
          <w:rFonts w:eastAsia="Calibri" w:cstheme="minorHAnsi"/>
          <w:color w:val="000000"/>
          <w:sz w:val="28"/>
          <w:szCs w:val="28"/>
        </w:rPr>
      </w:pPr>
      <w:r>
        <w:rPr>
          <w:rFonts w:eastAsia="Calibri" w:cstheme="minorHAnsi"/>
          <w:color w:val="000000"/>
          <w:sz w:val="28"/>
          <w:szCs w:val="28"/>
        </w:rPr>
        <w:t xml:space="preserve">4.4 </w:t>
      </w:r>
      <w:r>
        <w:rPr>
          <w:rFonts w:eastAsia="Calibri" w:cstheme="minorHAnsi"/>
          <w:color w:val="000000"/>
          <w:sz w:val="28"/>
          <w:szCs w:val="28"/>
        </w:rPr>
        <w:t>Presentation and Analysis According to Key Question</w:t>
      </w:r>
    </w:p>
    <w:p>
      <w:pPr>
        <w:shd w:val="solid" w:color="FFFFFF" w:themeColor="light1" w:fill="FFFFFF"/>
        <w:spacing w:after="0" w:line="360" w:lineRule="auto"/>
        <w:contextualSpacing/>
        <w:rPr>
          <w:rFonts w:eastAsia="Calibri" w:cstheme="minorHAnsi"/>
          <w:color w:val="000000"/>
          <w:sz w:val="28"/>
          <w:szCs w:val="28"/>
        </w:rPr>
      </w:pPr>
      <w:r>
        <w:rPr>
          <w:rFonts w:eastAsia="Calibri" w:cstheme="minorHAnsi"/>
          <w:color w:val="000000"/>
          <w:sz w:val="28"/>
          <w:szCs w:val="28"/>
        </w:rPr>
        <w:t>4.5 Discussion Of findings</w:t>
      </w:r>
    </w:p>
    <w:p>
      <w:pPr>
        <w:shd w:val="solid" w:color="FFFFFF" w:themeColor="light1" w:fill="FFFFFF"/>
        <w:spacing w:after="0" w:line="360" w:lineRule="auto"/>
        <w:contextualSpacing/>
        <w:rPr>
          <w:rFonts w:eastAsia="Calibri" w:cstheme="minorHAnsi"/>
          <w:color w:val="000000"/>
          <w:sz w:val="28"/>
          <w:szCs w:val="28"/>
        </w:rPr>
      </w:pPr>
      <w:r>
        <w:rPr>
          <w:rFonts w:eastAsia="Calibri" w:cstheme="minorHAnsi"/>
          <w:color w:val="000000"/>
          <w:sz w:val="28"/>
          <w:szCs w:val="28"/>
        </w:rPr>
        <w:t xml:space="preserve">4.6 </w:t>
      </w:r>
      <w:r>
        <w:rPr>
          <w:rFonts w:eastAsia="Calibri" w:cstheme="minorHAnsi"/>
          <w:color w:val="000000"/>
          <w:sz w:val="28"/>
          <w:szCs w:val="28"/>
        </w:rPr>
        <w:t>Hypotheses Testing</w:t>
      </w:r>
    </w:p>
    <w:p>
      <w:pPr>
        <w:shd w:val="solid" w:color="FFFFFF" w:themeColor="light1" w:fill="FFFFFF"/>
        <w:spacing w:after="0" w:line="360" w:lineRule="auto"/>
        <w:contextualSpacing/>
        <w:rPr>
          <w:rFonts w:cstheme="minorHAnsi"/>
          <w:sz w:val="28"/>
          <w:szCs w:val="28"/>
        </w:rPr>
      </w:pPr>
      <w:r>
        <w:rPr>
          <w:rFonts w:cstheme="minorHAnsi"/>
          <w:sz w:val="28"/>
          <w:szCs w:val="28"/>
        </w:rPr>
        <w:t>CHAPTER</w:t>
      </w:r>
      <w:r>
        <w:rPr>
          <w:rFonts w:eastAsia="Calibri" w:cstheme="minorHAnsi"/>
          <w:color w:val="000000"/>
          <w:sz w:val="28"/>
          <w:szCs w:val="28"/>
        </w:rPr>
        <w:t xml:space="preserve"> FIVE: </w:t>
      </w:r>
      <w:r>
        <w:rPr>
          <w:rFonts w:eastAsia="Calibri" w:cstheme="minorHAnsi"/>
          <w:color w:val="000000"/>
          <w:sz w:val="28"/>
          <w:szCs w:val="28"/>
        </w:rPr>
        <w:t>SUMMARY CONCLUSION AND RECOMMENDATIONS</w:t>
      </w:r>
    </w:p>
    <w:p>
      <w:pPr>
        <w:shd w:val="solid" w:color="FFFFFF" w:themeColor="light1" w:fill="FFFFFF"/>
        <w:spacing w:after="0" w:line="360" w:lineRule="auto"/>
        <w:contextualSpacing/>
        <w:rPr>
          <w:rFonts w:eastAsia="Calibri" w:cstheme="minorHAnsi"/>
          <w:color w:val="000000"/>
          <w:sz w:val="28"/>
          <w:szCs w:val="28"/>
        </w:rPr>
      </w:pPr>
      <w:r>
        <w:rPr>
          <w:rFonts w:eastAsia="Calibri" w:cstheme="minorHAnsi"/>
          <w:color w:val="000000"/>
          <w:sz w:val="28"/>
          <w:szCs w:val="28"/>
        </w:rPr>
        <w:t xml:space="preserve">5.1 </w:t>
      </w:r>
      <w:r>
        <w:rPr>
          <w:rFonts w:eastAsia="Calibri" w:cstheme="minorHAnsi"/>
          <w:color w:val="000000"/>
          <w:sz w:val="28"/>
          <w:szCs w:val="28"/>
        </w:rPr>
        <w:t xml:space="preserve">Summary of the findings </w:t>
      </w:r>
    </w:p>
    <w:p>
      <w:pPr>
        <w:shd w:val="solid" w:color="FFFFFF" w:themeColor="light1" w:fill="FFFFFF"/>
        <w:spacing w:after="0" w:line="360" w:lineRule="auto"/>
        <w:contextualSpacing/>
        <w:rPr>
          <w:rFonts w:eastAsia="Calibri" w:cstheme="minorHAnsi"/>
          <w:color w:val="000000"/>
          <w:sz w:val="28"/>
          <w:szCs w:val="28"/>
        </w:rPr>
      </w:pPr>
      <w:r>
        <w:rPr>
          <w:rFonts w:eastAsia="Calibri" w:cstheme="minorHAnsi"/>
          <w:color w:val="000000"/>
          <w:sz w:val="28"/>
          <w:szCs w:val="28"/>
        </w:rPr>
        <w:t>5.2</w:t>
      </w:r>
      <w:r>
        <w:rPr>
          <w:rFonts w:eastAsia="Calibri" w:cstheme="minorHAnsi"/>
          <w:color w:val="000000"/>
          <w:sz w:val="28"/>
          <w:szCs w:val="28"/>
        </w:rPr>
        <w:t xml:space="preserve"> </w:t>
      </w:r>
      <w:r>
        <w:rPr>
          <w:rFonts w:eastAsia="Calibri" w:cstheme="minorHAnsi"/>
          <w:color w:val="000000"/>
          <w:sz w:val="28"/>
          <w:szCs w:val="28"/>
        </w:rPr>
        <w:t>Conclusion</w:t>
      </w:r>
      <w:r>
        <w:rPr>
          <w:rFonts w:eastAsia="Calibri" w:cstheme="minorHAnsi"/>
          <w:color w:val="000000"/>
          <w:sz w:val="28"/>
          <w:szCs w:val="28"/>
        </w:rPr>
        <w:t xml:space="preserve"> </w:t>
      </w:r>
    </w:p>
    <w:p>
      <w:pPr>
        <w:shd w:val="solid" w:color="FFFFFF" w:themeColor="light1" w:fill="FFFFFF"/>
        <w:spacing w:after="0" w:line="360" w:lineRule="auto"/>
        <w:contextualSpacing/>
        <w:rPr>
          <w:rFonts w:ascii="Times New Roman" w:hAnsi="Times New Roman" w:cs="Times New Roman"/>
          <w:sz w:val="26"/>
          <w:szCs w:val="26"/>
        </w:rPr>
      </w:pPr>
      <w:r>
        <w:rPr>
          <w:rFonts w:eastAsia="Calibri" w:cstheme="minorHAnsi"/>
          <w:color w:val="000000"/>
          <w:sz w:val="28"/>
          <w:szCs w:val="28"/>
        </w:rPr>
        <w:t xml:space="preserve">5.3 </w:t>
      </w:r>
      <w:r>
        <w:rPr>
          <w:rFonts w:eastAsia="Calibri" w:cstheme="minorHAnsi"/>
          <w:color w:val="000000"/>
          <w:sz w:val="28"/>
          <w:szCs w:val="28"/>
        </w:rPr>
        <w:t>Recommendations</w:t>
      </w:r>
    </w:p>
    <w:p>
      <w:pPr>
        <w:spacing w:line="480" w:lineRule="auto"/>
        <w:ind w:left="2880" w:firstLine="720"/>
        <w:rPr>
          <w:rFonts w:ascii="Times New Roman" w:hAnsi="Times New Roman" w:cs="Times New Roman"/>
          <w:b/>
          <w:sz w:val="26"/>
          <w:szCs w:val="26"/>
        </w:rPr>
      </w:pPr>
      <w:r>
        <w:rPr>
          <w:rFonts w:ascii="Times New Roman" w:hAnsi="Times New Roman" w:cs="Times New Roman"/>
          <w:sz w:val="26"/>
          <w:szCs w:val="26"/>
        </w:rPr>
        <w:t>C</w:t>
      </w:r>
      <w:r>
        <w:rPr>
          <w:rFonts w:ascii="Times New Roman" w:hAnsi="Times New Roman" w:cs="Times New Roman"/>
          <w:b/>
          <w:sz w:val="26"/>
          <w:szCs w:val="26"/>
        </w:rPr>
        <w:t>HAPTER ON</w:t>
      </w:r>
      <w:r>
        <w:rPr>
          <w:rFonts w:ascii="Times New Roman" w:hAnsi="Times New Roman" w:cs="Times New Roman"/>
          <w:b/>
          <w:sz w:val="26"/>
          <w:szCs w:val="26"/>
          <w:lang w:val="en-US"/>
        </w:rPr>
        <w:t>t</w:t>
      </w:r>
      <w:r>
        <w:rPr>
          <w:rFonts w:ascii="Times New Roman" w:hAnsi="Times New Roman" w:cs="Times New Roman"/>
          <w:b/>
          <w:sz w:val="26"/>
          <w:szCs w:val="26"/>
        </w:rPr>
        <w:t>E</w:t>
      </w:r>
    </w:p>
    <w:p>
      <w:pPr>
        <w:spacing w:line="480" w:lineRule="auto"/>
        <w:jc w:val="center"/>
        <w:rPr>
          <w:rFonts w:ascii="Times New Roman" w:hAnsi="Times New Roman" w:cs="Times New Roman"/>
          <w:b/>
          <w:sz w:val="26"/>
          <w:szCs w:val="26"/>
        </w:rPr>
      </w:pPr>
      <w:r>
        <w:rPr>
          <w:rFonts w:ascii="Times New Roman" w:hAnsi="Times New Roman" w:cs="Times New Roman"/>
          <w:b/>
          <w:sz w:val="26"/>
          <w:szCs w:val="26"/>
        </w:rPr>
        <w:t>INTRODUCTION</w:t>
      </w:r>
    </w:p>
    <w:p>
      <w:pPr>
        <w:spacing w:line="480" w:lineRule="auto"/>
        <w:jc w:val="both"/>
        <w:rPr>
          <w:rFonts w:ascii="Times New Roman" w:hAnsi="Times New Roman" w:cs="Times New Roman"/>
          <w:b/>
          <w:sz w:val="25"/>
          <w:szCs w:val="25"/>
        </w:rPr>
      </w:pPr>
      <w:r>
        <w:rPr>
          <w:rFonts w:ascii="Times New Roman" w:hAnsi="Times New Roman" w:cs="Times New Roman"/>
          <w:b/>
          <w:sz w:val="25"/>
          <w:szCs w:val="25"/>
        </w:rPr>
        <w:t>1.1 Background to the Study</w:t>
      </w:r>
    </w:p>
    <w:p>
      <w:pPr>
        <w:spacing w:line="480" w:lineRule="auto"/>
        <w:jc w:val="both"/>
        <w:rPr>
          <w:rFonts w:ascii="Times New Roman" w:hAnsi="Times New Roman" w:cs="Times New Roman"/>
          <w:sz w:val="25"/>
          <w:szCs w:val="25"/>
        </w:rPr>
      </w:pPr>
      <w:r>
        <w:rPr>
          <w:rFonts w:ascii="Times New Roman" w:hAnsi="Times New Roman" w:cs="Times New Roman"/>
          <w:sz w:val="25"/>
          <w:szCs w:val="25"/>
        </w:rPr>
        <w:t>In recent years, the global shift toward sustainable development has placed significant emphasis on organizational strategies that address environmental, social, and economic challenges. One such strategy gaining prominence is Green Human Resource Management (GHRM), which integrates environmental objectives into HR policies and practices. GHRM involves practices such as green recruitment, green training, and environmentally conscious performance management, all aimed at promoting sustainable workplace behavior (Renwick et al., 2013).</w:t>
      </w:r>
    </w:p>
    <w:p>
      <w:pPr>
        <w:spacing w:line="480" w:lineRule="auto"/>
        <w:jc w:val="both"/>
        <w:rPr>
          <w:rFonts w:ascii="Times New Roman" w:hAnsi="Times New Roman" w:cs="Times New Roman"/>
          <w:sz w:val="25"/>
          <w:szCs w:val="25"/>
        </w:rPr>
      </w:pPr>
      <w:r>
        <w:rPr>
          <w:rFonts w:ascii="Times New Roman" w:hAnsi="Times New Roman" w:cs="Times New Roman"/>
          <w:sz w:val="25"/>
          <w:szCs w:val="25"/>
        </w:rPr>
        <w:t>The 21st century has witnessed a transformation in how organizations view human resource management—not merely as administrative support, but as a strategic partner in achieving sustainability and competitive advantage (Jackson, Renwick, Jabbour, &amp; Müller-Camen, 2011). GHRM aligns with the triple bottom line approach, which emphasizes environmental sustainability, social responsibility, and economic performance (Elkington, 1997). These practices include telecommuting, virtual interviews, digital documentation, and energy-efficient workplace designs, all of which reduce carbon footprints and promote eco-consciousness among employees (Mandip, 2012).</w:t>
      </w:r>
    </w:p>
    <w:p>
      <w:pPr>
        <w:spacing w:line="480" w:lineRule="auto"/>
        <w:jc w:val="both"/>
        <w:rPr>
          <w:rFonts w:ascii="Times New Roman" w:hAnsi="Times New Roman" w:cs="Times New Roman"/>
          <w:sz w:val="25"/>
          <w:szCs w:val="25"/>
        </w:rPr>
      </w:pPr>
      <w:r>
        <w:rPr>
          <w:rFonts w:ascii="Times New Roman" w:hAnsi="Times New Roman" w:cs="Times New Roman"/>
          <w:sz w:val="25"/>
          <w:szCs w:val="25"/>
        </w:rPr>
        <w:t>Studies have shown that effective GHRM practices can lead to improved organizational performance by enhancing employee engagement, morale, and operational efficiency (Jabbour &amp; Santos, 2008; Tang et al., 2018). As organizations face pressure from stakeholders, regulators, and the public to act sustainably, GHRM emerges as a vital tool for shaping organizational culture and achieving long-term success.</w:t>
      </w:r>
    </w:p>
    <w:p>
      <w:pPr>
        <w:spacing w:line="480" w:lineRule="auto"/>
        <w:jc w:val="both"/>
        <w:rPr>
          <w:rFonts w:ascii="Times New Roman" w:hAnsi="Times New Roman" w:cs="Times New Roman"/>
          <w:sz w:val="25"/>
          <w:szCs w:val="25"/>
        </w:rPr>
      </w:pPr>
      <w:r>
        <w:rPr>
          <w:rFonts w:ascii="Times New Roman" w:hAnsi="Times New Roman" w:cs="Times New Roman"/>
          <w:sz w:val="25"/>
          <w:szCs w:val="25"/>
        </w:rPr>
        <w:t>However, despite growing interest, the application of GHRM remains under-researched in non-Western and emerging economies such as Nigeria. Most existing studies originate from developed nations, leaving a gap in understanding how GHRM practices influence organizational outcomes in the African context (Renwick et al., 2016). Given Nigeria’s rapid industrialization and environmental concerns, there is a pressing need to explore how GHRM practices contribute to organizational performance within this context.</w:t>
      </w:r>
    </w:p>
    <w:p>
      <w:pPr>
        <w:spacing w:line="480" w:lineRule="auto"/>
        <w:jc w:val="both"/>
        <w:rPr>
          <w:rFonts w:ascii="Times New Roman" w:hAnsi="Times New Roman" w:cs="Times New Roman"/>
          <w:sz w:val="25"/>
          <w:szCs w:val="25"/>
        </w:rPr>
      </w:pPr>
      <w:r>
        <w:rPr>
          <w:rFonts w:ascii="Times New Roman" w:hAnsi="Times New Roman" w:cs="Times New Roman"/>
          <w:sz w:val="25"/>
          <w:szCs w:val="25"/>
        </w:rPr>
        <w:t>This study therefore aims to investigate the role of Green Human Resource Practices in shaping organizational performance in the 21st century, using Guaranty Trust Bank (GTB) in Ilorin as a case study. It seeks to contribute to the growing body of knowledge by contextualizing GHRM in Nigeria’s banking sector and highlighting its impact on effectiveness, competitiveness, and resilience.</w:t>
      </w:r>
    </w:p>
    <w:p>
      <w:pPr>
        <w:spacing w:line="480" w:lineRule="auto"/>
        <w:jc w:val="both"/>
        <w:rPr>
          <w:rFonts w:ascii="Times New Roman" w:hAnsi="Times New Roman" w:cs="Times New Roman"/>
          <w:b/>
          <w:sz w:val="25"/>
          <w:szCs w:val="25"/>
        </w:rPr>
      </w:pPr>
      <w:r>
        <w:rPr>
          <w:rFonts w:ascii="Times New Roman" w:hAnsi="Times New Roman" w:cs="Times New Roman"/>
          <w:b/>
          <w:sz w:val="25"/>
          <w:szCs w:val="25"/>
        </w:rPr>
        <w:t>1.2 Statement of the Research Problem</w:t>
      </w:r>
    </w:p>
    <w:p>
      <w:pPr>
        <w:spacing w:line="480" w:lineRule="auto"/>
        <w:jc w:val="both"/>
        <w:rPr>
          <w:rFonts w:ascii="Times New Roman" w:hAnsi="Times New Roman" w:cs="Times New Roman"/>
          <w:sz w:val="25"/>
          <w:szCs w:val="25"/>
        </w:rPr>
      </w:pPr>
      <w:r>
        <w:rPr>
          <w:rFonts w:ascii="Times New Roman" w:hAnsi="Times New Roman" w:cs="Times New Roman"/>
          <w:sz w:val="25"/>
          <w:szCs w:val="25"/>
        </w:rPr>
        <w:t>Organizations today are confronted with rising environmental concerns and sustainability expectations. The failure to implement environmentally friendly practices often results in poor employee morale, increased operational costs, reduced competitiveness, and missed business opportunities (Daily, Bishop, &amp; Govindarajulu, 2009). In contrast, GHRM practices such as online recruitment, virtual training, green appraisals, and digital communication not only reduce environmental footprints but also foster a culture of innovation and accountability (Pham, Tučková, &amp; Jabbour, 2019).</w:t>
      </w:r>
    </w:p>
    <w:p>
      <w:pPr>
        <w:spacing w:line="480" w:lineRule="auto"/>
        <w:jc w:val="both"/>
        <w:rPr>
          <w:rFonts w:ascii="Times New Roman" w:hAnsi="Times New Roman" w:cs="Times New Roman"/>
          <w:sz w:val="25"/>
          <w:szCs w:val="25"/>
        </w:rPr>
      </w:pPr>
      <w:r>
        <w:rPr>
          <w:rFonts w:ascii="Times New Roman" w:hAnsi="Times New Roman" w:cs="Times New Roman"/>
          <w:sz w:val="25"/>
          <w:szCs w:val="25"/>
        </w:rPr>
        <w:t>Green HRM is especially crucial for industries like banking, where resource consumption and environmental reputation can significantly influence public trust and operational efficiency. GTB, being one of Nigeria's leading banks, is expected to demonstrate leadership in sustainability. However, limited empirical evidence exists on how green HR practices influence its performance outcomes—such as effectiveness, resilience, and competitive standing—in the Nigerian context.</w:t>
      </w:r>
    </w:p>
    <w:p>
      <w:pPr>
        <w:spacing w:line="480" w:lineRule="auto"/>
        <w:jc w:val="both"/>
        <w:rPr>
          <w:rFonts w:ascii="Times New Roman" w:hAnsi="Times New Roman" w:cs="Times New Roman"/>
          <w:sz w:val="25"/>
          <w:szCs w:val="25"/>
        </w:rPr>
      </w:pPr>
      <w:r>
        <w:rPr>
          <w:rFonts w:ascii="Times New Roman" w:hAnsi="Times New Roman" w:cs="Times New Roman"/>
          <w:sz w:val="25"/>
          <w:szCs w:val="25"/>
        </w:rPr>
        <w:t>The absence of robust GHRM policies may hinder the bank’s ability to respond to global environmental demands, reduce costs, and maintain a productive workforce. Thus, this study aims to bridge this gap by examining the impact of GHRM practices on organizational performance at GTB Ilorin.</w:t>
      </w:r>
    </w:p>
    <w:p>
      <w:pPr>
        <w:spacing w:line="480" w:lineRule="auto"/>
        <w:jc w:val="both"/>
        <w:rPr>
          <w:rFonts w:ascii="Times New Roman" w:hAnsi="Times New Roman" w:cs="Times New Roman"/>
          <w:b/>
          <w:sz w:val="25"/>
          <w:szCs w:val="25"/>
        </w:rPr>
      </w:pPr>
      <w:r>
        <w:rPr>
          <w:rFonts w:ascii="Times New Roman" w:hAnsi="Times New Roman" w:cs="Times New Roman"/>
          <w:b/>
          <w:sz w:val="25"/>
          <w:szCs w:val="25"/>
        </w:rPr>
        <w:t>1.3 Research Questions</w:t>
      </w:r>
    </w:p>
    <w:p>
      <w:pPr>
        <w:pStyle w:val="18"/>
        <w:numPr>
          <w:ilvl w:val="0"/>
          <w:numId w:val="1"/>
        </w:numPr>
        <w:spacing w:line="480" w:lineRule="auto"/>
        <w:jc w:val="both"/>
        <w:rPr>
          <w:rFonts w:ascii="Times New Roman" w:hAnsi="Times New Roman" w:cs="Times New Roman"/>
          <w:sz w:val="25"/>
          <w:szCs w:val="25"/>
        </w:rPr>
      </w:pPr>
      <w:r>
        <w:rPr>
          <w:rFonts w:ascii="Times New Roman" w:hAnsi="Times New Roman" w:cs="Times New Roman"/>
          <w:sz w:val="25"/>
          <w:szCs w:val="25"/>
        </w:rPr>
        <w:t>To what extent do Green Human Resource Management (GHRM) practices affect organizational effectiveness in GTB Ilorin?</w:t>
      </w:r>
    </w:p>
    <w:p>
      <w:pPr>
        <w:pStyle w:val="18"/>
        <w:numPr>
          <w:ilvl w:val="0"/>
          <w:numId w:val="1"/>
        </w:numPr>
        <w:spacing w:line="480" w:lineRule="auto"/>
        <w:jc w:val="both"/>
        <w:rPr>
          <w:rFonts w:ascii="Times New Roman" w:hAnsi="Times New Roman" w:cs="Times New Roman"/>
          <w:sz w:val="25"/>
          <w:szCs w:val="25"/>
        </w:rPr>
      </w:pPr>
      <w:r>
        <w:rPr>
          <w:rFonts w:ascii="Times New Roman" w:hAnsi="Times New Roman" w:cs="Times New Roman"/>
          <w:sz w:val="25"/>
          <w:szCs w:val="25"/>
        </w:rPr>
        <w:t>What is the relationship between GHRM practices and organizational competitiveness?</w:t>
      </w:r>
    </w:p>
    <w:p>
      <w:pPr>
        <w:pStyle w:val="18"/>
        <w:numPr>
          <w:ilvl w:val="0"/>
          <w:numId w:val="1"/>
        </w:numPr>
        <w:spacing w:line="480" w:lineRule="auto"/>
        <w:jc w:val="both"/>
        <w:rPr>
          <w:rFonts w:ascii="Times New Roman" w:hAnsi="Times New Roman" w:cs="Times New Roman"/>
          <w:sz w:val="25"/>
          <w:szCs w:val="25"/>
        </w:rPr>
      </w:pPr>
      <w:r>
        <w:rPr>
          <w:rFonts w:ascii="Times New Roman" w:hAnsi="Times New Roman" w:cs="Times New Roman"/>
          <w:sz w:val="25"/>
          <w:szCs w:val="25"/>
        </w:rPr>
        <w:t>How do GHRM practices enhance organizational resilience in GTB Ilorin?</w:t>
      </w:r>
    </w:p>
    <w:p>
      <w:pPr>
        <w:spacing w:line="480" w:lineRule="auto"/>
        <w:jc w:val="both"/>
        <w:rPr>
          <w:rFonts w:ascii="Times New Roman" w:hAnsi="Times New Roman" w:cs="Times New Roman"/>
          <w:b/>
          <w:sz w:val="25"/>
          <w:szCs w:val="25"/>
        </w:rPr>
      </w:pPr>
      <w:r>
        <w:rPr>
          <w:rFonts w:ascii="Times New Roman" w:hAnsi="Times New Roman" w:cs="Times New Roman"/>
          <w:b/>
          <w:sz w:val="25"/>
          <w:szCs w:val="25"/>
        </w:rPr>
        <w:t>1.4 Research Objectives</w:t>
      </w:r>
    </w:p>
    <w:p>
      <w:pPr>
        <w:pStyle w:val="18"/>
        <w:numPr>
          <w:ilvl w:val="0"/>
          <w:numId w:val="2"/>
        </w:numPr>
        <w:spacing w:line="480" w:lineRule="auto"/>
        <w:jc w:val="both"/>
        <w:rPr>
          <w:rFonts w:ascii="Times New Roman" w:hAnsi="Times New Roman" w:cs="Times New Roman"/>
          <w:sz w:val="25"/>
          <w:szCs w:val="25"/>
        </w:rPr>
      </w:pPr>
      <w:r>
        <w:rPr>
          <w:rFonts w:ascii="Times New Roman" w:hAnsi="Times New Roman" w:cs="Times New Roman"/>
          <w:sz w:val="25"/>
          <w:szCs w:val="25"/>
        </w:rPr>
        <w:t>To examine the influence of GHRM practices on the organizational effectiveness of GTB Ilorin.</w:t>
      </w:r>
    </w:p>
    <w:p>
      <w:pPr>
        <w:pStyle w:val="18"/>
        <w:numPr>
          <w:ilvl w:val="0"/>
          <w:numId w:val="2"/>
        </w:numPr>
        <w:spacing w:line="480" w:lineRule="auto"/>
        <w:jc w:val="both"/>
        <w:rPr>
          <w:rFonts w:ascii="Times New Roman" w:hAnsi="Times New Roman" w:cs="Times New Roman"/>
          <w:sz w:val="25"/>
          <w:szCs w:val="25"/>
        </w:rPr>
      </w:pPr>
      <w:r>
        <w:rPr>
          <w:rFonts w:ascii="Times New Roman" w:hAnsi="Times New Roman" w:cs="Times New Roman"/>
          <w:sz w:val="25"/>
          <w:szCs w:val="25"/>
        </w:rPr>
        <w:t>To assess the relationship between GHRM practices and organizational competitiveness.</w:t>
      </w:r>
    </w:p>
    <w:p>
      <w:pPr>
        <w:pStyle w:val="18"/>
        <w:numPr>
          <w:ilvl w:val="0"/>
          <w:numId w:val="2"/>
        </w:numPr>
        <w:spacing w:line="480" w:lineRule="auto"/>
        <w:jc w:val="both"/>
        <w:rPr>
          <w:rFonts w:ascii="Times New Roman" w:hAnsi="Times New Roman" w:cs="Times New Roman"/>
          <w:sz w:val="25"/>
          <w:szCs w:val="25"/>
        </w:rPr>
      </w:pPr>
      <w:r>
        <w:rPr>
          <w:rFonts w:ascii="Times New Roman" w:hAnsi="Times New Roman" w:cs="Times New Roman"/>
          <w:sz w:val="25"/>
          <w:szCs w:val="25"/>
        </w:rPr>
        <w:t>To evaluate the role of GHRM practices in promoting organizational resilience at GTB Ilorin.</w:t>
      </w:r>
    </w:p>
    <w:p>
      <w:pPr>
        <w:spacing w:line="480" w:lineRule="auto"/>
        <w:jc w:val="both"/>
        <w:rPr>
          <w:rFonts w:ascii="Times New Roman" w:hAnsi="Times New Roman" w:cs="Times New Roman"/>
          <w:sz w:val="25"/>
          <w:szCs w:val="25"/>
        </w:rPr>
      </w:pPr>
      <w:r>
        <w:rPr>
          <w:rFonts w:ascii="Times New Roman" w:hAnsi="Times New Roman" w:cs="Times New Roman"/>
          <w:b/>
          <w:sz w:val="25"/>
          <w:szCs w:val="25"/>
        </w:rPr>
        <w:t>1.5 Research Hypotheses</w:t>
      </w:r>
    </w:p>
    <w:p>
      <w:pPr>
        <w:spacing w:line="480" w:lineRule="auto"/>
        <w:jc w:val="both"/>
        <w:rPr>
          <w:rFonts w:ascii="Times New Roman" w:hAnsi="Times New Roman" w:cs="Times New Roman"/>
          <w:sz w:val="25"/>
          <w:szCs w:val="25"/>
        </w:rPr>
      </w:pPr>
      <w:r>
        <w:rPr>
          <w:rFonts w:ascii="Times New Roman" w:hAnsi="Times New Roman" w:cs="Times New Roman"/>
          <w:b/>
          <w:sz w:val="25"/>
          <w:szCs w:val="25"/>
        </w:rPr>
        <w:t xml:space="preserve">H₀₁: </w:t>
      </w:r>
      <w:r>
        <w:rPr>
          <w:rFonts w:ascii="Times New Roman" w:hAnsi="Times New Roman" w:cs="Times New Roman"/>
          <w:sz w:val="25"/>
          <w:szCs w:val="25"/>
        </w:rPr>
        <w:t>GHRM practices have no significant influence on the organizational effectiveness of GTB Ilorin.</w:t>
      </w:r>
    </w:p>
    <w:p>
      <w:pPr>
        <w:spacing w:line="480" w:lineRule="auto"/>
        <w:jc w:val="both"/>
        <w:rPr>
          <w:rFonts w:ascii="Times New Roman" w:hAnsi="Times New Roman" w:cs="Times New Roman"/>
          <w:b/>
          <w:sz w:val="25"/>
          <w:szCs w:val="25"/>
        </w:rPr>
      </w:pPr>
      <w:r>
        <w:rPr>
          <w:rFonts w:ascii="Times New Roman" w:hAnsi="Times New Roman" w:cs="Times New Roman"/>
          <w:b/>
          <w:sz w:val="25"/>
          <w:szCs w:val="25"/>
        </w:rPr>
        <w:t xml:space="preserve">H₀₂: </w:t>
      </w:r>
      <w:r>
        <w:rPr>
          <w:rFonts w:ascii="Times New Roman" w:hAnsi="Times New Roman" w:cs="Times New Roman"/>
          <w:sz w:val="25"/>
          <w:szCs w:val="25"/>
        </w:rPr>
        <w:t>There is no significant relationship between GHRM practices and organizational competitiveness</w:t>
      </w:r>
      <w:r>
        <w:rPr>
          <w:rFonts w:ascii="Times New Roman" w:hAnsi="Times New Roman" w:cs="Times New Roman"/>
          <w:b/>
          <w:sz w:val="25"/>
          <w:szCs w:val="25"/>
        </w:rPr>
        <w:t>.</w:t>
      </w:r>
    </w:p>
    <w:p>
      <w:pPr>
        <w:spacing w:line="480" w:lineRule="auto"/>
        <w:jc w:val="both"/>
        <w:rPr>
          <w:rFonts w:ascii="Times New Roman" w:hAnsi="Times New Roman" w:cs="Times New Roman"/>
          <w:b/>
          <w:sz w:val="25"/>
          <w:szCs w:val="25"/>
        </w:rPr>
      </w:pPr>
      <w:r>
        <w:rPr>
          <w:rFonts w:ascii="Times New Roman" w:hAnsi="Times New Roman" w:cs="Times New Roman"/>
          <w:b/>
          <w:sz w:val="25"/>
          <w:szCs w:val="25"/>
        </w:rPr>
        <w:t xml:space="preserve">H₀₃: </w:t>
      </w:r>
      <w:r>
        <w:rPr>
          <w:rFonts w:ascii="Times New Roman" w:hAnsi="Times New Roman" w:cs="Times New Roman"/>
          <w:sz w:val="25"/>
          <w:szCs w:val="25"/>
        </w:rPr>
        <w:t>GHRM practices play no significant role in enhancing organizational resilience at GTB Ilorin.</w:t>
      </w:r>
    </w:p>
    <w:p>
      <w:pPr>
        <w:spacing w:line="480" w:lineRule="auto"/>
        <w:jc w:val="both"/>
        <w:rPr>
          <w:rFonts w:ascii="Times New Roman" w:hAnsi="Times New Roman" w:cs="Times New Roman"/>
          <w:b/>
          <w:sz w:val="25"/>
          <w:szCs w:val="25"/>
        </w:rPr>
      </w:pPr>
      <w:r>
        <w:rPr>
          <w:rFonts w:ascii="Times New Roman" w:hAnsi="Times New Roman" w:cs="Times New Roman"/>
          <w:b/>
          <w:sz w:val="25"/>
          <w:szCs w:val="25"/>
        </w:rPr>
        <w:t>1.6 Significance of the Study</w:t>
      </w:r>
    </w:p>
    <w:p>
      <w:pPr>
        <w:spacing w:line="480" w:lineRule="auto"/>
        <w:jc w:val="both"/>
        <w:rPr>
          <w:rFonts w:ascii="Times New Roman" w:hAnsi="Times New Roman" w:cs="Times New Roman"/>
          <w:sz w:val="25"/>
          <w:szCs w:val="25"/>
        </w:rPr>
      </w:pPr>
      <w:r>
        <w:rPr>
          <w:rFonts w:ascii="Times New Roman" w:hAnsi="Times New Roman" w:cs="Times New Roman"/>
          <w:sz w:val="25"/>
          <w:szCs w:val="25"/>
        </w:rPr>
        <w:t>This study is significant in advancing understanding of the relationship between green human resource practices and organizational performance in Nigeria. By focusing on GTB Ilorin, the research provides insights into how eco-conscious HR strategies can improve employee performance, reduce costs, and enhance sustainability. Findings from the study will offer practical recommendations for HR managers, policymakers, and corporate leaders seeking to embed sustainability into their organizational cultures.</w:t>
      </w:r>
    </w:p>
    <w:p>
      <w:pPr>
        <w:spacing w:line="480" w:lineRule="auto"/>
        <w:jc w:val="both"/>
        <w:rPr>
          <w:rFonts w:ascii="Times New Roman" w:hAnsi="Times New Roman" w:cs="Times New Roman"/>
          <w:sz w:val="25"/>
          <w:szCs w:val="25"/>
        </w:rPr>
      </w:pPr>
      <w:r>
        <w:rPr>
          <w:rFonts w:ascii="Times New Roman" w:hAnsi="Times New Roman" w:cs="Times New Roman"/>
          <w:sz w:val="25"/>
          <w:szCs w:val="25"/>
        </w:rPr>
        <w:t>Additionally, the study contributes to the limited academic literature on GHRM in developing countries, helping to contextualize global HR practices within Nigerian institutions. It may also influence future HRM curriculum and training programs aimed at preparing managers for sustainable leadership.</w:t>
      </w:r>
    </w:p>
    <w:p>
      <w:pPr>
        <w:rPr>
          <w:rFonts w:ascii="Times New Roman" w:hAnsi="Times New Roman" w:cs="Times New Roman"/>
          <w:sz w:val="25"/>
          <w:szCs w:val="25"/>
        </w:rPr>
      </w:pPr>
      <w:r>
        <w:rPr>
          <w:rFonts w:ascii="Times New Roman" w:hAnsi="Times New Roman" w:cs="Times New Roman"/>
          <w:b/>
          <w:sz w:val="25"/>
          <w:szCs w:val="25"/>
        </w:rPr>
        <w:t>1.7 Scope of the Study</w:t>
      </w:r>
    </w:p>
    <w:p>
      <w:pPr>
        <w:spacing w:line="480" w:lineRule="auto"/>
        <w:jc w:val="both"/>
        <w:rPr>
          <w:rFonts w:ascii="Times New Roman" w:hAnsi="Times New Roman" w:cs="Times New Roman"/>
          <w:sz w:val="25"/>
          <w:szCs w:val="25"/>
        </w:rPr>
      </w:pPr>
      <w:r>
        <w:rPr>
          <w:rFonts w:ascii="Times New Roman" w:hAnsi="Times New Roman" w:cs="Times New Roman"/>
          <w:sz w:val="25"/>
          <w:szCs w:val="25"/>
        </w:rPr>
        <w:t>This study focuses specifically on Guaranty Trust Bank (GTB) in Ilorin, Nigeria. It examines how GHRM practices are implemented and their influence on organizational performance metrics such as effectiveness, competitiveness, and resilience. While GTB is the case study, the insights may be applicable to other banks and organizations in similar sectors and contexts.</w:t>
      </w:r>
    </w:p>
    <w:p>
      <w:pPr>
        <w:spacing w:line="480" w:lineRule="auto"/>
        <w:jc w:val="both"/>
        <w:rPr>
          <w:rFonts w:ascii="Times New Roman" w:hAnsi="Times New Roman" w:cs="Times New Roman"/>
          <w:b/>
          <w:sz w:val="25"/>
          <w:szCs w:val="25"/>
        </w:rPr>
      </w:pPr>
      <w:r>
        <w:rPr>
          <w:rFonts w:ascii="Times New Roman" w:hAnsi="Times New Roman" w:cs="Times New Roman"/>
          <w:b/>
          <w:sz w:val="25"/>
          <w:szCs w:val="25"/>
        </w:rPr>
        <w:t>1.8 Definition of Terms</w:t>
      </w:r>
    </w:p>
    <w:p>
      <w:pPr>
        <w:pStyle w:val="18"/>
        <w:numPr>
          <w:ilvl w:val="0"/>
          <w:numId w:val="3"/>
        </w:numPr>
        <w:spacing w:line="480" w:lineRule="auto"/>
        <w:jc w:val="both"/>
        <w:rPr>
          <w:rFonts w:ascii="Times New Roman" w:hAnsi="Times New Roman" w:cs="Times New Roman"/>
          <w:sz w:val="25"/>
          <w:szCs w:val="25"/>
        </w:rPr>
      </w:pPr>
      <w:r>
        <w:rPr>
          <w:rFonts w:ascii="Times New Roman" w:hAnsi="Times New Roman" w:cs="Times New Roman"/>
          <w:sz w:val="25"/>
          <w:szCs w:val="25"/>
        </w:rPr>
        <w:t>Human Resource Management (HRM): The strategic approach to managing people and workplace culture to drive organizational success.</w:t>
      </w:r>
    </w:p>
    <w:p>
      <w:pPr>
        <w:pStyle w:val="18"/>
        <w:numPr>
          <w:ilvl w:val="0"/>
          <w:numId w:val="3"/>
        </w:numPr>
        <w:spacing w:line="480" w:lineRule="auto"/>
        <w:jc w:val="both"/>
        <w:rPr>
          <w:rFonts w:ascii="Times New Roman" w:hAnsi="Times New Roman" w:cs="Times New Roman"/>
          <w:sz w:val="25"/>
          <w:szCs w:val="25"/>
        </w:rPr>
      </w:pPr>
      <w:r>
        <w:rPr>
          <w:rFonts w:ascii="Times New Roman" w:hAnsi="Times New Roman" w:cs="Times New Roman"/>
          <w:sz w:val="25"/>
          <w:szCs w:val="25"/>
        </w:rPr>
        <w:t>Green Human Resource Management (GHRM): The integration of environmental management principles into HR functions such as recruitment, training, appraisal, and development to promote sustainability (Renwick et al., 2013).</w:t>
      </w:r>
    </w:p>
    <w:p>
      <w:pPr>
        <w:pStyle w:val="18"/>
        <w:numPr>
          <w:ilvl w:val="0"/>
          <w:numId w:val="3"/>
        </w:numPr>
        <w:spacing w:line="480" w:lineRule="auto"/>
        <w:jc w:val="both"/>
        <w:rPr>
          <w:rFonts w:ascii="Times New Roman" w:hAnsi="Times New Roman" w:cs="Times New Roman"/>
          <w:sz w:val="25"/>
          <w:szCs w:val="25"/>
        </w:rPr>
      </w:pPr>
      <w:r>
        <w:rPr>
          <w:rFonts w:ascii="Times New Roman" w:hAnsi="Times New Roman" w:cs="Times New Roman"/>
          <w:sz w:val="25"/>
          <w:szCs w:val="25"/>
        </w:rPr>
        <w:t>Organizational Effectiveness: The degree to which an organization achieves its intended objectives efficiently and sustainably.</w:t>
      </w:r>
    </w:p>
    <w:p>
      <w:pPr>
        <w:pStyle w:val="18"/>
        <w:numPr>
          <w:ilvl w:val="0"/>
          <w:numId w:val="3"/>
        </w:numPr>
        <w:spacing w:line="480" w:lineRule="auto"/>
        <w:jc w:val="both"/>
        <w:rPr>
          <w:rFonts w:ascii="Times New Roman" w:hAnsi="Times New Roman" w:cs="Times New Roman"/>
          <w:sz w:val="25"/>
          <w:szCs w:val="25"/>
        </w:rPr>
      </w:pPr>
      <w:r>
        <w:rPr>
          <w:rFonts w:ascii="Times New Roman" w:hAnsi="Times New Roman" w:cs="Times New Roman"/>
          <w:sz w:val="25"/>
          <w:szCs w:val="25"/>
        </w:rPr>
        <w:t>Organizational Competitiveness: An organization’s ability to maintain and gain market advantage through innovation, productivity, and reputation.</w:t>
      </w:r>
    </w:p>
    <w:p>
      <w:pPr>
        <w:pStyle w:val="18"/>
        <w:numPr>
          <w:ilvl w:val="0"/>
          <w:numId w:val="3"/>
        </w:numPr>
        <w:spacing w:line="480" w:lineRule="auto"/>
        <w:jc w:val="both"/>
        <w:rPr>
          <w:rFonts w:ascii="Times New Roman" w:hAnsi="Times New Roman" w:cs="Times New Roman"/>
          <w:sz w:val="25"/>
          <w:szCs w:val="25"/>
        </w:rPr>
      </w:pPr>
      <w:r>
        <w:rPr>
          <w:rFonts w:ascii="Times New Roman" w:hAnsi="Times New Roman" w:cs="Times New Roman"/>
          <w:sz w:val="25"/>
          <w:szCs w:val="25"/>
        </w:rPr>
        <w:t>Organizational Resilience: The capability of an organization to withstand disruptions, adapt to change, and recover from crises while maintaining core functions.</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pPr>
        <w:jc w:val="center"/>
        <w:rPr>
          <w:rFonts w:ascii="Times New Roman" w:hAnsi="Times New Roman" w:cs="Times New Roman"/>
          <w:b/>
          <w:bCs/>
          <w:sz w:val="26"/>
          <w:szCs w:val="26"/>
        </w:rPr>
      </w:pPr>
      <w:r>
        <w:rPr>
          <w:rFonts w:ascii="Times New Roman" w:hAnsi="Times New Roman" w:cs="Times New Roman"/>
          <w:b/>
          <w:bCs/>
          <w:sz w:val="26"/>
          <w:szCs w:val="26"/>
        </w:rPr>
        <w:br w:type="page"/>
      </w:r>
      <w:r>
        <w:rPr>
          <w:rFonts w:ascii="Times New Roman" w:hAnsi="Times New Roman" w:cs="Times New Roman"/>
          <w:b/>
          <w:bCs/>
          <w:sz w:val="26"/>
          <w:szCs w:val="26"/>
        </w:rPr>
        <w:t>CHAPTER TWO</w:t>
      </w:r>
    </w:p>
    <w:p>
      <w:pPr>
        <w:autoSpaceDE w:val="0"/>
        <w:autoSpaceDN w:val="0"/>
        <w:adjustRightInd w:val="0"/>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t>LITERATURE REVIEW</w:t>
      </w:r>
    </w:p>
    <w:p>
      <w:pPr>
        <w:autoSpaceDE w:val="0"/>
        <w:autoSpaceDN w:val="0"/>
        <w:adjustRightInd w:val="0"/>
        <w:spacing w:after="0" w:line="480" w:lineRule="auto"/>
        <w:jc w:val="both"/>
        <w:rPr>
          <w:rFonts w:ascii="Times New Roman" w:hAnsi="Times New Roman" w:cs="Times New Roman"/>
          <w:b/>
          <w:bCs/>
          <w:sz w:val="26"/>
          <w:szCs w:val="26"/>
        </w:rPr>
      </w:pPr>
    </w:p>
    <w:p>
      <w:pPr>
        <w:tabs>
          <w:tab w:val="left" w:pos="3555"/>
        </w:tabs>
        <w:spacing w:line="480" w:lineRule="auto"/>
        <w:jc w:val="both"/>
        <w:rPr>
          <w:rFonts w:ascii="Times New Roman" w:hAnsi="Times New Roman" w:cs="Times New Roman"/>
          <w:b/>
          <w:sz w:val="25"/>
          <w:szCs w:val="25"/>
        </w:rPr>
      </w:pPr>
      <w:r>
        <w:rPr>
          <w:rFonts w:ascii="Times New Roman" w:hAnsi="Times New Roman" w:cs="Times New Roman"/>
          <w:b/>
          <w:sz w:val="25"/>
          <w:szCs w:val="25"/>
        </w:rPr>
        <w:t>2.1 Introduction</w:t>
      </w:r>
    </w:p>
    <w:p>
      <w:pPr>
        <w:tabs>
          <w:tab w:val="left" w:pos="3555"/>
        </w:tabs>
        <w:spacing w:line="480" w:lineRule="auto"/>
        <w:jc w:val="both"/>
        <w:rPr>
          <w:rFonts w:ascii="Times New Roman" w:hAnsi="Times New Roman" w:cs="Times New Roman"/>
          <w:sz w:val="25"/>
          <w:szCs w:val="25"/>
        </w:rPr>
      </w:pPr>
      <w:r>
        <w:rPr>
          <w:rFonts w:ascii="Times New Roman" w:hAnsi="Times New Roman" w:cs="Times New Roman"/>
          <w:sz w:val="25"/>
          <w:szCs w:val="25"/>
        </w:rPr>
        <w:t>This chapter critically examines the theoretical, conceptual, and empirical literature on Green Human Resource Management (G-HRM), focusing on its evolving role in enhancing organizational performance in the 21st century. It provides an in-depth analysis of key concepts, processes, strategic aspects, and empirical findings in the domain of G-HRM, emphasizing how sustainable HR practices contribute to ecological responsibility and corporate effectiveness.</w:t>
      </w:r>
    </w:p>
    <w:p>
      <w:pPr>
        <w:tabs>
          <w:tab w:val="left" w:pos="3555"/>
        </w:tabs>
        <w:spacing w:line="480" w:lineRule="auto"/>
        <w:jc w:val="both"/>
        <w:rPr>
          <w:rFonts w:ascii="Times New Roman" w:hAnsi="Times New Roman" w:cs="Times New Roman"/>
          <w:b/>
          <w:sz w:val="25"/>
          <w:szCs w:val="25"/>
        </w:rPr>
      </w:pPr>
      <w:r>
        <w:rPr>
          <w:rFonts w:ascii="Times New Roman" w:hAnsi="Times New Roman" w:cs="Times New Roman"/>
          <w:b/>
          <w:sz w:val="25"/>
          <w:szCs w:val="25"/>
        </w:rPr>
        <w:t>2.2 Conceptual Clarification</w:t>
      </w:r>
    </w:p>
    <w:p>
      <w:pPr>
        <w:tabs>
          <w:tab w:val="left" w:pos="3555"/>
        </w:tabs>
        <w:spacing w:line="480" w:lineRule="auto"/>
        <w:jc w:val="both"/>
        <w:rPr>
          <w:rFonts w:ascii="Times New Roman" w:hAnsi="Times New Roman" w:cs="Times New Roman"/>
          <w:sz w:val="25"/>
          <w:szCs w:val="25"/>
        </w:rPr>
      </w:pPr>
      <w:r>
        <w:rPr>
          <w:rFonts w:ascii="Times New Roman" w:hAnsi="Times New Roman" w:cs="Times New Roman"/>
          <w:sz w:val="25"/>
          <w:szCs w:val="25"/>
        </w:rPr>
        <w:t>To properly evaluate the role of Green HRM, it is essential to clarify relevant concepts such as Green Human Resource Management, organizational performance, sustainability, and strategic HR practices. These terms are interconnected and form the foundation for understanding how human resources can be leveraged to drive environmental and economic outcomes simultaneously.</w:t>
      </w:r>
    </w:p>
    <w:p>
      <w:pPr>
        <w:rPr>
          <w:rFonts w:ascii="Times New Roman" w:hAnsi="Times New Roman" w:cs="Times New Roman"/>
          <w:b/>
          <w:sz w:val="25"/>
          <w:szCs w:val="25"/>
        </w:rPr>
      </w:pPr>
      <w:r>
        <w:rPr>
          <w:rFonts w:ascii="Times New Roman" w:hAnsi="Times New Roman" w:cs="Times New Roman"/>
          <w:b/>
          <w:sz w:val="25"/>
          <w:szCs w:val="25"/>
        </w:rPr>
        <w:br w:type="page"/>
      </w:r>
    </w:p>
    <w:p>
      <w:pPr>
        <w:tabs>
          <w:tab w:val="left" w:pos="3555"/>
        </w:tabs>
        <w:spacing w:line="480" w:lineRule="auto"/>
        <w:jc w:val="both"/>
        <w:rPr>
          <w:rFonts w:ascii="Times New Roman" w:hAnsi="Times New Roman" w:cs="Times New Roman"/>
          <w:b/>
          <w:sz w:val="25"/>
          <w:szCs w:val="25"/>
        </w:rPr>
      </w:pPr>
      <w:r>
        <w:rPr>
          <w:rFonts w:ascii="Times New Roman" w:hAnsi="Times New Roman" w:cs="Times New Roman"/>
          <w:b/>
          <w:sz w:val="25"/>
          <w:szCs w:val="25"/>
        </w:rPr>
        <w:t>2.2.1 The Concept of Green Human Resource Management (G-HRM)</w:t>
      </w:r>
    </w:p>
    <w:p>
      <w:pPr>
        <w:tabs>
          <w:tab w:val="left" w:pos="3555"/>
        </w:tabs>
        <w:spacing w:line="480" w:lineRule="auto"/>
        <w:jc w:val="both"/>
        <w:rPr>
          <w:rFonts w:ascii="Times New Roman" w:hAnsi="Times New Roman" w:cs="Times New Roman"/>
          <w:sz w:val="25"/>
          <w:szCs w:val="25"/>
        </w:rPr>
      </w:pPr>
      <w:r>
        <w:rPr>
          <w:rFonts w:ascii="Times New Roman" w:hAnsi="Times New Roman" w:cs="Times New Roman"/>
          <w:sz w:val="25"/>
          <w:szCs w:val="25"/>
        </w:rPr>
        <w:t>Green Human Resource Management refers to the systematic integration of environmental sustainability into human resource policies, practices, and processes to promote the sustainable use of resources and foster a culture of ecological consciousness in organizations (Renwick et al., 2013). It involves initiatives such as green recruitment, training, performance management, and rewards aimed at reducing the ecological footprint of both the organization and its employees.</w:t>
      </w:r>
    </w:p>
    <w:p>
      <w:pPr>
        <w:tabs>
          <w:tab w:val="left" w:pos="3555"/>
        </w:tabs>
        <w:spacing w:line="480" w:lineRule="auto"/>
        <w:jc w:val="both"/>
        <w:rPr>
          <w:rFonts w:ascii="Times New Roman" w:hAnsi="Times New Roman" w:cs="Times New Roman"/>
          <w:sz w:val="25"/>
          <w:szCs w:val="25"/>
        </w:rPr>
      </w:pPr>
      <w:r>
        <w:rPr>
          <w:rFonts w:ascii="Times New Roman" w:hAnsi="Times New Roman" w:cs="Times New Roman"/>
          <w:sz w:val="25"/>
          <w:szCs w:val="25"/>
        </w:rPr>
        <w:t>Jabbour and Santos (2008) describe G-HRM as a proactive approach that embeds environmental objectives into core HR functions including recruitment, training, performance appraisal, and reward systems. Ramus (2001) emphasized that the success of G-HRM largely depends on employee engagement, top management support, and clear organizational values aligned with sustainability.</w:t>
      </w:r>
    </w:p>
    <w:p>
      <w:pPr>
        <w:tabs>
          <w:tab w:val="left" w:pos="3555"/>
        </w:tabs>
        <w:spacing w:line="480" w:lineRule="auto"/>
        <w:jc w:val="both"/>
        <w:rPr>
          <w:rFonts w:ascii="Times New Roman" w:hAnsi="Times New Roman" w:cs="Times New Roman"/>
          <w:sz w:val="25"/>
          <w:szCs w:val="25"/>
        </w:rPr>
      </w:pPr>
      <w:r>
        <w:rPr>
          <w:rFonts w:ascii="Times New Roman" w:hAnsi="Times New Roman" w:cs="Times New Roman"/>
          <w:sz w:val="25"/>
          <w:szCs w:val="25"/>
        </w:rPr>
        <w:t>Moreover, G-HRM is considered a strategic lever for enhancing organizational reputation, innovation, and long-term financial performance (Jackson, Renwick, Jabbour &amp; Muller-Camen, 2011). Nath (2011) and Mandip (2012) argue that green HR initiatives can increase operational efficiency, reduce costs, and enhance employee morale and retention by creating meaningful work that aligns with environmental values.</w:t>
      </w:r>
    </w:p>
    <w:p>
      <w:pPr>
        <w:rPr>
          <w:rFonts w:ascii="Times New Roman" w:hAnsi="Times New Roman" w:cs="Times New Roman"/>
          <w:b/>
          <w:sz w:val="25"/>
          <w:szCs w:val="25"/>
        </w:rPr>
      </w:pPr>
      <w:r>
        <w:rPr>
          <w:rFonts w:ascii="Times New Roman" w:hAnsi="Times New Roman" w:cs="Times New Roman"/>
          <w:b/>
          <w:sz w:val="25"/>
          <w:szCs w:val="25"/>
        </w:rPr>
        <w:br w:type="page"/>
      </w:r>
    </w:p>
    <w:p>
      <w:pPr>
        <w:tabs>
          <w:tab w:val="left" w:pos="3555"/>
        </w:tabs>
        <w:spacing w:line="480" w:lineRule="auto"/>
        <w:jc w:val="both"/>
        <w:rPr>
          <w:rFonts w:ascii="Times New Roman" w:hAnsi="Times New Roman" w:cs="Times New Roman"/>
          <w:b/>
          <w:sz w:val="25"/>
          <w:szCs w:val="25"/>
        </w:rPr>
      </w:pPr>
      <w:r>
        <w:rPr>
          <w:rFonts w:ascii="Times New Roman" w:hAnsi="Times New Roman" w:cs="Times New Roman"/>
          <w:b/>
          <w:sz w:val="25"/>
          <w:szCs w:val="25"/>
        </w:rPr>
        <w:t>2.2.2 G-HRM Processes</w:t>
      </w:r>
    </w:p>
    <w:p>
      <w:pPr>
        <w:tabs>
          <w:tab w:val="left" w:pos="3555"/>
        </w:tabs>
        <w:spacing w:line="480" w:lineRule="auto"/>
        <w:jc w:val="both"/>
        <w:rPr>
          <w:rFonts w:ascii="Times New Roman" w:hAnsi="Times New Roman" w:cs="Times New Roman"/>
          <w:sz w:val="25"/>
          <w:szCs w:val="25"/>
        </w:rPr>
      </w:pPr>
      <w:r>
        <w:rPr>
          <w:rFonts w:ascii="Times New Roman" w:hAnsi="Times New Roman" w:cs="Times New Roman"/>
          <w:sz w:val="25"/>
          <w:szCs w:val="25"/>
        </w:rPr>
        <w:t>According to Mandip (2012), Green HRM practices should be integrated across HRM procedures including:</w:t>
      </w:r>
    </w:p>
    <w:p>
      <w:pPr>
        <w:pStyle w:val="18"/>
        <w:numPr>
          <w:ilvl w:val="0"/>
          <w:numId w:val="4"/>
        </w:numPr>
        <w:tabs>
          <w:tab w:val="left" w:pos="3555"/>
        </w:tabs>
        <w:spacing w:line="480" w:lineRule="auto"/>
        <w:jc w:val="both"/>
        <w:rPr>
          <w:rFonts w:ascii="Times New Roman" w:hAnsi="Times New Roman" w:cs="Times New Roman"/>
          <w:b/>
          <w:sz w:val="25"/>
          <w:szCs w:val="25"/>
        </w:rPr>
      </w:pPr>
      <w:r>
        <w:rPr>
          <w:rFonts w:ascii="Times New Roman" w:hAnsi="Times New Roman" w:cs="Times New Roman"/>
          <w:b/>
          <w:sz w:val="25"/>
          <w:szCs w:val="25"/>
        </w:rPr>
        <w:t>Green Recruitment and Selection</w:t>
      </w:r>
    </w:p>
    <w:p>
      <w:pPr>
        <w:pStyle w:val="18"/>
        <w:tabs>
          <w:tab w:val="left" w:pos="3555"/>
        </w:tabs>
        <w:spacing w:line="480" w:lineRule="auto"/>
        <w:jc w:val="both"/>
        <w:rPr>
          <w:rFonts w:ascii="Times New Roman" w:hAnsi="Times New Roman" w:cs="Times New Roman"/>
          <w:sz w:val="25"/>
          <w:szCs w:val="25"/>
        </w:rPr>
      </w:pPr>
      <w:r>
        <w:rPr>
          <w:rFonts w:ascii="Times New Roman" w:hAnsi="Times New Roman" w:cs="Times New Roman"/>
          <w:sz w:val="25"/>
          <w:szCs w:val="25"/>
        </w:rPr>
        <w:t>Green recruitment focuses on attracting and hiring candidates who are environmentally conscious and willing to support sustainable corporate values. Wehrmeyer (1996) emphasized that aligning hiring practices with environmental goals fosters a green organizational culture from the outset. Holtom (2008) notes that organizations with green reputations are more likely to attract top talent, particularly from environmentally-aware generational cohorts such as Millennials and Gen Z.</w:t>
      </w:r>
    </w:p>
    <w:p>
      <w:pPr>
        <w:pStyle w:val="18"/>
        <w:numPr>
          <w:ilvl w:val="0"/>
          <w:numId w:val="4"/>
        </w:numPr>
        <w:tabs>
          <w:tab w:val="left" w:pos="3555"/>
        </w:tabs>
        <w:spacing w:line="480" w:lineRule="auto"/>
        <w:jc w:val="both"/>
        <w:rPr>
          <w:rFonts w:ascii="Times New Roman" w:hAnsi="Times New Roman" w:cs="Times New Roman"/>
          <w:b/>
          <w:sz w:val="25"/>
          <w:szCs w:val="25"/>
        </w:rPr>
      </w:pPr>
      <w:r>
        <w:rPr>
          <w:rFonts w:ascii="Times New Roman" w:hAnsi="Times New Roman" w:cs="Times New Roman"/>
          <w:b/>
          <w:sz w:val="25"/>
          <w:szCs w:val="25"/>
        </w:rPr>
        <w:t>Green Training and Development</w:t>
      </w:r>
    </w:p>
    <w:p>
      <w:pPr>
        <w:pStyle w:val="18"/>
        <w:tabs>
          <w:tab w:val="left" w:pos="3555"/>
        </w:tabs>
        <w:spacing w:line="480" w:lineRule="auto"/>
        <w:jc w:val="both"/>
        <w:rPr>
          <w:rFonts w:ascii="Times New Roman" w:hAnsi="Times New Roman" w:cs="Times New Roman"/>
          <w:sz w:val="25"/>
          <w:szCs w:val="25"/>
        </w:rPr>
      </w:pPr>
      <w:r>
        <w:rPr>
          <w:rFonts w:ascii="Times New Roman" w:hAnsi="Times New Roman" w:cs="Times New Roman"/>
          <w:sz w:val="25"/>
          <w:szCs w:val="25"/>
        </w:rPr>
        <w:t>Green training equips employees with knowledge and skills to support environmental sustainability. Training content may include waste reduction, energy efficiency, and green technologies. According to Zoogah (2011), continuous green learning contributes to innovation and improved organizational competitiveness. Additionally, learning readiness is a vital factor, as highly motivated individuals respond more effectively to sustainability-oriented training (Goldstein &amp; Ford, 2001).</w:t>
      </w:r>
    </w:p>
    <w:p>
      <w:pPr>
        <w:pStyle w:val="18"/>
        <w:numPr>
          <w:ilvl w:val="0"/>
          <w:numId w:val="4"/>
        </w:numPr>
        <w:tabs>
          <w:tab w:val="left" w:pos="3555"/>
        </w:tabs>
        <w:spacing w:line="480" w:lineRule="auto"/>
        <w:jc w:val="both"/>
        <w:rPr>
          <w:rFonts w:ascii="Times New Roman" w:hAnsi="Times New Roman" w:cs="Times New Roman"/>
          <w:b/>
          <w:sz w:val="25"/>
          <w:szCs w:val="25"/>
        </w:rPr>
      </w:pPr>
      <w:r>
        <w:rPr>
          <w:rFonts w:ascii="Times New Roman" w:hAnsi="Times New Roman" w:cs="Times New Roman"/>
          <w:b/>
          <w:sz w:val="25"/>
          <w:szCs w:val="25"/>
        </w:rPr>
        <w:t>Green Learning and Development</w:t>
      </w:r>
    </w:p>
    <w:p>
      <w:pPr>
        <w:pStyle w:val="18"/>
        <w:tabs>
          <w:tab w:val="left" w:pos="3555"/>
        </w:tabs>
        <w:spacing w:line="480" w:lineRule="auto"/>
        <w:jc w:val="both"/>
        <w:rPr>
          <w:rFonts w:ascii="Times New Roman" w:hAnsi="Times New Roman" w:cs="Times New Roman"/>
          <w:sz w:val="25"/>
          <w:szCs w:val="25"/>
        </w:rPr>
      </w:pPr>
      <w:r>
        <w:rPr>
          <w:rFonts w:ascii="Times New Roman" w:hAnsi="Times New Roman" w:cs="Times New Roman"/>
          <w:sz w:val="25"/>
          <w:szCs w:val="25"/>
        </w:rPr>
        <w:t>Wehrmeyer and Vickerstaff (1996) identified that ineffective environmental training often results from poor needs assessments and weak managerial support. Organizations must design contextualized learning opportunities that align with both environmental objectives and employee readiness.</w:t>
      </w:r>
    </w:p>
    <w:p>
      <w:pPr>
        <w:pStyle w:val="18"/>
        <w:numPr>
          <w:ilvl w:val="0"/>
          <w:numId w:val="5"/>
        </w:numPr>
        <w:tabs>
          <w:tab w:val="left" w:pos="3555"/>
        </w:tabs>
        <w:spacing w:line="480" w:lineRule="auto"/>
        <w:jc w:val="both"/>
        <w:rPr>
          <w:rFonts w:ascii="Times New Roman" w:hAnsi="Times New Roman" w:cs="Times New Roman"/>
          <w:b/>
          <w:sz w:val="25"/>
          <w:szCs w:val="25"/>
        </w:rPr>
      </w:pPr>
      <w:r>
        <w:rPr>
          <w:rFonts w:ascii="Times New Roman" w:hAnsi="Times New Roman" w:cs="Times New Roman"/>
          <w:b/>
          <w:sz w:val="25"/>
          <w:szCs w:val="25"/>
        </w:rPr>
        <w:t>Green Compensation and Reward Systems</w:t>
      </w:r>
    </w:p>
    <w:p>
      <w:pPr>
        <w:pStyle w:val="18"/>
        <w:tabs>
          <w:tab w:val="left" w:pos="3555"/>
        </w:tabs>
        <w:spacing w:line="480" w:lineRule="auto"/>
        <w:jc w:val="both"/>
        <w:rPr>
          <w:rFonts w:ascii="Times New Roman" w:hAnsi="Times New Roman" w:cs="Times New Roman"/>
          <w:sz w:val="25"/>
          <w:szCs w:val="25"/>
        </w:rPr>
      </w:pPr>
      <w:r>
        <w:rPr>
          <w:rFonts w:ascii="Times New Roman" w:hAnsi="Times New Roman" w:cs="Times New Roman"/>
          <w:sz w:val="25"/>
          <w:szCs w:val="25"/>
        </w:rPr>
        <w:t>Green compensation aligns incentives with environmental performance. Organizations may offer bonuses, non-monetary recognition, or career advancement for eco-friendly behaviors (Jackson et al., 2011). According to Ramus (2001), these systems reinforce positive behaviors, stimulate innovation, and attract environmentally conscious talent.</w:t>
      </w:r>
    </w:p>
    <w:p>
      <w:pPr>
        <w:pStyle w:val="18"/>
        <w:numPr>
          <w:ilvl w:val="0"/>
          <w:numId w:val="5"/>
        </w:numPr>
        <w:tabs>
          <w:tab w:val="left" w:pos="3555"/>
        </w:tabs>
        <w:spacing w:line="480" w:lineRule="auto"/>
        <w:jc w:val="both"/>
        <w:rPr>
          <w:rFonts w:ascii="Times New Roman" w:hAnsi="Times New Roman" w:cs="Times New Roman"/>
          <w:sz w:val="25"/>
          <w:szCs w:val="25"/>
        </w:rPr>
      </w:pPr>
      <w:r>
        <w:rPr>
          <w:rFonts w:ascii="Times New Roman" w:hAnsi="Times New Roman" w:cs="Times New Roman"/>
          <w:sz w:val="25"/>
          <w:szCs w:val="25"/>
        </w:rPr>
        <w:t>Green Performance Management</w:t>
      </w:r>
    </w:p>
    <w:p>
      <w:pPr>
        <w:pStyle w:val="18"/>
        <w:tabs>
          <w:tab w:val="left" w:pos="3555"/>
        </w:tabs>
        <w:spacing w:line="480" w:lineRule="auto"/>
        <w:jc w:val="both"/>
        <w:rPr>
          <w:rFonts w:ascii="Times New Roman" w:hAnsi="Times New Roman" w:cs="Times New Roman"/>
          <w:sz w:val="25"/>
          <w:szCs w:val="25"/>
        </w:rPr>
      </w:pPr>
      <w:r>
        <w:rPr>
          <w:rFonts w:ascii="Times New Roman" w:hAnsi="Times New Roman" w:cs="Times New Roman"/>
          <w:sz w:val="25"/>
          <w:szCs w:val="25"/>
        </w:rPr>
        <w:t>From the Resource-Based View (RBV), human resources are valuable assets for achieving sustainable competitive advantage (Ployhart, 2012). Green performance appraisals evaluate employees’ contributions to sustainability goals, encouraging accountability and continuous environmental improvement (Gerhart, 2000; Wong, 2013).</w:t>
      </w:r>
    </w:p>
    <w:p>
      <w:pPr>
        <w:tabs>
          <w:tab w:val="left" w:pos="3555"/>
        </w:tabs>
        <w:spacing w:line="480" w:lineRule="auto"/>
        <w:jc w:val="both"/>
        <w:rPr>
          <w:rFonts w:ascii="Times New Roman" w:hAnsi="Times New Roman" w:cs="Times New Roman"/>
          <w:b/>
          <w:sz w:val="25"/>
          <w:szCs w:val="25"/>
        </w:rPr>
      </w:pPr>
      <w:r>
        <w:rPr>
          <w:rFonts w:ascii="Times New Roman" w:hAnsi="Times New Roman" w:cs="Times New Roman"/>
          <w:b/>
          <w:sz w:val="25"/>
          <w:szCs w:val="25"/>
        </w:rPr>
        <w:t>2.2.3 G-HRM Best Practices</w:t>
      </w:r>
    </w:p>
    <w:p>
      <w:pPr>
        <w:tabs>
          <w:tab w:val="left" w:pos="3555"/>
        </w:tabs>
        <w:spacing w:line="480" w:lineRule="auto"/>
        <w:jc w:val="both"/>
        <w:rPr>
          <w:rFonts w:ascii="Times New Roman" w:hAnsi="Times New Roman" w:cs="Times New Roman"/>
          <w:sz w:val="25"/>
          <w:szCs w:val="25"/>
        </w:rPr>
      </w:pPr>
      <w:r>
        <w:rPr>
          <w:rFonts w:ascii="Times New Roman" w:hAnsi="Times New Roman" w:cs="Times New Roman"/>
          <w:sz w:val="25"/>
          <w:szCs w:val="25"/>
        </w:rPr>
        <w:t>Researchers such as Behrend (2009), Cohen and Taylor (2010), and Philips (2007) have outlined several green HRM practices that contribute to a sustainable organizational culture. These include:</w:t>
      </w:r>
    </w:p>
    <w:p>
      <w:pPr>
        <w:pStyle w:val="18"/>
        <w:numPr>
          <w:ilvl w:val="0"/>
          <w:numId w:val="6"/>
        </w:numPr>
        <w:tabs>
          <w:tab w:val="left" w:pos="3555"/>
        </w:tabs>
        <w:spacing w:line="480" w:lineRule="auto"/>
        <w:jc w:val="both"/>
        <w:rPr>
          <w:rFonts w:ascii="Times New Roman" w:hAnsi="Times New Roman" w:cs="Times New Roman"/>
          <w:sz w:val="25"/>
          <w:szCs w:val="25"/>
        </w:rPr>
      </w:pPr>
      <w:r>
        <w:rPr>
          <w:rFonts w:ascii="Times New Roman" w:hAnsi="Times New Roman" w:cs="Times New Roman"/>
          <w:sz w:val="25"/>
          <w:szCs w:val="25"/>
        </w:rPr>
        <w:t>Minimizing resource usage (e.g., paperless documentation)</w:t>
      </w:r>
    </w:p>
    <w:p>
      <w:pPr>
        <w:pStyle w:val="18"/>
        <w:numPr>
          <w:ilvl w:val="0"/>
          <w:numId w:val="6"/>
        </w:numPr>
        <w:tabs>
          <w:tab w:val="left" w:pos="3555"/>
        </w:tabs>
        <w:spacing w:line="480" w:lineRule="auto"/>
        <w:jc w:val="both"/>
        <w:rPr>
          <w:rFonts w:ascii="Times New Roman" w:hAnsi="Times New Roman" w:cs="Times New Roman"/>
          <w:sz w:val="25"/>
          <w:szCs w:val="25"/>
        </w:rPr>
      </w:pPr>
      <w:r>
        <w:rPr>
          <w:rFonts w:ascii="Times New Roman" w:hAnsi="Times New Roman" w:cs="Times New Roman"/>
          <w:sz w:val="25"/>
          <w:szCs w:val="25"/>
        </w:rPr>
        <w:t>Encouraging sustainable commuting (e.g., carpooling, hybrid car loans)</w:t>
      </w:r>
    </w:p>
    <w:p>
      <w:pPr>
        <w:pStyle w:val="18"/>
        <w:numPr>
          <w:ilvl w:val="0"/>
          <w:numId w:val="6"/>
        </w:numPr>
        <w:tabs>
          <w:tab w:val="left" w:pos="3555"/>
        </w:tabs>
        <w:spacing w:line="480" w:lineRule="auto"/>
        <w:jc w:val="both"/>
        <w:rPr>
          <w:rFonts w:ascii="Times New Roman" w:hAnsi="Times New Roman" w:cs="Times New Roman"/>
          <w:sz w:val="25"/>
          <w:szCs w:val="25"/>
        </w:rPr>
      </w:pPr>
      <w:r>
        <w:rPr>
          <w:rFonts w:ascii="Times New Roman" w:hAnsi="Times New Roman" w:cs="Times New Roman"/>
          <w:sz w:val="25"/>
          <w:szCs w:val="25"/>
        </w:rPr>
        <w:t>Using virtual tools for recruitment and meetings</w:t>
      </w:r>
    </w:p>
    <w:p>
      <w:pPr>
        <w:pStyle w:val="18"/>
        <w:numPr>
          <w:ilvl w:val="0"/>
          <w:numId w:val="6"/>
        </w:numPr>
        <w:tabs>
          <w:tab w:val="left" w:pos="3555"/>
        </w:tabs>
        <w:spacing w:line="480" w:lineRule="auto"/>
        <w:jc w:val="both"/>
        <w:rPr>
          <w:rFonts w:ascii="Times New Roman" w:hAnsi="Times New Roman" w:cs="Times New Roman"/>
          <w:sz w:val="25"/>
          <w:szCs w:val="25"/>
        </w:rPr>
      </w:pPr>
      <w:r>
        <w:rPr>
          <w:rFonts w:ascii="Times New Roman" w:hAnsi="Times New Roman" w:cs="Times New Roman"/>
          <w:sz w:val="25"/>
          <w:szCs w:val="25"/>
        </w:rPr>
        <w:t>Incentivizing green behaviors through rewards</w:t>
      </w:r>
    </w:p>
    <w:p>
      <w:pPr>
        <w:pStyle w:val="18"/>
        <w:numPr>
          <w:ilvl w:val="0"/>
          <w:numId w:val="6"/>
        </w:numPr>
        <w:tabs>
          <w:tab w:val="left" w:pos="3555"/>
        </w:tabs>
        <w:spacing w:line="480" w:lineRule="auto"/>
        <w:jc w:val="both"/>
        <w:rPr>
          <w:rFonts w:ascii="Times New Roman" w:hAnsi="Times New Roman" w:cs="Times New Roman"/>
          <w:sz w:val="25"/>
          <w:szCs w:val="25"/>
        </w:rPr>
      </w:pPr>
      <w:r>
        <w:rPr>
          <w:rFonts w:ascii="Times New Roman" w:hAnsi="Times New Roman" w:cs="Times New Roman"/>
          <w:sz w:val="25"/>
          <w:szCs w:val="25"/>
        </w:rPr>
        <w:t>Designing HR systems that support employee well-being and community development</w:t>
      </w:r>
    </w:p>
    <w:p>
      <w:pPr>
        <w:tabs>
          <w:tab w:val="left" w:pos="3555"/>
        </w:tabs>
        <w:spacing w:line="480" w:lineRule="auto"/>
        <w:jc w:val="both"/>
        <w:rPr>
          <w:rFonts w:ascii="Times New Roman" w:hAnsi="Times New Roman" w:cs="Times New Roman"/>
          <w:b/>
          <w:sz w:val="25"/>
          <w:szCs w:val="25"/>
        </w:rPr>
      </w:pPr>
    </w:p>
    <w:p>
      <w:pPr>
        <w:tabs>
          <w:tab w:val="left" w:pos="3555"/>
        </w:tabs>
        <w:spacing w:line="480" w:lineRule="auto"/>
        <w:jc w:val="both"/>
        <w:rPr>
          <w:rFonts w:ascii="Times New Roman" w:hAnsi="Times New Roman" w:cs="Times New Roman"/>
          <w:sz w:val="25"/>
          <w:szCs w:val="25"/>
        </w:rPr>
      </w:pPr>
      <w:r>
        <w:rPr>
          <w:rFonts w:ascii="Times New Roman" w:hAnsi="Times New Roman" w:cs="Times New Roman"/>
          <w:sz w:val="25"/>
          <w:szCs w:val="25"/>
        </w:rPr>
        <w:t>These practices not only mitigate environmental harm but also enhance organizational image and attract sustainability-oriented customers and talent.</w:t>
      </w:r>
    </w:p>
    <w:p>
      <w:pPr>
        <w:tabs>
          <w:tab w:val="left" w:pos="3555"/>
        </w:tabs>
        <w:spacing w:line="480" w:lineRule="auto"/>
        <w:jc w:val="both"/>
        <w:rPr>
          <w:rFonts w:ascii="Times New Roman" w:hAnsi="Times New Roman" w:cs="Times New Roman"/>
          <w:b/>
          <w:sz w:val="25"/>
          <w:szCs w:val="25"/>
        </w:rPr>
      </w:pPr>
      <w:r>
        <w:rPr>
          <w:rFonts w:ascii="Times New Roman" w:hAnsi="Times New Roman" w:cs="Times New Roman"/>
          <w:b/>
          <w:sz w:val="25"/>
          <w:szCs w:val="25"/>
        </w:rPr>
        <w:t>2.2.4 Strategic Aspect of Green Human Resource Management</w:t>
      </w:r>
    </w:p>
    <w:p>
      <w:pPr>
        <w:tabs>
          <w:tab w:val="left" w:pos="3555"/>
        </w:tabs>
        <w:spacing w:line="480" w:lineRule="auto"/>
        <w:jc w:val="both"/>
        <w:rPr>
          <w:rFonts w:ascii="Times New Roman" w:hAnsi="Times New Roman" w:cs="Times New Roman"/>
          <w:sz w:val="25"/>
          <w:szCs w:val="25"/>
        </w:rPr>
      </w:pPr>
      <w:r>
        <w:rPr>
          <w:rFonts w:ascii="Times New Roman" w:hAnsi="Times New Roman" w:cs="Times New Roman"/>
          <w:sz w:val="25"/>
          <w:szCs w:val="25"/>
        </w:rPr>
        <w:t>Strategically, G-HRM represents a paradigm shift from traditional HRM to a model that aligns organizational goals with environmental imperatives (Zoogah, 2010). Key strategic dimensions include:</w:t>
      </w:r>
    </w:p>
    <w:p>
      <w:pPr>
        <w:pStyle w:val="18"/>
        <w:numPr>
          <w:ilvl w:val="0"/>
          <w:numId w:val="7"/>
        </w:numPr>
        <w:tabs>
          <w:tab w:val="left" w:pos="3555"/>
        </w:tabs>
        <w:spacing w:line="480" w:lineRule="auto"/>
        <w:jc w:val="both"/>
        <w:rPr>
          <w:rFonts w:ascii="Times New Roman" w:hAnsi="Times New Roman" w:cs="Times New Roman"/>
          <w:sz w:val="25"/>
          <w:szCs w:val="25"/>
        </w:rPr>
      </w:pPr>
      <w:r>
        <w:rPr>
          <w:rFonts w:ascii="Times New Roman" w:hAnsi="Times New Roman" w:cs="Times New Roman"/>
          <w:sz w:val="25"/>
          <w:szCs w:val="25"/>
        </w:rPr>
        <w:t>Green workforce planning</w:t>
      </w:r>
    </w:p>
    <w:p>
      <w:pPr>
        <w:pStyle w:val="18"/>
        <w:numPr>
          <w:ilvl w:val="0"/>
          <w:numId w:val="7"/>
        </w:numPr>
        <w:tabs>
          <w:tab w:val="left" w:pos="3555"/>
        </w:tabs>
        <w:spacing w:line="480" w:lineRule="auto"/>
        <w:jc w:val="both"/>
        <w:rPr>
          <w:rFonts w:ascii="Times New Roman" w:hAnsi="Times New Roman" w:cs="Times New Roman"/>
          <w:sz w:val="25"/>
          <w:szCs w:val="25"/>
        </w:rPr>
      </w:pPr>
      <w:r>
        <w:rPr>
          <w:rFonts w:ascii="Times New Roman" w:hAnsi="Times New Roman" w:cs="Times New Roman"/>
          <w:sz w:val="25"/>
          <w:szCs w:val="25"/>
        </w:rPr>
        <w:t>Sustainability-oriented leadership development</w:t>
      </w:r>
    </w:p>
    <w:p>
      <w:pPr>
        <w:pStyle w:val="18"/>
        <w:numPr>
          <w:ilvl w:val="0"/>
          <w:numId w:val="7"/>
        </w:numPr>
        <w:tabs>
          <w:tab w:val="left" w:pos="3555"/>
        </w:tabs>
        <w:spacing w:line="480" w:lineRule="auto"/>
        <w:jc w:val="both"/>
        <w:rPr>
          <w:rFonts w:ascii="Times New Roman" w:hAnsi="Times New Roman" w:cs="Times New Roman"/>
          <w:sz w:val="25"/>
          <w:szCs w:val="25"/>
        </w:rPr>
      </w:pPr>
      <w:r>
        <w:rPr>
          <w:rFonts w:ascii="Times New Roman" w:hAnsi="Times New Roman" w:cs="Times New Roman"/>
          <w:sz w:val="25"/>
          <w:szCs w:val="25"/>
        </w:rPr>
        <w:t>Embedding green values in corporate governance</w:t>
      </w:r>
    </w:p>
    <w:p>
      <w:pPr>
        <w:pStyle w:val="18"/>
        <w:numPr>
          <w:ilvl w:val="0"/>
          <w:numId w:val="7"/>
        </w:numPr>
        <w:tabs>
          <w:tab w:val="left" w:pos="3555"/>
        </w:tabs>
        <w:spacing w:line="480" w:lineRule="auto"/>
        <w:jc w:val="both"/>
        <w:rPr>
          <w:rFonts w:ascii="Times New Roman" w:hAnsi="Times New Roman" w:cs="Times New Roman"/>
          <w:sz w:val="25"/>
          <w:szCs w:val="25"/>
        </w:rPr>
      </w:pPr>
      <w:r>
        <w:rPr>
          <w:rFonts w:ascii="Times New Roman" w:hAnsi="Times New Roman" w:cs="Times New Roman"/>
          <w:sz w:val="25"/>
          <w:szCs w:val="25"/>
        </w:rPr>
        <w:t>Designing HR architecture that supports adaptive reuse, waste management, and sustainability performance indicators</w:t>
      </w:r>
    </w:p>
    <w:p>
      <w:pPr>
        <w:tabs>
          <w:tab w:val="left" w:pos="3555"/>
        </w:tabs>
        <w:spacing w:line="480" w:lineRule="auto"/>
        <w:jc w:val="both"/>
        <w:rPr>
          <w:rFonts w:ascii="Times New Roman" w:hAnsi="Times New Roman" w:cs="Times New Roman"/>
          <w:sz w:val="25"/>
          <w:szCs w:val="25"/>
        </w:rPr>
      </w:pPr>
      <w:r>
        <w:rPr>
          <w:rFonts w:ascii="Times New Roman" w:hAnsi="Times New Roman" w:cs="Times New Roman"/>
          <w:sz w:val="25"/>
          <w:szCs w:val="25"/>
        </w:rPr>
        <w:t>HR departments play a vital role in embedding environmental objectives into organizational culture and business strategy, ensuring sustainability is not an isolated initiative but a core mission.</w:t>
      </w:r>
    </w:p>
    <w:p>
      <w:pPr>
        <w:tabs>
          <w:tab w:val="left" w:pos="3555"/>
        </w:tabs>
        <w:spacing w:line="480" w:lineRule="auto"/>
        <w:jc w:val="both"/>
        <w:rPr>
          <w:rFonts w:ascii="Times New Roman" w:hAnsi="Times New Roman" w:cs="Times New Roman"/>
          <w:b/>
          <w:sz w:val="25"/>
          <w:szCs w:val="25"/>
        </w:rPr>
      </w:pPr>
      <w:r>
        <w:rPr>
          <w:rFonts w:ascii="Times New Roman" w:hAnsi="Times New Roman" w:cs="Times New Roman"/>
          <w:b/>
          <w:sz w:val="25"/>
          <w:szCs w:val="25"/>
        </w:rPr>
        <w:t>2.2.5 Benefits of Green Human Resource Management</w:t>
      </w:r>
    </w:p>
    <w:p>
      <w:pPr>
        <w:tabs>
          <w:tab w:val="left" w:pos="3555"/>
        </w:tabs>
        <w:spacing w:line="480" w:lineRule="auto"/>
        <w:jc w:val="both"/>
        <w:rPr>
          <w:rFonts w:ascii="Times New Roman" w:hAnsi="Times New Roman" w:cs="Times New Roman"/>
          <w:sz w:val="25"/>
          <w:szCs w:val="25"/>
        </w:rPr>
      </w:pPr>
      <w:r>
        <w:rPr>
          <w:rFonts w:ascii="Times New Roman" w:hAnsi="Times New Roman" w:cs="Times New Roman"/>
          <w:sz w:val="25"/>
          <w:szCs w:val="25"/>
        </w:rPr>
        <w:t>Adopting G-HRM offers numerous organizational benefits:</w:t>
      </w:r>
    </w:p>
    <w:p>
      <w:pPr>
        <w:pStyle w:val="18"/>
        <w:numPr>
          <w:ilvl w:val="0"/>
          <w:numId w:val="8"/>
        </w:numPr>
        <w:tabs>
          <w:tab w:val="left" w:pos="3555"/>
        </w:tabs>
        <w:spacing w:line="480" w:lineRule="auto"/>
        <w:jc w:val="both"/>
        <w:rPr>
          <w:rFonts w:ascii="Times New Roman" w:hAnsi="Times New Roman" w:cs="Times New Roman"/>
          <w:sz w:val="25"/>
          <w:szCs w:val="25"/>
        </w:rPr>
      </w:pPr>
      <w:r>
        <w:rPr>
          <w:rFonts w:ascii="Times New Roman" w:hAnsi="Times New Roman" w:cs="Times New Roman"/>
          <w:sz w:val="25"/>
          <w:szCs w:val="25"/>
        </w:rPr>
        <w:t>Cost Efficiency: Practices such as telecommuting and energy-saving technologies reduce overhead costs (Nath, 2011).</w:t>
      </w:r>
    </w:p>
    <w:p>
      <w:pPr>
        <w:pStyle w:val="18"/>
        <w:numPr>
          <w:ilvl w:val="0"/>
          <w:numId w:val="8"/>
        </w:numPr>
        <w:tabs>
          <w:tab w:val="left" w:pos="3555"/>
        </w:tabs>
        <w:spacing w:line="480" w:lineRule="auto"/>
        <w:jc w:val="both"/>
        <w:rPr>
          <w:rFonts w:ascii="Times New Roman" w:hAnsi="Times New Roman" w:cs="Times New Roman"/>
          <w:sz w:val="25"/>
          <w:szCs w:val="25"/>
        </w:rPr>
      </w:pPr>
      <w:r>
        <w:rPr>
          <w:rFonts w:ascii="Times New Roman" w:hAnsi="Times New Roman" w:cs="Times New Roman"/>
          <w:sz w:val="25"/>
          <w:szCs w:val="25"/>
        </w:rPr>
        <w:t>Enhanced Employer Brand: Organizations seen as environmentally responsible enjoy stronger reputations and attract high-quality talent (Lii &amp; Lee, 2012).</w:t>
      </w:r>
    </w:p>
    <w:p>
      <w:pPr>
        <w:pStyle w:val="18"/>
        <w:numPr>
          <w:ilvl w:val="0"/>
          <w:numId w:val="8"/>
        </w:numPr>
        <w:tabs>
          <w:tab w:val="left" w:pos="3555"/>
        </w:tabs>
        <w:spacing w:line="480" w:lineRule="auto"/>
        <w:jc w:val="both"/>
        <w:rPr>
          <w:rFonts w:ascii="Times New Roman" w:hAnsi="Times New Roman" w:cs="Times New Roman"/>
          <w:sz w:val="25"/>
          <w:szCs w:val="25"/>
        </w:rPr>
      </w:pPr>
      <w:r>
        <w:rPr>
          <w:rFonts w:ascii="Times New Roman" w:hAnsi="Times New Roman" w:cs="Times New Roman"/>
          <w:sz w:val="25"/>
          <w:szCs w:val="25"/>
        </w:rPr>
        <w:t>Increased Engagement and Retention: Employees are more engaged when their values align with organizational practices (Behrend et al., 2009).</w:t>
      </w:r>
    </w:p>
    <w:p>
      <w:pPr>
        <w:pStyle w:val="18"/>
        <w:numPr>
          <w:ilvl w:val="0"/>
          <w:numId w:val="8"/>
        </w:numPr>
        <w:tabs>
          <w:tab w:val="left" w:pos="3555"/>
        </w:tabs>
        <w:spacing w:line="480" w:lineRule="auto"/>
        <w:jc w:val="both"/>
        <w:rPr>
          <w:rFonts w:ascii="Times New Roman" w:hAnsi="Times New Roman" w:cs="Times New Roman"/>
          <w:sz w:val="25"/>
          <w:szCs w:val="25"/>
        </w:rPr>
      </w:pPr>
      <w:r>
        <w:rPr>
          <w:rFonts w:ascii="Times New Roman" w:hAnsi="Times New Roman" w:cs="Times New Roman"/>
          <w:sz w:val="25"/>
          <w:szCs w:val="25"/>
        </w:rPr>
        <w:t>Public Relations and Compliance: Sustainability efforts often lead to favorable media attention and government incentives.</w:t>
      </w:r>
    </w:p>
    <w:p>
      <w:pPr>
        <w:pStyle w:val="18"/>
        <w:numPr>
          <w:ilvl w:val="0"/>
          <w:numId w:val="8"/>
        </w:numPr>
        <w:tabs>
          <w:tab w:val="left" w:pos="3555"/>
        </w:tabs>
        <w:spacing w:line="480" w:lineRule="auto"/>
        <w:jc w:val="both"/>
        <w:rPr>
          <w:rFonts w:ascii="Times New Roman" w:hAnsi="Times New Roman" w:cs="Times New Roman"/>
          <w:sz w:val="25"/>
          <w:szCs w:val="25"/>
        </w:rPr>
      </w:pPr>
      <w:r>
        <w:rPr>
          <w:rFonts w:ascii="Times New Roman" w:hAnsi="Times New Roman" w:cs="Times New Roman"/>
          <w:sz w:val="25"/>
          <w:szCs w:val="25"/>
        </w:rPr>
        <w:t>Commercial Opportunities: Many contracts, especially in the public sector, favor green-certified organizations.</w:t>
      </w:r>
    </w:p>
    <w:p>
      <w:pPr>
        <w:tabs>
          <w:tab w:val="left" w:pos="3555"/>
        </w:tabs>
        <w:spacing w:line="480" w:lineRule="auto"/>
        <w:jc w:val="both"/>
        <w:rPr>
          <w:rFonts w:ascii="Times New Roman" w:hAnsi="Times New Roman" w:cs="Times New Roman"/>
          <w:b/>
          <w:sz w:val="25"/>
          <w:szCs w:val="25"/>
        </w:rPr>
      </w:pPr>
      <w:r>
        <w:rPr>
          <w:rFonts w:ascii="Times New Roman" w:hAnsi="Times New Roman" w:cs="Times New Roman"/>
          <w:b/>
          <w:sz w:val="25"/>
          <w:szCs w:val="25"/>
        </w:rPr>
        <w:t>2.2.6 Challenges and Limitations of G-HRM</w:t>
      </w:r>
    </w:p>
    <w:p>
      <w:pPr>
        <w:tabs>
          <w:tab w:val="left" w:pos="3555"/>
        </w:tabs>
        <w:spacing w:line="480" w:lineRule="auto"/>
        <w:jc w:val="both"/>
        <w:rPr>
          <w:rFonts w:ascii="Times New Roman" w:hAnsi="Times New Roman" w:cs="Times New Roman"/>
          <w:sz w:val="25"/>
          <w:szCs w:val="25"/>
        </w:rPr>
      </w:pPr>
      <w:r>
        <w:rPr>
          <w:rFonts w:ascii="Times New Roman" w:hAnsi="Times New Roman" w:cs="Times New Roman"/>
          <w:sz w:val="25"/>
          <w:szCs w:val="25"/>
        </w:rPr>
        <w:t>Despite its benefits, G-HRM faces implementation challenges:</w:t>
      </w:r>
    </w:p>
    <w:p>
      <w:pPr>
        <w:pStyle w:val="18"/>
        <w:numPr>
          <w:ilvl w:val="0"/>
          <w:numId w:val="9"/>
        </w:numPr>
        <w:tabs>
          <w:tab w:val="left" w:pos="3555"/>
        </w:tabs>
        <w:spacing w:line="480" w:lineRule="auto"/>
        <w:jc w:val="both"/>
        <w:rPr>
          <w:rFonts w:ascii="Times New Roman" w:hAnsi="Times New Roman" w:cs="Times New Roman"/>
          <w:sz w:val="25"/>
          <w:szCs w:val="25"/>
        </w:rPr>
      </w:pPr>
      <w:r>
        <w:rPr>
          <w:rFonts w:ascii="Times New Roman" w:hAnsi="Times New Roman" w:cs="Times New Roman"/>
          <w:sz w:val="25"/>
          <w:szCs w:val="25"/>
        </w:rPr>
        <w:t>High Initial Costs: Investments in green technology and training may be significant upfront (Jabbour et al., 2010).</w:t>
      </w:r>
    </w:p>
    <w:p>
      <w:pPr>
        <w:pStyle w:val="18"/>
        <w:numPr>
          <w:ilvl w:val="0"/>
          <w:numId w:val="9"/>
        </w:numPr>
        <w:tabs>
          <w:tab w:val="left" w:pos="3555"/>
        </w:tabs>
        <w:spacing w:line="480" w:lineRule="auto"/>
        <w:jc w:val="both"/>
        <w:rPr>
          <w:rFonts w:ascii="Times New Roman" w:hAnsi="Times New Roman" w:cs="Times New Roman"/>
          <w:sz w:val="25"/>
          <w:szCs w:val="25"/>
        </w:rPr>
      </w:pPr>
      <w:r>
        <w:rPr>
          <w:rFonts w:ascii="Times New Roman" w:hAnsi="Times New Roman" w:cs="Times New Roman"/>
          <w:sz w:val="25"/>
          <w:szCs w:val="25"/>
        </w:rPr>
        <w:t>Employee Resistance: Some employees may be indifferent or resistant to environmental changes (Mandip, 2012).</w:t>
      </w:r>
    </w:p>
    <w:p>
      <w:pPr>
        <w:pStyle w:val="18"/>
        <w:numPr>
          <w:ilvl w:val="0"/>
          <w:numId w:val="9"/>
        </w:numPr>
        <w:tabs>
          <w:tab w:val="left" w:pos="3555"/>
        </w:tabs>
        <w:spacing w:line="480" w:lineRule="auto"/>
        <w:jc w:val="both"/>
        <w:rPr>
          <w:rFonts w:ascii="Times New Roman" w:hAnsi="Times New Roman" w:cs="Times New Roman"/>
          <w:sz w:val="25"/>
          <w:szCs w:val="25"/>
        </w:rPr>
      </w:pPr>
      <w:r>
        <w:rPr>
          <w:rFonts w:ascii="Times New Roman" w:hAnsi="Times New Roman" w:cs="Times New Roman"/>
          <w:sz w:val="25"/>
          <w:szCs w:val="25"/>
        </w:rPr>
        <w:t>Unequal Market Standards: Firms adopting green practices may compete against less-regulated companies with lower costs.</w:t>
      </w:r>
    </w:p>
    <w:p>
      <w:pPr>
        <w:pStyle w:val="18"/>
        <w:numPr>
          <w:ilvl w:val="0"/>
          <w:numId w:val="9"/>
        </w:numPr>
        <w:tabs>
          <w:tab w:val="left" w:pos="3555"/>
        </w:tabs>
        <w:spacing w:line="480" w:lineRule="auto"/>
        <w:jc w:val="both"/>
        <w:rPr>
          <w:rFonts w:ascii="Times New Roman" w:hAnsi="Times New Roman" w:cs="Times New Roman"/>
          <w:sz w:val="25"/>
          <w:szCs w:val="25"/>
        </w:rPr>
      </w:pPr>
      <w:r>
        <w:rPr>
          <w:rFonts w:ascii="Times New Roman" w:hAnsi="Times New Roman" w:cs="Times New Roman"/>
          <w:sz w:val="25"/>
          <w:szCs w:val="25"/>
        </w:rPr>
        <w:t>Marginal Gains Perceived: Some stakeholders may view environmental efforts as symbolic unless measurable impacts are demonstrated.</w:t>
      </w:r>
    </w:p>
    <w:p>
      <w:pPr>
        <w:tabs>
          <w:tab w:val="left" w:pos="3555"/>
        </w:tabs>
        <w:spacing w:line="480" w:lineRule="auto"/>
        <w:jc w:val="both"/>
        <w:rPr>
          <w:rFonts w:ascii="Times New Roman" w:hAnsi="Times New Roman" w:cs="Times New Roman"/>
          <w:sz w:val="25"/>
          <w:szCs w:val="25"/>
        </w:rPr>
      </w:pPr>
      <w:r>
        <w:rPr>
          <w:rFonts w:ascii="Times New Roman" w:hAnsi="Times New Roman" w:cs="Times New Roman"/>
          <w:sz w:val="25"/>
          <w:szCs w:val="25"/>
        </w:rPr>
        <w:t>However, with strong leadership and clear communication, these challenges can be mitigated.</w:t>
      </w:r>
    </w:p>
    <w:p>
      <w:pPr>
        <w:rPr>
          <w:rFonts w:ascii="Times New Roman" w:hAnsi="Times New Roman" w:cs="Times New Roman"/>
          <w:b/>
          <w:sz w:val="25"/>
          <w:szCs w:val="25"/>
        </w:rPr>
      </w:pPr>
      <w:r>
        <w:rPr>
          <w:rFonts w:ascii="Times New Roman" w:hAnsi="Times New Roman" w:cs="Times New Roman"/>
          <w:b/>
          <w:sz w:val="25"/>
          <w:szCs w:val="25"/>
        </w:rPr>
        <w:t>2.2.7 Concept of Organizational Effectiveness in the Context of Green HRM</w:t>
      </w:r>
    </w:p>
    <w:p>
      <w:pPr>
        <w:spacing w:line="480" w:lineRule="auto"/>
        <w:jc w:val="both"/>
        <w:rPr>
          <w:rFonts w:ascii="Times New Roman" w:hAnsi="Times New Roman" w:cs="Times New Roman"/>
          <w:sz w:val="25"/>
          <w:szCs w:val="25"/>
        </w:rPr>
      </w:pPr>
      <w:r>
        <w:rPr>
          <w:rFonts w:ascii="Times New Roman" w:hAnsi="Times New Roman" w:cs="Times New Roman"/>
          <w:sz w:val="25"/>
          <w:szCs w:val="25"/>
        </w:rPr>
        <w:t>Organizational effectiveness refers to the extent to which an organization successfully achieves its objectives while efficiently utilizing its resources, minimizing environmental impact, and ensuring employee well-being. In the 21st century, the pursuit of organizational effectiveness has evolved to include sustainability as a critical dimension, with Green Human Resource Management (Green HRM) emerging as a strategic approach for enhancing performance holistically (Renwick et al., 2013).</w:t>
      </w:r>
    </w:p>
    <w:p>
      <w:pPr>
        <w:spacing w:line="480" w:lineRule="auto"/>
        <w:jc w:val="both"/>
        <w:rPr>
          <w:rFonts w:ascii="Times New Roman" w:hAnsi="Times New Roman" w:cs="Times New Roman"/>
          <w:sz w:val="25"/>
          <w:szCs w:val="25"/>
        </w:rPr>
      </w:pPr>
      <w:r>
        <w:rPr>
          <w:rFonts w:ascii="Times New Roman" w:hAnsi="Times New Roman" w:cs="Times New Roman"/>
          <w:sz w:val="25"/>
          <w:szCs w:val="25"/>
        </w:rPr>
        <w:t>Traditionally, organizational effectiveness has been defined as the ability of a firm to achieve its set goals (Cameron, 1986). However, this definition now requires expansion to consider how effectively organizations integrate sustainable practices into their operational and human resource functions. Effectiveness differs from efficiency; while effectiveness focuses on the achievement of goals—including environmental sustainability—efficiency refers to doing so with minimal input. Efficiency emphasizes technological aspects, whereas effectiveness in the Green HRM context includes human capital, cultural values, and ecological considerations (Daily &amp; Huang, 2001).</w:t>
      </w:r>
    </w:p>
    <w:p>
      <w:pPr>
        <w:spacing w:line="480" w:lineRule="auto"/>
        <w:jc w:val="both"/>
        <w:rPr>
          <w:rFonts w:ascii="Times New Roman" w:hAnsi="Times New Roman" w:cs="Times New Roman"/>
          <w:sz w:val="25"/>
          <w:szCs w:val="25"/>
        </w:rPr>
      </w:pPr>
      <w:r>
        <w:rPr>
          <w:rFonts w:ascii="Times New Roman" w:hAnsi="Times New Roman" w:cs="Times New Roman"/>
          <w:sz w:val="25"/>
          <w:szCs w:val="25"/>
        </w:rPr>
        <w:t>Therefore, in today’s business environment, organizational effectiveness must be assessed not just in terms of profitability or productivity, but also in terms of how well green policies and HR practices promote long-term ecological balance and employee engagement.</w:t>
      </w:r>
    </w:p>
    <w:p>
      <w:pPr>
        <w:spacing w:line="480" w:lineRule="auto"/>
        <w:jc w:val="both"/>
        <w:rPr>
          <w:rFonts w:ascii="Times New Roman" w:hAnsi="Times New Roman" w:cs="Times New Roman"/>
          <w:sz w:val="25"/>
          <w:szCs w:val="25"/>
        </w:rPr>
      </w:pPr>
      <w:r>
        <w:rPr>
          <w:rFonts w:ascii="Times New Roman" w:hAnsi="Times New Roman" w:cs="Times New Roman"/>
          <w:b/>
          <w:sz w:val="25"/>
          <w:szCs w:val="25"/>
        </w:rPr>
        <w:t>2.2.8 Approaches to Organizational Effectiveness and Their Application in Green HRM</w:t>
      </w:r>
    </w:p>
    <w:p>
      <w:pPr>
        <w:spacing w:line="480" w:lineRule="auto"/>
        <w:jc w:val="both"/>
        <w:rPr>
          <w:rFonts w:ascii="Times New Roman" w:hAnsi="Times New Roman" w:cs="Times New Roman"/>
          <w:sz w:val="25"/>
          <w:szCs w:val="25"/>
        </w:rPr>
      </w:pPr>
      <w:r>
        <w:rPr>
          <w:rFonts w:ascii="Times New Roman" w:hAnsi="Times New Roman" w:cs="Times New Roman"/>
          <w:sz w:val="25"/>
          <w:szCs w:val="25"/>
        </w:rPr>
        <w:t>Organizational effectiveness is a multifaceted concept that can be evaluated using several theoretical approaches. Each approach offers a unique lens through which Green HRM practices can be assessed in shaping organizational performance.</w:t>
      </w:r>
    </w:p>
    <w:p>
      <w:pPr>
        <w:pStyle w:val="18"/>
        <w:numPr>
          <w:ilvl w:val="0"/>
          <w:numId w:val="10"/>
        </w:numPr>
        <w:spacing w:line="480" w:lineRule="auto"/>
        <w:jc w:val="both"/>
        <w:rPr>
          <w:rFonts w:ascii="Times New Roman" w:hAnsi="Times New Roman" w:cs="Times New Roman"/>
          <w:b/>
          <w:sz w:val="25"/>
          <w:szCs w:val="25"/>
        </w:rPr>
      </w:pPr>
      <w:r>
        <w:rPr>
          <w:rFonts w:ascii="Times New Roman" w:hAnsi="Times New Roman" w:cs="Times New Roman"/>
          <w:b/>
          <w:sz w:val="25"/>
          <w:szCs w:val="25"/>
        </w:rPr>
        <w:t xml:space="preserve">Goal Approach: </w:t>
      </w:r>
      <w:r>
        <w:rPr>
          <w:rFonts w:ascii="Times New Roman" w:hAnsi="Times New Roman" w:cs="Times New Roman"/>
          <w:sz w:val="25"/>
          <w:szCs w:val="25"/>
        </w:rPr>
        <w:t>This approach emphasizes the achievement of specific organizational goals, such as profitability, productivity, and innovation. In the context of Green HRM, goal-oriented performance would include metrics such as reduced carbon footprint, employee participation in sustainability initiatives, and compliance with environmental standards (Delmas &amp; Pekovic, 2013). While this approach is straightforward, it may overlook the broader societal and environmental responsibilities of the organization.</w:t>
      </w:r>
    </w:p>
    <w:p>
      <w:pPr>
        <w:pStyle w:val="18"/>
        <w:numPr>
          <w:ilvl w:val="0"/>
          <w:numId w:val="10"/>
        </w:numPr>
        <w:spacing w:line="480" w:lineRule="auto"/>
        <w:jc w:val="both"/>
        <w:rPr>
          <w:rFonts w:ascii="Times New Roman" w:hAnsi="Times New Roman" w:cs="Times New Roman"/>
          <w:sz w:val="25"/>
          <w:szCs w:val="25"/>
        </w:rPr>
      </w:pPr>
      <w:r>
        <w:rPr>
          <w:rFonts w:ascii="Times New Roman" w:hAnsi="Times New Roman" w:cs="Times New Roman"/>
          <w:b/>
          <w:sz w:val="25"/>
          <w:szCs w:val="25"/>
        </w:rPr>
        <w:t xml:space="preserve">Functional Approach: </w:t>
      </w:r>
      <w:r>
        <w:rPr>
          <w:rFonts w:ascii="Times New Roman" w:hAnsi="Times New Roman" w:cs="Times New Roman"/>
          <w:sz w:val="25"/>
          <w:szCs w:val="25"/>
        </w:rPr>
        <w:t>Based on Parsons' perspective, the functional approach evaluates effectiveness by analyzing the organization’s contributions to the broader social system (Parsons, 1960). Green HRM fits well into this model by embedding environmental values into HR functions such as recruitment, training, and performance appraisal. However, critics argue that organizational autonomy may limit the capacity to prioritize societal goals over economic interests.</w:t>
      </w:r>
    </w:p>
    <w:p>
      <w:pPr>
        <w:pStyle w:val="18"/>
        <w:numPr>
          <w:ilvl w:val="0"/>
          <w:numId w:val="10"/>
        </w:numPr>
        <w:spacing w:line="480" w:lineRule="auto"/>
        <w:jc w:val="both"/>
        <w:rPr>
          <w:rFonts w:ascii="Times New Roman" w:hAnsi="Times New Roman" w:cs="Times New Roman"/>
          <w:sz w:val="25"/>
          <w:szCs w:val="25"/>
        </w:rPr>
      </w:pPr>
      <w:r>
        <w:rPr>
          <w:rFonts w:ascii="Times New Roman" w:hAnsi="Times New Roman" w:cs="Times New Roman"/>
          <w:b/>
          <w:sz w:val="25"/>
          <w:szCs w:val="25"/>
        </w:rPr>
        <w:t>System Resource Approach</w:t>
      </w:r>
      <w:r>
        <w:rPr>
          <w:rFonts w:ascii="Times New Roman" w:hAnsi="Times New Roman" w:cs="Times New Roman"/>
          <w:sz w:val="25"/>
          <w:szCs w:val="25"/>
        </w:rPr>
        <w:t>: This model emphasizes the organization’s ability to acquire and utilize resources effectively from its external environment. Green HRM supports this approach by developing human capabilities and knowledge that enable the organization to respond to environmental pressures and regulatory demands (Jabbour &amp; Santos, 2008). Yet, the model's reliance on resource acquisition still links back to goal achievement, limiting its distinctiveness.</w:t>
      </w:r>
    </w:p>
    <w:p>
      <w:pPr>
        <w:spacing w:line="480" w:lineRule="auto"/>
        <w:jc w:val="both"/>
        <w:rPr>
          <w:rFonts w:ascii="Times New Roman" w:hAnsi="Times New Roman" w:cs="Times New Roman"/>
          <w:sz w:val="25"/>
          <w:szCs w:val="25"/>
        </w:rPr>
      </w:pPr>
      <w:r>
        <w:rPr>
          <w:rFonts w:ascii="Times New Roman" w:hAnsi="Times New Roman" w:cs="Times New Roman"/>
          <w:sz w:val="25"/>
          <w:szCs w:val="25"/>
        </w:rPr>
        <w:t>Collectively, these approaches show that there is no single method for assessing organizational effectiveness. Green HRM contributes to all three by aligning employee behavior and organizational goals with sustainable development.</w:t>
      </w:r>
    </w:p>
    <w:p>
      <w:pPr>
        <w:spacing w:line="480" w:lineRule="auto"/>
        <w:jc w:val="both"/>
        <w:rPr>
          <w:rFonts w:ascii="Times New Roman" w:hAnsi="Times New Roman" w:cs="Times New Roman"/>
          <w:b/>
          <w:sz w:val="25"/>
          <w:szCs w:val="25"/>
        </w:rPr>
      </w:pPr>
      <w:r>
        <w:rPr>
          <w:rFonts w:ascii="Times New Roman" w:hAnsi="Times New Roman" w:cs="Times New Roman"/>
          <w:b/>
          <w:sz w:val="25"/>
          <w:szCs w:val="25"/>
        </w:rPr>
        <w:t>2.2.9 Factors Affecting Organizational Effectiveness in the Era of Green HRM</w:t>
      </w:r>
    </w:p>
    <w:p>
      <w:pPr>
        <w:spacing w:line="480" w:lineRule="auto"/>
        <w:jc w:val="both"/>
        <w:rPr>
          <w:rFonts w:ascii="Times New Roman" w:hAnsi="Times New Roman" w:cs="Times New Roman"/>
          <w:sz w:val="25"/>
          <w:szCs w:val="25"/>
        </w:rPr>
      </w:pPr>
      <w:r>
        <w:rPr>
          <w:rFonts w:ascii="Times New Roman" w:hAnsi="Times New Roman" w:cs="Times New Roman"/>
          <w:sz w:val="25"/>
          <w:szCs w:val="25"/>
        </w:rPr>
        <w:t>Kurt Lewin's foundational systems view is extended in Rensis Likert’s model, which identifies three categories of variables that influence organizational effectiveness: causal, intervening, and end-result variables (Likert, 1967). These are particularly relevant in evaluating the effectiveness of Green HRM practices:</w:t>
      </w:r>
    </w:p>
    <w:p>
      <w:pPr>
        <w:pStyle w:val="18"/>
        <w:numPr>
          <w:ilvl w:val="0"/>
          <w:numId w:val="11"/>
        </w:numPr>
        <w:spacing w:line="480" w:lineRule="auto"/>
        <w:jc w:val="both"/>
        <w:rPr>
          <w:rFonts w:ascii="Times New Roman" w:hAnsi="Times New Roman" w:cs="Times New Roman"/>
          <w:sz w:val="25"/>
          <w:szCs w:val="25"/>
        </w:rPr>
      </w:pPr>
      <w:r>
        <w:rPr>
          <w:rFonts w:ascii="Times New Roman" w:hAnsi="Times New Roman" w:cs="Times New Roman"/>
          <w:sz w:val="25"/>
          <w:szCs w:val="25"/>
        </w:rPr>
        <w:t>Causal Variables: These include leadership style, HR policies, and environmental strategies—factors directly influenced by management. Green HRM initiatives such as green recruitment, eco-conscious training, and environmentally linked rewards fall within this category. When designed effectively, they influence employee attitudes toward sustainability (Renwick et al., 2013).</w:t>
      </w:r>
    </w:p>
    <w:p>
      <w:pPr>
        <w:pStyle w:val="18"/>
        <w:numPr>
          <w:ilvl w:val="0"/>
          <w:numId w:val="11"/>
        </w:numPr>
        <w:spacing w:line="480" w:lineRule="auto"/>
        <w:jc w:val="both"/>
        <w:rPr>
          <w:rFonts w:ascii="Times New Roman" w:hAnsi="Times New Roman" w:cs="Times New Roman"/>
          <w:sz w:val="25"/>
          <w:szCs w:val="25"/>
        </w:rPr>
      </w:pPr>
      <w:r>
        <w:rPr>
          <w:rFonts w:ascii="Times New Roman" w:hAnsi="Times New Roman" w:cs="Times New Roman"/>
          <w:sz w:val="25"/>
          <w:szCs w:val="25"/>
        </w:rPr>
        <w:t>Intervening Variables: These reflect internal states such as employee motivation, satisfaction, commitment, and readiness to support green initiatives. Green HRM enhances these variables by fostering a culture of environmental responsibility and participation in green practices (Paillé et al., 2014).</w:t>
      </w:r>
    </w:p>
    <w:p>
      <w:pPr>
        <w:pStyle w:val="18"/>
        <w:numPr>
          <w:ilvl w:val="0"/>
          <w:numId w:val="11"/>
        </w:numPr>
        <w:spacing w:line="480" w:lineRule="auto"/>
        <w:jc w:val="both"/>
        <w:rPr>
          <w:rFonts w:ascii="Times New Roman" w:hAnsi="Times New Roman" w:cs="Times New Roman"/>
          <w:sz w:val="25"/>
          <w:szCs w:val="25"/>
        </w:rPr>
      </w:pPr>
      <w:r>
        <w:rPr>
          <w:rFonts w:ascii="Times New Roman" w:hAnsi="Times New Roman" w:cs="Times New Roman"/>
          <w:sz w:val="25"/>
          <w:szCs w:val="25"/>
        </w:rPr>
        <w:t>End-Result Variables: These are measurable outcomes like organizational performance, reduced waste, energy efficiency, and enhanced corporate image. The integration of Green HRM practices often leads to improved productivity and cost savings, confirming the link between sustainability and overall effectiveness (Jabbour et al., 2010).</w:t>
      </w:r>
    </w:p>
    <w:p>
      <w:pPr>
        <w:spacing w:line="480" w:lineRule="auto"/>
        <w:jc w:val="both"/>
        <w:rPr>
          <w:rFonts w:ascii="Times New Roman" w:hAnsi="Times New Roman" w:cs="Times New Roman"/>
          <w:sz w:val="25"/>
          <w:szCs w:val="25"/>
        </w:rPr>
      </w:pPr>
      <w:r>
        <w:rPr>
          <w:rFonts w:ascii="Times New Roman" w:hAnsi="Times New Roman" w:cs="Times New Roman"/>
          <w:sz w:val="25"/>
          <w:szCs w:val="25"/>
        </w:rPr>
        <w:t>According to Likert, improving causal variables has a ripple effect, positively shaping intervening and end-result variables. Therefore, focusing on enhancing Green HRM strategies—such as green leadership and sustainability training—can significantly influence organizational performance in the 21st century.</w:t>
      </w:r>
    </w:p>
    <w:p>
      <w:pPr>
        <w:spacing w:line="480" w:lineRule="auto"/>
        <w:jc w:val="both"/>
        <w:rPr>
          <w:rFonts w:ascii="Times New Roman" w:hAnsi="Times New Roman" w:cs="Times New Roman"/>
          <w:b/>
          <w:sz w:val="25"/>
          <w:szCs w:val="25"/>
        </w:rPr>
      </w:pPr>
      <w:r>
        <w:rPr>
          <w:rFonts w:ascii="Times New Roman" w:hAnsi="Times New Roman" w:cs="Times New Roman"/>
          <w:b/>
          <w:sz w:val="25"/>
          <w:szCs w:val="25"/>
        </w:rPr>
        <w:t>2.3 Theoretical Review</w:t>
      </w:r>
    </w:p>
    <w:p>
      <w:pPr>
        <w:spacing w:line="480" w:lineRule="auto"/>
        <w:jc w:val="both"/>
        <w:rPr>
          <w:rFonts w:ascii="Times New Roman" w:hAnsi="Times New Roman" w:cs="Times New Roman"/>
          <w:sz w:val="25"/>
          <w:szCs w:val="25"/>
        </w:rPr>
      </w:pPr>
      <w:r>
        <w:rPr>
          <w:rFonts w:ascii="Times New Roman" w:hAnsi="Times New Roman" w:cs="Times New Roman"/>
          <w:sz w:val="25"/>
          <w:szCs w:val="25"/>
        </w:rPr>
        <w:t>Several foundational management theories provide the theoretical underpinning for the study of Green HRM and its role in organizational performance:</w:t>
      </w:r>
    </w:p>
    <w:p>
      <w:pPr>
        <w:pStyle w:val="18"/>
        <w:numPr>
          <w:ilvl w:val="0"/>
          <w:numId w:val="12"/>
        </w:numPr>
        <w:spacing w:line="480" w:lineRule="auto"/>
        <w:jc w:val="both"/>
        <w:rPr>
          <w:rFonts w:ascii="Times New Roman" w:hAnsi="Times New Roman" w:cs="Times New Roman"/>
          <w:b/>
          <w:sz w:val="25"/>
          <w:szCs w:val="25"/>
        </w:rPr>
      </w:pPr>
      <w:r>
        <w:rPr>
          <w:rFonts w:ascii="Times New Roman" w:hAnsi="Times New Roman" w:cs="Times New Roman"/>
          <w:b/>
          <w:sz w:val="25"/>
          <w:szCs w:val="25"/>
        </w:rPr>
        <w:t>Ability-Motivation-Opportunity (AMO) Theory:</w:t>
      </w:r>
    </w:p>
    <w:p>
      <w:pPr>
        <w:pStyle w:val="18"/>
        <w:spacing w:line="480" w:lineRule="auto"/>
        <w:jc w:val="both"/>
        <w:rPr>
          <w:rFonts w:ascii="Times New Roman" w:hAnsi="Times New Roman" w:cs="Times New Roman"/>
          <w:sz w:val="25"/>
          <w:szCs w:val="25"/>
        </w:rPr>
      </w:pPr>
      <w:r>
        <w:rPr>
          <w:rFonts w:ascii="Times New Roman" w:hAnsi="Times New Roman" w:cs="Times New Roman"/>
          <w:sz w:val="25"/>
          <w:szCs w:val="25"/>
        </w:rPr>
        <w:t>This theory posits that performance is a function of employees' abilities, motivation, and opportunities (Appelbaum et al., 2000). Green HRM leverages this by enhancing employee competencies through green training, boosting motivation via recognition of eco-friendly behavior, and offering opportunities to engage in environmental practices.</w:t>
      </w:r>
    </w:p>
    <w:p>
      <w:pPr>
        <w:pStyle w:val="18"/>
        <w:numPr>
          <w:ilvl w:val="0"/>
          <w:numId w:val="12"/>
        </w:numPr>
        <w:spacing w:line="480" w:lineRule="auto"/>
        <w:jc w:val="both"/>
        <w:rPr>
          <w:rFonts w:ascii="Times New Roman" w:hAnsi="Times New Roman" w:cs="Times New Roman"/>
          <w:sz w:val="25"/>
          <w:szCs w:val="25"/>
        </w:rPr>
      </w:pPr>
      <w:r>
        <w:rPr>
          <w:rFonts w:ascii="Times New Roman" w:hAnsi="Times New Roman" w:cs="Times New Roman"/>
          <w:b/>
          <w:sz w:val="25"/>
          <w:szCs w:val="25"/>
        </w:rPr>
        <w:t>Resource-Based View (RBV):</w:t>
      </w:r>
    </w:p>
    <w:p>
      <w:pPr>
        <w:pStyle w:val="18"/>
        <w:spacing w:line="480" w:lineRule="auto"/>
        <w:jc w:val="both"/>
        <w:rPr>
          <w:rFonts w:ascii="Times New Roman" w:hAnsi="Times New Roman" w:cs="Times New Roman"/>
          <w:sz w:val="25"/>
          <w:szCs w:val="25"/>
        </w:rPr>
      </w:pPr>
      <w:r>
        <w:rPr>
          <w:rFonts w:ascii="Times New Roman" w:hAnsi="Times New Roman" w:cs="Times New Roman"/>
          <w:sz w:val="25"/>
          <w:szCs w:val="25"/>
        </w:rPr>
        <w:t>According to RBV, organizations gain competitive advantage through unique internal resources (Barney, 1991). Green HRM transforms human resources into strategic assets by fostering environmental capabilities, green innovation, and ecological awareness among employees, thereby enhancing performance.</w:t>
      </w:r>
    </w:p>
    <w:p>
      <w:pPr>
        <w:pStyle w:val="18"/>
        <w:numPr>
          <w:ilvl w:val="0"/>
          <w:numId w:val="12"/>
        </w:numPr>
        <w:spacing w:line="480" w:lineRule="auto"/>
        <w:jc w:val="both"/>
        <w:rPr>
          <w:rFonts w:ascii="Times New Roman" w:hAnsi="Times New Roman" w:cs="Times New Roman"/>
          <w:b/>
          <w:sz w:val="25"/>
          <w:szCs w:val="25"/>
        </w:rPr>
      </w:pPr>
      <w:r>
        <w:rPr>
          <w:rFonts w:ascii="Times New Roman" w:hAnsi="Times New Roman" w:cs="Times New Roman"/>
          <w:b/>
          <w:sz w:val="25"/>
          <w:szCs w:val="25"/>
        </w:rPr>
        <w:t xml:space="preserve">Stakeholder Theory: </w:t>
      </w:r>
    </w:p>
    <w:p>
      <w:pPr>
        <w:pStyle w:val="18"/>
        <w:spacing w:line="480" w:lineRule="auto"/>
        <w:jc w:val="both"/>
        <w:rPr>
          <w:rFonts w:ascii="Times New Roman" w:hAnsi="Times New Roman" w:cs="Times New Roman"/>
          <w:sz w:val="25"/>
          <w:szCs w:val="25"/>
        </w:rPr>
      </w:pPr>
      <w:r>
        <w:rPr>
          <w:rFonts w:ascii="Times New Roman" w:hAnsi="Times New Roman" w:cs="Times New Roman"/>
          <w:sz w:val="25"/>
          <w:szCs w:val="25"/>
        </w:rPr>
        <w:t>This theory emphasizes the importance of balancing the interests of various stakeholders. Green HRM aligns with this by integrating environmental and social concerns into HR policies, ensuring that employees, the community, and the environment are actively considered (Freeman, 1984).</w:t>
      </w:r>
    </w:p>
    <w:p>
      <w:pPr>
        <w:pStyle w:val="18"/>
        <w:numPr>
          <w:ilvl w:val="0"/>
          <w:numId w:val="12"/>
        </w:numPr>
        <w:spacing w:line="480" w:lineRule="auto"/>
        <w:jc w:val="both"/>
        <w:rPr>
          <w:rFonts w:ascii="Times New Roman" w:hAnsi="Times New Roman" w:cs="Times New Roman"/>
          <w:sz w:val="25"/>
          <w:szCs w:val="25"/>
        </w:rPr>
      </w:pPr>
      <w:r>
        <w:rPr>
          <w:rFonts w:ascii="Times New Roman" w:hAnsi="Times New Roman" w:cs="Times New Roman"/>
          <w:b/>
          <w:sz w:val="25"/>
          <w:szCs w:val="25"/>
        </w:rPr>
        <w:t>Systems Theory:</w:t>
      </w:r>
    </w:p>
    <w:p>
      <w:pPr>
        <w:pStyle w:val="18"/>
        <w:spacing w:line="480" w:lineRule="auto"/>
        <w:jc w:val="both"/>
        <w:rPr>
          <w:rFonts w:ascii="Times New Roman" w:hAnsi="Times New Roman" w:cs="Times New Roman"/>
          <w:sz w:val="25"/>
          <w:szCs w:val="25"/>
        </w:rPr>
      </w:pPr>
      <w:r>
        <w:rPr>
          <w:rFonts w:ascii="Times New Roman" w:hAnsi="Times New Roman" w:cs="Times New Roman"/>
          <w:sz w:val="25"/>
          <w:szCs w:val="25"/>
        </w:rPr>
        <w:t>This theory views organizations as systems with interconnected parts. Green HRM reflects systems thinking by linking environmental goals with HR functions, ensuring alignment between sustainability objectives and organizational strategies (Senge, 2006).</w:t>
      </w:r>
    </w:p>
    <w:p>
      <w:pPr>
        <w:pStyle w:val="18"/>
        <w:numPr>
          <w:ilvl w:val="0"/>
          <w:numId w:val="12"/>
        </w:numPr>
        <w:spacing w:line="480" w:lineRule="auto"/>
        <w:jc w:val="both"/>
        <w:rPr>
          <w:rFonts w:ascii="Times New Roman" w:hAnsi="Times New Roman" w:cs="Times New Roman"/>
          <w:sz w:val="25"/>
          <w:szCs w:val="25"/>
        </w:rPr>
      </w:pPr>
      <w:r>
        <w:rPr>
          <w:rFonts w:ascii="Times New Roman" w:hAnsi="Times New Roman" w:cs="Times New Roman"/>
          <w:b/>
          <w:sz w:val="25"/>
          <w:szCs w:val="25"/>
        </w:rPr>
        <w:t>Process Theory:</w:t>
      </w:r>
    </w:p>
    <w:p>
      <w:pPr>
        <w:pStyle w:val="18"/>
        <w:spacing w:line="480" w:lineRule="auto"/>
        <w:jc w:val="both"/>
        <w:rPr>
          <w:rFonts w:ascii="Times New Roman" w:hAnsi="Times New Roman" w:cs="Times New Roman"/>
          <w:sz w:val="25"/>
          <w:szCs w:val="25"/>
        </w:rPr>
      </w:pPr>
      <w:r>
        <w:rPr>
          <w:rFonts w:ascii="Times New Roman" w:hAnsi="Times New Roman" w:cs="Times New Roman"/>
          <w:sz w:val="25"/>
          <w:szCs w:val="25"/>
        </w:rPr>
        <w:t>Process theory explains how organizational practices lead to outcomes. Green HRM practices such as eco-conscious recruitment, performance appraisals linked to sustainability goals, and green reward systems are processes that shape pro-environmental behavior and, ultimately, organizational performance (Jackson et al., 2011).</w:t>
      </w:r>
    </w:p>
    <w:p>
      <w:pPr>
        <w:spacing w:line="480" w:lineRule="auto"/>
        <w:jc w:val="both"/>
        <w:rPr>
          <w:rFonts w:ascii="Times New Roman" w:hAnsi="Times New Roman" w:cs="Times New Roman"/>
          <w:sz w:val="25"/>
          <w:szCs w:val="25"/>
        </w:rPr>
      </w:pPr>
      <w:r>
        <w:rPr>
          <w:rFonts w:ascii="Times New Roman" w:hAnsi="Times New Roman" w:cs="Times New Roman"/>
          <w:sz w:val="25"/>
          <w:szCs w:val="25"/>
        </w:rPr>
        <w:t>These theories collectively demonstrate how Green HRM serves as a catalyst for achieving superior organizational performance, not only through operational improvements but also through strategic alignment with sustainability imperatives.</w:t>
      </w:r>
    </w:p>
    <w:p>
      <w:pPr>
        <w:spacing w:line="480" w:lineRule="auto"/>
        <w:jc w:val="both"/>
        <w:rPr>
          <w:rFonts w:ascii="Times New Roman" w:hAnsi="Times New Roman" w:cs="Times New Roman"/>
          <w:b/>
          <w:sz w:val="25"/>
          <w:szCs w:val="25"/>
        </w:rPr>
      </w:pPr>
      <w:r>
        <w:rPr>
          <w:rFonts w:ascii="Times New Roman" w:hAnsi="Times New Roman" w:cs="Times New Roman"/>
          <w:b/>
          <w:sz w:val="25"/>
          <w:szCs w:val="25"/>
        </w:rPr>
        <w:t>2.4</w:t>
      </w:r>
      <w:r>
        <w:rPr>
          <w:rFonts w:ascii="Times New Roman" w:hAnsi="Times New Roman" w:cs="Times New Roman"/>
          <w:b/>
          <w:sz w:val="25"/>
          <w:szCs w:val="25"/>
        </w:rPr>
        <w:tab/>
      </w:r>
      <w:r>
        <w:rPr>
          <w:rFonts w:ascii="Times New Roman" w:hAnsi="Times New Roman" w:cs="Times New Roman"/>
          <w:b/>
          <w:sz w:val="25"/>
          <w:szCs w:val="25"/>
        </w:rPr>
        <w:t>Empirical Review</w:t>
      </w:r>
    </w:p>
    <w:p>
      <w:pPr>
        <w:spacing w:line="480" w:lineRule="auto"/>
        <w:jc w:val="both"/>
        <w:rPr>
          <w:rFonts w:ascii="Times New Roman" w:hAnsi="Times New Roman" w:cs="Times New Roman"/>
          <w:sz w:val="25"/>
          <w:szCs w:val="25"/>
        </w:rPr>
      </w:pPr>
      <w:r>
        <w:rPr>
          <w:rFonts w:ascii="Times New Roman" w:hAnsi="Times New Roman" w:cs="Times New Roman"/>
          <w:sz w:val="25"/>
          <w:szCs w:val="25"/>
        </w:rPr>
        <w:t>The increasing urgency of environmental sustainability in the 21st century has transformed Green Human Resource Management (Green HRM) from a peripheral organizational concern into a strategic imperative. Green HRM involves the integration of environmental management into human resource policies and practices to promote sustainable workplace behavior and enhance organizational performance. As organizations seek to align with global environmental goals, the implementation of Green HRM practices has become vital in shaping their long-term viability and competitiveness. This chapter critically reviews empirical and theoretical literature surrounding Green HRM and its role in influencing organizational performance, using an analytical framework supported by three key theories: Institutional Theory, Resource-Based View (RBV), and Systems Theory.</w:t>
      </w:r>
    </w:p>
    <w:p>
      <w:pPr>
        <w:spacing w:line="480" w:lineRule="auto"/>
        <w:jc w:val="both"/>
        <w:rPr>
          <w:rFonts w:ascii="Times New Roman" w:hAnsi="Times New Roman" w:cs="Times New Roman"/>
          <w:sz w:val="25"/>
          <w:szCs w:val="25"/>
        </w:rPr>
      </w:pPr>
      <w:r>
        <w:rPr>
          <w:rFonts w:ascii="Times New Roman" w:hAnsi="Times New Roman" w:cs="Times New Roman"/>
          <w:sz w:val="25"/>
          <w:szCs w:val="25"/>
        </w:rPr>
        <w:t>According to the analytical HRM framework proposed by Boxall (2007), understanding the “what,” “why,” and “how” of Green HRM is essential for linking HR strategies to broader organizational goals. This framework provides a useful lens for examining how Green HRM contributes to environmental sustainability and organizational performance. The growing literature on Green HRM highlights its relevance in addressing both internal organizational needs and external pressures, thereby reinforcing its role within strategic HRM discourse.</w:t>
      </w:r>
    </w:p>
    <w:p>
      <w:pPr>
        <w:spacing w:line="480" w:lineRule="auto"/>
        <w:jc w:val="both"/>
        <w:rPr>
          <w:rFonts w:ascii="Times New Roman" w:hAnsi="Times New Roman" w:cs="Times New Roman"/>
          <w:sz w:val="25"/>
          <w:szCs w:val="25"/>
        </w:rPr>
      </w:pPr>
      <w:r>
        <w:rPr>
          <w:rFonts w:ascii="Times New Roman" w:hAnsi="Times New Roman" w:cs="Times New Roman"/>
          <w:sz w:val="25"/>
          <w:szCs w:val="25"/>
        </w:rPr>
        <w:t>From an external perspective, Institutional Theory offers valuable insights into why organizations adopt Green HRM practices. This theory posits that organizations are influenced by external institutional pressures, including regulations, societal norms, and stakeholder expectations (DiMaggio &amp; Powell, 1983). In the context of environmental management, these forces act as catalysts that drive organizations to adopt environmentally responsible behaviors. Studies by Russo and Fouts (1997) have shown that regulatory and social pressures play a crucial role in shaping environmentally friendly organizational practices. While some critics argue that Institutional Theory treats organizations as passive entities reacting to institutional demands (Perrow, 1986; Oliver, 1997), it nonetheless highlights the importance of aligning organizational practices with environmental expectations. Moreover, the theory’s alignment with the ecosystem perspective underscores the need for a “goodness-of-fit” between organizational processes and the physical and social environment (Germain &amp; Gitterman, 1995; Greene, 1999). When there is a mismatch, Green HRM emerges as a corrective mechanism to enhance alignment and ensure long-term sustainability. Therefore, from the lens of Institutional Theory, the need for Green HRM arises as a response to increasing external demands for responsible corporate behavior.</w:t>
      </w:r>
    </w:p>
    <w:p>
      <w:pPr>
        <w:spacing w:line="480" w:lineRule="auto"/>
        <w:jc w:val="both"/>
        <w:rPr>
          <w:rFonts w:ascii="Times New Roman" w:hAnsi="Times New Roman" w:cs="Times New Roman"/>
          <w:sz w:val="25"/>
          <w:szCs w:val="25"/>
        </w:rPr>
      </w:pPr>
      <w:r>
        <w:rPr>
          <w:rFonts w:ascii="Times New Roman" w:hAnsi="Times New Roman" w:cs="Times New Roman"/>
          <w:sz w:val="25"/>
          <w:szCs w:val="25"/>
        </w:rPr>
        <w:t>In contrast, the Resource-Based View (RBV) offers an internal perspective on Green HRM by emphasizing the strategic value of human capital in achieving sustainable competitive advantage. RBV argues that organizations gain long-term performance benefits by developing resources that are valuable, rare, inimitable, and non-substitutable (Barney, 1991; Wernerfelt, 1984). In this context, employee green knowledge, attitudes, competencies, and behaviors become critical internal resources that contribute to an organization's environmental performance. Hart (1995) and Sharma and Vredenburg (1998) contend that firms must build foundational environmental capabilities—such as pollution prevention and eco-efficiency—through targeted HR practices like green training and development. Christmann (2000) further argues that without internal environmental competencies, organizations are unlikely to achieve their strategic sustainability goals.</w:t>
      </w:r>
    </w:p>
    <w:p>
      <w:pPr>
        <w:spacing w:line="480" w:lineRule="auto"/>
        <w:jc w:val="both"/>
        <w:rPr>
          <w:rFonts w:ascii="Times New Roman" w:hAnsi="Times New Roman" w:cs="Times New Roman"/>
          <w:sz w:val="25"/>
          <w:szCs w:val="25"/>
        </w:rPr>
      </w:pPr>
      <w:r>
        <w:rPr>
          <w:rFonts w:ascii="Times New Roman" w:hAnsi="Times New Roman" w:cs="Times New Roman"/>
          <w:sz w:val="25"/>
          <w:szCs w:val="25"/>
        </w:rPr>
        <w:t>Green HRM practices such as green recruitment, environmental training, green performance management, and employee engagement in sustainability initiatives help to develop these essential competencies (Arulrajah, Opatha &amp; Nawaratne, 2015). These practices not only shape environmentally conscious behaviors among employees but also enhance the organization’s overall environmental performance. Scholars like Wright, Dunford, and Snell (2001) have applied RBV to strategic HRM, suggesting that employee skills and behaviors are key contributors to competitive advantage. Extending this logic to Green HRM, it can be argued that green-oriented human capital is a core strategic asset that can significantly influence organizational outcomes in a sustainability-driven world.</w:t>
      </w:r>
    </w:p>
    <w:p>
      <w:pPr>
        <w:spacing w:line="480" w:lineRule="auto"/>
        <w:jc w:val="both"/>
        <w:rPr>
          <w:rFonts w:ascii="Times New Roman" w:hAnsi="Times New Roman" w:cs="Times New Roman"/>
          <w:sz w:val="25"/>
          <w:szCs w:val="25"/>
        </w:rPr>
      </w:pPr>
      <w:r>
        <w:rPr>
          <w:rFonts w:ascii="Times New Roman" w:hAnsi="Times New Roman" w:cs="Times New Roman"/>
          <w:sz w:val="25"/>
          <w:szCs w:val="25"/>
        </w:rPr>
        <w:t>Complementing both the institutional and resource-based perspectives is Systems Theory, which offers a holistic view of organizations as open systems that interact dynamically with their external environments (Katz &amp; Kahn, 1978). In this framework, human resource management is viewed as a subsystem responsible for acquiring, developing, motivating, and retaining talent in alignment with the organization’s strategic objectives (Jackson &amp; Schuler, 1995). Green HRM, within this model, serves as a conduit for translating environmental goals into actionable HR strategies that enhance both employee and organizational outcomes. By integrating environmental considerations into HR functions, organizations can generate positive feedback loops that reinforce their sustainability goals and promote continuous improvement.</w:t>
      </w:r>
    </w:p>
    <w:p>
      <w:pPr>
        <w:spacing w:line="480" w:lineRule="auto"/>
        <w:jc w:val="both"/>
        <w:rPr>
          <w:rFonts w:ascii="Times New Roman" w:hAnsi="Times New Roman" w:cs="Times New Roman"/>
          <w:sz w:val="25"/>
          <w:szCs w:val="25"/>
        </w:rPr>
      </w:pPr>
      <w:r>
        <w:rPr>
          <w:rFonts w:ascii="Times New Roman" w:hAnsi="Times New Roman" w:cs="Times New Roman"/>
          <w:sz w:val="25"/>
          <w:szCs w:val="25"/>
        </w:rPr>
        <w:t>The systems perspective also emphasizes the need for adaptability and proactive change management. HR managers must continuously adjust HR practices to align with environmental changes, ensuring that the organization remains resilient and forward-thinking. This involves developing flexible HR structures, fostering a culture of environmental awareness, and promoting continuous learning to support green initiatives. In this way, Green HRM becomes instrumental not only in enhancing environmental performance but also in ensuring the long-term sustainability and adaptability of the entire organizational system.</w:t>
      </w:r>
    </w:p>
    <w:p>
      <w:pPr>
        <w:spacing w:line="480" w:lineRule="auto"/>
        <w:jc w:val="both"/>
        <w:rPr>
          <w:rFonts w:ascii="Times New Roman" w:hAnsi="Times New Roman" w:cs="Times New Roman"/>
          <w:sz w:val="25"/>
          <w:szCs w:val="25"/>
        </w:rPr>
      </w:pPr>
      <w:r>
        <w:rPr>
          <w:rFonts w:ascii="Times New Roman" w:hAnsi="Times New Roman" w:cs="Times New Roman"/>
          <w:sz w:val="25"/>
          <w:szCs w:val="25"/>
        </w:rPr>
        <w:t>Taken together, these theoretical perspectives provide a robust foundation for understanding the strategic importance of Green HRM in the 21st century. Institutional Theory explains the external pressures that necessitate green practices, RBV highlights the internal value of green human capital, and Systems Theory underscores the importance of integration and adaptability. Through the combined lens of these theories, it becomes clear that Green HRM is not merely an ethical or compliance-based initiative but a strategic approach that shapes organizational performance by aligning environmental objectives with human resource strategies.</w:t>
      </w:r>
    </w:p>
    <w:p>
      <w:pPr>
        <w:spacing w:line="480" w:lineRule="auto"/>
        <w:jc w:val="both"/>
        <w:rPr>
          <w:rFonts w:ascii="Times New Roman" w:hAnsi="Times New Roman" w:cs="Times New Roman"/>
          <w:sz w:val="25"/>
          <w:szCs w:val="25"/>
        </w:rPr>
      </w:pPr>
      <w:r>
        <w:rPr>
          <w:rFonts w:ascii="Times New Roman" w:hAnsi="Times New Roman" w:cs="Times New Roman"/>
          <w:sz w:val="25"/>
          <w:szCs w:val="25"/>
        </w:rPr>
        <w:t>In summary, the empirical and theoretical literature strongly supports the assertion that Green HRM plays a critical role in shaping organizational performance in the 21st century. By responding to external environmental pressures, developing strategic internal capabilities, and fostering systemic integration of sustainable practices, Green HRM contributes meaningfully to an organization’s environmental and competitive success. As environmental challenges continue to intensify, organizations that embed sustainability into their human resource strategies will be better positioned to thrive in an increasingly eco-conscious global economy.</w:t>
      </w:r>
    </w:p>
    <w:p>
      <w:pPr>
        <w:rPr>
          <w:rFonts w:ascii="Times New Roman" w:hAnsi="Times New Roman" w:cs="Times New Roman"/>
          <w:b/>
          <w:sz w:val="26"/>
          <w:szCs w:val="26"/>
        </w:rPr>
      </w:pPr>
      <w:r>
        <w:rPr>
          <w:rFonts w:ascii="Times New Roman" w:hAnsi="Times New Roman" w:cs="Times New Roman"/>
          <w:b/>
          <w:sz w:val="26"/>
          <w:szCs w:val="26"/>
        </w:rPr>
        <w:br w:type="page"/>
      </w:r>
    </w:p>
    <w:p>
      <w:pPr>
        <w:spacing w:line="480" w:lineRule="auto"/>
        <w:jc w:val="both"/>
        <w:rPr>
          <w:rFonts w:ascii="Times New Roman" w:hAnsi="Times New Roman" w:cs="Times New Roman"/>
          <w:b/>
          <w:sz w:val="26"/>
          <w:szCs w:val="26"/>
        </w:rPr>
      </w:pPr>
    </w:p>
    <w:p>
      <w:pPr>
        <w:spacing w:line="480" w:lineRule="auto"/>
        <w:jc w:val="center"/>
        <w:rPr>
          <w:rFonts w:ascii="Times New Roman" w:hAnsi="Times New Roman" w:cs="Times New Roman"/>
          <w:sz w:val="26"/>
          <w:szCs w:val="26"/>
        </w:rPr>
      </w:pPr>
      <w:r>
        <w:rPr>
          <w:rFonts w:ascii="Times New Roman" w:hAnsi="Times New Roman" w:cs="Times New Roman"/>
          <w:b/>
          <w:sz w:val="26"/>
          <w:szCs w:val="26"/>
        </w:rPr>
        <w:t>CHAPTER THREE</w:t>
      </w:r>
    </w:p>
    <w:p>
      <w:pPr>
        <w:spacing w:line="480" w:lineRule="auto"/>
        <w:jc w:val="center"/>
        <w:rPr>
          <w:rFonts w:ascii="Times New Roman" w:hAnsi="Times New Roman" w:cs="Times New Roman"/>
          <w:b/>
          <w:sz w:val="26"/>
          <w:szCs w:val="26"/>
        </w:rPr>
      </w:pPr>
      <w:r>
        <w:rPr>
          <w:rFonts w:ascii="Times New Roman" w:hAnsi="Times New Roman" w:cs="Times New Roman"/>
          <w:b/>
          <w:sz w:val="26"/>
          <w:szCs w:val="26"/>
        </w:rPr>
        <w:t>METHODOLOGY</w:t>
      </w:r>
    </w:p>
    <w:p>
      <w:pPr>
        <w:pStyle w:val="18"/>
        <w:numPr>
          <w:ilvl w:val="1"/>
          <w:numId w:val="2"/>
        </w:numPr>
        <w:spacing w:line="480" w:lineRule="auto"/>
        <w:rPr>
          <w:rFonts w:ascii="Times New Roman" w:hAnsi="Times New Roman" w:cs="Times New Roman"/>
          <w:b/>
          <w:sz w:val="26"/>
          <w:szCs w:val="26"/>
        </w:rPr>
      </w:pPr>
      <w:r>
        <w:rPr>
          <w:rFonts w:ascii="Times New Roman" w:hAnsi="Times New Roman" w:cs="Times New Roman"/>
          <w:b/>
          <w:sz w:val="25"/>
          <w:szCs w:val="25"/>
        </w:rPr>
        <w:t>Introduction</w:t>
      </w:r>
    </w:p>
    <w:p>
      <w:pPr>
        <w:spacing w:line="480" w:lineRule="auto"/>
        <w:rPr>
          <w:rFonts w:ascii="Times New Roman" w:hAnsi="Times New Roman" w:cs="Times New Roman"/>
          <w:b/>
          <w:sz w:val="26"/>
          <w:szCs w:val="26"/>
        </w:rPr>
      </w:pPr>
      <w:r>
        <w:rPr>
          <w:rFonts w:ascii="Times New Roman" w:hAnsi="Times New Roman" w:cs="Times New Roman"/>
          <w:sz w:val="25"/>
          <w:szCs w:val="25"/>
        </w:rPr>
        <w:t>Research methodology refers to the systematic procedures and techniques employed in identifying, selecting, processing, and analyzing information relevant to a research topic (Creswell, 2014). This chapter outlines the research design, population of the study, sampling techniques, sample size, research instruments, validity and reliability of the instrument, sources of data collection, method of data analysis, ethical considerations, and expected outcomes. The methodological framework is designed to investigate the role of Green Human Resource Management (GHRM) practices in shaping organizational performance in the 21st century, with a specific focus on Guaranty Trust Bank (GTB) branches in Ilorin, Kwara State.</w:t>
      </w:r>
    </w:p>
    <w:p>
      <w:pPr>
        <w:spacing w:after="120" w:line="480" w:lineRule="auto"/>
        <w:jc w:val="both"/>
        <w:rPr>
          <w:rFonts w:ascii="Times New Roman" w:hAnsi="Times New Roman" w:cs="Times New Roman"/>
          <w:b/>
          <w:sz w:val="25"/>
          <w:szCs w:val="25"/>
        </w:rPr>
      </w:pPr>
      <w:r>
        <w:rPr>
          <w:rFonts w:ascii="Times New Roman" w:hAnsi="Times New Roman" w:cs="Times New Roman"/>
          <w:b/>
          <w:sz w:val="25"/>
          <w:szCs w:val="25"/>
        </w:rPr>
        <w:t>3.2 Research Design</w:t>
      </w:r>
    </w:p>
    <w:p>
      <w:pPr>
        <w:spacing w:after="120" w:line="480" w:lineRule="auto"/>
        <w:jc w:val="both"/>
        <w:rPr>
          <w:rFonts w:ascii="Times New Roman" w:hAnsi="Times New Roman" w:cs="Times New Roman"/>
          <w:sz w:val="25"/>
          <w:szCs w:val="25"/>
        </w:rPr>
      </w:pPr>
      <w:r>
        <w:rPr>
          <w:rFonts w:ascii="Times New Roman" w:hAnsi="Times New Roman" w:cs="Times New Roman"/>
          <w:sz w:val="25"/>
          <w:szCs w:val="25"/>
        </w:rPr>
        <w:t>This study adopts a descriptive survey research design. This design is appropriate for examining the attributes and behaviors of variables in their natural settings and is commonly used to identify patterns or relationships between variables (Saunders et al., 2016). In this context, the study investigates the role of Green Human Resource Management (GHRM) practices—such as green recruitment, green training, and green performance appraisal—as the independent variables, while organizational performance—measured in terms of efficiency, employee engagement, and environmental compliance—serves as the dependent variable.</w:t>
      </w:r>
    </w:p>
    <w:p>
      <w:pPr>
        <w:spacing w:after="120" w:line="480" w:lineRule="auto"/>
        <w:jc w:val="both"/>
        <w:rPr>
          <w:rFonts w:ascii="Times New Roman" w:hAnsi="Times New Roman" w:cs="Times New Roman"/>
          <w:sz w:val="25"/>
          <w:szCs w:val="25"/>
        </w:rPr>
      </w:pPr>
      <w:r>
        <w:rPr>
          <w:rFonts w:ascii="Times New Roman" w:hAnsi="Times New Roman" w:cs="Times New Roman"/>
          <w:sz w:val="25"/>
          <w:szCs w:val="25"/>
        </w:rPr>
        <w:t>The descriptive survey method is suitable for gathering empirical data from a large sample, which allows for statistical analysis to identify correlations or causality between GHRM practices and organizational outcomes (Zikmund et al., 2010). Thus, this design enables the researcher to present an informed view of how GHRM contributes to organizational sustainability and performance in the 21st century.</w:t>
      </w:r>
    </w:p>
    <w:p>
      <w:pPr>
        <w:spacing w:after="120" w:line="480" w:lineRule="auto"/>
        <w:jc w:val="both"/>
        <w:rPr>
          <w:rFonts w:ascii="Times New Roman" w:hAnsi="Times New Roman" w:cs="Times New Roman"/>
          <w:b/>
          <w:sz w:val="25"/>
          <w:szCs w:val="25"/>
        </w:rPr>
      </w:pPr>
      <w:r>
        <w:rPr>
          <w:rFonts w:ascii="Times New Roman" w:hAnsi="Times New Roman" w:cs="Times New Roman"/>
          <w:b/>
          <w:sz w:val="25"/>
          <w:szCs w:val="25"/>
        </w:rPr>
        <w:t>3.3 Population of the Study</w:t>
      </w:r>
    </w:p>
    <w:p>
      <w:pPr>
        <w:spacing w:after="120" w:line="480" w:lineRule="auto"/>
        <w:jc w:val="both"/>
        <w:rPr>
          <w:rFonts w:ascii="Times New Roman" w:hAnsi="Times New Roman" w:cs="Times New Roman"/>
          <w:sz w:val="25"/>
          <w:szCs w:val="25"/>
        </w:rPr>
      </w:pPr>
      <w:r>
        <w:rPr>
          <w:rFonts w:ascii="Times New Roman" w:hAnsi="Times New Roman" w:cs="Times New Roman"/>
          <w:sz w:val="25"/>
          <w:szCs w:val="25"/>
        </w:rPr>
        <w:t>According to Ankrah (2014), clearly defining the population is essential for accurate and representative sampling. The population for this study comprises both management and non-management staff of Guaranty Trust Bank branches located in Ilorin, Kwara State. The rationale for this selection is based on the assumption that both categories of staff interact with or are affected by HRM policies and practices. A total of 50 employees will be considered as the study population, ensuring a balanced representation of perspectives.</w:t>
      </w:r>
    </w:p>
    <w:p>
      <w:pPr>
        <w:spacing w:after="120" w:line="480" w:lineRule="auto"/>
        <w:jc w:val="both"/>
        <w:rPr>
          <w:rFonts w:ascii="Times New Roman" w:hAnsi="Times New Roman" w:cs="Times New Roman"/>
          <w:b/>
          <w:sz w:val="25"/>
          <w:szCs w:val="25"/>
        </w:rPr>
      </w:pPr>
      <w:r>
        <w:rPr>
          <w:rFonts w:ascii="Times New Roman" w:hAnsi="Times New Roman" w:cs="Times New Roman"/>
          <w:b/>
          <w:sz w:val="25"/>
          <w:szCs w:val="25"/>
        </w:rPr>
        <w:t>3.4 Sampling Techniques and Sample Size</w:t>
      </w:r>
    </w:p>
    <w:p>
      <w:pPr>
        <w:spacing w:after="120" w:line="480" w:lineRule="auto"/>
        <w:jc w:val="both"/>
        <w:rPr>
          <w:rFonts w:ascii="Times New Roman" w:hAnsi="Times New Roman" w:cs="Times New Roman"/>
          <w:sz w:val="25"/>
          <w:szCs w:val="25"/>
        </w:rPr>
      </w:pPr>
      <w:r>
        <w:rPr>
          <w:rFonts w:ascii="Times New Roman" w:hAnsi="Times New Roman" w:cs="Times New Roman"/>
          <w:sz w:val="25"/>
          <w:szCs w:val="25"/>
        </w:rPr>
        <w:t>Sampling is the process of selecting a portion of the population to represent the whole. As noted by Nwana (2005), an appropriate sampling method ensures that the selected sample accurately reflects the characteristics of the entire population. For this study, convenience sampling was initially applied to identify accessible participants. Subsequently, a stratified random sampling technique was employed to ensure that both management and non-management categories were adequately represented.</w:t>
      </w:r>
    </w:p>
    <w:p>
      <w:pPr>
        <w:spacing w:after="120" w:line="480" w:lineRule="auto"/>
        <w:jc w:val="both"/>
        <w:rPr>
          <w:rFonts w:ascii="Times New Roman" w:hAnsi="Times New Roman" w:cs="Times New Roman"/>
          <w:sz w:val="25"/>
          <w:szCs w:val="25"/>
        </w:rPr>
      </w:pPr>
      <w:r>
        <w:rPr>
          <w:rFonts w:ascii="Times New Roman" w:hAnsi="Times New Roman" w:cs="Times New Roman"/>
          <w:sz w:val="25"/>
          <w:szCs w:val="25"/>
        </w:rPr>
        <w:t>This stratified approach is suitable due to the heterogeneous nature of the study population, as it helps to ensure inclusion of diverse viewpoints across hierarchical levels in the organization. The sample size was determined using statistical regression modeling techniques, appropriate for studies exploring relationships between multiple variables.</w:t>
      </w:r>
    </w:p>
    <w:p>
      <w:pPr>
        <w:spacing w:after="120" w:line="480" w:lineRule="auto"/>
        <w:jc w:val="both"/>
        <w:rPr>
          <w:rFonts w:ascii="Times New Roman" w:hAnsi="Times New Roman" w:cs="Times New Roman"/>
          <w:b/>
          <w:sz w:val="25"/>
          <w:szCs w:val="25"/>
        </w:rPr>
      </w:pPr>
      <w:r>
        <w:rPr>
          <w:rFonts w:ascii="Times New Roman" w:hAnsi="Times New Roman" w:cs="Times New Roman"/>
          <w:b/>
          <w:sz w:val="25"/>
          <w:szCs w:val="25"/>
        </w:rPr>
        <w:t>3.5 Method of Data Collection</w:t>
      </w:r>
    </w:p>
    <w:p>
      <w:pPr>
        <w:spacing w:after="120" w:line="480" w:lineRule="auto"/>
        <w:jc w:val="both"/>
        <w:rPr>
          <w:rFonts w:ascii="Times New Roman" w:hAnsi="Times New Roman" w:cs="Times New Roman"/>
          <w:sz w:val="25"/>
          <w:szCs w:val="25"/>
        </w:rPr>
      </w:pPr>
      <w:r>
        <w:rPr>
          <w:rFonts w:ascii="Times New Roman" w:hAnsi="Times New Roman" w:cs="Times New Roman"/>
          <w:sz w:val="25"/>
          <w:szCs w:val="25"/>
        </w:rPr>
        <w:t>For the purpose of this study, primary data was collected from both management and non-management staff within the selected organization. The primary instrument for data collection was a structured, self-administered questionnaire, which was designed to gather relevant information on various dimensions of Green Human Resource Management (GHRM) practices and their perceived impact on organizational performance in the 21st century.</w:t>
      </w:r>
    </w:p>
    <w:p>
      <w:pPr>
        <w:spacing w:after="120" w:line="480" w:lineRule="auto"/>
        <w:jc w:val="both"/>
        <w:rPr>
          <w:rFonts w:ascii="Times New Roman" w:hAnsi="Times New Roman" w:cs="Times New Roman"/>
          <w:sz w:val="25"/>
          <w:szCs w:val="25"/>
        </w:rPr>
      </w:pPr>
      <w:r>
        <w:rPr>
          <w:rFonts w:ascii="Times New Roman" w:hAnsi="Times New Roman" w:cs="Times New Roman"/>
          <w:sz w:val="25"/>
          <w:szCs w:val="25"/>
        </w:rPr>
        <w:t>The drop-and-pick method was employed to distribute and retrieve the questionnaires. This method was considered appropriate due to its effectiveness in improving response rates and minimizing the risk of data loss (Bryman &amp; Bell, 2015). It also provided the respondents with ample time to complete the questionnaires at their convenience, thereby enhancing the reliability of the responses. The involvement of the organization’s union and administrative personnel was instrumental in facilitating access to the respondents, especially in securing the participation of both managerial and non-managerial employees.</w:t>
      </w:r>
    </w:p>
    <w:p>
      <w:pPr>
        <w:spacing w:after="120" w:line="480" w:lineRule="auto"/>
        <w:jc w:val="both"/>
        <w:rPr>
          <w:rFonts w:ascii="Times New Roman" w:hAnsi="Times New Roman" w:cs="Times New Roman"/>
          <w:sz w:val="25"/>
          <w:szCs w:val="25"/>
        </w:rPr>
      </w:pPr>
    </w:p>
    <w:p>
      <w:pPr>
        <w:spacing w:after="120" w:line="480" w:lineRule="auto"/>
        <w:jc w:val="both"/>
        <w:rPr>
          <w:rFonts w:ascii="Times New Roman" w:hAnsi="Times New Roman" w:cs="Times New Roman"/>
          <w:sz w:val="25"/>
          <w:szCs w:val="25"/>
        </w:rPr>
      </w:pPr>
      <w:r>
        <w:rPr>
          <w:rFonts w:ascii="Times New Roman" w:hAnsi="Times New Roman" w:cs="Times New Roman"/>
          <w:sz w:val="25"/>
          <w:szCs w:val="25"/>
        </w:rPr>
        <w:t>This data collection approach ensured that insights were obtained from a cross-section of the workforce, which is crucial in evaluating how green HRM practices—such as green recruitment, training, performance management, and employee involvement—are implemented and how they influence organizational performance outcomes (Renwick et al., 2013).</w:t>
      </w:r>
    </w:p>
    <w:p>
      <w:pPr>
        <w:spacing w:after="120" w:line="480" w:lineRule="auto"/>
        <w:jc w:val="both"/>
        <w:rPr>
          <w:rFonts w:ascii="Times New Roman" w:hAnsi="Times New Roman" w:cs="Times New Roman"/>
          <w:b/>
          <w:sz w:val="25"/>
          <w:szCs w:val="25"/>
        </w:rPr>
      </w:pPr>
      <w:r>
        <w:rPr>
          <w:rFonts w:ascii="Times New Roman" w:hAnsi="Times New Roman" w:cs="Times New Roman"/>
          <w:b/>
          <w:sz w:val="25"/>
          <w:szCs w:val="25"/>
        </w:rPr>
        <w:t>3.6 Research Instrument</w:t>
      </w:r>
    </w:p>
    <w:p>
      <w:pPr>
        <w:spacing w:after="120" w:line="480" w:lineRule="auto"/>
        <w:jc w:val="both"/>
        <w:rPr>
          <w:rFonts w:ascii="Times New Roman" w:hAnsi="Times New Roman" w:cs="Times New Roman"/>
          <w:sz w:val="25"/>
          <w:szCs w:val="25"/>
        </w:rPr>
      </w:pPr>
      <w:r>
        <w:rPr>
          <w:rFonts w:ascii="Times New Roman" w:hAnsi="Times New Roman" w:cs="Times New Roman"/>
          <w:sz w:val="25"/>
          <w:szCs w:val="25"/>
        </w:rPr>
        <w:t>The study will utilize a structured questionnaire as the primary research instrument. A structured questionnaire is effective in collecting quantifiable data in a standardized format (Bryman &amp; Bell, 2015). The questionnaire is divided into three main sections:</w:t>
      </w:r>
    </w:p>
    <w:p>
      <w:pPr>
        <w:pStyle w:val="18"/>
        <w:numPr>
          <w:ilvl w:val="0"/>
          <w:numId w:val="12"/>
        </w:numPr>
        <w:spacing w:after="120" w:line="480" w:lineRule="auto"/>
        <w:jc w:val="both"/>
        <w:rPr>
          <w:rFonts w:ascii="Times New Roman" w:hAnsi="Times New Roman" w:cs="Times New Roman"/>
          <w:sz w:val="25"/>
          <w:szCs w:val="25"/>
        </w:rPr>
      </w:pPr>
      <w:r>
        <w:rPr>
          <w:rFonts w:ascii="Times New Roman" w:hAnsi="Times New Roman" w:cs="Times New Roman"/>
          <w:sz w:val="25"/>
          <w:szCs w:val="25"/>
        </w:rPr>
        <w:t>Section A: Demographic data (e.g., gender, age, position, years of experience)</w:t>
      </w:r>
    </w:p>
    <w:p>
      <w:pPr>
        <w:pStyle w:val="18"/>
        <w:numPr>
          <w:ilvl w:val="0"/>
          <w:numId w:val="12"/>
        </w:numPr>
        <w:spacing w:after="120" w:line="480" w:lineRule="auto"/>
        <w:jc w:val="both"/>
        <w:rPr>
          <w:rFonts w:ascii="Times New Roman" w:hAnsi="Times New Roman" w:cs="Times New Roman"/>
          <w:sz w:val="25"/>
          <w:szCs w:val="25"/>
        </w:rPr>
      </w:pPr>
      <w:r>
        <w:rPr>
          <w:rFonts w:ascii="Times New Roman" w:hAnsi="Times New Roman" w:cs="Times New Roman"/>
          <w:sz w:val="25"/>
          <w:szCs w:val="25"/>
        </w:rPr>
        <w:t>Section B: Statements measuring the implementation of various Green HRM practices such as green recruitment, green training and development, and green rewards systems.</w:t>
      </w:r>
    </w:p>
    <w:p>
      <w:pPr>
        <w:pStyle w:val="18"/>
        <w:numPr>
          <w:ilvl w:val="0"/>
          <w:numId w:val="12"/>
        </w:numPr>
        <w:spacing w:after="120" w:line="480" w:lineRule="auto"/>
        <w:jc w:val="both"/>
        <w:rPr>
          <w:rFonts w:ascii="Times New Roman" w:hAnsi="Times New Roman" w:cs="Times New Roman"/>
          <w:sz w:val="25"/>
          <w:szCs w:val="25"/>
        </w:rPr>
      </w:pPr>
      <w:r>
        <w:rPr>
          <w:rFonts w:ascii="Times New Roman" w:hAnsi="Times New Roman" w:cs="Times New Roman"/>
          <w:sz w:val="25"/>
          <w:szCs w:val="25"/>
        </w:rPr>
        <w:t>Section C: Statements designed to assess the perceived impact of GHRM on organizational performance.</w:t>
      </w:r>
    </w:p>
    <w:p>
      <w:pPr>
        <w:spacing w:after="120" w:line="480" w:lineRule="auto"/>
        <w:jc w:val="both"/>
        <w:rPr>
          <w:rFonts w:ascii="Times New Roman" w:hAnsi="Times New Roman" w:cs="Times New Roman"/>
          <w:sz w:val="25"/>
          <w:szCs w:val="25"/>
        </w:rPr>
      </w:pPr>
      <w:r>
        <w:rPr>
          <w:rFonts w:ascii="Times New Roman" w:hAnsi="Times New Roman" w:cs="Times New Roman"/>
          <w:sz w:val="25"/>
          <w:szCs w:val="25"/>
        </w:rPr>
        <w:t>A five-point Likert scale will be used for Sections B and C, ranging from Strongly Agree (5) to Strongly Disagree (1). This scale allows respondents to express varying degrees of agreement or disagreement and is a widely accepted tool in HRM and organizational behavior research (Likert, 1932).</w:t>
      </w:r>
    </w:p>
    <w:tbl>
      <w:tblPr>
        <w:tblStyle w:val="8"/>
        <w:tblW w:w="9350" w:type="dxa"/>
        <w:tblInd w:w="0" w:type="dxa"/>
        <w:tblLayout w:type="fixed"/>
        <w:tblCellMar>
          <w:top w:w="0" w:type="dxa"/>
          <w:left w:w="108" w:type="dxa"/>
          <w:bottom w:w="0" w:type="dxa"/>
          <w:right w:w="108" w:type="dxa"/>
        </w:tblCellMar>
      </w:tblPr>
      <w:tblGrid>
        <w:gridCol w:w="4680"/>
        <w:gridCol w:w="4670"/>
      </w:tblGrid>
      <w:tr>
        <w:tblPrEx>
          <w:tblLayout w:type="fixed"/>
        </w:tblPrEx>
        <w:tc>
          <w:tcPr>
            <w:tcW w:w="4680" w:type="dxa"/>
            <w:tcBorders>
              <w:top w:val="single" w:color="000000" w:sz="4" w:space="0"/>
              <w:left w:val="single" w:color="000000" w:sz="4" w:space="0"/>
              <w:bottom w:val="single" w:color="000000" w:sz="4" w:space="0"/>
              <w:right w:val="single" w:color="000000" w:sz="4" w:space="0"/>
            </w:tcBorders>
          </w:tcPr>
          <w:p>
            <w:pPr>
              <w:tabs>
                <w:tab w:val="left" w:pos="900"/>
              </w:tabs>
              <w:spacing w:line="480" w:lineRule="auto"/>
              <w:jc w:val="both"/>
              <w:rPr>
                <w:rFonts w:ascii="Times New Roman" w:hAnsi="Times New Roman" w:cs="Times New Roman"/>
                <w:sz w:val="25"/>
                <w:szCs w:val="25"/>
              </w:rPr>
            </w:pPr>
            <w:r>
              <w:rPr>
                <w:rFonts w:ascii="Times New Roman" w:hAnsi="Times New Roman" w:cs="Times New Roman"/>
                <w:sz w:val="25"/>
                <w:szCs w:val="25"/>
              </w:rPr>
              <w:t>Option</w:t>
            </w:r>
          </w:p>
        </w:tc>
        <w:tc>
          <w:tcPr>
            <w:tcW w:w="4670" w:type="dxa"/>
            <w:tcBorders>
              <w:top w:val="single" w:color="000000" w:sz="4" w:space="0"/>
              <w:left w:val="single" w:color="000000" w:sz="4" w:space="0"/>
              <w:bottom w:val="single" w:color="000000" w:sz="4" w:space="0"/>
              <w:right w:val="single" w:color="000000" w:sz="4" w:space="0"/>
            </w:tcBorders>
          </w:tcPr>
          <w:p>
            <w:pPr>
              <w:tabs>
                <w:tab w:val="left" w:pos="900"/>
              </w:tabs>
              <w:spacing w:line="480" w:lineRule="auto"/>
              <w:jc w:val="both"/>
              <w:rPr>
                <w:rFonts w:ascii="Times New Roman" w:hAnsi="Times New Roman" w:cs="Times New Roman"/>
                <w:sz w:val="25"/>
                <w:szCs w:val="25"/>
              </w:rPr>
            </w:pPr>
            <w:r>
              <w:rPr>
                <w:rFonts w:ascii="Times New Roman" w:hAnsi="Times New Roman" w:cs="Times New Roman"/>
                <w:sz w:val="25"/>
                <w:szCs w:val="25"/>
              </w:rPr>
              <w:t>Weight</w:t>
            </w:r>
          </w:p>
        </w:tc>
      </w:tr>
      <w:tr>
        <w:tblPrEx>
          <w:tblLayout w:type="fixed"/>
        </w:tblPrEx>
        <w:tc>
          <w:tcPr>
            <w:tcW w:w="4680" w:type="dxa"/>
            <w:tcBorders>
              <w:top w:val="single" w:color="000000" w:sz="4" w:space="0"/>
              <w:left w:val="single" w:color="000000" w:sz="4" w:space="0"/>
              <w:bottom w:val="single" w:color="000000" w:sz="4" w:space="0"/>
              <w:right w:val="single" w:color="000000" w:sz="4" w:space="0"/>
            </w:tcBorders>
          </w:tcPr>
          <w:p>
            <w:pPr>
              <w:tabs>
                <w:tab w:val="left" w:pos="900"/>
              </w:tabs>
              <w:spacing w:line="480" w:lineRule="auto"/>
              <w:jc w:val="both"/>
              <w:rPr>
                <w:rFonts w:ascii="Times New Roman" w:hAnsi="Times New Roman" w:cs="Times New Roman"/>
                <w:sz w:val="25"/>
                <w:szCs w:val="25"/>
              </w:rPr>
            </w:pPr>
            <w:r>
              <w:rPr>
                <w:rFonts w:ascii="Times New Roman" w:hAnsi="Times New Roman" w:cs="Times New Roman"/>
                <w:sz w:val="25"/>
                <w:szCs w:val="25"/>
              </w:rPr>
              <w:t>Strongly Agree</w:t>
            </w:r>
          </w:p>
        </w:tc>
        <w:tc>
          <w:tcPr>
            <w:tcW w:w="4670" w:type="dxa"/>
            <w:tcBorders>
              <w:top w:val="single" w:color="000000" w:sz="4" w:space="0"/>
              <w:left w:val="single" w:color="000000" w:sz="4" w:space="0"/>
              <w:bottom w:val="single" w:color="000000" w:sz="4" w:space="0"/>
              <w:right w:val="single" w:color="000000" w:sz="4" w:space="0"/>
            </w:tcBorders>
          </w:tcPr>
          <w:p>
            <w:pPr>
              <w:tabs>
                <w:tab w:val="left" w:pos="900"/>
              </w:tabs>
              <w:spacing w:line="480" w:lineRule="auto"/>
              <w:jc w:val="both"/>
              <w:rPr>
                <w:rFonts w:ascii="Times New Roman" w:hAnsi="Times New Roman" w:cs="Times New Roman"/>
                <w:sz w:val="25"/>
                <w:szCs w:val="25"/>
              </w:rPr>
            </w:pPr>
            <w:r>
              <w:rPr>
                <w:rFonts w:ascii="Times New Roman" w:hAnsi="Times New Roman" w:cs="Times New Roman"/>
                <w:sz w:val="25"/>
                <w:szCs w:val="25"/>
              </w:rPr>
              <w:t>5</w:t>
            </w:r>
          </w:p>
        </w:tc>
      </w:tr>
      <w:tr>
        <w:tblPrEx>
          <w:tblLayout w:type="fixed"/>
        </w:tblPrEx>
        <w:tc>
          <w:tcPr>
            <w:tcW w:w="4680" w:type="dxa"/>
            <w:tcBorders>
              <w:top w:val="single" w:color="000000" w:sz="4" w:space="0"/>
              <w:left w:val="single" w:color="000000" w:sz="4" w:space="0"/>
              <w:bottom w:val="single" w:color="000000" w:sz="4" w:space="0"/>
              <w:right w:val="single" w:color="000000" w:sz="4" w:space="0"/>
            </w:tcBorders>
          </w:tcPr>
          <w:p>
            <w:pPr>
              <w:tabs>
                <w:tab w:val="left" w:pos="900"/>
              </w:tabs>
              <w:spacing w:line="480" w:lineRule="auto"/>
              <w:jc w:val="both"/>
              <w:rPr>
                <w:rFonts w:ascii="Times New Roman" w:hAnsi="Times New Roman" w:cs="Times New Roman"/>
                <w:sz w:val="25"/>
                <w:szCs w:val="25"/>
              </w:rPr>
            </w:pPr>
            <w:r>
              <w:rPr>
                <w:rFonts w:ascii="Times New Roman" w:hAnsi="Times New Roman" w:cs="Times New Roman"/>
                <w:sz w:val="25"/>
                <w:szCs w:val="25"/>
              </w:rPr>
              <w:t>Agree</w:t>
            </w:r>
          </w:p>
        </w:tc>
        <w:tc>
          <w:tcPr>
            <w:tcW w:w="4670" w:type="dxa"/>
            <w:tcBorders>
              <w:top w:val="single" w:color="000000" w:sz="4" w:space="0"/>
              <w:left w:val="single" w:color="000000" w:sz="4" w:space="0"/>
              <w:bottom w:val="single" w:color="000000" w:sz="4" w:space="0"/>
              <w:right w:val="single" w:color="000000" w:sz="4" w:space="0"/>
            </w:tcBorders>
          </w:tcPr>
          <w:p>
            <w:pPr>
              <w:tabs>
                <w:tab w:val="left" w:pos="900"/>
              </w:tabs>
              <w:spacing w:line="480" w:lineRule="auto"/>
              <w:jc w:val="both"/>
              <w:rPr>
                <w:rFonts w:ascii="Times New Roman" w:hAnsi="Times New Roman" w:cs="Times New Roman"/>
                <w:sz w:val="25"/>
                <w:szCs w:val="25"/>
              </w:rPr>
            </w:pPr>
            <w:r>
              <w:rPr>
                <w:rFonts w:ascii="Times New Roman" w:hAnsi="Times New Roman" w:cs="Times New Roman"/>
                <w:sz w:val="25"/>
                <w:szCs w:val="25"/>
              </w:rPr>
              <w:t>4</w:t>
            </w:r>
          </w:p>
        </w:tc>
      </w:tr>
      <w:tr>
        <w:tblPrEx>
          <w:tblLayout w:type="fixed"/>
        </w:tblPrEx>
        <w:tc>
          <w:tcPr>
            <w:tcW w:w="4680" w:type="dxa"/>
            <w:tcBorders>
              <w:top w:val="single" w:color="000000" w:sz="4" w:space="0"/>
              <w:left w:val="single" w:color="000000" w:sz="4" w:space="0"/>
              <w:bottom w:val="single" w:color="000000" w:sz="4" w:space="0"/>
              <w:right w:val="single" w:color="000000" w:sz="4" w:space="0"/>
            </w:tcBorders>
          </w:tcPr>
          <w:p>
            <w:pPr>
              <w:tabs>
                <w:tab w:val="left" w:pos="900"/>
              </w:tabs>
              <w:spacing w:line="480" w:lineRule="auto"/>
              <w:jc w:val="both"/>
              <w:rPr>
                <w:rFonts w:ascii="Times New Roman" w:hAnsi="Times New Roman" w:cs="Times New Roman"/>
                <w:sz w:val="25"/>
                <w:szCs w:val="25"/>
              </w:rPr>
            </w:pPr>
            <w:r>
              <w:rPr>
                <w:rFonts w:ascii="Times New Roman" w:hAnsi="Times New Roman" w:cs="Times New Roman"/>
                <w:sz w:val="25"/>
                <w:szCs w:val="25"/>
              </w:rPr>
              <w:t>Undecided</w:t>
            </w:r>
          </w:p>
        </w:tc>
        <w:tc>
          <w:tcPr>
            <w:tcW w:w="4670" w:type="dxa"/>
            <w:tcBorders>
              <w:top w:val="single" w:color="000000" w:sz="4" w:space="0"/>
              <w:left w:val="single" w:color="000000" w:sz="4" w:space="0"/>
              <w:bottom w:val="single" w:color="000000" w:sz="4" w:space="0"/>
              <w:right w:val="single" w:color="000000" w:sz="4" w:space="0"/>
            </w:tcBorders>
          </w:tcPr>
          <w:p>
            <w:pPr>
              <w:tabs>
                <w:tab w:val="left" w:pos="900"/>
              </w:tabs>
              <w:spacing w:line="480" w:lineRule="auto"/>
              <w:jc w:val="both"/>
              <w:rPr>
                <w:rFonts w:ascii="Times New Roman" w:hAnsi="Times New Roman" w:cs="Times New Roman"/>
                <w:sz w:val="25"/>
                <w:szCs w:val="25"/>
              </w:rPr>
            </w:pPr>
            <w:r>
              <w:rPr>
                <w:rFonts w:ascii="Times New Roman" w:hAnsi="Times New Roman" w:cs="Times New Roman"/>
                <w:sz w:val="25"/>
                <w:szCs w:val="25"/>
              </w:rPr>
              <w:t>3</w:t>
            </w:r>
          </w:p>
        </w:tc>
      </w:tr>
      <w:tr>
        <w:tblPrEx>
          <w:tblLayout w:type="fixed"/>
        </w:tblPrEx>
        <w:tc>
          <w:tcPr>
            <w:tcW w:w="4680" w:type="dxa"/>
            <w:tcBorders>
              <w:top w:val="single" w:color="000000" w:sz="4" w:space="0"/>
              <w:left w:val="single" w:color="000000" w:sz="4" w:space="0"/>
              <w:bottom w:val="single" w:color="000000" w:sz="4" w:space="0"/>
              <w:right w:val="single" w:color="000000" w:sz="4" w:space="0"/>
            </w:tcBorders>
          </w:tcPr>
          <w:p>
            <w:pPr>
              <w:tabs>
                <w:tab w:val="left" w:pos="900"/>
              </w:tabs>
              <w:spacing w:line="480" w:lineRule="auto"/>
              <w:jc w:val="both"/>
              <w:rPr>
                <w:rFonts w:ascii="Times New Roman" w:hAnsi="Times New Roman" w:cs="Times New Roman"/>
                <w:sz w:val="25"/>
                <w:szCs w:val="25"/>
              </w:rPr>
            </w:pPr>
            <w:r>
              <w:rPr>
                <w:rFonts w:ascii="Times New Roman" w:hAnsi="Times New Roman" w:cs="Times New Roman"/>
                <w:sz w:val="25"/>
                <w:szCs w:val="25"/>
              </w:rPr>
              <w:t>Disagree</w:t>
            </w:r>
          </w:p>
        </w:tc>
        <w:tc>
          <w:tcPr>
            <w:tcW w:w="4670" w:type="dxa"/>
            <w:tcBorders>
              <w:top w:val="single" w:color="000000" w:sz="4" w:space="0"/>
              <w:left w:val="single" w:color="000000" w:sz="4" w:space="0"/>
              <w:bottom w:val="single" w:color="000000" w:sz="4" w:space="0"/>
              <w:right w:val="single" w:color="000000" w:sz="4" w:space="0"/>
            </w:tcBorders>
          </w:tcPr>
          <w:p>
            <w:pPr>
              <w:tabs>
                <w:tab w:val="left" w:pos="900"/>
              </w:tabs>
              <w:spacing w:line="480" w:lineRule="auto"/>
              <w:jc w:val="both"/>
              <w:rPr>
                <w:rFonts w:ascii="Times New Roman" w:hAnsi="Times New Roman" w:cs="Times New Roman"/>
                <w:sz w:val="25"/>
                <w:szCs w:val="25"/>
              </w:rPr>
            </w:pPr>
            <w:r>
              <w:rPr>
                <w:rFonts w:ascii="Times New Roman" w:hAnsi="Times New Roman" w:cs="Times New Roman"/>
                <w:sz w:val="25"/>
                <w:szCs w:val="25"/>
              </w:rPr>
              <w:t>2</w:t>
            </w:r>
          </w:p>
        </w:tc>
      </w:tr>
      <w:tr>
        <w:tblPrEx>
          <w:tblLayout w:type="fixed"/>
        </w:tblPrEx>
        <w:tc>
          <w:tcPr>
            <w:tcW w:w="4680" w:type="dxa"/>
            <w:tcBorders>
              <w:top w:val="single" w:color="000000" w:sz="4" w:space="0"/>
              <w:left w:val="single" w:color="000000" w:sz="4" w:space="0"/>
              <w:bottom w:val="single" w:color="000000" w:sz="4" w:space="0"/>
              <w:right w:val="single" w:color="000000" w:sz="4" w:space="0"/>
            </w:tcBorders>
          </w:tcPr>
          <w:p>
            <w:pPr>
              <w:tabs>
                <w:tab w:val="left" w:pos="900"/>
              </w:tabs>
              <w:spacing w:line="480" w:lineRule="auto"/>
              <w:jc w:val="both"/>
              <w:rPr>
                <w:rFonts w:ascii="Times New Roman" w:hAnsi="Times New Roman" w:cs="Times New Roman"/>
                <w:sz w:val="25"/>
                <w:szCs w:val="25"/>
              </w:rPr>
            </w:pPr>
            <w:r>
              <w:rPr>
                <w:rFonts w:ascii="Times New Roman" w:hAnsi="Times New Roman" w:cs="Times New Roman"/>
                <w:sz w:val="25"/>
                <w:szCs w:val="25"/>
              </w:rPr>
              <w:t>Strongly Disagree</w:t>
            </w:r>
          </w:p>
        </w:tc>
        <w:tc>
          <w:tcPr>
            <w:tcW w:w="4670" w:type="dxa"/>
            <w:tcBorders>
              <w:top w:val="single" w:color="000000" w:sz="4" w:space="0"/>
              <w:left w:val="single" w:color="000000" w:sz="4" w:space="0"/>
              <w:bottom w:val="single" w:color="000000" w:sz="4" w:space="0"/>
              <w:right w:val="single" w:color="000000" w:sz="4" w:space="0"/>
            </w:tcBorders>
          </w:tcPr>
          <w:p>
            <w:pPr>
              <w:tabs>
                <w:tab w:val="left" w:pos="900"/>
              </w:tabs>
              <w:spacing w:line="480" w:lineRule="auto"/>
              <w:jc w:val="both"/>
              <w:rPr>
                <w:rFonts w:ascii="Times New Roman" w:hAnsi="Times New Roman" w:cs="Times New Roman"/>
                <w:sz w:val="25"/>
                <w:szCs w:val="25"/>
              </w:rPr>
            </w:pPr>
            <w:r>
              <w:rPr>
                <w:rFonts w:ascii="Times New Roman" w:hAnsi="Times New Roman" w:cs="Times New Roman"/>
                <w:sz w:val="25"/>
                <w:szCs w:val="25"/>
              </w:rPr>
              <w:t>1</w:t>
            </w:r>
          </w:p>
        </w:tc>
      </w:tr>
    </w:tbl>
    <w:p>
      <w:pPr>
        <w:tabs>
          <w:tab w:val="left" w:pos="900"/>
        </w:tabs>
        <w:spacing w:after="0" w:line="480" w:lineRule="auto"/>
        <w:jc w:val="both"/>
        <w:rPr>
          <w:rFonts w:ascii="Times New Roman" w:hAnsi="Times New Roman" w:cs="Times New Roman"/>
          <w:sz w:val="25"/>
          <w:szCs w:val="25"/>
        </w:rPr>
      </w:pPr>
    </w:p>
    <w:p>
      <w:pPr>
        <w:pStyle w:val="10"/>
        <w:numPr>
          <w:ilvl w:val="2"/>
          <w:numId w:val="10"/>
        </w:numPr>
        <w:spacing w:after="120" w:line="480" w:lineRule="auto"/>
        <w:jc w:val="both"/>
        <w:rPr>
          <w:rFonts w:ascii="Times New Roman" w:hAnsi="Times New Roman" w:cs="Times New Roman"/>
          <w:b/>
          <w:sz w:val="25"/>
          <w:szCs w:val="25"/>
        </w:rPr>
      </w:pPr>
      <w:r>
        <w:rPr>
          <w:rFonts w:ascii="Times New Roman" w:hAnsi="Times New Roman" w:cs="Times New Roman"/>
          <w:b/>
          <w:sz w:val="25"/>
          <w:szCs w:val="25"/>
        </w:rPr>
        <w:t>Validity and Reliability of Research Instruments</w:t>
      </w:r>
    </w:p>
    <w:p>
      <w:pPr>
        <w:spacing w:after="120" w:line="480" w:lineRule="auto"/>
        <w:jc w:val="both"/>
        <w:rPr>
          <w:rFonts w:ascii="Times New Roman" w:hAnsi="Times New Roman" w:cs="Times New Roman"/>
          <w:sz w:val="25"/>
          <w:szCs w:val="25"/>
        </w:rPr>
      </w:pPr>
      <w:r>
        <w:rPr>
          <w:rFonts w:ascii="Times New Roman" w:hAnsi="Times New Roman" w:cs="Times New Roman"/>
          <w:sz w:val="25"/>
          <w:szCs w:val="25"/>
        </w:rPr>
        <w:t>Validity and reliability are crucial considerations when choosing a survey instrument. The degree to which an instrument produces the same results throughout numerous trials is referred to as its reliability. The degree to which an instrument measures what it was intended to measure is referred to as validity. According to Kothari (2004), a research instrument's validity is how well it conforms to expectations. This validity was used to assess whether the questionnaire or interview guide's content was appropriate and pertinent to the study. Prior to administration for data collection, the study instrument, a questionnaire, was validated by submission to the project supervisor for confirmation and permission. The researcher used pilot testing method because it was expected that some items or questions would have several possible answers. The researcher established the reliability of the questionnaires by computing the alpha coefficient of the items (questions) in the questionnaire.</w:t>
      </w:r>
    </w:p>
    <w:p>
      <w:pPr>
        <w:rPr>
          <w:rFonts w:ascii="Times New Roman" w:hAnsi="Times New Roman" w:cs="Times New Roman"/>
          <w:b/>
          <w:sz w:val="25"/>
          <w:szCs w:val="25"/>
        </w:rPr>
      </w:pPr>
      <w:r>
        <w:rPr>
          <w:rFonts w:ascii="Times New Roman" w:hAnsi="Times New Roman" w:cs="Times New Roman"/>
          <w:b/>
          <w:sz w:val="25"/>
          <w:szCs w:val="25"/>
        </w:rPr>
        <w:t>3.7 Method of Data Analysis and Statistical Tool</w:t>
      </w:r>
    </w:p>
    <w:p>
      <w:pPr>
        <w:spacing w:after="0" w:line="480" w:lineRule="auto"/>
        <w:jc w:val="both"/>
        <w:rPr>
          <w:rFonts w:ascii="Times New Roman" w:hAnsi="Times New Roman" w:cs="Times New Roman"/>
          <w:sz w:val="25"/>
          <w:szCs w:val="25"/>
        </w:rPr>
      </w:pPr>
      <w:r>
        <w:rPr>
          <w:rFonts w:ascii="Times New Roman" w:hAnsi="Times New Roman" w:cs="Times New Roman"/>
          <w:sz w:val="25"/>
          <w:szCs w:val="25"/>
        </w:rPr>
        <w:t>In line with the objectives of this study, the analysis of the collected data will employ both descriptive and inferential statistical tools to ensure comprehensive insight into the role of Green Human Resource Management (GHRM) practices in shaping organizational performance in the 21st century.</w:t>
      </w:r>
    </w:p>
    <w:p>
      <w:pPr>
        <w:spacing w:after="0" w:line="480" w:lineRule="auto"/>
        <w:jc w:val="both"/>
        <w:rPr>
          <w:rFonts w:ascii="Times New Roman" w:hAnsi="Times New Roman" w:cs="Times New Roman"/>
          <w:sz w:val="25"/>
          <w:szCs w:val="25"/>
        </w:rPr>
      </w:pPr>
      <w:r>
        <w:rPr>
          <w:rFonts w:ascii="Times New Roman" w:hAnsi="Times New Roman" w:cs="Times New Roman"/>
          <w:sz w:val="25"/>
          <w:szCs w:val="25"/>
        </w:rPr>
        <w:t>Descriptive statistics, such as frequency counts, percentages, means, and standard deviations, will be used to summarize the responses obtained from the questionnaire. These descriptive tools will provide a clear overview of the demographic distribution of respondents and their perceptions regarding various Green HRM practices implemented within the organization. This initial analysis will help in identifying general trends and patterns within the dataset (Saunders, Lewis, &amp; Thornhill, 2019). To test the research hypotheses and examine the relationship between the independent variables (Green HRM practices such as green recruitment, green training, and green performance management) and the dependent variable (organizational performance), Multiple Linear Regression (MLR) analysis will be employed. MLR is particularly suitable for this study as it allows for the simultaneous analysis of the effect of multiple predictor variables on a single outcome variable, thereby offering a robust understanding of how various dimensions of GHRM influence performance outcomes (Hair, Black, Babin, &amp; Anderson, 2014).</w:t>
      </w:r>
    </w:p>
    <w:p>
      <w:pPr>
        <w:spacing w:after="0" w:line="480" w:lineRule="auto"/>
        <w:jc w:val="both"/>
        <w:rPr>
          <w:rFonts w:ascii="Times New Roman" w:hAnsi="Times New Roman" w:cs="Times New Roman"/>
          <w:sz w:val="25"/>
          <w:szCs w:val="25"/>
        </w:rPr>
      </w:pPr>
      <w:r>
        <w:rPr>
          <w:rFonts w:ascii="Times New Roman" w:hAnsi="Times New Roman" w:cs="Times New Roman"/>
          <w:sz w:val="25"/>
          <w:szCs w:val="25"/>
        </w:rPr>
        <w:t>The analysis will be conducted using the Statistical Package for the Social Sciences (SPSS), a reliable and widely used software for statistical computation in social science research. SPSS provides advanced data handling capabilities and statistical procedures that enhance the accuracy and efficiency of data analysis (Pallant, 2020). This tool will be instrumental in generating both the descriptive summaries and the regression outputs necessary for hypothesis testing.</w:t>
      </w:r>
    </w:p>
    <w:p>
      <w:pPr>
        <w:spacing w:after="0" w:line="480" w:lineRule="auto"/>
        <w:jc w:val="both"/>
        <w:rPr>
          <w:rFonts w:ascii="Times New Roman" w:hAnsi="Times New Roman" w:cs="Times New Roman"/>
          <w:sz w:val="25"/>
          <w:szCs w:val="25"/>
        </w:rPr>
      </w:pPr>
      <w:r>
        <w:rPr>
          <w:rFonts w:ascii="Times New Roman" w:hAnsi="Times New Roman" w:cs="Times New Roman"/>
          <w:sz w:val="25"/>
          <w:szCs w:val="25"/>
        </w:rPr>
        <w:t>The regression models will be developed based on the formulated hypotheses. Specifically, the model will assess the predictive power of selected GHRM practices—such as environmentally-conscious hiring, green employee engagement, and sustainable training programs—on the performance indicators of the case organization, Guaranty Trust Bank (GTB). This approach will provide empirical evidence on the extent to which GHRM contributes to the organization's overall performance in a modern, sustainability-driven context.</w:t>
      </w:r>
    </w:p>
    <w:p>
      <w:pPr>
        <w:spacing w:after="0" w:line="480" w:lineRule="auto"/>
        <w:jc w:val="both"/>
        <w:rPr>
          <w:rFonts w:ascii="Times New Roman" w:hAnsi="Times New Roman" w:cs="Times New Roman"/>
          <w:b/>
          <w:sz w:val="25"/>
          <w:szCs w:val="25"/>
        </w:rPr>
      </w:pPr>
      <w:r>
        <w:rPr>
          <w:rFonts w:ascii="Times New Roman" w:hAnsi="Times New Roman" w:cs="Times New Roman"/>
          <w:b/>
          <w:sz w:val="25"/>
          <w:szCs w:val="25"/>
        </w:rPr>
        <w:t>Hypothesis I</w:t>
      </w:r>
    </w:p>
    <w:p>
      <w:pPr>
        <w:spacing w:after="0" w:line="480" w:lineRule="auto"/>
        <w:jc w:val="both"/>
        <w:rPr>
          <w:rFonts w:ascii="Times New Roman" w:hAnsi="Times New Roman" w:cs="Times New Roman"/>
          <w:sz w:val="25"/>
          <w:szCs w:val="25"/>
        </w:rPr>
      </w:pPr>
      <w:r>
        <w:rPr>
          <w:rFonts w:ascii="Times New Roman" w:hAnsi="Times New Roman" w:cs="Times New Roman"/>
          <w:sz w:val="25"/>
          <w:szCs w:val="25"/>
        </w:rPr>
        <w:t>Ho₁: Green Human Resource Management practices do not have any significant influence on the organizational performance of Guaranty Trust Bank.</w:t>
      </w:r>
    </w:p>
    <w:p>
      <w:pPr>
        <w:spacing w:after="0" w:line="480" w:lineRule="auto"/>
        <w:jc w:val="both"/>
        <w:rPr>
          <w:rFonts w:ascii="Times New Roman" w:hAnsi="Times New Roman" w:cs="Times New Roman"/>
          <w:sz w:val="25"/>
          <w:szCs w:val="25"/>
        </w:rPr>
      </w:pPr>
      <w:r>
        <w:rPr>
          <w:rFonts w:ascii="Times New Roman" w:hAnsi="Times New Roman" w:cs="Times New Roman"/>
          <w:sz w:val="25"/>
          <w:szCs w:val="25"/>
        </w:rPr>
        <w:t>This hypothesis will be tested through the regression analysis, and the significance level (typically set at 0.05) will guide the decision to either accept or reject the null hypothesis.</w:t>
      </w:r>
    </w:p>
    <w:p>
      <w:pPr>
        <w:spacing w:after="0" w:line="480" w:lineRule="auto"/>
        <w:ind w:left="720"/>
        <w:jc w:val="both"/>
        <w:rPr>
          <w:rFonts w:ascii="Times New Roman" w:hAnsi="Times New Roman" w:cs="Times New Roman"/>
          <w:sz w:val="25"/>
          <w:szCs w:val="25"/>
        </w:rPr>
      </w:pPr>
      <w:r>
        <w:rPr>
          <w:rFonts w:ascii="Times New Roman" w:hAnsi="Times New Roman" w:cs="Times New Roman"/>
          <w:sz w:val="25"/>
          <w:szCs w:val="25"/>
        </w:rPr>
        <w:t>Y </w:t>
      </w:r>
      <w:r>
        <w:rPr>
          <w:rFonts w:ascii="Times New Roman" w:hAnsi="Times New Roman" w:cs="Times New Roman"/>
          <w:sz w:val="25"/>
          <w:szCs w:val="25"/>
          <w:vertAlign w:val="subscript"/>
        </w:rPr>
        <w:t xml:space="preserve">1 </w:t>
      </w:r>
      <w:r>
        <w:rPr>
          <w:rFonts w:ascii="Times New Roman" w:hAnsi="Times New Roman" w:cs="Times New Roman"/>
          <w:sz w:val="25"/>
          <w:szCs w:val="25"/>
        </w:rPr>
        <w:t>X</w:t>
      </w:r>
      <w:r>
        <w:rPr>
          <w:rFonts w:ascii="Times New Roman" w:hAnsi="Times New Roman" w:cs="Times New Roman"/>
          <w:sz w:val="25"/>
          <w:szCs w:val="25"/>
          <w:vertAlign w:val="subscript"/>
        </w:rPr>
        <w:t>1</w:t>
      </w:r>
      <w:r>
        <w:rPr>
          <w:rFonts w:ascii="Times New Roman" w:hAnsi="Times New Roman" w:cs="Times New Roman"/>
          <w:sz w:val="25"/>
          <w:szCs w:val="25"/>
        </w:rPr>
        <w:t xml:space="preserve"> + </w:t>
      </w:r>
      <w:r>
        <w:rPr>
          <w:rFonts w:ascii="Times New Roman" w:hAnsi="Times New Roman" w:cs="Times New Roman"/>
          <w:sz w:val="25"/>
          <w:szCs w:val="25"/>
          <w:vertAlign w:val="subscript"/>
        </w:rPr>
        <w:t xml:space="preserve">2 </w:t>
      </w:r>
      <w:r>
        <w:rPr>
          <w:rFonts w:ascii="Times New Roman" w:hAnsi="Times New Roman" w:cs="Times New Roman"/>
          <w:sz w:val="25"/>
          <w:szCs w:val="25"/>
        </w:rPr>
        <w:t>X</w:t>
      </w:r>
      <w:r>
        <w:rPr>
          <w:rFonts w:ascii="Times New Roman" w:hAnsi="Times New Roman" w:cs="Times New Roman"/>
          <w:sz w:val="25"/>
          <w:szCs w:val="25"/>
          <w:vertAlign w:val="subscript"/>
        </w:rPr>
        <w:t>2</w:t>
      </w:r>
      <w:r>
        <w:rPr>
          <w:rFonts w:ascii="Times New Roman" w:hAnsi="Times New Roman" w:cs="Times New Roman"/>
          <w:sz w:val="25"/>
          <w:szCs w:val="25"/>
        </w:rPr>
        <w:t xml:space="preserve"> + </w:t>
      </w:r>
    </w:p>
    <w:p>
      <w:pPr>
        <w:spacing w:after="0" w:line="480" w:lineRule="auto"/>
        <w:ind w:firstLine="720"/>
        <w:jc w:val="both"/>
        <w:rPr>
          <w:rFonts w:ascii="Times New Roman" w:hAnsi="Times New Roman" w:cs="Times New Roman"/>
          <w:sz w:val="25"/>
          <w:szCs w:val="25"/>
        </w:rPr>
      </w:pPr>
      <w:r>
        <w:rPr>
          <w:rFonts w:ascii="Times New Roman" w:hAnsi="Times New Roman" w:cs="Times New Roman"/>
          <w:sz w:val="25"/>
          <w:szCs w:val="25"/>
        </w:rPr>
        <w:t xml:space="preserve">OE = </w:t>
      </w:r>
      <w:r>
        <w:rPr>
          <w:rFonts w:ascii="Times New Roman" w:hAnsi="Times New Roman" w:cs="Times New Roman"/>
          <w:i/>
          <w:sz w:val="25"/>
          <w:szCs w:val="25"/>
        </w:rPr>
        <w:t>f</w:t>
      </w:r>
      <w:r>
        <w:rPr>
          <w:rFonts w:ascii="Times New Roman" w:hAnsi="Times New Roman" w:cs="Times New Roman"/>
          <w:sz w:val="25"/>
          <w:szCs w:val="25"/>
        </w:rPr>
        <w:t>(P)</w:t>
      </w:r>
    </w:p>
    <w:p>
      <w:pPr>
        <w:spacing w:after="0" w:line="480" w:lineRule="auto"/>
        <w:ind w:firstLine="720"/>
        <w:jc w:val="both"/>
        <w:rPr>
          <w:rFonts w:ascii="Times New Roman" w:hAnsi="Times New Roman" w:cs="Times New Roman"/>
          <w:sz w:val="25"/>
          <w:szCs w:val="25"/>
        </w:rPr>
      </w:pPr>
      <w:r>
        <w:rPr>
          <w:rFonts w:ascii="Times New Roman" w:hAnsi="Times New Roman" w:cs="Times New Roman"/>
          <w:sz w:val="25"/>
          <w:szCs w:val="25"/>
        </w:rPr>
        <w:t>Where:</w:t>
      </w:r>
    </w:p>
    <w:p>
      <w:pPr>
        <w:spacing w:after="0" w:line="480" w:lineRule="auto"/>
        <w:ind w:firstLine="720"/>
        <w:jc w:val="both"/>
        <w:rPr>
          <w:rFonts w:ascii="Times New Roman" w:hAnsi="Times New Roman" w:cs="Times New Roman"/>
          <w:bCs/>
          <w:sz w:val="25"/>
          <w:szCs w:val="25"/>
        </w:rPr>
      </w:pPr>
      <w:r>
        <w:rPr>
          <w:rFonts w:ascii="Times New Roman" w:hAnsi="Times New Roman" w:cs="Times New Roman"/>
          <w:sz w:val="25"/>
          <w:szCs w:val="25"/>
        </w:rPr>
        <w:t xml:space="preserve">Y </w:t>
      </w:r>
      <w:r>
        <w:rPr>
          <w:rFonts w:ascii="Times New Roman" w:hAnsi="Times New Roman" w:cs="Times New Roman"/>
          <w:sz w:val="25"/>
          <w:szCs w:val="25"/>
        </w:rPr>
        <w:tab/>
      </w:r>
      <w:r>
        <w:rPr>
          <w:rFonts w:ascii="Times New Roman" w:hAnsi="Times New Roman" w:cs="Times New Roman"/>
          <w:sz w:val="25"/>
          <w:szCs w:val="25"/>
        </w:rPr>
        <w:t>= Organizational Effectiveness (OE) – Dependent Variable</w:t>
      </w:r>
    </w:p>
    <w:p>
      <w:pPr>
        <w:spacing w:after="0" w:line="480" w:lineRule="auto"/>
        <w:ind w:firstLine="720"/>
        <w:jc w:val="both"/>
        <w:rPr>
          <w:rFonts w:ascii="Times New Roman" w:hAnsi="Times New Roman" w:cs="Times New Roman"/>
          <w:sz w:val="25"/>
          <w:szCs w:val="25"/>
        </w:rPr>
      </w:pPr>
      <w:r>
        <w:rPr>
          <w:rFonts w:ascii="Times New Roman" w:hAnsi="Times New Roman" w:cs="Times New Roman"/>
          <w:sz w:val="25"/>
          <w:szCs w:val="25"/>
        </w:rPr>
        <w:t>X</w:t>
      </w:r>
      <w:r>
        <w:rPr>
          <w:rFonts w:ascii="Times New Roman" w:hAnsi="Times New Roman" w:cs="Times New Roman"/>
          <w:sz w:val="25"/>
          <w:szCs w:val="25"/>
          <w:vertAlign w:val="subscript"/>
        </w:rPr>
        <w:t>1</w:t>
      </w:r>
      <w:r>
        <w:rPr>
          <w:rFonts w:ascii="Times New Roman" w:hAnsi="Times New Roman" w:cs="Times New Roman"/>
          <w:sz w:val="25"/>
          <w:szCs w:val="25"/>
        </w:rPr>
        <w:t xml:space="preserve"> </w:t>
      </w:r>
      <w:r>
        <w:rPr>
          <w:rFonts w:ascii="Times New Roman" w:hAnsi="Times New Roman" w:cs="Times New Roman"/>
          <w:sz w:val="25"/>
          <w:szCs w:val="25"/>
        </w:rPr>
        <w:tab/>
      </w:r>
      <w:r>
        <w:rPr>
          <w:rFonts w:ascii="Times New Roman" w:hAnsi="Times New Roman" w:cs="Times New Roman"/>
          <w:sz w:val="25"/>
          <w:szCs w:val="25"/>
        </w:rPr>
        <w:t xml:space="preserve">= Green Human Resource Management Practices (GHRM) – Independent Variable </w:t>
      </w:r>
    </w:p>
    <w:p>
      <w:pPr>
        <w:spacing w:after="0" w:line="480" w:lineRule="auto"/>
        <w:ind w:firstLine="720"/>
        <w:jc w:val="both"/>
        <w:rPr>
          <w:rFonts w:ascii="Times New Roman" w:hAnsi="Times New Roman" w:cs="Times New Roman"/>
          <w:sz w:val="25"/>
          <w:szCs w:val="25"/>
        </w:rPr>
      </w:pPr>
      <w:r>
        <w:rPr>
          <w:rFonts w:ascii="Times New Roman" w:hAnsi="Times New Roman" w:cs="Times New Roman"/>
          <w:sz w:val="25"/>
          <w:szCs w:val="25"/>
        </w:rPr>
        <w:t xml:space="preserve"> = Error Terms</w:t>
      </w:r>
    </w:p>
    <w:p>
      <w:pPr>
        <w:spacing w:after="0" w:line="480" w:lineRule="auto"/>
        <w:jc w:val="both"/>
        <w:rPr>
          <w:rFonts w:ascii="Times New Roman" w:hAnsi="Times New Roman" w:cs="Times New Roman"/>
          <w:b/>
          <w:sz w:val="25"/>
          <w:szCs w:val="25"/>
        </w:rPr>
      </w:pPr>
      <w:r>
        <w:rPr>
          <w:rFonts w:ascii="Times New Roman" w:hAnsi="Times New Roman" w:cs="Times New Roman"/>
          <w:b/>
          <w:sz w:val="25"/>
          <w:szCs w:val="25"/>
        </w:rPr>
        <w:t>Hypothesis II</w:t>
      </w:r>
    </w:p>
    <w:p>
      <w:pPr>
        <w:spacing w:line="480" w:lineRule="auto"/>
        <w:jc w:val="both"/>
        <w:rPr>
          <w:rFonts w:ascii="Times New Roman" w:hAnsi="Times New Roman" w:cs="Times New Roman"/>
          <w:sz w:val="25"/>
          <w:szCs w:val="25"/>
        </w:rPr>
      </w:pPr>
      <w:r>
        <w:rPr>
          <w:rFonts w:ascii="Times New Roman" w:hAnsi="Times New Roman" w:cs="Times New Roman"/>
          <w:sz w:val="25"/>
          <w:szCs w:val="25"/>
        </w:rPr>
        <w:t>Ho</w:t>
      </w:r>
      <w:r>
        <w:rPr>
          <w:rFonts w:ascii="Times New Roman" w:hAnsi="Times New Roman" w:cs="Times New Roman"/>
          <w:sz w:val="25"/>
          <w:szCs w:val="25"/>
          <w:vertAlign w:val="subscript"/>
        </w:rPr>
        <w:t>2</w:t>
      </w:r>
      <w:r>
        <w:rPr>
          <w:rFonts w:ascii="Times New Roman" w:hAnsi="Times New Roman" w:cs="Times New Roman"/>
          <w:sz w:val="25"/>
          <w:szCs w:val="25"/>
        </w:rPr>
        <w:t>: There is no relationship between Green Human Resource Management practices and organizational competitiveness of Guaranty Trust Bank;</w:t>
      </w:r>
    </w:p>
    <w:p>
      <w:pPr>
        <w:spacing w:after="0" w:line="480" w:lineRule="auto"/>
        <w:ind w:left="720"/>
        <w:jc w:val="both"/>
        <w:rPr>
          <w:rFonts w:ascii="Times New Roman" w:hAnsi="Times New Roman" w:cs="Times New Roman"/>
          <w:sz w:val="25"/>
          <w:szCs w:val="25"/>
        </w:rPr>
      </w:pPr>
      <w:r>
        <w:rPr>
          <w:rFonts w:ascii="Times New Roman" w:hAnsi="Times New Roman" w:cs="Times New Roman"/>
          <w:sz w:val="25"/>
          <w:szCs w:val="25"/>
        </w:rPr>
        <w:t>Y </w:t>
      </w:r>
      <w:r>
        <w:rPr>
          <w:rFonts w:ascii="Times New Roman" w:hAnsi="Times New Roman" w:cs="Times New Roman"/>
          <w:sz w:val="25"/>
          <w:szCs w:val="25"/>
          <w:vertAlign w:val="subscript"/>
        </w:rPr>
        <w:t xml:space="preserve">1 </w:t>
      </w:r>
      <w:r>
        <w:rPr>
          <w:rFonts w:ascii="Times New Roman" w:hAnsi="Times New Roman" w:cs="Times New Roman"/>
          <w:sz w:val="25"/>
          <w:szCs w:val="25"/>
        </w:rPr>
        <w:t>X</w:t>
      </w:r>
      <w:r>
        <w:rPr>
          <w:rFonts w:ascii="Times New Roman" w:hAnsi="Times New Roman" w:cs="Times New Roman"/>
          <w:sz w:val="25"/>
          <w:szCs w:val="25"/>
          <w:vertAlign w:val="subscript"/>
        </w:rPr>
        <w:t>1</w:t>
      </w:r>
      <w:r>
        <w:rPr>
          <w:rFonts w:ascii="Times New Roman" w:hAnsi="Times New Roman" w:cs="Times New Roman"/>
          <w:sz w:val="25"/>
          <w:szCs w:val="25"/>
        </w:rPr>
        <w:t xml:space="preserve"> + </w:t>
      </w:r>
      <w:r>
        <w:rPr>
          <w:rFonts w:ascii="Times New Roman" w:hAnsi="Times New Roman" w:cs="Times New Roman"/>
          <w:sz w:val="25"/>
          <w:szCs w:val="25"/>
          <w:vertAlign w:val="subscript"/>
        </w:rPr>
        <w:t xml:space="preserve">2 </w:t>
      </w:r>
      <w:r>
        <w:rPr>
          <w:rFonts w:ascii="Times New Roman" w:hAnsi="Times New Roman" w:cs="Times New Roman"/>
          <w:sz w:val="25"/>
          <w:szCs w:val="25"/>
        </w:rPr>
        <w:t>X</w:t>
      </w:r>
      <w:r>
        <w:rPr>
          <w:rFonts w:ascii="Times New Roman" w:hAnsi="Times New Roman" w:cs="Times New Roman"/>
          <w:sz w:val="25"/>
          <w:szCs w:val="25"/>
          <w:vertAlign w:val="subscript"/>
        </w:rPr>
        <w:t>2</w:t>
      </w:r>
      <w:r>
        <w:rPr>
          <w:rFonts w:ascii="Times New Roman" w:hAnsi="Times New Roman" w:cs="Times New Roman"/>
          <w:sz w:val="25"/>
          <w:szCs w:val="25"/>
        </w:rPr>
        <w:t xml:space="preserve"> + </w:t>
      </w:r>
    </w:p>
    <w:p>
      <w:pPr>
        <w:spacing w:after="0" w:line="48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OC = </w:t>
      </w:r>
      <w:r>
        <w:rPr>
          <w:rFonts w:ascii="Times New Roman" w:hAnsi="Times New Roman" w:cs="Times New Roman"/>
          <w:i/>
          <w:sz w:val="25"/>
          <w:szCs w:val="25"/>
        </w:rPr>
        <w:t>f</w:t>
      </w:r>
      <w:r>
        <w:rPr>
          <w:rFonts w:ascii="Times New Roman" w:hAnsi="Times New Roman" w:cs="Times New Roman"/>
          <w:sz w:val="25"/>
          <w:szCs w:val="25"/>
        </w:rPr>
        <w:t xml:space="preserve"> (P)</w:t>
      </w:r>
    </w:p>
    <w:p>
      <w:pPr>
        <w:spacing w:after="0" w:line="480" w:lineRule="auto"/>
        <w:ind w:left="720"/>
        <w:jc w:val="both"/>
        <w:rPr>
          <w:rFonts w:ascii="Times New Roman" w:hAnsi="Times New Roman" w:cs="Times New Roman"/>
          <w:sz w:val="25"/>
          <w:szCs w:val="25"/>
        </w:rPr>
      </w:pPr>
      <w:r>
        <w:rPr>
          <w:rFonts w:ascii="Times New Roman" w:hAnsi="Times New Roman" w:cs="Times New Roman"/>
          <w:sz w:val="25"/>
          <w:szCs w:val="25"/>
        </w:rPr>
        <w:t>Where:</w:t>
      </w:r>
    </w:p>
    <w:p>
      <w:pPr>
        <w:spacing w:after="0" w:line="480" w:lineRule="auto"/>
        <w:ind w:left="720"/>
        <w:jc w:val="both"/>
        <w:rPr>
          <w:rFonts w:ascii="Times New Roman" w:hAnsi="Times New Roman" w:cs="Times New Roman"/>
          <w:bCs/>
          <w:sz w:val="25"/>
          <w:szCs w:val="25"/>
        </w:rPr>
      </w:pPr>
      <w:r>
        <w:rPr>
          <w:rFonts w:ascii="Times New Roman" w:hAnsi="Times New Roman" w:cs="Times New Roman"/>
          <w:sz w:val="25"/>
          <w:szCs w:val="25"/>
        </w:rPr>
        <w:t>Y</w:t>
      </w:r>
      <w:r>
        <w:rPr>
          <w:rFonts w:ascii="Times New Roman" w:hAnsi="Times New Roman" w:cs="Times New Roman"/>
          <w:sz w:val="25"/>
          <w:szCs w:val="25"/>
        </w:rPr>
        <w:tab/>
      </w:r>
      <w:r>
        <w:rPr>
          <w:rFonts w:ascii="Times New Roman" w:hAnsi="Times New Roman" w:cs="Times New Roman"/>
          <w:sz w:val="25"/>
          <w:szCs w:val="25"/>
        </w:rPr>
        <w:t>= Organizational Competitiveness (OC) – Dependent Variable</w:t>
      </w:r>
    </w:p>
    <w:p>
      <w:pPr>
        <w:spacing w:after="0" w:line="480" w:lineRule="auto"/>
        <w:ind w:left="720"/>
        <w:jc w:val="both"/>
        <w:rPr>
          <w:rFonts w:ascii="Times New Roman" w:hAnsi="Times New Roman" w:cs="Times New Roman"/>
          <w:sz w:val="25"/>
          <w:szCs w:val="25"/>
        </w:rPr>
      </w:pPr>
      <w:r>
        <w:rPr>
          <w:rFonts w:ascii="Times New Roman" w:hAnsi="Times New Roman" w:cs="Times New Roman"/>
          <w:sz w:val="25"/>
          <w:szCs w:val="25"/>
        </w:rPr>
        <w:t>X</w:t>
      </w:r>
      <w:r>
        <w:rPr>
          <w:rFonts w:ascii="Times New Roman" w:hAnsi="Times New Roman" w:cs="Times New Roman"/>
          <w:sz w:val="25"/>
          <w:szCs w:val="25"/>
          <w:vertAlign w:val="subscript"/>
        </w:rPr>
        <w:t>1</w:t>
      </w:r>
      <w:r>
        <w:rPr>
          <w:rFonts w:ascii="Times New Roman" w:hAnsi="Times New Roman" w:cs="Times New Roman"/>
          <w:sz w:val="25"/>
          <w:szCs w:val="25"/>
        </w:rPr>
        <w:tab/>
      </w:r>
      <w:r>
        <w:rPr>
          <w:rFonts w:ascii="Times New Roman" w:hAnsi="Times New Roman" w:cs="Times New Roman"/>
          <w:sz w:val="25"/>
          <w:szCs w:val="25"/>
        </w:rPr>
        <w:t>= Green Human Resource Management Practices (GHRM) – Independent Variable  = Error Terms</w:t>
      </w:r>
    </w:p>
    <w:p>
      <w:pPr>
        <w:spacing w:after="0" w:line="480" w:lineRule="auto"/>
        <w:jc w:val="both"/>
        <w:rPr>
          <w:rFonts w:ascii="Times New Roman" w:hAnsi="Times New Roman" w:cs="Times New Roman"/>
          <w:b/>
          <w:sz w:val="25"/>
          <w:szCs w:val="25"/>
        </w:rPr>
      </w:pPr>
      <w:r>
        <w:rPr>
          <w:rFonts w:ascii="Times New Roman" w:hAnsi="Times New Roman" w:cs="Times New Roman"/>
          <w:b/>
          <w:sz w:val="25"/>
          <w:szCs w:val="25"/>
        </w:rPr>
        <w:t>Hypothesis III</w:t>
      </w:r>
    </w:p>
    <w:p>
      <w:pPr>
        <w:spacing w:after="0" w:line="480" w:lineRule="auto"/>
        <w:ind w:left="720" w:hanging="720"/>
        <w:jc w:val="both"/>
        <w:rPr>
          <w:rFonts w:ascii="Times New Roman" w:hAnsi="Times New Roman" w:cs="Times New Roman"/>
          <w:sz w:val="25"/>
          <w:szCs w:val="25"/>
        </w:rPr>
      </w:pPr>
      <w:r>
        <w:rPr>
          <w:rFonts w:ascii="Times New Roman" w:hAnsi="Times New Roman" w:cs="Times New Roman"/>
          <w:sz w:val="25"/>
          <w:szCs w:val="25"/>
        </w:rPr>
        <w:t>Ho</w:t>
      </w:r>
      <w:r>
        <w:rPr>
          <w:rFonts w:ascii="Times New Roman" w:hAnsi="Times New Roman" w:cs="Times New Roman"/>
          <w:sz w:val="25"/>
          <w:szCs w:val="25"/>
          <w:vertAlign w:val="subscript"/>
        </w:rPr>
        <w:t>3</w:t>
      </w:r>
      <w:r>
        <w:rPr>
          <w:rFonts w:ascii="Times New Roman" w:hAnsi="Times New Roman" w:cs="Times New Roman"/>
          <w:sz w:val="25"/>
          <w:szCs w:val="25"/>
        </w:rPr>
        <w:t>:</w:t>
      </w:r>
      <w:r>
        <w:rPr>
          <w:rFonts w:ascii="Times New Roman" w:hAnsi="Times New Roman" w:cs="Times New Roman"/>
          <w:sz w:val="25"/>
          <w:szCs w:val="25"/>
        </w:rPr>
        <w:tab/>
      </w:r>
      <w:r>
        <w:rPr>
          <w:rFonts w:ascii="Times New Roman" w:hAnsi="Times New Roman" w:cs="Times New Roman"/>
          <w:sz w:val="25"/>
          <w:szCs w:val="25"/>
        </w:rPr>
        <w:t>Green Human Resource Management practices has no role on organizational resilience of GTB</w:t>
      </w:r>
    </w:p>
    <w:p>
      <w:pPr>
        <w:spacing w:after="0" w:line="480" w:lineRule="auto"/>
        <w:ind w:left="720"/>
        <w:jc w:val="both"/>
        <w:rPr>
          <w:rFonts w:ascii="Times New Roman" w:hAnsi="Times New Roman" w:cs="Times New Roman"/>
          <w:sz w:val="25"/>
          <w:szCs w:val="25"/>
        </w:rPr>
      </w:pPr>
      <w:r>
        <w:rPr>
          <w:rFonts w:ascii="Times New Roman" w:hAnsi="Times New Roman" w:cs="Times New Roman"/>
          <w:sz w:val="25"/>
          <w:szCs w:val="25"/>
        </w:rPr>
        <w:t>Y </w:t>
      </w:r>
      <w:r>
        <w:rPr>
          <w:rFonts w:ascii="Times New Roman" w:hAnsi="Times New Roman" w:cs="Times New Roman"/>
          <w:sz w:val="25"/>
          <w:szCs w:val="25"/>
          <w:vertAlign w:val="subscript"/>
        </w:rPr>
        <w:t xml:space="preserve">1 </w:t>
      </w:r>
      <w:r>
        <w:rPr>
          <w:rFonts w:ascii="Times New Roman" w:hAnsi="Times New Roman" w:cs="Times New Roman"/>
          <w:sz w:val="25"/>
          <w:szCs w:val="25"/>
        </w:rPr>
        <w:t>X</w:t>
      </w:r>
      <w:r>
        <w:rPr>
          <w:rFonts w:ascii="Times New Roman" w:hAnsi="Times New Roman" w:cs="Times New Roman"/>
          <w:sz w:val="25"/>
          <w:szCs w:val="25"/>
          <w:vertAlign w:val="subscript"/>
        </w:rPr>
        <w:t>1</w:t>
      </w:r>
      <w:r>
        <w:rPr>
          <w:rFonts w:ascii="Times New Roman" w:hAnsi="Times New Roman" w:cs="Times New Roman"/>
          <w:sz w:val="25"/>
          <w:szCs w:val="25"/>
        </w:rPr>
        <w:t xml:space="preserve"> + </w:t>
      </w:r>
      <w:r>
        <w:rPr>
          <w:rFonts w:ascii="Times New Roman" w:hAnsi="Times New Roman" w:cs="Times New Roman"/>
          <w:sz w:val="25"/>
          <w:szCs w:val="25"/>
          <w:vertAlign w:val="subscript"/>
        </w:rPr>
        <w:t xml:space="preserve">2 </w:t>
      </w:r>
      <w:r>
        <w:rPr>
          <w:rFonts w:ascii="Times New Roman" w:hAnsi="Times New Roman" w:cs="Times New Roman"/>
          <w:sz w:val="25"/>
          <w:szCs w:val="25"/>
        </w:rPr>
        <w:t>X</w:t>
      </w:r>
      <w:r>
        <w:rPr>
          <w:rFonts w:ascii="Times New Roman" w:hAnsi="Times New Roman" w:cs="Times New Roman"/>
          <w:sz w:val="25"/>
          <w:szCs w:val="25"/>
          <w:vertAlign w:val="subscript"/>
        </w:rPr>
        <w:t>2</w:t>
      </w:r>
      <w:r>
        <w:rPr>
          <w:rFonts w:ascii="Times New Roman" w:hAnsi="Times New Roman" w:cs="Times New Roman"/>
          <w:sz w:val="25"/>
          <w:szCs w:val="25"/>
        </w:rPr>
        <w:t xml:space="preserve"> + </w:t>
      </w:r>
    </w:p>
    <w:p>
      <w:pPr>
        <w:spacing w:after="0" w:line="48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OR = </w:t>
      </w:r>
      <w:r>
        <w:rPr>
          <w:rFonts w:ascii="Times New Roman" w:hAnsi="Times New Roman" w:cs="Times New Roman"/>
          <w:i/>
          <w:sz w:val="25"/>
          <w:szCs w:val="25"/>
        </w:rPr>
        <w:t>f</w:t>
      </w:r>
      <w:r>
        <w:rPr>
          <w:rFonts w:ascii="Times New Roman" w:hAnsi="Times New Roman" w:cs="Times New Roman"/>
          <w:sz w:val="25"/>
          <w:szCs w:val="25"/>
        </w:rPr>
        <w:t>(P)</w:t>
      </w:r>
    </w:p>
    <w:p>
      <w:pPr>
        <w:spacing w:after="0" w:line="480" w:lineRule="auto"/>
        <w:ind w:left="720"/>
        <w:jc w:val="both"/>
        <w:rPr>
          <w:rFonts w:ascii="Times New Roman" w:hAnsi="Times New Roman" w:cs="Times New Roman"/>
          <w:sz w:val="25"/>
          <w:szCs w:val="25"/>
        </w:rPr>
      </w:pPr>
      <w:r>
        <w:rPr>
          <w:rFonts w:ascii="Times New Roman" w:hAnsi="Times New Roman" w:cs="Times New Roman"/>
          <w:sz w:val="25"/>
          <w:szCs w:val="25"/>
        </w:rPr>
        <w:t>Where:</w:t>
      </w:r>
    </w:p>
    <w:p>
      <w:pPr>
        <w:spacing w:after="0" w:line="480" w:lineRule="auto"/>
        <w:ind w:left="720"/>
        <w:jc w:val="both"/>
        <w:rPr>
          <w:rFonts w:ascii="Times New Roman" w:hAnsi="Times New Roman" w:cs="Times New Roman"/>
          <w:bCs/>
          <w:sz w:val="25"/>
          <w:szCs w:val="25"/>
        </w:rPr>
      </w:pPr>
      <w:r>
        <w:rPr>
          <w:rFonts w:ascii="Times New Roman" w:hAnsi="Times New Roman" w:cs="Times New Roman"/>
          <w:sz w:val="25"/>
          <w:szCs w:val="25"/>
        </w:rPr>
        <w:t xml:space="preserve">Y </w:t>
      </w:r>
      <w:r>
        <w:rPr>
          <w:rFonts w:ascii="Times New Roman" w:hAnsi="Times New Roman" w:cs="Times New Roman"/>
          <w:sz w:val="25"/>
          <w:szCs w:val="25"/>
        </w:rPr>
        <w:tab/>
      </w:r>
      <w:r>
        <w:rPr>
          <w:rFonts w:ascii="Times New Roman" w:hAnsi="Times New Roman" w:cs="Times New Roman"/>
          <w:sz w:val="25"/>
          <w:szCs w:val="25"/>
        </w:rPr>
        <w:t>= Organizational Resilience (OR) – Dependent Variable</w:t>
      </w:r>
    </w:p>
    <w:p>
      <w:pPr>
        <w:spacing w:after="0" w:line="480" w:lineRule="auto"/>
        <w:ind w:left="720"/>
        <w:jc w:val="both"/>
        <w:rPr>
          <w:rFonts w:ascii="Times New Roman" w:hAnsi="Times New Roman" w:cs="Times New Roman"/>
          <w:sz w:val="25"/>
          <w:szCs w:val="25"/>
        </w:rPr>
      </w:pPr>
      <w:r>
        <w:rPr>
          <w:rFonts w:ascii="Times New Roman" w:hAnsi="Times New Roman" w:cs="Times New Roman"/>
          <w:sz w:val="25"/>
          <w:szCs w:val="25"/>
        </w:rPr>
        <w:t>X</w:t>
      </w:r>
      <w:r>
        <w:rPr>
          <w:rFonts w:ascii="Times New Roman" w:hAnsi="Times New Roman" w:cs="Times New Roman"/>
          <w:sz w:val="25"/>
          <w:szCs w:val="25"/>
          <w:vertAlign w:val="subscript"/>
        </w:rPr>
        <w:t>1</w:t>
      </w:r>
      <w:r>
        <w:rPr>
          <w:rFonts w:ascii="Times New Roman" w:hAnsi="Times New Roman" w:cs="Times New Roman"/>
          <w:sz w:val="25"/>
          <w:szCs w:val="25"/>
        </w:rPr>
        <w:t xml:space="preserve"> </w:t>
      </w:r>
      <w:r>
        <w:rPr>
          <w:rFonts w:ascii="Times New Roman" w:hAnsi="Times New Roman" w:cs="Times New Roman"/>
          <w:sz w:val="25"/>
          <w:szCs w:val="25"/>
        </w:rPr>
        <w:tab/>
      </w:r>
      <w:r>
        <w:rPr>
          <w:rFonts w:ascii="Times New Roman" w:hAnsi="Times New Roman" w:cs="Times New Roman"/>
          <w:sz w:val="25"/>
          <w:szCs w:val="25"/>
        </w:rPr>
        <w:t>= Green Human Resource Management Practices (GHRM) – Independent Variable</w:t>
      </w:r>
    </w:p>
    <w:p>
      <w:pPr>
        <w:spacing w:after="0" w:line="480" w:lineRule="auto"/>
        <w:ind w:left="1440" w:hanging="720"/>
        <w:jc w:val="both"/>
        <w:rPr>
          <w:rFonts w:ascii="Times New Roman" w:hAnsi="Times New Roman" w:cs="Times New Roman"/>
          <w:sz w:val="25"/>
          <w:szCs w:val="25"/>
        </w:rPr>
      </w:pPr>
      <w:r>
        <w:rPr>
          <w:rFonts w:ascii="Times New Roman" w:hAnsi="Times New Roman" w:cs="Times New Roman"/>
          <w:sz w:val="25"/>
          <w:szCs w:val="25"/>
        </w:rPr>
        <w:t xml:space="preserve"> = Error Terms </w:t>
      </w:r>
    </w:p>
    <w:p>
      <w:pPr>
        <w:spacing w:after="0" w:line="480" w:lineRule="auto"/>
        <w:jc w:val="both"/>
        <w:rPr>
          <w:rFonts w:ascii="Times New Roman" w:hAnsi="Times New Roman" w:cs="Times New Roman"/>
          <w:b/>
          <w:sz w:val="25"/>
          <w:szCs w:val="25"/>
        </w:rPr>
      </w:pPr>
      <w:r>
        <w:rPr>
          <w:rFonts w:ascii="Times New Roman" w:hAnsi="Times New Roman" w:cs="Times New Roman"/>
          <w:b/>
          <w:sz w:val="25"/>
          <w:szCs w:val="25"/>
        </w:rPr>
        <w:t>3.8 Historical Background of the Case Study</w:t>
      </w:r>
    </w:p>
    <w:p>
      <w:pPr>
        <w:pStyle w:val="5"/>
        <w:shd w:val="clear" w:color="auto" w:fill="FFFFFF"/>
        <w:spacing w:before="0" w:beforeAutospacing="0" w:after="405" w:afterAutospacing="0"/>
        <w:rPr>
          <w:color w:val="696F73"/>
          <w:sz w:val="25"/>
          <w:szCs w:val="25"/>
        </w:rPr>
      </w:pPr>
      <w:r>
        <w:rPr>
          <w:color w:val="696F73"/>
          <w:sz w:val="25"/>
          <w:szCs w:val="25"/>
        </w:rPr>
        <w:t>Guaranty Trust Bank plc was incorporated as a limited liability company licensed to provide commercial and other banking services to the Nigerian public in 1990. The Bank commenced operations in February 1991, and has since then grown to become one of the most respected and service focused banks in Nigeria.</w:t>
      </w:r>
    </w:p>
    <w:p>
      <w:pPr>
        <w:pStyle w:val="5"/>
        <w:shd w:val="clear" w:color="auto" w:fill="FFFFFF"/>
        <w:spacing w:before="0" w:beforeAutospacing="0" w:after="405" w:afterAutospacing="0"/>
        <w:rPr>
          <w:color w:val="696F73"/>
          <w:sz w:val="25"/>
          <w:szCs w:val="25"/>
        </w:rPr>
      </w:pPr>
      <w:r>
        <w:rPr>
          <w:color w:val="696F73"/>
          <w:sz w:val="25"/>
          <w:szCs w:val="25"/>
        </w:rPr>
        <w:t>In September 1996, Guaranty Trust Bank plc became a publicly quoted company and won the Nigerian Stock Exchange President's Merit award that same year and subsequently in the years 2000, 2003, 2005, 2006, 2007, 2008 and 2009. In February 2002, the Bank was granted a universal banking license and later appointed a settlement bank by the Central Bank of Nigeria (CBN) in 2003.</w:t>
      </w:r>
    </w:p>
    <w:p>
      <w:pPr>
        <w:pStyle w:val="5"/>
        <w:shd w:val="clear" w:color="auto" w:fill="FFFFFF"/>
        <w:spacing w:before="0" w:beforeAutospacing="0" w:after="405" w:afterAutospacing="0"/>
        <w:rPr>
          <w:color w:val="696F73"/>
          <w:sz w:val="25"/>
          <w:szCs w:val="25"/>
        </w:rPr>
      </w:pPr>
      <w:r>
        <w:rPr>
          <w:color w:val="696F73"/>
          <w:sz w:val="25"/>
          <w:szCs w:val="25"/>
        </w:rPr>
        <w:t>Guaranty Trust Bank undertook its second share offering in 2004 and successfully raised over N11 billion from Nigerian Investors to expand its operations and favourably compete with other global financial institutions. This development ensured the Bank was satisfactorily poised to meet the N25 billion minimum capital base for banks introduced by the Central Bank of Nigeria in 2005, as part of the regulating body's efforts to sanitize and strengthen Nigerian banks.</w:t>
      </w:r>
    </w:p>
    <w:p>
      <w:pPr>
        <w:pStyle w:val="5"/>
        <w:shd w:val="clear" w:color="auto" w:fill="FFFFFF"/>
        <w:spacing w:before="0" w:beforeAutospacing="0" w:after="405" w:afterAutospacing="0"/>
        <w:rPr>
          <w:color w:val="696F73"/>
          <w:sz w:val="25"/>
          <w:szCs w:val="25"/>
        </w:rPr>
      </w:pPr>
      <w:r>
        <w:rPr>
          <w:color w:val="696F73"/>
          <w:sz w:val="25"/>
          <w:szCs w:val="25"/>
        </w:rPr>
        <w:t>Post-consolidation, Guaranty Trust Bank plc made a strategic decision to actively pursue retail banking. A major rebranding exercise followed in June 2005, which saw the Bank emerge with improved service offerings, an aggressive expansion strategy and its vibrant orange identity.</w:t>
      </w:r>
    </w:p>
    <w:p>
      <w:pPr>
        <w:pStyle w:val="5"/>
        <w:shd w:val="clear" w:color="auto" w:fill="FFFFFF"/>
        <w:spacing w:before="0" w:beforeAutospacing="0" w:after="405" w:afterAutospacing="0"/>
        <w:rPr>
          <w:color w:val="696F73"/>
          <w:sz w:val="25"/>
          <w:szCs w:val="25"/>
        </w:rPr>
      </w:pPr>
      <w:r>
        <w:rPr>
          <w:color w:val="696F73"/>
          <w:sz w:val="25"/>
          <w:szCs w:val="25"/>
        </w:rPr>
        <w:t>In 2007, the Bank entered the history books as the first Nigerian financial Institution to undertake a US$350 million regulation S Eurobond issue and a US$750 million Global Depositary Receipts (GDR) Offer. The listing of the GDRs on the London Stock Exchange in July that year made the Bank the first Nigerian Company and African Bank to be listed on the main market of the London Stock Exchange.</w:t>
      </w:r>
    </w:p>
    <w:p>
      <w:pPr>
        <w:pStyle w:val="5"/>
        <w:shd w:val="clear" w:color="auto" w:fill="FFFFFF"/>
        <w:spacing w:before="0" w:beforeAutospacing="0" w:after="405" w:afterAutospacing="0"/>
        <w:rPr>
          <w:color w:val="696F73"/>
          <w:sz w:val="25"/>
          <w:szCs w:val="25"/>
        </w:rPr>
      </w:pPr>
      <w:r>
        <w:rPr>
          <w:color w:val="696F73"/>
          <w:sz w:val="25"/>
          <w:szCs w:val="25"/>
        </w:rPr>
        <w:t>In December 2009, Guaranty Trust Bank plc successfully completed an offering of ₦13.165 Billion Fixed Rate Senior Unsecured Non-Convertible Bonds Due 2014 (Series I), being first tranche under the Bank’s ₦200 Billion Debt Issuance Programme.</w:t>
      </w:r>
    </w:p>
    <w:p>
      <w:pPr>
        <w:pStyle w:val="5"/>
        <w:shd w:val="clear" w:color="auto" w:fill="FFFFFF"/>
        <w:spacing w:before="0" w:beforeAutospacing="0" w:after="405" w:afterAutospacing="0"/>
        <w:rPr>
          <w:color w:val="696F73"/>
          <w:sz w:val="25"/>
          <w:szCs w:val="25"/>
        </w:rPr>
      </w:pPr>
      <w:r>
        <w:rPr>
          <w:color w:val="696F73"/>
          <w:sz w:val="25"/>
          <w:szCs w:val="25"/>
        </w:rPr>
        <w:t>In May 2011, the Bank successfully launched a US$500 million bond - the first non-sovereign benchmark bond offering from sub-Saharan Africa (outside South Africa), to the international community. The highly successful offering which matures in 2016, went further to show the international finance community's believe in the GTBank brand.</w:t>
      </w:r>
    </w:p>
    <w:p>
      <w:pPr>
        <w:pStyle w:val="5"/>
        <w:shd w:val="clear" w:color="auto" w:fill="FFFFFF"/>
        <w:spacing w:before="0" w:beforeAutospacing="0"/>
        <w:rPr>
          <w:color w:val="696F73"/>
          <w:sz w:val="25"/>
          <w:szCs w:val="25"/>
        </w:rPr>
      </w:pPr>
      <w:r>
        <w:rPr>
          <w:color w:val="696F73"/>
          <w:sz w:val="25"/>
          <w:szCs w:val="25"/>
        </w:rPr>
        <w:t>In 2013, the Bank issued a USD 400,000,000 Euro bond at a coupon rate of 6%; the least obtained by a Nigerian company in the international capital market. The Eurobond was issued under the USD 2,000,000 Global Medium Term Note Programme, which is registered under both Regulation in the United State of America and Rule 144A in the United Kingdom and sold to investors across Africa, America, Asia and Europe.</w:t>
      </w:r>
    </w:p>
    <w:p>
      <w:pPr>
        <w:spacing w:after="0" w:line="480" w:lineRule="auto"/>
        <w:ind w:left="1440" w:hanging="720"/>
        <w:jc w:val="both"/>
        <w:rPr>
          <w:rFonts w:ascii="Times New Roman" w:hAnsi="Times New Roman" w:cs="Times New Roman"/>
          <w:sz w:val="26"/>
          <w:szCs w:val="26"/>
        </w:rPr>
      </w:pPr>
    </w:p>
    <w:p>
      <w:pPr>
        <w:spacing w:after="0" w:line="480" w:lineRule="auto"/>
        <w:ind w:left="1440" w:hanging="720"/>
        <w:jc w:val="both"/>
        <w:rPr>
          <w:rFonts w:ascii="Times New Roman" w:hAnsi="Times New Roman" w:cs="Times New Roman"/>
          <w:sz w:val="26"/>
          <w:szCs w:val="26"/>
        </w:rPr>
      </w:pPr>
    </w:p>
    <w:p>
      <w:pPr>
        <w:jc w:val="center"/>
        <w:rPr>
          <w:rFonts w:ascii="Times New Roman" w:hAnsi="Times New Roman" w:cs="Times New Roman"/>
          <w:sz w:val="26"/>
          <w:szCs w:val="26"/>
        </w:rPr>
      </w:pPr>
    </w:p>
    <w:p>
      <w:pPr>
        <w:jc w:val="center"/>
        <w:rPr>
          <w:rFonts w:ascii="Times New Roman" w:hAnsi="Times New Roman" w:cs="Times New Roman"/>
          <w:sz w:val="26"/>
          <w:szCs w:val="26"/>
        </w:rPr>
      </w:pPr>
    </w:p>
    <w:p>
      <w:pPr>
        <w:jc w:val="center"/>
        <w:rPr>
          <w:rFonts w:ascii="Times New Roman" w:hAnsi="Times New Roman" w:cs="Times New Roman"/>
          <w:sz w:val="26"/>
          <w:szCs w:val="26"/>
        </w:rPr>
      </w:pPr>
    </w:p>
    <w:p>
      <w:pPr>
        <w:jc w:val="center"/>
        <w:rPr>
          <w:rFonts w:ascii="Times New Roman" w:hAnsi="Times New Roman" w:cs="Times New Roman"/>
          <w:sz w:val="26"/>
          <w:szCs w:val="26"/>
        </w:rPr>
      </w:pPr>
    </w:p>
    <w:p>
      <w:pPr>
        <w:jc w:val="center"/>
        <w:rPr>
          <w:rFonts w:ascii="Times New Roman" w:hAnsi="Times New Roman" w:cs="Times New Roman"/>
          <w:sz w:val="26"/>
          <w:szCs w:val="26"/>
        </w:rPr>
      </w:pPr>
    </w:p>
    <w:p>
      <w:pPr>
        <w:jc w:val="center"/>
        <w:rPr>
          <w:rFonts w:ascii="Times New Roman" w:hAnsi="Times New Roman" w:cs="Times New Roman"/>
          <w:sz w:val="26"/>
          <w:szCs w:val="26"/>
        </w:rPr>
      </w:pPr>
    </w:p>
    <w:p>
      <w:pPr>
        <w:rPr>
          <w:rFonts w:ascii="Times New Roman" w:hAnsi="Times New Roman" w:cs="Times New Roman"/>
          <w:sz w:val="26"/>
          <w:szCs w:val="26"/>
        </w:rPr>
      </w:pPr>
    </w:p>
    <w:p>
      <w:pPr>
        <w:rPr>
          <w:rFonts w:ascii="Times New Roman" w:hAnsi="Times New Roman" w:cs="Times New Roman"/>
          <w:sz w:val="26"/>
          <w:szCs w:val="26"/>
        </w:rPr>
      </w:pPr>
      <w:r>
        <w:rPr>
          <w:rFonts w:ascii="Times New Roman" w:hAnsi="Times New Roman" w:cs="Times New Roman"/>
          <w:sz w:val="26"/>
          <w:szCs w:val="26"/>
        </w:rPr>
        <w:br w:type="page"/>
      </w:r>
    </w:p>
    <w:p>
      <w:pPr>
        <w:jc w:val="center"/>
        <w:rPr>
          <w:rFonts w:ascii="Times New Roman" w:hAnsi="Times New Roman" w:cs="Times New Roman"/>
          <w:sz w:val="26"/>
          <w:szCs w:val="26"/>
        </w:rPr>
      </w:pPr>
    </w:p>
    <w:p>
      <w:pPr>
        <w:spacing w:line="480" w:lineRule="auto"/>
        <w:jc w:val="center"/>
        <w:rPr>
          <w:rFonts w:ascii="Times New Roman" w:hAnsi="Times New Roman" w:cs="Times New Roman"/>
          <w:b/>
          <w:sz w:val="26"/>
          <w:szCs w:val="26"/>
        </w:rPr>
      </w:pPr>
      <w:r>
        <w:rPr>
          <w:rFonts w:ascii="Times New Roman" w:hAnsi="Times New Roman" w:cs="Times New Roman"/>
          <w:b/>
          <w:sz w:val="26"/>
          <w:szCs w:val="26"/>
        </w:rPr>
        <w:t>CHAPTER FOUR</w:t>
      </w:r>
    </w:p>
    <w:p>
      <w:pPr>
        <w:autoSpaceDE w:val="0"/>
        <w:autoSpaceDN w:val="0"/>
        <w:adjustRightInd w:val="0"/>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t>DATA ANALYSIS, INTERPRETATION AND INTERPRETATION</w:t>
      </w:r>
    </w:p>
    <w:p>
      <w:pPr>
        <w:spacing w:after="0" w:line="480" w:lineRule="auto"/>
        <w:rPr>
          <w:rFonts w:ascii="Times New Roman" w:hAnsi="Times New Roman" w:cs="Times New Roman"/>
          <w:b/>
          <w:sz w:val="25"/>
          <w:szCs w:val="25"/>
        </w:rPr>
      </w:pPr>
      <w:r>
        <w:rPr>
          <w:rFonts w:ascii="Times New Roman" w:hAnsi="Times New Roman" w:cs="Times New Roman"/>
          <w:b/>
          <w:sz w:val="25"/>
          <w:szCs w:val="25"/>
        </w:rPr>
        <w:t>4.1</w:t>
      </w:r>
      <w:r>
        <w:rPr>
          <w:rFonts w:ascii="Times New Roman" w:hAnsi="Times New Roman" w:cs="Times New Roman"/>
          <w:b/>
          <w:sz w:val="25"/>
          <w:szCs w:val="25"/>
        </w:rPr>
        <w:tab/>
      </w:r>
      <w:r>
        <w:rPr>
          <w:rFonts w:ascii="Times New Roman" w:hAnsi="Times New Roman" w:cs="Times New Roman"/>
          <w:b/>
          <w:sz w:val="25"/>
          <w:szCs w:val="25"/>
        </w:rPr>
        <w:t>Introduction</w:t>
      </w:r>
    </w:p>
    <w:p>
      <w:pPr>
        <w:spacing w:after="0" w:line="480" w:lineRule="auto"/>
        <w:jc w:val="both"/>
        <w:rPr>
          <w:rFonts w:ascii="Times New Roman" w:hAnsi="Times New Roman" w:cs="Times New Roman"/>
          <w:sz w:val="25"/>
          <w:szCs w:val="25"/>
        </w:rPr>
      </w:pPr>
      <w:r>
        <w:rPr>
          <w:rFonts w:ascii="Times New Roman" w:hAnsi="Times New Roman" w:cs="Times New Roman"/>
          <w:sz w:val="25"/>
          <w:szCs w:val="25"/>
        </w:rPr>
        <w:t>The staff of all Guaranty Trust Bank Ilorin, Kwara State, were the subjects of this study, which looked at the effect of green human resource management practices on organizational effectiveness. In this chapter, the statistical methods covered in chapter three will be used to analyze data that was taken from recovered questionnaires. To carry out the research objectives, a total of 50 questionnaires were given out; those that were fully and accurately filled out were retrieved for data analysis. Furthermore, it is important to note that all tests of hypotheses in this study will be conducted with a threshold of significance of 0.05 (or 5%).</w:t>
      </w:r>
    </w:p>
    <w:p>
      <w:pPr>
        <w:spacing w:after="0"/>
        <w:jc w:val="both"/>
        <w:rPr>
          <w:rFonts w:ascii="Times New Roman" w:hAnsi="Times New Roman" w:cs="Times New Roman"/>
          <w:b/>
          <w:sz w:val="25"/>
          <w:szCs w:val="25"/>
        </w:rPr>
      </w:pPr>
      <w:r>
        <w:rPr>
          <w:rFonts w:ascii="Times New Roman" w:hAnsi="Times New Roman" w:cs="Times New Roman"/>
          <w:b/>
          <w:sz w:val="25"/>
          <w:szCs w:val="25"/>
        </w:rPr>
        <w:t>4.2: Sample Size Returned</w:t>
      </w:r>
    </w:p>
    <w:p>
      <w:pPr>
        <w:spacing w:after="0"/>
        <w:jc w:val="both"/>
        <w:rPr>
          <w:rFonts w:ascii="Times New Roman" w:hAnsi="Times New Roman" w:cs="Times New Roman"/>
          <w:b/>
          <w:sz w:val="25"/>
          <w:szCs w:val="25"/>
        </w:rPr>
      </w:pPr>
    </w:p>
    <w:tbl>
      <w:tblPr>
        <w:tblStyle w:val="8"/>
        <w:tblW w:w="699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239"/>
        <w:gridCol w:w="1162"/>
        <w:gridCol w:w="994"/>
        <w:gridCol w:w="1392"/>
        <w:gridCol w:w="1469"/>
      </w:tblGrid>
      <w:tr>
        <w:tblPrEx>
          <w:tblLayout w:type="fixed"/>
        </w:tblPrEx>
        <w:trPr>
          <w:cantSplit/>
        </w:trPr>
        <w:tc>
          <w:tcPr>
            <w:tcW w:w="6990" w:type="dxa"/>
            <w:gridSpan w:val="6"/>
            <w:tcBorders>
              <w:top w:val="nil"/>
              <w:left w:val="nil"/>
              <w:bottom w:val="nil"/>
              <w:right w:val="nil"/>
            </w:tcBorders>
            <w:shd w:val="clear" w:color="auto" w:fill="FFFFFF"/>
            <w:vAlign w:val="center"/>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b/>
                <w:bCs/>
                <w:color w:val="000000"/>
                <w:sz w:val="25"/>
                <w:szCs w:val="25"/>
              </w:rPr>
              <w:t>Table 4.2.1: Sample Size Returned and Unreturned</w:t>
            </w:r>
          </w:p>
        </w:tc>
      </w:tr>
      <w:tr>
        <w:tblPrEx>
          <w:tblLayout w:type="fixed"/>
        </w:tblPrEx>
        <w:trPr>
          <w:cantSplit/>
        </w:trPr>
        <w:tc>
          <w:tcPr>
            <w:tcW w:w="1973" w:type="dxa"/>
            <w:gridSpan w:val="2"/>
            <w:tcBorders>
              <w:top w:val="single" w:color="000000" w:sz="16" w:space="0"/>
              <w:left w:val="single" w:color="000000" w:sz="16" w:space="0"/>
              <w:bottom w:val="single" w:color="000000" w:sz="16" w:space="0"/>
              <w:right w:val="nil"/>
            </w:tcBorders>
            <w:shd w:val="clear" w:color="auto" w:fill="FFFFFF"/>
            <w:vAlign w:val="bottom"/>
          </w:tcPr>
          <w:p>
            <w:pPr>
              <w:autoSpaceDE w:val="0"/>
              <w:autoSpaceDN w:val="0"/>
              <w:adjustRightInd w:val="0"/>
              <w:spacing w:after="0" w:line="240" w:lineRule="auto"/>
              <w:rPr>
                <w:rFonts w:ascii="Times New Roman" w:hAnsi="Times New Roman" w:cs="Times New Roman"/>
                <w:sz w:val="25"/>
                <w:szCs w:val="25"/>
              </w:rPr>
            </w:pPr>
          </w:p>
        </w:tc>
        <w:tc>
          <w:tcPr>
            <w:tcW w:w="1162" w:type="dxa"/>
            <w:tcBorders>
              <w:top w:val="single" w:color="000000" w:sz="16" w:space="0"/>
              <w:left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Frequency</w:t>
            </w:r>
          </w:p>
        </w:tc>
        <w:tc>
          <w:tcPr>
            <w:tcW w:w="994" w:type="dxa"/>
            <w:tcBorders>
              <w:top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Percent</w:t>
            </w:r>
          </w:p>
        </w:tc>
        <w:tc>
          <w:tcPr>
            <w:tcW w:w="1392" w:type="dxa"/>
            <w:tcBorders>
              <w:top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Valid Percent</w:t>
            </w:r>
          </w:p>
        </w:tc>
        <w:tc>
          <w:tcPr>
            <w:tcW w:w="1469" w:type="dxa"/>
            <w:tcBorders>
              <w:top w:val="single" w:color="000000" w:sz="16" w:space="0"/>
              <w:bottom w:val="single" w:color="000000" w:sz="16" w:space="0"/>
              <w:right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Cumulative Percent</w:t>
            </w:r>
          </w:p>
        </w:tc>
      </w:tr>
      <w:tr>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Valid</w:t>
            </w:r>
          </w:p>
        </w:tc>
        <w:tc>
          <w:tcPr>
            <w:tcW w:w="1239" w:type="dxa"/>
            <w:tcBorders>
              <w:top w:val="single" w:color="000000" w:sz="16" w:space="0"/>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Returned</w:t>
            </w:r>
          </w:p>
        </w:tc>
        <w:tc>
          <w:tcPr>
            <w:tcW w:w="1162" w:type="dxa"/>
            <w:tcBorders>
              <w:top w:val="single" w:color="000000" w:sz="16" w:space="0"/>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50</w:t>
            </w:r>
          </w:p>
        </w:tc>
        <w:tc>
          <w:tcPr>
            <w:tcW w:w="994" w:type="dxa"/>
            <w:tcBorders>
              <w:top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100.0</w:t>
            </w:r>
          </w:p>
        </w:tc>
        <w:tc>
          <w:tcPr>
            <w:tcW w:w="1392" w:type="dxa"/>
            <w:tcBorders>
              <w:top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100.0</w:t>
            </w:r>
          </w:p>
        </w:tc>
        <w:tc>
          <w:tcPr>
            <w:tcW w:w="1469" w:type="dxa"/>
            <w:tcBorders>
              <w:top w:val="single" w:color="000000" w:sz="16" w:space="0"/>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1239" w:type="dxa"/>
            <w:tcBorders>
              <w:top w:val="nil"/>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Unreturned</w:t>
            </w:r>
          </w:p>
        </w:tc>
        <w:tc>
          <w:tcPr>
            <w:tcW w:w="1162"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0</w:t>
            </w:r>
          </w:p>
        </w:tc>
        <w:tc>
          <w:tcPr>
            <w:tcW w:w="994"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0.0</w:t>
            </w:r>
          </w:p>
        </w:tc>
        <w:tc>
          <w:tcPr>
            <w:tcW w:w="1392"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0.0</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1239" w:type="dxa"/>
            <w:tcBorders>
              <w:top w:val="nil"/>
              <w:left w:val="nil"/>
              <w:bottom w:val="single" w:color="000000" w:sz="16" w:space="0"/>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Total</w:t>
            </w:r>
          </w:p>
        </w:tc>
        <w:tc>
          <w:tcPr>
            <w:tcW w:w="1162" w:type="dxa"/>
            <w:tcBorders>
              <w:top w:val="nil"/>
              <w:left w:val="single" w:color="000000" w:sz="16" w:space="0"/>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50</w:t>
            </w:r>
          </w:p>
        </w:tc>
        <w:tc>
          <w:tcPr>
            <w:tcW w:w="994" w:type="dxa"/>
            <w:tcBorders>
              <w:top w:val="nil"/>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100.0</w:t>
            </w:r>
          </w:p>
        </w:tc>
        <w:tc>
          <w:tcPr>
            <w:tcW w:w="1392" w:type="dxa"/>
            <w:tcBorders>
              <w:top w:val="nil"/>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100.0</w:t>
            </w:r>
          </w:p>
        </w:tc>
        <w:tc>
          <w:tcPr>
            <w:tcW w:w="1469" w:type="dxa"/>
            <w:tcBorders>
              <w:top w:val="nil"/>
              <w:bottom w:val="single" w:color="000000" w:sz="16" w:space="0"/>
              <w:right w:val="single" w:color="000000" w:sz="16" w:space="0"/>
            </w:tcBorders>
            <w:shd w:val="clear" w:color="auto" w:fill="FFFFFF"/>
            <w:vAlign w:val="center"/>
          </w:tcPr>
          <w:p>
            <w:pPr>
              <w:autoSpaceDE w:val="0"/>
              <w:autoSpaceDN w:val="0"/>
              <w:adjustRightInd w:val="0"/>
              <w:spacing w:after="0" w:line="240" w:lineRule="auto"/>
              <w:rPr>
                <w:rFonts w:ascii="Times New Roman" w:hAnsi="Times New Roman" w:cs="Times New Roman"/>
                <w:sz w:val="25"/>
                <w:szCs w:val="25"/>
              </w:rPr>
            </w:pPr>
          </w:p>
        </w:tc>
      </w:tr>
    </w:tbl>
    <w:p>
      <w:pPr>
        <w:spacing w:after="0" w:line="480" w:lineRule="auto"/>
        <w:jc w:val="both"/>
        <w:rPr>
          <w:rFonts w:ascii="Times New Roman" w:hAnsi="Times New Roman" w:cs="Times New Roman"/>
          <w:b/>
          <w:sz w:val="25"/>
          <w:szCs w:val="25"/>
        </w:rPr>
      </w:pPr>
      <w:r>
        <w:rPr>
          <w:rFonts w:ascii="Times New Roman" w:hAnsi="Times New Roman" w:cs="Times New Roman"/>
          <w:b/>
          <w:sz w:val="25"/>
          <w:szCs w:val="25"/>
        </w:rPr>
        <w:t>Source: SPSS Computation, 2025</w:t>
      </w:r>
    </w:p>
    <w:p>
      <w:pPr>
        <w:spacing w:after="0" w:line="480" w:lineRule="auto"/>
        <w:jc w:val="both"/>
        <w:rPr>
          <w:rFonts w:ascii="Times New Roman" w:hAnsi="Times New Roman" w:cs="Times New Roman"/>
          <w:sz w:val="25"/>
          <w:szCs w:val="25"/>
        </w:rPr>
      </w:pPr>
      <w:r>
        <w:rPr>
          <w:rFonts w:ascii="Times New Roman" w:hAnsi="Times New Roman" w:cs="Times New Roman"/>
          <w:sz w:val="25"/>
          <w:szCs w:val="25"/>
        </w:rPr>
        <w:t>Table 4.2.1 demonstrates that all 50 copies of the questionnaires that were given to a select group of GTB Ilorin employees were returned as duly completed and used for additional statistical analysis, indicating that the response rate was very high and improving the validity of the study's findings.</w:t>
      </w:r>
    </w:p>
    <w:p>
      <w:pPr>
        <w:pStyle w:val="10"/>
        <w:numPr>
          <w:ilvl w:val="1"/>
          <w:numId w:val="13"/>
        </w:numPr>
        <w:spacing w:after="0" w:line="480" w:lineRule="auto"/>
        <w:jc w:val="both"/>
        <w:rPr>
          <w:rFonts w:ascii="Times New Roman" w:hAnsi="Times New Roman" w:cs="Times New Roman"/>
          <w:b/>
          <w:sz w:val="25"/>
          <w:szCs w:val="25"/>
        </w:rPr>
      </w:pPr>
      <w:r>
        <w:rPr>
          <w:rFonts w:ascii="Times New Roman" w:hAnsi="Times New Roman" w:cs="Times New Roman"/>
          <w:b/>
          <w:sz w:val="25"/>
          <w:szCs w:val="25"/>
        </w:rPr>
        <w:t>DEMOGRAPHIC CHARACTERISTICS</w:t>
      </w:r>
    </w:p>
    <w:p>
      <w:pPr>
        <w:spacing w:after="0" w:line="480" w:lineRule="auto"/>
        <w:jc w:val="both"/>
        <w:rPr>
          <w:rFonts w:ascii="Times New Roman" w:hAnsi="Times New Roman" w:cs="Times New Roman"/>
          <w:b/>
          <w:sz w:val="25"/>
          <w:szCs w:val="25"/>
        </w:rPr>
      </w:pPr>
      <w:r>
        <w:rPr>
          <w:rFonts w:ascii="Times New Roman" w:hAnsi="Times New Roman" w:cs="Times New Roman"/>
          <w:sz w:val="25"/>
          <w:szCs w:val="25"/>
        </w:rPr>
        <w:t>This section presents the respondents' socio-demographic data using frequency tables and percentages. The inclusion of this information was considered important because the backgrounds of the respondents can sometimes indicate factors that may influence the effectiveness of green human resource management practices and organizational effectiveness. The study recognized the significance of providing evidence of demographic data to support its goals. By analyzing the respondents' profiles, the study aimed to determine whether their socioeconomic backgrounds were relevant to the objectives of the research.</w:t>
      </w:r>
    </w:p>
    <w:tbl>
      <w:tblPr>
        <w:tblStyle w:val="8"/>
        <w:tblW w:w="6776"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994"/>
        <w:gridCol w:w="1163"/>
        <w:gridCol w:w="1024"/>
        <w:gridCol w:w="1392"/>
        <w:gridCol w:w="1469"/>
      </w:tblGrid>
      <w:tr>
        <w:tblPrEx>
          <w:tblLayout w:type="fixed"/>
        </w:tblPrEx>
        <w:trPr>
          <w:cantSplit/>
        </w:trPr>
        <w:tc>
          <w:tcPr>
            <w:tcW w:w="6776" w:type="dxa"/>
            <w:gridSpan w:val="6"/>
            <w:tcBorders>
              <w:top w:val="nil"/>
              <w:left w:val="nil"/>
              <w:bottom w:val="nil"/>
              <w:right w:val="nil"/>
            </w:tcBorders>
            <w:shd w:val="clear" w:color="auto" w:fill="FFFFFF"/>
            <w:vAlign w:val="center"/>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b/>
                <w:bCs/>
                <w:color w:val="000000"/>
                <w:sz w:val="25"/>
                <w:szCs w:val="25"/>
              </w:rPr>
              <w:t>Table 4.3.1GEDER</w:t>
            </w:r>
          </w:p>
        </w:tc>
      </w:tr>
      <w:tr>
        <w:tblPrEx>
          <w:tblLayout w:type="fixed"/>
        </w:tblPrEx>
        <w:trPr>
          <w:cantSplit/>
        </w:trPr>
        <w:tc>
          <w:tcPr>
            <w:tcW w:w="1728" w:type="dxa"/>
            <w:gridSpan w:val="2"/>
            <w:tcBorders>
              <w:top w:val="single" w:color="000000" w:sz="16" w:space="0"/>
              <w:left w:val="single" w:color="000000" w:sz="16" w:space="0"/>
              <w:bottom w:val="single" w:color="000000" w:sz="16" w:space="0"/>
              <w:right w:val="nil"/>
            </w:tcBorders>
            <w:shd w:val="clear" w:color="auto" w:fill="FFFFFF"/>
            <w:vAlign w:val="bottom"/>
          </w:tcPr>
          <w:p>
            <w:pPr>
              <w:autoSpaceDE w:val="0"/>
              <w:autoSpaceDN w:val="0"/>
              <w:adjustRightInd w:val="0"/>
              <w:spacing w:after="0" w:line="240" w:lineRule="auto"/>
              <w:rPr>
                <w:rFonts w:ascii="Times New Roman" w:hAnsi="Times New Roman" w:cs="Times New Roman"/>
                <w:sz w:val="25"/>
                <w:szCs w:val="25"/>
              </w:rPr>
            </w:pPr>
          </w:p>
        </w:tc>
        <w:tc>
          <w:tcPr>
            <w:tcW w:w="1163" w:type="dxa"/>
            <w:tcBorders>
              <w:top w:val="single" w:color="000000" w:sz="16" w:space="0"/>
              <w:left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Frequency</w:t>
            </w:r>
          </w:p>
        </w:tc>
        <w:tc>
          <w:tcPr>
            <w:tcW w:w="1024" w:type="dxa"/>
            <w:tcBorders>
              <w:top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Percent</w:t>
            </w:r>
          </w:p>
        </w:tc>
        <w:tc>
          <w:tcPr>
            <w:tcW w:w="1392" w:type="dxa"/>
            <w:tcBorders>
              <w:top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Valid Percent</w:t>
            </w:r>
          </w:p>
        </w:tc>
        <w:tc>
          <w:tcPr>
            <w:tcW w:w="1469" w:type="dxa"/>
            <w:tcBorders>
              <w:top w:val="single" w:color="000000" w:sz="16" w:space="0"/>
              <w:bottom w:val="single" w:color="000000" w:sz="16" w:space="0"/>
              <w:right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Cumulative Percent</w:t>
            </w:r>
          </w:p>
        </w:tc>
      </w:tr>
      <w:tr>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Valid</w:t>
            </w:r>
          </w:p>
        </w:tc>
        <w:tc>
          <w:tcPr>
            <w:tcW w:w="994" w:type="dxa"/>
            <w:tcBorders>
              <w:top w:val="single" w:color="000000" w:sz="16" w:space="0"/>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MALE</w:t>
            </w:r>
          </w:p>
        </w:tc>
        <w:tc>
          <w:tcPr>
            <w:tcW w:w="1163" w:type="dxa"/>
            <w:tcBorders>
              <w:top w:val="single" w:color="000000" w:sz="16" w:space="0"/>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18</w:t>
            </w:r>
          </w:p>
        </w:tc>
        <w:tc>
          <w:tcPr>
            <w:tcW w:w="1024" w:type="dxa"/>
            <w:tcBorders>
              <w:top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36.0</w:t>
            </w:r>
          </w:p>
        </w:tc>
        <w:tc>
          <w:tcPr>
            <w:tcW w:w="1392" w:type="dxa"/>
            <w:tcBorders>
              <w:top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36.0</w:t>
            </w:r>
          </w:p>
        </w:tc>
        <w:tc>
          <w:tcPr>
            <w:tcW w:w="1469" w:type="dxa"/>
            <w:tcBorders>
              <w:top w:val="single" w:color="000000" w:sz="16" w:space="0"/>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36.0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994" w:type="dxa"/>
            <w:tcBorders>
              <w:top w:val="nil"/>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FEMALE</w:t>
            </w:r>
          </w:p>
        </w:tc>
        <w:tc>
          <w:tcPr>
            <w:tcW w:w="1163"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32</w:t>
            </w:r>
          </w:p>
        </w:tc>
        <w:tc>
          <w:tcPr>
            <w:tcW w:w="1024"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64.0</w:t>
            </w:r>
          </w:p>
        </w:tc>
        <w:tc>
          <w:tcPr>
            <w:tcW w:w="1392"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64.0</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994" w:type="dxa"/>
            <w:tcBorders>
              <w:top w:val="nil"/>
              <w:left w:val="nil"/>
              <w:bottom w:val="single" w:color="000000" w:sz="16" w:space="0"/>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Total</w:t>
            </w:r>
          </w:p>
        </w:tc>
        <w:tc>
          <w:tcPr>
            <w:tcW w:w="1163" w:type="dxa"/>
            <w:tcBorders>
              <w:top w:val="nil"/>
              <w:left w:val="single" w:color="000000" w:sz="16" w:space="0"/>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50</w:t>
            </w:r>
          </w:p>
        </w:tc>
        <w:tc>
          <w:tcPr>
            <w:tcW w:w="1024" w:type="dxa"/>
            <w:tcBorders>
              <w:top w:val="nil"/>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100.0</w:t>
            </w:r>
          </w:p>
        </w:tc>
        <w:tc>
          <w:tcPr>
            <w:tcW w:w="1392" w:type="dxa"/>
            <w:tcBorders>
              <w:top w:val="nil"/>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100.0</w:t>
            </w:r>
          </w:p>
        </w:tc>
        <w:tc>
          <w:tcPr>
            <w:tcW w:w="1469" w:type="dxa"/>
            <w:tcBorders>
              <w:top w:val="nil"/>
              <w:bottom w:val="single" w:color="000000" w:sz="16" w:space="0"/>
              <w:right w:val="single" w:color="000000" w:sz="16" w:space="0"/>
            </w:tcBorders>
            <w:shd w:val="clear" w:color="auto" w:fill="FFFFFF"/>
            <w:vAlign w:val="center"/>
          </w:tcPr>
          <w:p>
            <w:pPr>
              <w:autoSpaceDE w:val="0"/>
              <w:autoSpaceDN w:val="0"/>
              <w:adjustRightInd w:val="0"/>
              <w:spacing w:after="0" w:line="240" w:lineRule="auto"/>
              <w:rPr>
                <w:rFonts w:ascii="Times New Roman" w:hAnsi="Times New Roman" w:cs="Times New Roman"/>
                <w:sz w:val="25"/>
                <w:szCs w:val="25"/>
              </w:rPr>
            </w:pPr>
          </w:p>
        </w:tc>
      </w:tr>
    </w:tbl>
    <w:p>
      <w:pPr>
        <w:spacing w:after="0"/>
        <w:jc w:val="both"/>
        <w:rPr>
          <w:rFonts w:ascii="Times New Roman" w:hAnsi="Times New Roman" w:cs="Times New Roman"/>
          <w:b/>
          <w:sz w:val="25"/>
          <w:szCs w:val="25"/>
        </w:rPr>
      </w:pPr>
      <w:r>
        <w:rPr>
          <w:rFonts w:ascii="Times New Roman" w:hAnsi="Times New Roman" w:cs="Times New Roman"/>
          <w:b/>
          <w:sz w:val="25"/>
          <w:szCs w:val="25"/>
        </w:rPr>
        <w:t>Source: SPSS Computation, 2025</w:t>
      </w:r>
    </w:p>
    <w:p>
      <w:pPr>
        <w:autoSpaceDE w:val="0"/>
        <w:autoSpaceDN w:val="0"/>
        <w:adjustRightInd w:val="0"/>
        <w:spacing w:after="0" w:line="480" w:lineRule="auto"/>
        <w:jc w:val="both"/>
        <w:rPr>
          <w:rFonts w:ascii="Times New Roman" w:hAnsi="Times New Roman" w:cs="Times New Roman"/>
          <w:sz w:val="25"/>
          <w:szCs w:val="25"/>
        </w:rPr>
      </w:pPr>
    </w:p>
    <w:p>
      <w:pPr>
        <w:autoSpaceDE w:val="0"/>
        <w:autoSpaceDN w:val="0"/>
        <w:adjustRightInd w:val="0"/>
        <w:spacing w:after="0" w:line="480" w:lineRule="auto"/>
        <w:rPr>
          <w:rFonts w:ascii="Times New Roman" w:hAnsi="Times New Roman" w:cs="Times New Roman"/>
          <w:sz w:val="25"/>
          <w:szCs w:val="25"/>
        </w:rPr>
      </w:pPr>
      <w:r>
        <w:rPr>
          <w:rFonts w:ascii="Times New Roman" w:hAnsi="Times New Roman" w:cs="Times New Roman"/>
          <w:sz w:val="25"/>
          <w:szCs w:val="25"/>
        </w:rPr>
        <w:t>The study included a sample of respondents, with 18 of them being female (36%) and 32 being male (64%). This indicates that there were more female respondents than male respondents, suggesting that females may be more prevalent in the banking industry, possibly due to their perceived organizational performance in prudence and accountability in the selected industry.</w:t>
      </w:r>
    </w:p>
    <w:tbl>
      <w:tblPr>
        <w:tblStyle w:val="8"/>
        <w:tblW w:w="735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576"/>
        <w:gridCol w:w="1162"/>
        <w:gridCol w:w="1024"/>
        <w:gridCol w:w="1393"/>
        <w:gridCol w:w="1469"/>
      </w:tblGrid>
      <w:tr>
        <w:tblPrEx>
          <w:tblLayout w:type="fixed"/>
        </w:tblPrEx>
        <w:trPr>
          <w:cantSplit/>
        </w:trPr>
        <w:tc>
          <w:tcPr>
            <w:tcW w:w="7358" w:type="dxa"/>
            <w:gridSpan w:val="6"/>
            <w:tcBorders>
              <w:top w:val="nil"/>
              <w:left w:val="nil"/>
              <w:bottom w:val="nil"/>
              <w:right w:val="nil"/>
            </w:tcBorders>
            <w:shd w:val="clear" w:color="auto" w:fill="FFFFFF"/>
            <w:vAlign w:val="center"/>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b/>
                <w:bCs/>
                <w:color w:val="000000"/>
                <w:sz w:val="25"/>
                <w:szCs w:val="25"/>
              </w:rPr>
              <w:t>Table 4.3.2 AGE</w:t>
            </w:r>
          </w:p>
        </w:tc>
      </w:tr>
      <w:tr>
        <w:tblPrEx>
          <w:tblLayout w:type="fixed"/>
        </w:tblPrEx>
        <w:trPr>
          <w:cantSplit/>
        </w:trPr>
        <w:tc>
          <w:tcPr>
            <w:tcW w:w="2310" w:type="dxa"/>
            <w:gridSpan w:val="2"/>
            <w:tcBorders>
              <w:top w:val="single" w:color="000000" w:sz="16" w:space="0"/>
              <w:left w:val="single" w:color="000000" w:sz="16" w:space="0"/>
              <w:bottom w:val="single" w:color="000000" w:sz="16" w:space="0"/>
              <w:right w:val="nil"/>
            </w:tcBorders>
            <w:shd w:val="clear" w:color="auto" w:fill="FFFFFF"/>
            <w:vAlign w:val="bottom"/>
          </w:tcPr>
          <w:p>
            <w:pPr>
              <w:autoSpaceDE w:val="0"/>
              <w:autoSpaceDN w:val="0"/>
              <w:adjustRightInd w:val="0"/>
              <w:spacing w:after="0" w:line="240" w:lineRule="auto"/>
              <w:rPr>
                <w:rFonts w:ascii="Times New Roman" w:hAnsi="Times New Roman" w:cs="Times New Roman"/>
                <w:sz w:val="25"/>
                <w:szCs w:val="25"/>
              </w:rPr>
            </w:pPr>
          </w:p>
        </w:tc>
        <w:tc>
          <w:tcPr>
            <w:tcW w:w="1162" w:type="dxa"/>
            <w:tcBorders>
              <w:top w:val="single" w:color="000000" w:sz="16" w:space="0"/>
              <w:left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Frequency</w:t>
            </w:r>
          </w:p>
        </w:tc>
        <w:tc>
          <w:tcPr>
            <w:tcW w:w="1024" w:type="dxa"/>
            <w:tcBorders>
              <w:top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Percent</w:t>
            </w:r>
          </w:p>
        </w:tc>
        <w:tc>
          <w:tcPr>
            <w:tcW w:w="1393" w:type="dxa"/>
            <w:tcBorders>
              <w:top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Valid Percent</w:t>
            </w:r>
          </w:p>
        </w:tc>
        <w:tc>
          <w:tcPr>
            <w:tcW w:w="1469" w:type="dxa"/>
            <w:tcBorders>
              <w:top w:val="single" w:color="000000" w:sz="16" w:space="0"/>
              <w:bottom w:val="single" w:color="000000" w:sz="16" w:space="0"/>
              <w:right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Cumulative Percent</w:t>
            </w:r>
          </w:p>
        </w:tc>
      </w:tr>
      <w:tr>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Valid</w:t>
            </w:r>
          </w:p>
        </w:tc>
        <w:tc>
          <w:tcPr>
            <w:tcW w:w="1576" w:type="dxa"/>
            <w:tcBorders>
              <w:top w:val="single" w:color="000000" w:sz="16" w:space="0"/>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21-30 years</w:t>
            </w:r>
          </w:p>
        </w:tc>
        <w:tc>
          <w:tcPr>
            <w:tcW w:w="1162" w:type="dxa"/>
            <w:tcBorders>
              <w:top w:val="single" w:color="000000" w:sz="16" w:space="0"/>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16</w:t>
            </w:r>
          </w:p>
        </w:tc>
        <w:tc>
          <w:tcPr>
            <w:tcW w:w="1024" w:type="dxa"/>
            <w:tcBorders>
              <w:top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32.0</w:t>
            </w:r>
          </w:p>
        </w:tc>
        <w:tc>
          <w:tcPr>
            <w:tcW w:w="1393" w:type="dxa"/>
            <w:tcBorders>
              <w:top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32.0</w:t>
            </w:r>
          </w:p>
        </w:tc>
        <w:tc>
          <w:tcPr>
            <w:tcW w:w="1469" w:type="dxa"/>
            <w:tcBorders>
              <w:top w:val="single" w:color="000000" w:sz="16" w:space="0"/>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32.0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1576" w:type="dxa"/>
            <w:tcBorders>
              <w:top w:val="nil"/>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31-40 years</w:t>
            </w:r>
          </w:p>
        </w:tc>
        <w:tc>
          <w:tcPr>
            <w:tcW w:w="1162"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29</w:t>
            </w:r>
          </w:p>
        </w:tc>
        <w:tc>
          <w:tcPr>
            <w:tcW w:w="1024"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58.0</w:t>
            </w:r>
          </w:p>
        </w:tc>
        <w:tc>
          <w:tcPr>
            <w:tcW w:w="1393"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58.0</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90.0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1576" w:type="dxa"/>
            <w:tcBorders>
              <w:top w:val="nil"/>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41-50 years</w:t>
            </w:r>
          </w:p>
        </w:tc>
        <w:tc>
          <w:tcPr>
            <w:tcW w:w="1162"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w:t>
            </w:r>
          </w:p>
        </w:tc>
        <w:tc>
          <w:tcPr>
            <w:tcW w:w="1024"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8.0</w:t>
            </w:r>
          </w:p>
        </w:tc>
        <w:tc>
          <w:tcPr>
            <w:tcW w:w="1393"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8.0</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98.0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1576" w:type="dxa"/>
            <w:tcBorders>
              <w:top w:val="nil"/>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51-60 years</w:t>
            </w:r>
          </w:p>
        </w:tc>
        <w:tc>
          <w:tcPr>
            <w:tcW w:w="1162"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w:t>
            </w:r>
          </w:p>
        </w:tc>
        <w:tc>
          <w:tcPr>
            <w:tcW w:w="1024"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2.0</w:t>
            </w:r>
          </w:p>
        </w:tc>
        <w:tc>
          <w:tcPr>
            <w:tcW w:w="1393"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2.0</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1576" w:type="dxa"/>
            <w:tcBorders>
              <w:top w:val="nil"/>
              <w:left w:val="nil"/>
              <w:bottom w:val="single" w:color="000000" w:sz="16" w:space="0"/>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Total</w:t>
            </w:r>
          </w:p>
        </w:tc>
        <w:tc>
          <w:tcPr>
            <w:tcW w:w="1162" w:type="dxa"/>
            <w:tcBorders>
              <w:top w:val="nil"/>
              <w:left w:val="single" w:color="000000" w:sz="16" w:space="0"/>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50</w:t>
            </w:r>
          </w:p>
        </w:tc>
        <w:tc>
          <w:tcPr>
            <w:tcW w:w="1024" w:type="dxa"/>
            <w:tcBorders>
              <w:top w:val="nil"/>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100.0</w:t>
            </w:r>
          </w:p>
        </w:tc>
        <w:tc>
          <w:tcPr>
            <w:tcW w:w="1393" w:type="dxa"/>
            <w:tcBorders>
              <w:top w:val="nil"/>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100.0</w:t>
            </w:r>
          </w:p>
        </w:tc>
        <w:tc>
          <w:tcPr>
            <w:tcW w:w="1469" w:type="dxa"/>
            <w:tcBorders>
              <w:top w:val="nil"/>
              <w:bottom w:val="single" w:color="000000" w:sz="16" w:space="0"/>
              <w:right w:val="single" w:color="000000" w:sz="16" w:space="0"/>
            </w:tcBorders>
            <w:shd w:val="clear" w:color="auto" w:fill="FFFFFF"/>
            <w:vAlign w:val="center"/>
          </w:tcPr>
          <w:p>
            <w:pPr>
              <w:autoSpaceDE w:val="0"/>
              <w:autoSpaceDN w:val="0"/>
              <w:adjustRightInd w:val="0"/>
              <w:spacing w:after="0" w:line="240" w:lineRule="auto"/>
              <w:rPr>
                <w:rFonts w:ascii="Times New Roman" w:hAnsi="Times New Roman" w:cs="Times New Roman"/>
                <w:sz w:val="25"/>
                <w:szCs w:val="25"/>
              </w:rPr>
            </w:pPr>
          </w:p>
        </w:tc>
      </w:tr>
    </w:tbl>
    <w:p>
      <w:pPr>
        <w:spacing w:after="0"/>
        <w:jc w:val="both"/>
        <w:rPr>
          <w:rFonts w:ascii="Times New Roman" w:hAnsi="Times New Roman" w:cs="Times New Roman"/>
          <w:b/>
          <w:sz w:val="25"/>
          <w:szCs w:val="25"/>
        </w:rPr>
      </w:pPr>
      <w:r>
        <w:rPr>
          <w:rFonts w:ascii="Times New Roman" w:hAnsi="Times New Roman" w:cs="Times New Roman"/>
          <w:b/>
          <w:sz w:val="25"/>
          <w:szCs w:val="25"/>
        </w:rPr>
        <w:t>Source: SPSS Computation, 2025</w:t>
      </w:r>
    </w:p>
    <w:p>
      <w:pPr>
        <w:autoSpaceDE w:val="0"/>
        <w:autoSpaceDN w:val="0"/>
        <w:adjustRightInd w:val="0"/>
        <w:spacing w:after="0" w:line="480" w:lineRule="auto"/>
        <w:jc w:val="both"/>
        <w:rPr>
          <w:rFonts w:ascii="Times New Roman" w:hAnsi="Times New Roman" w:cs="Times New Roman"/>
          <w:sz w:val="25"/>
          <w:szCs w:val="25"/>
        </w:rPr>
      </w:pPr>
    </w:p>
    <w:p>
      <w:pPr>
        <w:autoSpaceDE w:val="0"/>
        <w:autoSpaceDN w:val="0"/>
        <w:adjustRightInd w:val="0"/>
        <w:spacing w:after="0" w:line="400" w:lineRule="atLeast"/>
        <w:rPr>
          <w:rFonts w:ascii="Times New Roman" w:hAnsi="Times New Roman" w:cs="Times New Roman"/>
          <w:sz w:val="25"/>
          <w:szCs w:val="25"/>
        </w:rPr>
      </w:pPr>
      <w:r>
        <w:rPr>
          <w:rFonts w:ascii="Times New Roman" w:hAnsi="Times New Roman" w:cs="Times New Roman"/>
          <w:sz w:val="25"/>
          <w:szCs w:val="25"/>
        </w:rPr>
        <w:t>The survey included 16 respondents (32%) between the ages of 21 and 30, 29 respondents (58%) between the ages of 31 and 40, 4 respondents (8%) between the ages of 41 and 50, and 1 respondent (2%) over the age of 51. This data suggests that a majority of the respondents are mature adults older than 30. The implication is that these respondents may have more experience and maturity, potentially enabling them to provide unbiased replies in the survey. This demographic composition is particularly relevant when examining the topic of green human resource management (GHRM) in the context of GTB, as the perspectives of mature respondents can contribute valuable insights to the study.</w:t>
      </w:r>
    </w:p>
    <w:p>
      <w:pPr>
        <w:autoSpaceDE w:val="0"/>
        <w:autoSpaceDN w:val="0"/>
        <w:adjustRightInd w:val="0"/>
        <w:spacing w:after="0" w:line="400" w:lineRule="atLeast"/>
        <w:rPr>
          <w:rFonts w:ascii="Times New Roman" w:hAnsi="Times New Roman" w:cs="Times New Roman"/>
          <w:sz w:val="25"/>
          <w:szCs w:val="25"/>
        </w:rPr>
      </w:pPr>
    </w:p>
    <w:tbl>
      <w:tblPr>
        <w:tblStyle w:val="8"/>
        <w:tblW w:w="689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116"/>
        <w:gridCol w:w="1163"/>
        <w:gridCol w:w="1024"/>
        <w:gridCol w:w="1393"/>
        <w:gridCol w:w="1469"/>
      </w:tblGrid>
      <w:tr>
        <w:tblPrEx>
          <w:tblLayout w:type="fixed"/>
        </w:tblPrEx>
        <w:trPr>
          <w:cantSplit/>
        </w:trPr>
        <w:tc>
          <w:tcPr>
            <w:tcW w:w="6899" w:type="dxa"/>
            <w:gridSpan w:val="6"/>
            <w:tcBorders>
              <w:top w:val="nil"/>
              <w:left w:val="nil"/>
              <w:bottom w:val="nil"/>
              <w:right w:val="nil"/>
            </w:tcBorders>
            <w:shd w:val="clear" w:color="auto" w:fill="FFFFFF"/>
            <w:vAlign w:val="center"/>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b/>
                <w:bCs/>
                <w:color w:val="000000"/>
                <w:sz w:val="25"/>
                <w:szCs w:val="25"/>
              </w:rPr>
              <w:t>Table 4.3.3: Religion Background</w:t>
            </w:r>
          </w:p>
        </w:tc>
      </w:tr>
      <w:tr>
        <w:tblPrEx>
          <w:tblLayout w:type="fixed"/>
        </w:tblPrEx>
        <w:trPr>
          <w:cantSplit/>
        </w:trPr>
        <w:tc>
          <w:tcPr>
            <w:tcW w:w="1850" w:type="dxa"/>
            <w:gridSpan w:val="2"/>
            <w:tcBorders>
              <w:top w:val="single" w:color="000000" w:sz="16" w:space="0"/>
              <w:left w:val="single" w:color="000000" w:sz="16" w:space="0"/>
              <w:bottom w:val="single" w:color="000000" w:sz="16" w:space="0"/>
              <w:right w:val="nil"/>
            </w:tcBorders>
            <w:shd w:val="clear" w:color="auto" w:fill="FFFFFF"/>
            <w:vAlign w:val="bottom"/>
          </w:tcPr>
          <w:p>
            <w:pPr>
              <w:autoSpaceDE w:val="0"/>
              <w:autoSpaceDN w:val="0"/>
              <w:adjustRightInd w:val="0"/>
              <w:spacing w:after="0" w:line="240" w:lineRule="auto"/>
              <w:rPr>
                <w:rFonts w:ascii="Times New Roman" w:hAnsi="Times New Roman" w:cs="Times New Roman"/>
                <w:sz w:val="25"/>
                <w:szCs w:val="25"/>
              </w:rPr>
            </w:pPr>
          </w:p>
        </w:tc>
        <w:tc>
          <w:tcPr>
            <w:tcW w:w="1163" w:type="dxa"/>
            <w:tcBorders>
              <w:top w:val="single" w:color="000000" w:sz="16" w:space="0"/>
              <w:left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Frequency</w:t>
            </w:r>
          </w:p>
        </w:tc>
        <w:tc>
          <w:tcPr>
            <w:tcW w:w="1024" w:type="dxa"/>
            <w:tcBorders>
              <w:top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Percent</w:t>
            </w:r>
          </w:p>
        </w:tc>
        <w:tc>
          <w:tcPr>
            <w:tcW w:w="1393" w:type="dxa"/>
            <w:tcBorders>
              <w:top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Valid Percent</w:t>
            </w:r>
          </w:p>
        </w:tc>
        <w:tc>
          <w:tcPr>
            <w:tcW w:w="1469" w:type="dxa"/>
            <w:tcBorders>
              <w:top w:val="single" w:color="000000" w:sz="16" w:space="0"/>
              <w:bottom w:val="single" w:color="000000" w:sz="16" w:space="0"/>
              <w:right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Cumulative Percent</w:t>
            </w:r>
          </w:p>
        </w:tc>
      </w:tr>
      <w:tr>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Valid</w:t>
            </w:r>
          </w:p>
        </w:tc>
        <w:tc>
          <w:tcPr>
            <w:tcW w:w="1116" w:type="dxa"/>
            <w:tcBorders>
              <w:top w:val="single" w:color="000000" w:sz="16" w:space="0"/>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Islam</w:t>
            </w:r>
          </w:p>
        </w:tc>
        <w:tc>
          <w:tcPr>
            <w:tcW w:w="1163" w:type="dxa"/>
            <w:tcBorders>
              <w:top w:val="single" w:color="000000" w:sz="16" w:space="0"/>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30</w:t>
            </w:r>
          </w:p>
        </w:tc>
        <w:tc>
          <w:tcPr>
            <w:tcW w:w="1024" w:type="dxa"/>
            <w:tcBorders>
              <w:top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60.0</w:t>
            </w:r>
          </w:p>
        </w:tc>
        <w:tc>
          <w:tcPr>
            <w:tcW w:w="1393" w:type="dxa"/>
            <w:tcBorders>
              <w:top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60.0</w:t>
            </w:r>
          </w:p>
        </w:tc>
        <w:tc>
          <w:tcPr>
            <w:tcW w:w="1469" w:type="dxa"/>
            <w:tcBorders>
              <w:top w:val="single" w:color="000000" w:sz="16" w:space="0"/>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80.0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1116" w:type="dxa"/>
            <w:tcBorders>
              <w:top w:val="nil"/>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Christianity</w:t>
            </w:r>
          </w:p>
        </w:tc>
        <w:tc>
          <w:tcPr>
            <w:tcW w:w="1163"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16</w:t>
            </w:r>
          </w:p>
        </w:tc>
        <w:tc>
          <w:tcPr>
            <w:tcW w:w="1024"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32.0</w:t>
            </w:r>
          </w:p>
        </w:tc>
        <w:tc>
          <w:tcPr>
            <w:tcW w:w="1393"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32.0</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92.0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1116" w:type="dxa"/>
            <w:tcBorders>
              <w:top w:val="nil"/>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Traditional</w:t>
            </w:r>
          </w:p>
        </w:tc>
        <w:tc>
          <w:tcPr>
            <w:tcW w:w="1163"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w:t>
            </w:r>
          </w:p>
        </w:tc>
        <w:tc>
          <w:tcPr>
            <w:tcW w:w="1024"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8.0</w:t>
            </w:r>
          </w:p>
        </w:tc>
        <w:tc>
          <w:tcPr>
            <w:tcW w:w="1393"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8.0</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1116" w:type="dxa"/>
            <w:tcBorders>
              <w:top w:val="nil"/>
              <w:left w:val="nil"/>
              <w:bottom w:val="single" w:color="000000" w:sz="16" w:space="0"/>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Total</w:t>
            </w:r>
          </w:p>
        </w:tc>
        <w:tc>
          <w:tcPr>
            <w:tcW w:w="1163" w:type="dxa"/>
            <w:tcBorders>
              <w:top w:val="nil"/>
              <w:left w:val="single" w:color="000000" w:sz="16" w:space="0"/>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50</w:t>
            </w:r>
          </w:p>
        </w:tc>
        <w:tc>
          <w:tcPr>
            <w:tcW w:w="1024" w:type="dxa"/>
            <w:tcBorders>
              <w:top w:val="nil"/>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100.0</w:t>
            </w:r>
          </w:p>
        </w:tc>
        <w:tc>
          <w:tcPr>
            <w:tcW w:w="1393" w:type="dxa"/>
            <w:tcBorders>
              <w:top w:val="nil"/>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100.0</w:t>
            </w:r>
          </w:p>
        </w:tc>
        <w:tc>
          <w:tcPr>
            <w:tcW w:w="1469" w:type="dxa"/>
            <w:tcBorders>
              <w:top w:val="nil"/>
              <w:bottom w:val="single" w:color="000000" w:sz="16" w:space="0"/>
              <w:right w:val="single" w:color="000000" w:sz="16" w:space="0"/>
            </w:tcBorders>
            <w:shd w:val="clear" w:color="auto" w:fill="FFFFFF"/>
            <w:vAlign w:val="center"/>
          </w:tcPr>
          <w:p>
            <w:pPr>
              <w:autoSpaceDE w:val="0"/>
              <w:autoSpaceDN w:val="0"/>
              <w:adjustRightInd w:val="0"/>
              <w:spacing w:after="0" w:line="240" w:lineRule="auto"/>
              <w:rPr>
                <w:rFonts w:ascii="Times New Roman" w:hAnsi="Times New Roman" w:cs="Times New Roman"/>
                <w:sz w:val="25"/>
                <w:szCs w:val="25"/>
              </w:rPr>
            </w:pPr>
          </w:p>
        </w:tc>
      </w:tr>
    </w:tbl>
    <w:p>
      <w:pPr>
        <w:spacing w:after="0"/>
        <w:jc w:val="both"/>
        <w:rPr>
          <w:rFonts w:ascii="Times New Roman" w:hAnsi="Times New Roman" w:cs="Times New Roman"/>
          <w:b/>
          <w:sz w:val="25"/>
          <w:szCs w:val="25"/>
        </w:rPr>
      </w:pPr>
      <w:r>
        <w:rPr>
          <w:rFonts w:ascii="Times New Roman" w:hAnsi="Times New Roman" w:cs="Times New Roman"/>
          <w:b/>
          <w:sz w:val="25"/>
          <w:szCs w:val="25"/>
        </w:rPr>
        <w:t>Source: SPSS Computation, 2025</w:t>
      </w:r>
    </w:p>
    <w:p>
      <w:pPr>
        <w:autoSpaceDE w:val="0"/>
        <w:autoSpaceDN w:val="0"/>
        <w:adjustRightInd w:val="0"/>
        <w:spacing w:after="0" w:line="480" w:lineRule="auto"/>
        <w:jc w:val="both"/>
        <w:rPr>
          <w:rFonts w:ascii="Times New Roman" w:hAnsi="Times New Roman" w:cs="Times New Roman"/>
          <w:sz w:val="25"/>
          <w:szCs w:val="25"/>
        </w:rPr>
      </w:pPr>
    </w:p>
    <w:p>
      <w:pPr>
        <w:autoSpaceDE w:val="0"/>
        <w:autoSpaceDN w:val="0"/>
        <w:adjustRightInd w:val="0"/>
        <w:spacing w:after="0" w:line="400" w:lineRule="atLeast"/>
        <w:rPr>
          <w:rFonts w:ascii="Times New Roman" w:hAnsi="Times New Roman" w:cs="Times New Roman"/>
          <w:sz w:val="25"/>
          <w:szCs w:val="25"/>
        </w:rPr>
      </w:pPr>
      <w:r>
        <w:rPr>
          <w:rFonts w:ascii="Times New Roman" w:hAnsi="Times New Roman" w:cs="Times New Roman"/>
          <w:sz w:val="25"/>
          <w:szCs w:val="25"/>
        </w:rPr>
        <w:t>According to Table 4.3.3, 30 respondents (60% of the sample) identified themselves as Muslims, while 16 respondents (32% of the sample) identified as Christians. Additionally, four respondents mentioned practicing traditional religion. From this data, it can be inferred that the majority of respondents (60%) in the study identify as Muslims. This suggests that in the chosen area or population, there is a higher prevalence of individuals who identify as Muslims compared to other religious affiliations, specifically Christianity.</w:t>
      </w:r>
    </w:p>
    <w:p>
      <w:pPr>
        <w:autoSpaceDE w:val="0"/>
        <w:autoSpaceDN w:val="0"/>
        <w:adjustRightInd w:val="0"/>
        <w:spacing w:after="0" w:line="400" w:lineRule="atLeast"/>
        <w:rPr>
          <w:rFonts w:ascii="Times New Roman" w:hAnsi="Times New Roman" w:cs="Times New Roman"/>
          <w:sz w:val="25"/>
          <w:szCs w:val="25"/>
        </w:rPr>
      </w:pPr>
    </w:p>
    <w:tbl>
      <w:tblPr>
        <w:tblStyle w:val="8"/>
        <w:tblW w:w="689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116"/>
        <w:gridCol w:w="1163"/>
        <w:gridCol w:w="1024"/>
        <w:gridCol w:w="1393"/>
        <w:gridCol w:w="1469"/>
      </w:tblGrid>
      <w:tr>
        <w:tblPrEx>
          <w:tblLayout w:type="fixed"/>
        </w:tblPrEx>
        <w:trPr>
          <w:cantSplit/>
        </w:trPr>
        <w:tc>
          <w:tcPr>
            <w:tcW w:w="6899" w:type="dxa"/>
            <w:gridSpan w:val="6"/>
            <w:tcBorders>
              <w:top w:val="nil"/>
              <w:left w:val="nil"/>
              <w:bottom w:val="nil"/>
              <w:right w:val="nil"/>
            </w:tcBorders>
            <w:shd w:val="clear" w:color="auto" w:fill="FFFFFF"/>
            <w:vAlign w:val="center"/>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b/>
                <w:bCs/>
                <w:color w:val="000000"/>
                <w:sz w:val="25"/>
                <w:szCs w:val="25"/>
              </w:rPr>
              <w:t>Table 4.3.4: MARITAL_STATUS</w:t>
            </w:r>
          </w:p>
        </w:tc>
      </w:tr>
      <w:tr>
        <w:tblPrEx>
          <w:tblLayout w:type="fixed"/>
        </w:tblPrEx>
        <w:trPr>
          <w:cantSplit/>
        </w:trPr>
        <w:tc>
          <w:tcPr>
            <w:tcW w:w="1850" w:type="dxa"/>
            <w:gridSpan w:val="2"/>
            <w:tcBorders>
              <w:top w:val="single" w:color="000000" w:sz="16" w:space="0"/>
              <w:left w:val="single" w:color="000000" w:sz="16" w:space="0"/>
              <w:bottom w:val="single" w:color="000000" w:sz="16" w:space="0"/>
              <w:right w:val="nil"/>
            </w:tcBorders>
            <w:shd w:val="clear" w:color="auto" w:fill="FFFFFF"/>
            <w:vAlign w:val="bottom"/>
          </w:tcPr>
          <w:p>
            <w:pPr>
              <w:autoSpaceDE w:val="0"/>
              <w:autoSpaceDN w:val="0"/>
              <w:adjustRightInd w:val="0"/>
              <w:spacing w:after="0" w:line="240" w:lineRule="auto"/>
              <w:rPr>
                <w:rFonts w:ascii="Times New Roman" w:hAnsi="Times New Roman" w:cs="Times New Roman"/>
                <w:sz w:val="25"/>
                <w:szCs w:val="25"/>
              </w:rPr>
            </w:pPr>
          </w:p>
        </w:tc>
        <w:tc>
          <w:tcPr>
            <w:tcW w:w="1163" w:type="dxa"/>
            <w:tcBorders>
              <w:top w:val="single" w:color="000000" w:sz="16" w:space="0"/>
              <w:left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Frequency</w:t>
            </w:r>
          </w:p>
        </w:tc>
        <w:tc>
          <w:tcPr>
            <w:tcW w:w="1024" w:type="dxa"/>
            <w:tcBorders>
              <w:top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Percent</w:t>
            </w:r>
          </w:p>
        </w:tc>
        <w:tc>
          <w:tcPr>
            <w:tcW w:w="1393" w:type="dxa"/>
            <w:tcBorders>
              <w:top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Valid Percent</w:t>
            </w:r>
          </w:p>
        </w:tc>
        <w:tc>
          <w:tcPr>
            <w:tcW w:w="1469" w:type="dxa"/>
            <w:tcBorders>
              <w:top w:val="single" w:color="000000" w:sz="16" w:space="0"/>
              <w:bottom w:val="single" w:color="000000" w:sz="16" w:space="0"/>
              <w:right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Cumulative Percent</w:t>
            </w:r>
          </w:p>
        </w:tc>
      </w:tr>
      <w:tr>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Valid</w:t>
            </w:r>
          </w:p>
        </w:tc>
        <w:tc>
          <w:tcPr>
            <w:tcW w:w="1116" w:type="dxa"/>
            <w:tcBorders>
              <w:top w:val="single" w:color="000000" w:sz="16" w:space="0"/>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SINGLE</w:t>
            </w:r>
          </w:p>
        </w:tc>
        <w:tc>
          <w:tcPr>
            <w:tcW w:w="1163" w:type="dxa"/>
            <w:tcBorders>
              <w:top w:val="single" w:color="000000" w:sz="16" w:space="0"/>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35</w:t>
            </w:r>
          </w:p>
        </w:tc>
        <w:tc>
          <w:tcPr>
            <w:tcW w:w="1024" w:type="dxa"/>
            <w:tcBorders>
              <w:top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70.0</w:t>
            </w:r>
          </w:p>
        </w:tc>
        <w:tc>
          <w:tcPr>
            <w:tcW w:w="1393" w:type="dxa"/>
            <w:tcBorders>
              <w:top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70.0</w:t>
            </w:r>
          </w:p>
        </w:tc>
        <w:tc>
          <w:tcPr>
            <w:tcW w:w="1469" w:type="dxa"/>
            <w:tcBorders>
              <w:top w:val="single" w:color="000000" w:sz="16" w:space="0"/>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70.0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1116" w:type="dxa"/>
            <w:tcBorders>
              <w:top w:val="nil"/>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WIDOW</w:t>
            </w:r>
          </w:p>
        </w:tc>
        <w:tc>
          <w:tcPr>
            <w:tcW w:w="1163"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15</w:t>
            </w:r>
          </w:p>
        </w:tc>
        <w:tc>
          <w:tcPr>
            <w:tcW w:w="1024"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30.0</w:t>
            </w:r>
          </w:p>
        </w:tc>
        <w:tc>
          <w:tcPr>
            <w:tcW w:w="1393"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30.0</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1116" w:type="dxa"/>
            <w:tcBorders>
              <w:top w:val="nil"/>
              <w:left w:val="nil"/>
              <w:bottom w:val="single" w:color="000000" w:sz="16" w:space="0"/>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Total</w:t>
            </w:r>
          </w:p>
        </w:tc>
        <w:tc>
          <w:tcPr>
            <w:tcW w:w="1163" w:type="dxa"/>
            <w:tcBorders>
              <w:top w:val="nil"/>
              <w:left w:val="single" w:color="000000" w:sz="16" w:space="0"/>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50</w:t>
            </w:r>
          </w:p>
        </w:tc>
        <w:tc>
          <w:tcPr>
            <w:tcW w:w="1024" w:type="dxa"/>
            <w:tcBorders>
              <w:top w:val="nil"/>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100.0</w:t>
            </w:r>
          </w:p>
        </w:tc>
        <w:tc>
          <w:tcPr>
            <w:tcW w:w="1393" w:type="dxa"/>
            <w:tcBorders>
              <w:top w:val="nil"/>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100.0</w:t>
            </w:r>
          </w:p>
        </w:tc>
        <w:tc>
          <w:tcPr>
            <w:tcW w:w="1469" w:type="dxa"/>
            <w:tcBorders>
              <w:top w:val="nil"/>
              <w:bottom w:val="single" w:color="000000" w:sz="16" w:space="0"/>
              <w:right w:val="single" w:color="000000" w:sz="16" w:space="0"/>
            </w:tcBorders>
            <w:shd w:val="clear" w:color="auto" w:fill="FFFFFF"/>
            <w:vAlign w:val="center"/>
          </w:tcPr>
          <w:p>
            <w:pPr>
              <w:autoSpaceDE w:val="0"/>
              <w:autoSpaceDN w:val="0"/>
              <w:adjustRightInd w:val="0"/>
              <w:spacing w:after="0" w:line="240" w:lineRule="auto"/>
              <w:rPr>
                <w:rFonts w:ascii="Times New Roman" w:hAnsi="Times New Roman" w:cs="Times New Roman"/>
                <w:sz w:val="25"/>
                <w:szCs w:val="25"/>
              </w:rPr>
            </w:pPr>
          </w:p>
        </w:tc>
      </w:tr>
    </w:tbl>
    <w:p>
      <w:pPr>
        <w:spacing w:after="0"/>
        <w:jc w:val="both"/>
        <w:rPr>
          <w:rFonts w:ascii="Times New Roman" w:hAnsi="Times New Roman" w:cs="Times New Roman"/>
          <w:b/>
          <w:sz w:val="25"/>
          <w:szCs w:val="25"/>
        </w:rPr>
      </w:pPr>
      <w:r>
        <w:rPr>
          <w:rFonts w:ascii="Times New Roman" w:hAnsi="Times New Roman" w:cs="Times New Roman"/>
          <w:b/>
          <w:sz w:val="25"/>
          <w:szCs w:val="25"/>
        </w:rPr>
        <w:t>Source: SPSS Computation, 2025</w:t>
      </w:r>
    </w:p>
    <w:p>
      <w:pPr>
        <w:autoSpaceDE w:val="0"/>
        <w:autoSpaceDN w:val="0"/>
        <w:adjustRightInd w:val="0"/>
        <w:spacing w:after="0" w:line="480" w:lineRule="auto"/>
        <w:jc w:val="both"/>
        <w:rPr>
          <w:rFonts w:ascii="Times New Roman" w:hAnsi="Times New Roman" w:cs="Times New Roman"/>
          <w:sz w:val="25"/>
          <w:szCs w:val="25"/>
        </w:rPr>
      </w:pPr>
    </w:p>
    <w:p>
      <w:pPr>
        <w:autoSpaceDE w:val="0"/>
        <w:autoSpaceDN w:val="0"/>
        <w:adjustRightInd w:val="0"/>
        <w:spacing w:after="0" w:line="400" w:lineRule="atLeast"/>
        <w:rPr>
          <w:rFonts w:ascii="Times New Roman" w:hAnsi="Times New Roman" w:cs="Times New Roman"/>
          <w:sz w:val="25"/>
          <w:szCs w:val="25"/>
        </w:rPr>
      </w:pPr>
      <w:r>
        <w:rPr>
          <w:rFonts w:ascii="Times New Roman" w:hAnsi="Times New Roman" w:cs="Times New Roman"/>
          <w:sz w:val="25"/>
          <w:szCs w:val="25"/>
        </w:rPr>
        <w:t>Table 4.3.4 presents the data on marital status, indicating that 35 respondents (70% of the sample) are single, while 15 respondents (30% of the sample) are married. However, it is important to note that the assumption that the majority of respondents were chosen because they had little interest in family or home responsibilities, thereby improving organizational efficiency, may not be accurate. Marital status alone does not provide a definitive indication of individuals' priorities or commitment to family obligations. Drawing conclusions about respondents' interests or the efficiency of the organization based solely on marital status would require additional supporting evidence and a more comprehensive analysis of relevant factors.</w:t>
      </w:r>
    </w:p>
    <w:p>
      <w:pPr>
        <w:autoSpaceDE w:val="0"/>
        <w:autoSpaceDN w:val="0"/>
        <w:adjustRightInd w:val="0"/>
        <w:spacing w:after="0" w:line="400" w:lineRule="atLeast"/>
        <w:rPr>
          <w:rFonts w:ascii="Times New Roman" w:hAnsi="Times New Roman" w:cs="Times New Roman"/>
          <w:sz w:val="25"/>
          <w:szCs w:val="25"/>
        </w:rPr>
      </w:pPr>
    </w:p>
    <w:tbl>
      <w:tblPr>
        <w:tblStyle w:val="8"/>
        <w:tblW w:w="779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818"/>
        <w:gridCol w:w="1276"/>
        <w:gridCol w:w="1275"/>
        <w:gridCol w:w="1418"/>
        <w:gridCol w:w="1276"/>
      </w:tblGrid>
      <w:tr>
        <w:tblPrEx>
          <w:tblLayout w:type="fixed"/>
        </w:tblPrEx>
        <w:trPr>
          <w:cantSplit/>
        </w:trPr>
        <w:tc>
          <w:tcPr>
            <w:tcW w:w="7797" w:type="dxa"/>
            <w:gridSpan w:val="6"/>
            <w:tcBorders>
              <w:top w:val="nil"/>
              <w:left w:val="nil"/>
              <w:bottom w:val="nil"/>
              <w:right w:val="nil"/>
            </w:tcBorders>
            <w:shd w:val="clear" w:color="auto" w:fill="FFFFFF"/>
            <w:vAlign w:val="center"/>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b/>
                <w:bCs/>
                <w:color w:val="000000"/>
                <w:sz w:val="25"/>
                <w:szCs w:val="25"/>
              </w:rPr>
              <w:t>Table 4.3.5: EDUCATIONAL_QUALIFICATION</w:t>
            </w:r>
          </w:p>
        </w:tc>
      </w:tr>
      <w:tr>
        <w:tblPrEx>
          <w:tblLayout w:type="fixed"/>
        </w:tblPrEx>
        <w:trPr>
          <w:cantSplit/>
        </w:trPr>
        <w:tc>
          <w:tcPr>
            <w:tcW w:w="2552" w:type="dxa"/>
            <w:gridSpan w:val="2"/>
            <w:tcBorders>
              <w:top w:val="single" w:color="000000" w:sz="16" w:space="0"/>
              <w:left w:val="single" w:color="000000" w:sz="16" w:space="0"/>
              <w:bottom w:val="single" w:color="000000" w:sz="16" w:space="0"/>
              <w:right w:val="nil"/>
            </w:tcBorders>
            <w:shd w:val="clear" w:color="auto" w:fill="FFFFFF"/>
            <w:vAlign w:val="bottom"/>
          </w:tcPr>
          <w:p>
            <w:pPr>
              <w:autoSpaceDE w:val="0"/>
              <w:autoSpaceDN w:val="0"/>
              <w:adjustRightInd w:val="0"/>
              <w:spacing w:after="0" w:line="240" w:lineRule="auto"/>
              <w:rPr>
                <w:rFonts w:ascii="Times New Roman" w:hAnsi="Times New Roman" w:cs="Times New Roman"/>
                <w:sz w:val="25"/>
                <w:szCs w:val="25"/>
              </w:rPr>
            </w:pPr>
          </w:p>
        </w:tc>
        <w:tc>
          <w:tcPr>
            <w:tcW w:w="1276" w:type="dxa"/>
            <w:tcBorders>
              <w:top w:val="single" w:color="000000" w:sz="16" w:space="0"/>
              <w:left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Frequency</w:t>
            </w:r>
          </w:p>
        </w:tc>
        <w:tc>
          <w:tcPr>
            <w:tcW w:w="1275" w:type="dxa"/>
            <w:tcBorders>
              <w:top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Percent</w:t>
            </w:r>
          </w:p>
        </w:tc>
        <w:tc>
          <w:tcPr>
            <w:tcW w:w="1418" w:type="dxa"/>
            <w:tcBorders>
              <w:top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Valid Percent</w:t>
            </w:r>
          </w:p>
        </w:tc>
        <w:tc>
          <w:tcPr>
            <w:tcW w:w="1276" w:type="dxa"/>
            <w:tcBorders>
              <w:top w:val="single" w:color="000000" w:sz="16" w:space="0"/>
              <w:bottom w:val="single" w:color="000000" w:sz="16" w:space="0"/>
              <w:right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Cumulative Percent</w:t>
            </w:r>
          </w:p>
        </w:tc>
      </w:tr>
      <w:tr>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Valid</w:t>
            </w:r>
          </w:p>
        </w:tc>
        <w:tc>
          <w:tcPr>
            <w:tcW w:w="1818" w:type="dxa"/>
            <w:tcBorders>
              <w:top w:val="single" w:color="000000" w:sz="16" w:space="0"/>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Education Diploma</w:t>
            </w:r>
          </w:p>
        </w:tc>
        <w:tc>
          <w:tcPr>
            <w:tcW w:w="1276" w:type="dxa"/>
            <w:tcBorders>
              <w:top w:val="single" w:color="000000" w:sz="16" w:space="0"/>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w:t>
            </w:r>
          </w:p>
        </w:tc>
        <w:tc>
          <w:tcPr>
            <w:tcW w:w="1275" w:type="dxa"/>
            <w:tcBorders>
              <w:top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4.0</w:t>
            </w:r>
          </w:p>
        </w:tc>
        <w:tc>
          <w:tcPr>
            <w:tcW w:w="1418" w:type="dxa"/>
            <w:tcBorders>
              <w:top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4.0</w:t>
            </w:r>
          </w:p>
        </w:tc>
        <w:tc>
          <w:tcPr>
            <w:tcW w:w="1276" w:type="dxa"/>
            <w:tcBorders>
              <w:top w:val="single" w:color="000000" w:sz="16" w:space="0"/>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1818" w:type="dxa"/>
            <w:tcBorders>
              <w:top w:val="nil"/>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Bachelor’s Degree</w:t>
            </w:r>
          </w:p>
        </w:tc>
        <w:tc>
          <w:tcPr>
            <w:tcW w:w="1276"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12</w:t>
            </w:r>
          </w:p>
        </w:tc>
        <w:tc>
          <w:tcPr>
            <w:tcW w:w="1275"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24.0</w:t>
            </w:r>
          </w:p>
        </w:tc>
        <w:tc>
          <w:tcPr>
            <w:tcW w:w="1418"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24.0</w:t>
            </w:r>
          </w:p>
        </w:tc>
        <w:tc>
          <w:tcPr>
            <w:tcW w:w="1276"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28.0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1818" w:type="dxa"/>
            <w:tcBorders>
              <w:top w:val="nil"/>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Master Degree</w:t>
            </w:r>
          </w:p>
        </w:tc>
        <w:tc>
          <w:tcPr>
            <w:tcW w:w="1276"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36</w:t>
            </w:r>
          </w:p>
        </w:tc>
        <w:tc>
          <w:tcPr>
            <w:tcW w:w="1275"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72.0</w:t>
            </w:r>
          </w:p>
        </w:tc>
        <w:tc>
          <w:tcPr>
            <w:tcW w:w="1418"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72.0</w:t>
            </w:r>
          </w:p>
        </w:tc>
        <w:tc>
          <w:tcPr>
            <w:tcW w:w="1276"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1818" w:type="dxa"/>
            <w:tcBorders>
              <w:top w:val="nil"/>
              <w:left w:val="nil"/>
              <w:bottom w:val="single" w:color="000000" w:sz="16" w:space="0"/>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Total</w:t>
            </w:r>
          </w:p>
        </w:tc>
        <w:tc>
          <w:tcPr>
            <w:tcW w:w="1276" w:type="dxa"/>
            <w:tcBorders>
              <w:top w:val="nil"/>
              <w:left w:val="single" w:color="000000" w:sz="16" w:space="0"/>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50</w:t>
            </w:r>
          </w:p>
        </w:tc>
        <w:tc>
          <w:tcPr>
            <w:tcW w:w="1275" w:type="dxa"/>
            <w:tcBorders>
              <w:top w:val="nil"/>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100.0</w:t>
            </w:r>
          </w:p>
        </w:tc>
        <w:tc>
          <w:tcPr>
            <w:tcW w:w="1418" w:type="dxa"/>
            <w:tcBorders>
              <w:top w:val="nil"/>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100.0</w:t>
            </w:r>
          </w:p>
        </w:tc>
        <w:tc>
          <w:tcPr>
            <w:tcW w:w="1276" w:type="dxa"/>
            <w:tcBorders>
              <w:top w:val="nil"/>
              <w:bottom w:val="single" w:color="000000" w:sz="16" w:space="0"/>
              <w:right w:val="single" w:color="000000" w:sz="16" w:space="0"/>
            </w:tcBorders>
            <w:shd w:val="clear" w:color="auto" w:fill="FFFFFF"/>
            <w:vAlign w:val="center"/>
          </w:tcPr>
          <w:p>
            <w:pPr>
              <w:autoSpaceDE w:val="0"/>
              <w:autoSpaceDN w:val="0"/>
              <w:adjustRightInd w:val="0"/>
              <w:spacing w:after="0" w:line="240" w:lineRule="auto"/>
              <w:rPr>
                <w:rFonts w:ascii="Times New Roman" w:hAnsi="Times New Roman" w:cs="Times New Roman"/>
                <w:sz w:val="25"/>
                <w:szCs w:val="25"/>
              </w:rPr>
            </w:pPr>
          </w:p>
        </w:tc>
      </w:tr>
    </w:tbl>
    <w:p>
      <w:pPr>
        <w:spacing w:after="0"/>
        <w:jc w:val="both"/>
        <w:rPr>
          <w:rFonts w:ascii="Times New Roman" w:hAnsi="Times New Roman" w:cs="Times New Roman"/>
          <w:sz w:val="25"/>
          <w:szCs w:val="25"/>
        </w:rPr>
      </w:pPr>
      <w:r>
        <w:rPr>
          <w:rFonts w:ascii="Times New Roman" w:hAnsi="Times New Roman" w:cs="Times New Roman"/>
          <w:b/>
          <w:sz w:val="25"/>
          <w:szCs w:val="25"/>
        </w:rPr>
        <w:t>Source: SPSS Computation, 2025</w:t>
      </w:r>
    </w:p>
    <w:p>
      <w:pPr>
        <w:autoSpaceDE w:val="0"/>
        <w:autoSpaceDN w:val="0"/>
        <w:adjustRightInd w:val="0"/>
        <w:spacing w:after="0" w:line="400" w:lineRule="atLeast"/>
        <w:rPr>
          <w:rFonts w:ascii="Times New Roman" w:hAnsi="Times New Roman" w:cs="Times New Roman"/>
          <w:sz w:val="25"/>
          <w:szCs w:val="25"/>
        </w:rPr>
      </w:pPr>
      <w:r>
        <w:rPr>
          <w:rFonts w:ascii="Times New Roman" w:hAnsi="Times New Roman" w:cs="Times New Roman"/>
          <w:sz w:val="25"/>
          <w:szCs w:val="25"/>
        </w:rPr>
        <w:t>Table 4.3.5 provides information on the educational qualifications of the respondents. It shows that 2 respondents (4%) had both a high school diploma and an education degree, 12 respondents (24%) reported having a degree, and 36 respondents (72%) indicated possessing a master's degree.</w:t>
      </w:r>
    </w:p>
    <w:p>
      <w:pPr>
        <w:autoSpaceDE w:val="0"/>
        <w:autoSpaceDN w:val="0"/>
        <w:adjustRightInd w:val="0"/>
        <w:spacing w:after="0" w:line="400" w:lineRule="atLeast"/>
        <w:rPr>
          <w:rFonts w:ascii="Times New Roman" w:hAnsi="Times New Roman" w:cs="Times New Roman"/>
          <w:sz w:val="25"/>
          <w:szCs w:val="25"/>
        </w:rPr>
      </w:pPr>
      <w:r>
        <w:rPr>
          <w:rFonts w:ascii="Times New Roman" w:hAnsi="Times New Roman" w:cs="Times New Roman"/>
          <w:sz w:val="25"/>
          <w:szCs w:val="25"/>
        </w:rPr>
        <w:t>The data suggests that a significant majority of the respondents in the chosen bank had attained advanced levels of education, with 72% holding a master's degree. This indicates a high level of literacy and suggests that the respondents likely possess a strong knowledge base.</w:t>
      </w:r>
    </w:p>
    <w:p>
      <w:pPr>
        <w:autoSpaceDE w:val="0"/>
        <w:autoSpaceDN w:val="0"/>
        <w:adjustRightInd w:val="0"/>
        <w:spacing w:after="0" w:line="400" w:lineRule="atLeast"/>
        <w:rPr>
          <w:rFonts w:ascii="Times New Roman" w:hAnsi="Times New Roman" w:cs="Times New Roman"/>
          <w:sz w:val="25"/>
          <w:szCs w:val="25"/>
        </w:rPr>
      </w:pPr>
    </w:p>
    <w:tbl>
      <w:tblPr>
        <w:tblStyle w:val="8"/>
        <w:tblW w:w="779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818"/>
        <w:gridCol w:w="1276"/>
        <w:gridCol w:w="1275"/>
        <w:gridCol w:w="1418"/>
        <w:gridCol w:w="1276"/>
      </w:tblGrid>
      <w:tr>
        <w:tblPrEx>
          <w:tblLayout w:type="fixed"/>
        </w:tblPrEx>
        <w:trPr>
          <w:cantSplit/>
        </w:trPr>
        <w:tc>
          <w:tcPr>
            <w:tcW w:w="7797" w:type="dxa"/>
            <w:gridSpan w:val="6"/>
            <w:tcBorders>
              <w:top w:val="nil"/>
              <w:left w:val="nil"/>
              <w:bottom w:val="nil"/>
              <w:right w:val="nil"/>
            </w:tcBorders>
            <w:shd w:val="clear" w:color="auto" w:fill="FFFFFF"/>
            <w:vAlign w:val="center"/>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b/>
                <w:bCs/>
                <w:color w:val="000000"/>
                <w:sz w:val="25"/>
                <w:szCs w:val="25"/>
              </w:rPr>
              <w:t>Table 4.3.6: CURRENT JOB ROLE</w:t>
            </w:r>
          </w:p>
        </w:tc>
      </w:tr>
      <w:tr>
        <w:tblPrEx>
          <w:tblLayout w:type="fixed"/>
        </w:tblPrEx>
        <w:trPr>
          <w:cantSplit/>
        </w:trPr>
        <w:tc>
          <w:tcPr>
            <w:tcW w:w="2552" w:type="dxa"/>
            <w:gridSpan w:val="2"/>
            <w:tcBorders>
              <w:top w:val="single" w:color="000000" w:sz="16" w:space="0"/>
              <w:left w:val="single" w:color="000000" w:sz="16" w:space="0"/>
              <w:bottom w:val="single" w:color="000000" w:sz="16" w:space="0"/>
              <w:right w:val="nil"/>
            </w:tcBorders>
            <w:shd w:val="clear" w:color="auto" w:fill="FFFFFF"/>
            <w:vAlign w:val="bottom"/>
          </w:tcPr>
          <w:p>
            <w:pPr>
              <w:autoSpaceDE w:val="0"/>
              <w:autoSpaceDN w:val="0"/>
              <w:adjustRightInd w:val="0"/>
              <w:spacing w:after="0" w:line="240" w:lineRule="auto"/>
              <w:rPr>
                <w:rFonts w:ascii="Times New Roman" w:hAnsi="Times New Roman" w:cs="Times New Roman"/>
                <w:sz w:val="25"/>
                <w:szCs w:val="25"/>
              </w:rPr>
            </w:pPr>
          </w:p>
        </w:tc>
        <w:tc>
          <w:tcPr>
            <w:tcW w:w="1276" w:type="dxa"/>
            <w:tcBorders>
              <w:top w:val="single" w:color="000000" w:sz="16" w:space="0"/>
              <w:left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Frequency</w:t>
            </w:r>
          </w:p>
        </w:tc>
        <w:tc>
          <w:tcPr>
            <w:tcW w:w="1275" w:type="dxa"/>
            <w:tcBorders>
              <w:top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Percent</w:t>
            </w:r>
          </w:p>
        </w:tc>
        <w:tc>
          <w:tcPr>
            <w:tcW w:w="1418" w:type="dxa"/>
            <w:tcBorders>
              <w:top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Valid Percent</w:t>
            </w:r>
          </w:p>
        </w:tc>
        <w:tc>
          <w:tcPr>
            <w:tcW w:w="1276" w:type="dxa"/>
            <w:tcBorders>
              <w:top w:val="single" w:color="000000" w:sz="16" w:space="0"/>
              <w:bottom w:val="single" w:color="000000" w:sz="16" w:space="0"/>
              <w:right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Cumulative Percent</w:t>
            </w:r>
          </w:p>
        </w:tc>
      </w:tr>
      <w:tr>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Valid</w:t>
            </w:r>
          </w:p>
        </w:tc>
        <w:tc>
          <w:tcPr>
            <w:tcW w:w="1818" w:type="dxa"/>
            <w:tcBorders>
              <w:top w:val="single" w:color="000000" w:sz="16" w:space="0"/>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Managerial</w:t>
            </w:r>
          </w:p>
        </w:tc>
        <w:tc>
          <w:tcPr>
            <w:tcW w:w="1276" w:type="dxa"/>
            <w:tcBorders>
              <w:top w:val="single" w:color="000000" w:sz="16" w:space="0"/>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14</w:t>
            </w:r>
          </w:p>
        </w:tc>
        <w:tc>
          <w:tcPr>
            <w:tcW w:w="1275" w:type="dxa"/>
            <w:tcBorders>
              <w:top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28.0</w:t>
            </w:r>
          </w:p>
        </w:tc>
        <w:tc>
          <w:tcPr>
            <w:tcW w:w="1418" w:type="dxa"/>
            <w:tcBorders>
              <w:top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28.0</w:t>
            </w:r>
          </w:p>
        </w:tc>
        <w:tc>
          <w:tcPr>
            <w:tcW w:w="1276" w:type="dxa"/>
            <w:tcBorders>
              <w:top w:val="single" w:color="000000" w:sz="16" w:space="0"/>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28.0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1818" w:type="dxa"/>
            <w:tcBorders>
              <w:top w:val="nil"/>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Non-managerial</w:t>
            </w:r>
          </w:p>
        </w:tc>
        <w:tc>
          <w:tcPr>
            <w:tcW w:w="1276"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36</w:t>
            </w:r>
          </w:p>
        </w:tc>
        <w:tc>
          <w:tcPr>
            <w:tcW w:w="1275"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72.0</w:t>
            </w:r>
          </w:p>
        </w:tc>
        <w:tc>
          <w:tcPr>
            <w:tcW w:w="1418"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72.0</w:t>
            </w:r>
          </w:p>
        </w:tc>
        <w:tc>
          <w:tcPr>
            <w:tcW w:w="1276"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1818" w:type="dxa"/>
            <w:tcBorders>
              <w:top w:val="nil"/>
              <w:left w:val="nil"/>
              <w:bottom w:val="single" w:color="000000" w:sz="16" w:space="0"/>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Total</w:t>
            </w:r>
          </w:p>
        </w:tc>
        <w:tc>
          <w:tcPr>
            <w:tcW w:w="1276" w:type="dxa"/>
            <w:tcBorders>
              <w:top w:val="nil"/>
              <w:left w:val="single" w:color="000000" w:sz="16" w:space="0"/>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50</w:t>
            </w:r>
          </w:p>
        </w:tc>
        <w:tc>
          <w:tcPr>
            <w:tcW w:w="1275" w:type="dxa"/>
            <w:tcBorders>
              <w:top w:val="nil"/>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100.0</w:t>
            </w:r>
          </w:p>
        </w:tc>
        <w:tc>
          <w:tcPr>
            <w:tcW w:w="1418" w:type="dxa"/>
            <w:tcBorders>
              <w:top w:val="nil"/>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100.0</w:t>
            </w:r>
          </w:p>
        </w:tc>
        <w:tc>
          <w:tcPr>
            <w:tcW w:w="1276" w:type="dxa"/>
            <w:tcBorders>
              <w:top w:val="nil"/>
              <w:bottom w:val="single" w:color="000000" w:sz="16" w:space="0"/>
              <w:right w:val="single" w:color="000000" w:sz="16" w:space="0"/>
            </w:tcBorders>
            <w:shd w:val="clear" w:color="auto" w:fill="FFFFFF"/>
            <w:vAlign w:val="center"/>
          </w:tcPr>
          <w:p>
            <w:pPr>
              <w:autoSpaceDE w:val="0"/>
              <w:autoSpaceDN w:val="0"/>
              <w:adjustRightInd w:val="0"/>
              <w:spacing w:after="0" w:line="240" w:lineRule="auto"/>
              <w:rPr>
                <w:rFonts w:ascii="Times New Roman" w:hAnsi="Times New Roman" w:cs="Times New Roman"/>
                <w:sz w:val="25"/>
                <w:szCs w:val="25"/>
              </w:rPr>
            </w:pPr>
          </w:p>
        </w:tc>
      </w:tr>
    </w:tbl>
    <w:p>
      <w:pPr>
        <w:spacing w:after="0"/>
        <w:jc w:val="both"/>
        <w:rPr>
          <w:rFonts w:ascii="Times New Roman" w:hAnsi="Times New Roman" w:cs="Times New Roman"/>
          <w:b/>
          <w:sz w:val="25"/>
          <w:szCs w:val="25"/>
        </w:rPr>
      </w:pPr>
      <w:r>
        <w:rPr>
          <w:rFonts w:ascii="Times New Roman" w:hAnsi="Times New Roman" w:cs="Times New Roman"/>
          <w:b/>
          <w:sz w:val="25"/>
          <w:szCs w:val="25"/>
        </w:rPr>
        <w:t>Source: SPSS Computation, 2025</w:t>
      </w:r>
    </w:p>
    <w:p>
      <w:pPr>
        <w:spacing w:after="0"/>
        <w:jc w:val="both"/>
        <w:rPr>
          <w:rFonts w:ascii="Times New Roman" w:hAnsi="Times New Roman" w:cs="Times New Roman"/>
          <w:b/>
          <w:sz w:val="25"/>
          <w:szCs w:val="25"/>
        </w:rPr>
      </w:pPr>
    </w:p>
    <w:p>
      <w:pPr>
        <w:autoSpaceDE w:val="0"/>
        <w:autoSpaceDN w:val="0"/>
        <w:adjustRightInd w:val="0"/>
        <w:spacing w:after="0" w:line="400" w:lineRule="atLeast"/>
        <w:rPr>
          <w:rFonts w:ascii="Times New Roman" w:hAnsi="Times New Roman" w:cs="Times New Roman"/>
          <w:sz w:val="25"/>
          <w:szCs w:val="25"/>
        </w:rPr>
      </w:pPr>
      <w:r>
        <w:rPr>
          <w:rFonts w:ascii="Times New Roman" w:hAnsi="Times New Roman" w:cs="Times New Roman"/>
          <w:sz w:val="25"/>
          <w:szCs w:val="25"/>
        </w:rPr>
        <w:t>According to Table 4.3.6, it is evident that 36 respondents (72%) are non-managers, while 14 respondents (28%) hold managerial positions. This data suggests that a greater proportion of non-managerial employees participated in the survey compared to managers.</w:t>
      </w:r>
    </w:p>
    <w:tbl>
      <w:tblPr>
        <w:tblStyle w:val="8"/>
        <w:tblW w:w="735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576"/>
        <w:gridCol w:w="1162"/>
        <w:gridCol w:w="1024"/>
        <w:gridCol w:w="1393"/>
        <w:gridCol w:w="1469"/>
      </w:tblGrid>
      <w:tr>
        <w:tblPrEx>
          <w:tblLayout w:type="fixed"/>
        </w:tblPrEx>
        <w:trPr>
          <w:cantSplit/>
        </w:trPr>
        <w:tc>
          <w:tcPr>
            <w:tcW w:w="7358" w:type="dxa"/>
            <w:gridSpan w:val="6"/>
            <w:tcBorders>
              <w:top w:val="nil"/>
              <w:left w:val="nil"/>
              <w:bottom w:val="nil"/>
              <w:right w:val="nil"/>
            </w:tcBorders>
            <w:shd w:val="clear" w:color="auto" w:fill="FFFFFF"/>
            <w:vAlign w:val="center"/>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b/>
                <w:bCs/>
                <w:color w:val="000000"/>
                <w:sz w:val="25"/>
                <w:szCs w:val="25"/>
              </w:rPr>
              <w:t>Table 4.3.7 Length of Service</w:t>
            </w:r>
          </w:p>
        </w:tc>
      </w:tr>
      <w:tr>
        <w:tblPrEx>
          <w:tblLayout w:type="fixed"/>
        </w:tblPrEx>
        <w:trPr>
          <w:cantSplit/>
        </w:trPr>
        <w:tc>
          <w:tcPr>
            <w:tcW w:w="2310" w:type="dxa"/>
            <w:gridSpan w:val="2"/>
            <w:tcBorders>
              <w:top w:val="single" w:color="000000" w:sz="16" w:space="0"/>
              <w:left w:val="single" w:color="000000" w:sz="16" w:space="0"/>
              <w:bottom w:val="single" w:color="000000" w:sz="16" w:space="0"/>
              <w:right w:val="nil"/>
            </w:tcBorders>
            <w:shd w:val="clear" w:color="auto" w:fill="FFFFFF"/>
            <w:vAlign w:val="bottom"/>
          </w:tcPr>
          <w:p>
            <w:pPr>
              <w:autoSpaceDE w:val="0"/>
              <w:autoSpaceDN w:val="0"/>
              <w:adjustRightInd w:val="0"/>
              <w:spacing w:after="0" w:line="240" w:lineRule="auto"/>
              <w:rPr>
                <w:rFonts w:ascii="Times New Roman" w:hAnsi="Times New Roman" w:cs="Times New Roman"/>
                <w:sz w:val="25"/>
                <w:szCs w:val="25"/>
              </w:rPr>
            </w:pPr>
          </w:p>
        </w:tc>
        <w:tc>
          <w:tcPr>
            <w:tcW w:w="1162" w:type="dxa"/>
            <w:tcBorders>
              <w:top w:val="single" w:color="000000" w:sz="16" w:space="0"/>
              <w:left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Frequency</w:t>
            </w:r>
          </w:p>
        </w:tc>
        <w:tc>
          <w:tcPr>
            <w:tcW w:w="1024" w:type="dxa"/>
            <w:tcBorders>
              <w:top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Percent</w:t>
            </w:r>
          </w:p>
        </w:tc>
        <w:tc>
          <w:tcPr>
            <w:tcW w:w="1393" w:type="dxa"/>
            <w:tcBorders>
              <w:top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Valid Percent</w:t>
            </w:r>
          </w:p>
        </w:tc>
        <w:tc>
          <w:tcPr>
            <w:tcW w:w="1469" w:type="dxa"/>
            <w:tcBorders>
              <w:top w:val="single" w:color="000000" w:sz="16" w:space="0"/>
              <w:bottom w:val="single" w:color="000000" w:sz="16" w:space="0"/>
              <w:right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Cumulative Percent</w:t>
            </w:r>
          </w:p>
        </w:tc>
      </w:tr>
      <w:tr>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Valid</w:t>
            </w:r>
          </w:p>
        </w:tc>
        <w:tc>
          <w:tcPr>
            <w:tcW w:w="1576" w:type="dxa"/>
            <w:tcBorders>
              <w:top w:val="single" w:color="000000" w:sz="16" w:space="0"/>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3-5 years</w:t>
            </w:r>
          </w:p>
        </w:tc>
        <w:tc>
          <w:tcPr>
            <w:tcW w:w="1162" w:type="dxa"/>
            <w:tcBorders>
              <w:top w:val="single" w:color="000000" w:sz="16" w:space="0"/>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29</w:t>
            </w:r>
          </w:p>
        </w:tc>
        <w:tc>
          <w:tcPr>
            <w:tcW w:w="1024" w:type="dxa"/>
            <w:tcBorders>
              <w:top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58.0</w:t>
            </w:r>
          </w:p>
        </w:tc>
        <w:tc>
          <w:tcPr>
            <w:tcW w:w="1393" w:type="dxa"/>
            <w:tcBorders>
              <w:top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58.0</w:t>
            </w:r>
          </w:p>
        </w:tc>
        <w:tc>
          <w:tcPr>
            <w:tcW w:w="1469" w:type="dxa"/>
            <w:tcBorders>
              <w:top w:val="single" w:color="000000" w:sz="16" w:space="0"/>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58.0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1576" w:type="dxa"/>
            <w:tcBorders>
              <w:top w:val="nil"/>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6-8 years</w:t>
            </w:r>
          </w:p>
        </w:tc>
        <w:tc>
          <w:tcPr>
            <w:tcW w:w="1162"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16</w:t>
            </w:r>
          </w:p>
        </w:tc>
        <w:tc>
          <w:tcPr>
            <w:tcW w:w="1024"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32.0</w:t>
            </w:r>
          </w:p>
        </w:tc>
        <w:tc>
          <w:tcPr>
            <w:tcW w:w="1393"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32.0</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90.0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1576" w:type="dxa"/>
            <w:tcBorders>
              <w:top w:val="nil"/>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9-10 years</w:t>
            </w:r>
          </w:p>
        </w:tc>
        <w:tc>
          <w:tcPr>
            <w:tcW w:w="1162"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w:t>
            </w:r>
          </w:p>
        </w:tc>
        <w:tc>
          <w:tcPr>
            <w:tcW w:w="1024"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8.0</w:t>
            </w:r>
          </w:p>
        </w:tc>
        <w:tc>
          <w:tcPr>
            <w:tcW w:w="1393"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8.0</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98.0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1576" w:type="dxa"/>
            <w:tcBorders>
              <w:top w:val="nil"/>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10 years above</w:t>
            </w:r>
          </w:p>
        </w:tc>
        <w:tc>
          <w:tcPr>
            <w:tcW w:w="1162"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w:t>
            </w:r>
          </w:p>
        </w:tc>
        <w:tc>
          <w:tcPr>
            <w:tcW w:w="1024"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2.0</w:t>
            </w:r>
          </w:p>
        </w:tc>
        <w:tc>
          <w:tcPr>
            <w:tcW w:w="1393"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2.0</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1576" w:type="dxa"/>
            <w:tcBorders>
              <w:top w:val="nil"/>
              <w:left w:val="nil"/>
              <w:bottom w:val="single" w:color="000000" w:sz="16" w:space="0"/>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Total</w:t>
            </w:r>
          </w:p>
        </w:tc>
        <w:tc>
          <w:tcPr>
            <w:tcW w:w="1162" w:type="dxa"/>
            <w:tcBorders>
              <w:top w:val="nil"/>
              <w:left w:val="single" w:color="000000" w:sz="16" w:space="0"/>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50</w:t>
            </w:r>
          </w:p>
        </w:tc>
        <w:tc>
          <w:tcPr>
            <w:tcW w:w="1024" w:type="dxa"/>
            <w:tcBorders>
              <w:top w:val="nil"/>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100.0</w:t>
            </w:r>
          </w:p>
        </w:tc>
        <w:tc>
          <w:tcPr>
            <w:tcW w:w="1393" w:type="dxa"/>
            <w:tcBorders>
              <w:top w:val="nil"/>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100.0</w:t>
            </w:r>
          </w:p>
        </w:tc>
        <w:tc>
          <w:tcPr>
            <w:tcW w:w="1469" w:type="dxa"/>
            <w:tcBorders>
              <w:top w:val="nil"/>
              <w:bottom w:val="single" w:color="000000" w:sz="16" w:space="0"/>
              <w:right w:val="single" w:color="000000" w:sz="16" w:space="0"/>
            </w:tcBorders>
            <w:shd w:val="clear" w:color="auto" w:fill="FFFFFF"/>
            <w:vAlign w:val="center"/>
          </w:tcPr>
          <w:p>
            <w:pPr>
              <w:autoSpaceDE w:val="0"/>
              <w:autoSpaceDN w:val="0"/>
              <w:adjustRightInd w:val="0"/>
              <w:spacing w:after="0" w:line="240" w:lineRule="auto"/>
              <w:rPr>
                <w:rFonts w:ascii="Times New Roman" w:hAnsi="Times New Roman" w:cs="Times New Roman"/>
                <w:sz w:val="25"/>
                <w:szCs w:val="25"/>
              </w:rPr>
            </w:pPr>
          </w:p>
        </w:tc>
      </w:tr>
    </w:tbl>
    <w:p>
      <w:pPr>
        <w:spacing w:after="0"/>
        <w:jc w:val="both"/>
        <w:rPr>
          <w:rFonts w:ascii="Times New Roman" w:hAnsi="Times New Roman" w:cs="Times New Roman"/>
          <w:b/>
          <w:sz w:val="25"/>
          <w:szCs w:val="25"/>
        </w:rPr>
      </w:pPr>
      <w:r>
        <w:rPr>
          <w:rFonts w:ascii="Times New Roman" w:hAnsi="Times New Roman" w:cs="Times New Roman"/>
          <w:b/>
          <w:sz w:val="25"/>
          <w:szCs w:val="25"/>
        </w:rPr>
        <w:t>Source: SPSS Computation, 2025</w:t>
      </w:r>
    </w:p>
    <w:p>
      <w:pPr>
        <w:spacing w:after="0"/>
        <w:jc w:val="both"/>
        <w:rPr>
          <w:rFonts w:ascii="Times New Roman" w:hAnsi="Times New Roman" w:cs="Times New Roman"/>
          <w:b/>
          <w:sz w:val="25"/>
          <w:szCs w:val="25"/>
        </w:rPr>
      </w:pPr>
    </w:p>
    <w:p>
      <w:pPr>
        <w:pStyle w:val="10"/>
        <w:numPr>
          <w:ilvl w:val="1"/>
          <w:numId w:val="13"/>
        </w:numPr>
        <w:spacing w:after="0"/>
        <w:jc w:val="both"/>
        <w:rPr>
          <w:rFonts w:ascii="Times New Roman" w:hAnsi="Times New Roman" w:cs="Times New Roman"/>
          <w:b/>
          <w:sz w:val="25"/>
          <w:szCs w:val="25"/>
        </w:rPr>
      </w:pPr>
      <w:r>
        <w:rPr>
          <w:rFonts w:ascii="Times New Roman" w:hAnsi="Times New Roman" w:cs="Times New Roman"/>
          <w:sz w:val="25"/>
          <w:szCs w:val="25"/>
        </w:rPr>
        <w:t>Table 4.3.7 presents the distribution of respondents' work experience. It shows that 29 respondents (58%) had between three and five years of work experience, 16 respondents (32%) had between six and eight years of experience, 4 respondents (8%) had between nine and ten years of experience, and 1 respondent (2%) had more than ten years of service.</w:t>
      </w:r>
    </w:p>
    <w:p>
      <w:pPr>
        <w:pStyle w:val="10"/>
        <w:spacing w:after="0"/>
        <w:ind w:left="0"/>
        <w:jc w:val="both"/>
        <w:rPr>
          <w:rFonts w:ascii="Times New Roman" w:hAnsi="Times New Roman" w:cs="Times New Roman"/>
          <w:b/>
          <w:sz w:val="25"/>
          <w:szCs w:val="25"/>
        </w:rPr>
      </w:pPr>
    </w:p>
    <w:p>
      <w:pPr>
        <w:pStyle w:val="10"/>
        <w:numPr>
          <w:ilvl w:val="1"/>
          <w:numId w:val="13"/>
        </w:numPr>
        <w:spacing w:after="0"/>
        <w:jc w:val="both"/>
        <w:rPr>
          <w:rFonts w:ascii="Times New Roman" w:hAnsi="Times New Roman" w:cs="Times New Roman"/>
          <w:b/>
          <w:sz w:val="25"/>
          <w:szCs w:val="25"/>
        </w:rPr>
      </w:pPr>
      <w:r>
        <w:rPr>
          <w:rFonts w:ascii="Times New Roman" w:hAnsi="Times New Roman" w:cs="Times New Roman"/>
          <w:b/>
          <w:sz w:val="25"/>
          <w:szCs w:val="25"/>
        </w:rPr>
        <w:t>Presentation and Analysis According to Key Questions</w:t>
      </w:r>
    </w:p>
    <w:p>
      <w:pPr>
        <w:spacing w:after="0"/>
        <w:jc w:val="both"/>
        <w:rPr>
          <w:rFonts w:ascii="Times New Roman" w:hAnsi="Times New Roman" w:cs="Times New Roman"/>
          <w:bCs/>
          <w:sz w:val="25"/>
          <w:szCs w:val="25"/>
        </w:rPr>
      </w:pPr>
    </w:p>
    <w:p>
      <w:pPr>
        <w:spacing w:after="0"/>
        <w:jc w:val="both"/>
        <w:rPr>
          <w:rFonts w:ascii="Times New Roman" w:hAnsi="Times New Roman" w:cs="Times New Roman"/>
          <w:b/>
          <w:sz w:val="25"/>
          <w:szCs w:val="25"/>
        </w:rPr>
      </w:pPr>
      <w:r>
        <w:rPr>
          <w:rFonts w:ascii="Times New Roman" w:hAnsi="Times New Roman" w:cs="Times New Roman"/>
          <w:b/>
          <w:sz w:val="25"/>
          <w:szCs w:val="25"/>
        </w:rPr>
        <w:t>Research Question 1: to what extent does GTB GHRM practices affect its organizational effectiveness?</w:t>
      </w:r>
      <w:r>
        <w:br w:type="page"/>
      </w:r>
    </w:p>
    <w:tbl>
      <w:tblPr>
        <w:tblStyle w:val="8"/>
        <w:tblW w:w="9239" w:type="dxa"/>
        <w:tblInd w:w="0" w:type="dxa"/>
        <w:tblLayout w:type="fixed"/>
        <w:tblCellMar>
          <w:top w:w="0" w:type="dxa"/>
          <w:left w:w="0" w:type="dxa"/>
          <w:bottom w:w="0" w:type="dxa"/>
          <w:right w:w="0" w:type="dxa"/>
        </w:tblCellMar>
      </w:tblPr>
      <w:tblGrid>
        <w:gridCol w:w="2443"/>
        <w:gridCol w:w="1440"/>
        <w:gridCol w:w="976"/>
        <w:gridCol w:w="978"/>
        <w:gridCol w:w="1071"/>
        <w:gridCol w:w="1162"/>
        <w:gridCol w:w="1169"/>
      </w:tblGrid>
      <w:tr>
        <w:tblPrEx>
          <w:tblLayout w:type="fixed"/>
        </w:tblPrEx>
        <w:trPr>
          <w:cantSplit/>
        </w:trPr>
        <w:tc>
          <w:tcPr>
            <w:tcW w:w="9239" w:type="dxa"/>
            <w:gridSpan w:val="7"/>
            <w:shd w:val="clear" w:color="auto" w:fill="FFFFFF"/>
            <w:vAlign w:val="center"/>
          </w:tcPr>
          <w:p>
            <w:pPr>
              <w:spacing w:after="0" w:line="240" w:lineRule="auto"/>
              <w:ind w:right="60"/>
              <w:rPr>
                <w:rFonts w:ascii="Times New Roman" w:hAnsi="Times New Roman" w:cs="Times New Roman"/>
                <w:b/>
                <w:bCs/>
                <w:sz w:val="25"/>
                <w:szCs w:val="25"/>
              </w:rPr>
            </w:pPr>
            <w:r>
              <w:rPr>
                <w:rFonts w:ascii="Times New Roman" w:hAnsi="Times New Roman" w:cs="Times New Roman"/>
                <w:b/>
                <w:bCs/>
                <w:color w:val="000000"/>
                <w:sz w:val="25"/>
                <w:szCs w:val="25"/>
              </w:rPr>
              <w:t xml:space="preserve">Table 4.4.1 Perceptions of Respondents in </w:t>
            </w:r>
            <w:r>
              <w:rPr>
                <w:rFonts w:ascii="Times New Roman" w:hAnsi="Times New Roman" w:cs="Times New Roman"/>
                <w:b/>
                <w:bCs/>
                <w:sz w:val="25"/>
                <w:szCs w:val="25"/>
              </w:rPr>
              <w:t>the influence of GHRM practices on the Organizational Effectiveness of GTBank</w:t>
            </w:r>
          </w:p>
        </w:tc>
      </w:tr>
      <w:tr>
        <w:tblPrEx>
          <w:tblLayout w:type="fixed"/>
        </w:tblPrEx>
        <w:trPr>
          <w:cantSplit/>
        </w:trPr>
        <w:tc>
          <w:tcPr>
            <w:tcW w:w="3883" w:type="dxa"/>
            <w:gridSpan w:val="2"/>
            <w:vMerge w:val="restart"/>
            <w:tcBorders>
              <w:top w:val="single" w:color="000000" w:sz="16" w:space="0"/>
              <w:left w:val="single" w:color="000000" w:sz="16" w:space="0"/>
            </w:tcBorders>
            <w:shd w:val="clear" w:color="auto" w:fill="FFFFFF"/>
            <w:vAlign w:val="bottom"/>
          </w:tcPr>
          <w:p>
            <w:pPr>
              <w:spacing w:after="0" w:line="240" w:lineRule="auto"/>
              <w:rPr>
                <w:rFonts w:ascii="Times New Roman" w:hAnsi="Times New Roman" w:cs="Times New Roman"/>
                <w:sz w:val="25"/>
                <w:szCs w:val="25"/>
              </w:rPr>
            </w:pPr>
          </w:p>
        </w:tc>
        <w:tc>
          <w:tcPr>
            <w:tcW w:w="976" w:type="dxa"/>
            <w:vMerge w:val="restart"/>
            <w:tcBorders>
              <w:top w:val="single" w:color="000000" w:sz="16" w:space="0"/>
              <w:left w:val="single" w:color="000000" w:sz="16" w:space="0"/>
              <w:bottom w:val="single" w:color="000000" w:sz="8" w:space="0"/>
              <w:right w:val="single" w:color="000000" w:sz="8" w:space="0"/>
            </w:tcBorders>
            <w:shd w:val="clear" w:color="auto" w:fill="FFFFFF"/>
            <w:vAlign w:val="bottom"/>
          </w:tcPr>
          <w:p>
            <w:pPr>
              <w:spacing w:after="0" w:line="240" w:lineRule="auto"/>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Statistic</w:t>
            </w:r>
          </w:p>
        </w:tc>
        <w:tc>
          <w:tcPr>
            <w:tcW w:w="4380" w:type="dxa"/>
            <w:gridSpan w:val="4"/>
            <w:tcBorders>
              <w:top w:val="single" w:color="000000" w:sz="16" w:space="0"/>
              <w:left w:val="single" w:color="000000" w:sz="8" w:space="0"/>
              <w:bottom w:val="single" w:color="000000" w:sz="8" w:space="0"/>
              <w:right w:val="single" w:color="000000" w:sz="16" w:space="0"/>
            </w:tcBorders>
            <w:shd w:val="clear" w:color="auto" w:fill="FFFFFF"/>
            <w:vAlign w:val="bottom"/>
          </w:tcPr>
          <w:p>
            <w:pPr>
              <w:spacing w:after="0" w:line="240" w:lineRule="auto"/>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Bootstrap</w:t>
            </w:r>
            <w:r>
              <w:rPr>
                <w:rFonts w:ascii="Times New Roman" w:hAnsi="Times New Roman" w:cs="Times New Roman"/>
                <w:color w:val="000000"/>
                <w:sz w:val="25"/>
                <w:szCs w:val="25"/>
                <w:vertAlign w:val="superscript"/>
              </w:rPr>
              <w:t>a</w:t>
            </w:r>
          </w:p>
        </w:tc>
      </w:tr>
      <w:tr>
        <w:tblPrEx>
          <w:tblLayout w:type="fixed"/>
        </w:tblPrEx>
        <w:trPr>
          <w:cantSplit/>
        </w:trPr>
        <w:tc>
          <w:tcPr>
            <w:tcW w:w="3883" w:type="dxa"/>
            <w:gridSpan w:val="2"/>
            <w:vMerge w:val="continue"/>
            <w:tcBorders>
              <w:top w:val="single" w:color="000000" w:sz="16" w:space="0"/>
              <w:left w:val="single" w:color="000000" w:sz="16" w:space="0"/>
            </w:tcBorders>
            <w:shd w:val="clear" w:color="auto" w:fill="FFFFFF"/>
            <w:vAlign w:val="bottom"/>
          </w:tcPr>
          <w:p>
            <w:pPr>
              <w:spacing w:after="0" w:line="240" w:lineRule="auto"/>
              <w:rPr>
                <w:rFonts w:ascii="Times New Roman" w:hAnsi="Times New Roman" w:cs="Times New Roman"/>
                <w:color w:val="000000"/>
                <w:sz w:val="25"/>
                <w:szCs w:val="25"/>
              </w:rPr>
            </w:pPr>
          </w:p>
        </w:tc>
        <w:tc>
          <w:tcPr>
            <w:tcW w:w="976" w:type="dxa"/>
            <w:vMerge w:val="continue"/>
            <w:tcBorders>
              <w:top w:val="single" w:color="000000" w:sz="16" w:space="0"/>
              <w:left w:val="single" w:color="000000" w:sz="16" w:space="0"/>
              <w:bottom w:val="single" w:color="000000" w:sz="8" w:space="0"/>
              <w:right w:val="single" w:color="000000" w:sz="8" w:space="0"/>
            </w:tcBorders>
            <w:shd w:val="clear" w:color="auto" w:fill="FFFFFF"/>
            <w:vAlign w:val="bottom"/>
          </w:tcPr>
          <w:p>
            <w:pPr>
              <w:spacing w:after="0" w:line="240" w:lineRule="auto"/>
              <w:rPr>
                <w:rFonts w:ascii="Times New Roman" w:hAnsi="Times New Roman" w:cs="Times New Roman"/>
                <w:color w:val="000000"/>
                <w:sz w:val="25"/>
                <w:szCs w:val="25"/>
              </w:rPr>
            </w:pPr>
          </w:p>
        </w:tc>
        <w:tc>
          <w:tcPr>
            <w:tcW w:w="978" w:type="dxa"/>
            <w:vMerge w:val="restart"/>
            <w:tcBorders>
              <w:top w:val="single" w:color="000000" w:sz="8" w:space="0"/>
              <w:left w:val="single" w:color="000000" w:sz="8" w:space="0"/>
              <w:bottom w:val="single" w:color="000000" w:sz="8" w:space="0"/>
              <w:right w:val="single" w:color="000000" w:sz="8" w:space="0"/>
            </w:tcBorders>
            <w:shd w:val="clear" w:color="auto" w:fill="FFFFFF"/>
            <w:vAlign w:val="bottom"/>
          </w:tcPr>
          <w:p>
            <w:pPr>
              <w:spacing w:after="0" w:line="240" w:lineRule="auto"/>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Bias</w:t>
            </w:r>
          </w:p>
        </w:tc>
        <w:tc>
          <w:tcPr>
            <w:tcW w:w="1071" w:type="dxa"/>
            <w:vMerge w:val="restart"/>
            <w:tcBorders>
              <w:top w:val="single" w:color="000000" w:sz="8" w:space="0"/>
              <w:left w:val="single" w:color="000000" w:sz="8" w:space="0"/>
              <w:bottom w:val="single" w:color="000000" w:sz="8" w:space="0"/>
              <w:right w:val="single" w:color="000000" w:sz="8" w:space="0"/>
            </w:tcBorders>
            <w:shd w:val="clear" w:color="auto" w:fill="FFFFFF"/>
            <w:vAlign w:val="bottom"/>
          </w:tcPr>
          <w:p>
            <w:pPr>
              <w:spacing w:after="0" w:line="240" w:lineRule="auto"/>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Std. Error</w:t>
            </w:r>
          </w:p>
        </w:tc>
        <w:tc>
          <w:tcPr>
            <w:tcW w:w="2331" w:type="dxa"/>
            <w:gridSpan w:val="2"/>
            <w:tcBorders>
              <w:top w:val="single" w:color="000000" w:sz="8" w:space="0"/>
              <w:left w:val="single" w:color="000000" w:sz="8" w:space="0"/>
              <w:bottom w:val="single" w:color="000000" w:sz="8" w:space="0"/>
              <w:right w:val="single" w:color="000000" w:sz="16" w:space="0"/>
            </w:tcBorders>
            <w:shd w:val="clear" w:color="auto" w:fill="FFFFFF"/>
            <w:vAlign w:val="bottom"/>
          </w:tcPr>
          <w:p>
            <w:pPr>
              <w:spacing w:after="0" w:line="240" w:lineRule="auto"/>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95% Confidence Interval</w:t>
            </w:r>
          </w:p>
        </w:tc>
      </w:tr>
      <w:tr>
        <w:tblPrEx>
          <w:tblLayout w:type="fixed"/>
        </w:tblPrEx>
        <w:trPr>
          <w:cantSplit/>
        </w:trPr>
        <w:tc>
          <w:tcPr>
            <w:tcW w:w="3883" w:type="dxa"/>
            <w:gridSpan w:val="2"/>
            <w:vMerge w:val="continue"/>
            <w:tcBorders>
              <w:top w:val="single" w:color="000000" w:sz="16" w:space="0"/>
              <w:left w:val="single" w:color="000000" w:sz="16" w:space="0"/>
              <w:bottom w:val="single" w:color="000000" w:sz="18" w:space="0"/>
            </w:tcBorders>
            <w:shd w:val="clear" w:color="auto" w:fill="FFFFFF"/>
            <w:vAlign w:val="bottom"/>
          </w:tcPr>
          <w:p>
            <w:pPr>
              <w:spacing w:after="0" w:line="240" w:lineRule="auto"/>
              <w:rPr>
                <w:rFonts w:ascii="Times New Roman" w:hAnsi="Times New Roman" w:cs="Times New Roman"/>
                <w:color w:val="000000"/>
                <w:sz w:val="25"/>
                <w:szCs w:val="25"/>
              </w:rPr>
            </w:pPr>
          </w:p>
        </w:tc>
        <w:tc>
          <w:tcPr>
            <w:tcW w:w="976" w:type="dxa"/>
            <w:vMerge w:val="continue"/>
            <w:tcBorders>
              <w:top w:val="single" w:color="000000" w:sz="16" w:space="0"/>
              <w:left w:val="single" w:color="000000" w:sz="16" w:space="0"/>
              <w:bottom w:val="single" w:color="000000" w:sz="8" w:space="0"/>
              <w:right w:val="single" w:color="000000" w:sz="8" w:space="0"/>
            </w:tcBorders>
            <w:shd w:val="clear" w:color="auto" w:fill="FFFFFF"/>
            <w:vAlign w:val="bottom"/>
          </w:tcPr>
          <w:p>
            <w:pPr>
              <w:spacing w:after="0" w:line="240" w:lineRule="auto"/>
              <w:rPr>
                <w:rFonts w:ascii="Times New Roman" w:hAnsi="Times New Roman" w:cs="Times New Roman"/>
                <w:color w:val="000000"/>
                <w:sz w:val="25"/>
                <w:szCs w:val="25"/>
              </w:rPr>
            </w:pPr>
          </w:p>
        </w:tc>
        <w:tc>
          <w:tcPr>
            <w:tcW w:w="978" w:type="dxa"/>
            <w:vMerge w:val="continue"/>
            <w:tcBorders>
              <w:top w:val="single" w:color="000000" w:sz="8" w:space="0"/>
              <w:left w:val="single" w:color="000000" w:sz="8" w:space="0"/>
              <w:bottom w:val="single" w:color="000000" w:sz="8" w:space="0"/>
              <w:right w:val="single" w:color="000000" w:sz="8" w:space="0"/>
            </w:tcBorders>
            <w:shd w:val="clear" w:color="auto" w:fill="FFFFFF"/>
            <w:vAlign w:val="bottom"/>
          </w:tcPr>
          <w:p>
            <w:pPr>
              <w:spacing w:after="0" w:line="240" w:lineRule="auto"/>
              <w:rPr>
                <w:rFonts w:ascii="Times New Roman" w:hAnsi="Times New Roman" w:cs="Times New Roman"/>
                <w:color w:val="000000"/>
                <w:sz w:val="25"/>
                <w:szCs w:val="25"/>
              </w:rPr>
            </w:pPr>
          </w:p>
        </w:tc>
        <w:tc>
          <w:tcPr>
            <w:tcW w:w="1071" w:type="dxa"/>
            <w:vMerge w:val="continue"/>
            <w:tcBorders>
              <w:top w:val="single" w:color="000000" w:sz="8" w:space="0"/>
              <w:left w:val="single" w:color="000000" w:sz="8" w:space="0"/>
              <w:bottom w:val="single" w:color="000000" w:sz="8" w:space="0"/>
              <w:right w:val="single" w:color="000000" w:sz="8" w:space="0"/>
            </w:tcBorders>
            <w:shd w:val="clear" w:color="auto" w:fill="FFFFFF"/>
            <w:vAlign w:val="bottom"/>
          </w:tcPr>
          <w:p>
            <w:pPr>
              <w:spacing w:after="0" w:line="240" w:lineRule="auto"/>
              <w:rPr>
                <w:rFonts w:ascii="Times New Roman" w:hAnsi="Times New Roman" w:cs="Times New Roman"/>
                <w:color w:val="000000"/>
                <w:sz w:val="25"/>
                <w:szCs w:val="25"/>
              </w:rPr>
            </w:pPr>
          </w:p>
        </w:tc>
        <w:tc>
          <w:tcPr>
            <w:tcW w:w="1162" w:type="dxa"/>
            <w:tcBorders>
              <w:top w:val="single" w:color="000000" w:sz="8" w:space="0"/>
              <w:left w:val="single" w:color="000000" w:sz="8" w:space="0"/>
              <w:bottom w:val="single" w:color="000000" w:sz="16" w:space="0"/>
              <w:right w:val="single" w:color="000000" w:sz="8" w:space="0"/>
            </w:tcBorders>
            <w:shd w:val="clear" w:color="auto" w:fill="FFFFFF"/>
            <w:vAlign w:val="bottom"/>
          </w:tcPr>
          <w:p>
            <w:pPr>
              <w:spacing w:after="0" w:line="240" w:lineRule="auto"/>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Lower</w:t>
            </w:r>
          </w:p>
        </w:tc>
        <w:tc>
          <w:tcPr>
            <w:tcW w:w="1169" w:type="dxa"/>
            <w:tcBorders>
              <w:top w:val="single" w:color="000000" w:sz="8" w:space="0"/>
              <w:left w:val="single" w:color="000000" w:sz="8" w:space="0"/>
              <w:bottom w:val="single" w:color="000000" w:sz="16" w:space="0"/>
              <w:right w:val="single" w:color="000000" w:sz="16" w:space="0"/>
            </w:tcBorders>
            <w:shd w:val="clear" w:color="auto" w:fill="FFFFFF"/>
            <w:vAlign w:val="bottom"/>
          </w:tcPr>
          <w:p>
            <w:pPr>
              <w:spacing w:after="0" w:line="240" w:lineRule="auto"/>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Upper</w:t>
            </w:r>
          </w:p>
        </w:tc>
      </w:tr>
      <w:tr>
        <w:tblPrEx>
          <w:tblLayout w:type="fixed"/>
        </w:tblPrEx>
        <w:trPr>
          <w:cantSplit/>
        </w:trPr>
        <w:tc>
          <w:tcPr>
            <w:tcW w:w="2443" w:type="dxa"/>
            <w:vMerge w:val="restart"/>
            <w:tcBorders>
              <w:top w:val="single" w:color="000000" w:sz="18" w:space="0"/>
              <w:left w:val="single" w:color="000000" w:sz="16" w:space="0"/>
              <w:bottom w:val="single" w:color="000000" w:sz="8" w:space="0"/>
              <w:right w:val="single" w:color="auto" w:sz="12" w:space="0"/>
            </w:tcBorders>
            <w:shd w:val="clear" w:color="auto" w:fill="FFFFFF"/>
          </w:tcPr>
          <w:p>
            <w:pPr>
              <w:spacing w:after="0" w:line="240" w:lineRule="auto"/>
              <w:ind w:left="60" w:right="60"/>
              <w:rPr>
                <w:rFonts w:ascii="Times New Roman" w:hAnsi="Times New Roman" w:cs="Times New Roman"/>
                <w:color w:val="000000"/>
                <w:sz w:val="25"/>
                <w:szCs w:val="25"/>
              </w:rPr>
            </w:pPr>
            <w:r>
              <w:rPr>
                <w:rFonts w:ascii="Times New Roman" w:hAnsi="Times New Roman" w:cs="Times New Roman"/>
                <w:sz w:val="25"/>
                <w:szCs w:val="25"/>
              </w:rPr>
              <w:t>Green recruitment and selection</w:t>
            </w:r>
          </w:p>
        </w:tc>
        <w:tc>
          <w:tcPr>
            <w:tcW w:w="1440" w:type="dxa"/>
            <w:tcBorders>
              <w:top w:val="single" w:color="000000" w:sz="18" w:space="0"/>
              <w:left w:val="single" w:color="auto" w:sz="12" w:space="0"/>
              <w:right w:val="single" w:color="000000" w:sz="16" w:space="0"/>
            </w:tcBorders>
            <w:shd w:val="clear" w:color="auto" w:fill="FFFFFF"/>
          </w:tcPr>
          <w:p>
            <w:pPr>
              <w:spacing w:after="0" w:line="240" w:lineRule="auto"/>
              <w:ind w:left="60" w:right="60"/>
              <w:rPr>
                <w:rFonts w:ascii="Times New Roman" w:hAnsi="Times New Roman" w:cs="Times New Roman"/>
                <w:color w:val="000000"/>
                <w:sz w:val="25"/>
                <w:szCs w:val="25"/>
              </w:rPr>
            </w:pPr>
            <w:r>
              <w:rPr>
                <w:rFonts w:ascii="Times New Roman" w:hAnsi="Times New Roman" w:cs="Times New Roman"/>
                <w:color w:val="000000"/>
                <w:sz w:val="25"/>
                <w:szCs w:val="25"/>
              </w:rPr>
              <w:t>N</w:t>
            </w:r>
          </w:p>
        </w:tc>
        <w:tc>
          <w:tcPr>
            <w:tcW w:w="976" w:type="dxa"/>
            <w:tcBorders>
              <w:top w:val="single" w:color="000000" w:sz="16" w:space="0"/>
              <w:left w:val="single" w:color="000000" w:sz="16" w:space="0"/>
              <w:right w:val="single" w:color="000000" w:sz="8"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50</w:t>
            </w:r>
          </w:p>
        </w:tc>
        <w:tc>
          <w:tcPr>
            <w:tcW w:w="978" w:type="dxa"/>
            <w:tcBorders>
              <w:top w:val="single" w:color="000000" w:sz="16" w:space="0"/>
              <w:left w:val="single" w:color="000000" w:sz="8" w:space="0"/>
              <w:right w:val="single" w:color="000000" w:sz="8"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0</w:t>
            </w:r>
          </w:p>
        </w:tc>
        <w:tc>
          <w:tcPr>
            <w:tcW w:w="1071" w:type="dxa"/>
            <w:tcBorders>
              <w:top w:val="single" w:color="000000" w:sz="16" w:space="0"/>
              <w:left w:val="single" w:color="000000" w:sz="8" w:space="0"/>
              <w:right w:val="single" w:color="000000" w:sz="8"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0</w:t>
            </w:r>
          </w:p>
        </w:tc>
        <w:tc>
          <w:tcPr>
            <w:tcW w:w="1162" w:type="dxa"/>
            <w:tcBorders>
              <w:top w:val="single" w:color="000000" w:sz="16" w:space="0"/>
              <w:left w:val="single" w:color="000000" w:sz="8" w:space="0"/>
              <w:right w:val="single" w:color="000000" w:sz="8"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50</w:t>
            </w:r>
          </w:p>
        </w:tc>
        <w:tc>
          <w:tcPr>
            <w:tcW w:w="1169" w:type="dxa"/>
            <w:tcBorders>
              <w:top w:val="single" w:color="000000" w:sz="16" w:space="0"/>
              <w:left w:val="single" w:color="000000" w:sz="8" w:space="0"/>
              <w:right w:val="single" w:color="000000" w:sz="16"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50</w:t>
            </w:r>
          </w:p>
        </w:tc>
      </w:tr>
      <w:tr>
        <w:tblPrEx>
          <w:tblLayout w:type="fixed"/>
        </w:tblPrEx>
        <w:trPr>
          <w:cantSplit/>
        </w:trPr>
        <w:tc>
          <w:tcPr>
            <w:tcW w:w="2443" w:type="dxa"/>
            <w:vMerge w:val="continue"/>
            <w:tcBorders>
              <w:top w:val="single" w:color="000000" w:sz="16" w:space="0"/>
              <w:left w:val="single" w:color="000000" w:sz="16" w:space="0"/>
              <w:bottom w:val="single" w:color="000000" w:sz="8" w:space="0"/>
              <w:right w:val="single" w:color="auto" w:sz="12" w:space="0"/>
            </w:tcBorders>
            <w:shd w:val="clear" w:color="auto" w:fill="FFFFFF"/>
          </w:tcPr>
          <w:p>
            <w:pPr>
              <w:spacing w:after="0" w:line="240" w:lineRule="auto"/>
              <w:rPr>
                <w:rFonts w:ascii="Times New Roman" w:hAnsi="Times New Roman" w:cs="Times New Roman"/>
                <w:color w:val="000000"/>
                <w:sz w:val="25"/>
                <w:szCs w:val="25"/>
              </w:rPr>
            </w:pPr>
          </w:p>
        </w:tc>
        <w:tc>
          <w:tcPr>
            <w:tcW w:w="1440" w:type="dxa"/>
            <w:tcBorders>
              <w:left w:val="single" w:color="auto" w:sz="12" w:space="0"/>
              <w:right w:val="single" w:color="000000" w:sz="16" w:space="0"/>
            </w:tcBorders>
            <w:shd w:val="clear" w:color="auto" w:fill="FFFFFF"/>
          </w:tcPr>
          <w:p>
            <w:pPr>
              <w:spacing w:after="0" w:line="240" w:lineRule="auto"/>
              <w:ind w:left="60" w:right="60"/>
              <w:rPr>
                <w:rFonts w:ascii="Times New Roman" w:hAnsi="Times New Roman" w:cs="Times New Roman"/>
                <w:color w:val="000000"/>
                <w:sz w:val="25"/>
                <w:szCs w:val="25"/>
              </w:rPr>
            </w:pPr>
            <w:r>
              <w:rPr>
                <w:rFonts w:ascii="Times New Roman" w:hAnsi="Times New Roman" w:cs="Times New Roman"/>
                <w:color w:val="000000"/>
                <w:sz w:val="25"/>
                <w:szCs w:val="25"/>
              </w:rPr>
              <w:t>Minimum</w:t>
            </w:r>
          </w:p>
        </w:tc>
        <w:tc>
          <w:tcPr>
            <w:tcW w:w="976" w:type="dxa"/>
            <w:tcBorders>
              <w:left w:val="single" w:color="000000" w:sz="16" w:space="0"/>
              <w:right w:val="single" w:color="000000" w:sz="8"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w:t>
            </w:r>
          </w:p>
        </w:tc>
        <w:tc>
          <w:tcPr>
            <w:tcW w:w="978" w:type="dxa"/>
            <w:tcBorders>
              <w:left w:val="single" w:color="000000" w:sz="8" w:space="0"/>
              <w:right w:val="single" w:color="000000" w:sz="8" w:space="0"/>
            </w:tcBorders>
            <w:shd w:val="clear" w:color="auto" w:fill="FFFFFF"/>
            <w:vAlign w:val="center"/>
          </w:tcPr>
          <w:p>
            <w:pPr>
              <w:spacing w:after="0" w:line="240" w:lineRule="auto"/>
              <w:rPr>
                <w:rFonts w:ascii="Times New Roman" w:hAnsi="Times New Roman" w:cs="Times New Roman"/>
                <w:sz w:val="25"/>
                <w:szCs w:val="25"/>
              </w:rPr>
            </w:pPr>
          </w:p>
        </w:tc>
        <w:tc>
          <w:tcPr>
            <w:tcW w:w="1071" w:type="dxa"/>
            <w:tcBorders>
              <w:left w:val="single" w:color="000000" w:sz="8" w:space="0"/>
              <w:right w:val="single" w:color="000000" w:sz="8" w:space="0"/>
            </w:tcBorders>
            <w:shd w:val="clear" w:color="auto" w:fill="FFFFFF"/>
            <w:vAlign w:val="center"/>
          </w:tcPr>
          <w:p>
            <w:pPr>
              <w:spacing w:after="0" w:line="240" w:lineRule="auto"/>
              <w:rPr>
                <w:rFonts w:ascii="Times New Roman" w:hAnsi="Times New Roman" w:cs="Times New Roman"/>
                <w:sz w:val="25"/>
                <w:szCs w:val="25"/>
              </w:rPr>
            </w:pPr>
          </w:p>
        </w:tc>
        <w:tc>
          <w:tcPr>
            <w:tcW w:w="1162" w:type="dxa"/>
            <w:tcBorders>
              <w:left w:val="single" w:color="000000" w:sz="8" w:space="0"/>
              <w:right w:val="single" w:color="000000" w:sz="8" w:space="0"/>
            </w:tcBorders>
            <w:shd w:val="clear" w:color="auto" w:fill="FFFFFF"/>
            <w:vAlign w:val="center"/>
          </w:tcPr>
          <w:p>
            <w:pPr>
              <w:spacing w:after="0" w:line="240" w:lineRule="auto"/>
              <w:rPr>
                <w:rFonts w:ascii="Times New Roman" w:hAnsi="Times New Roman" w:cs="Times New Roman"/>
                <w:sz w:val="25"/>
                <w:szCs w:val="25"/>
              </w:rPr>
            </w:pPr>
          </w:p>
        </w:tc>
        <w:tc>
          <w:tcPr>
            <w:tcW w:w="1169" w:type="dxa"/>
            <w:tcBorders>
              <w:left w:val="single" w:color="000000" w:sz="8" w:space="0"/>
              <w:right w:val="single" w:color="000000" w:sz="16" w:space="0"/>
            </w:tcBorders>
            <w:shd w:val="clear" w:color="auto" w:fill="FFFFFF"/>
            <w:vAlign w:val="center"/>
          </w:tcPr>
          <w:p>
            <w:pPr>
              <w:spacing w:after="0" w:line="240" w:lineRule="auto"/>
              <w:rPr>
                <w:rFonts w:ascii="Times New Roman" w:hAnsi="Times New Roman" w:cs="Times New Roman"/>
                <w:sz w:val="25"/>
                <w:szCs w:val="25"/>
              </w:rPr>
            </w:pPr>
          </w:p>
        </w:tc>
      </w:tr>
      <w:tr>
        <w:tblPrEx>
          <w:tblLayout w:type="fixed"/>
        </w:tblPrEx>
        <w:trPr>
          <w:cantSplit/>
        </w:trPr>
        <w:tc>
          <w:tcPr>
            <w:tcW w:w="2443" w:type="dxa"/>
            <w:vMerge w:val="continue"/>
            <w:tcBorders>
              <w:top w:val="single" w:color="000000" w:sz="16" w:space="0"/>
              <w:left w:val="single" w:color="000000" w:sz="16" w:space="0"/>
              <w:bottom w:val="single" w:color="000000" w:sz="8" w:space="0"/>
              <w:right w:val="single" w:color="auto" w:sz="12" w:space="0"/>
            </w:tcBorders>
            <w:shd w:val="clear" w:color="auto" w:fill="FFFFFF"/>
          </w:tcPr>
          <w:p>
            <w:pPr>
              <w:spacing w:after="0" w:line="240" w:lineRule="auto"/>
              <w:rPr>
                <w:rFonts w:ascii="Times New Roman" w:hAnsi="Times New Roman" w:cs="Times New Roman"/>
                <w:sz w:val="25"/>
                <w:szCs w:val="25"/>
              </w:rPr>
            </w:pPr>
          </w:p>
        </w:tc>
        <w:tc>
          <w:tcPr>
            <w:tcW w:w="1440" w:type="dxa"/>
            <w:tcBorders>
              <w:left w:val="single" w:color="auto" w:sz="12" w:space="0"/>
              <w:right w:val="single" w:color="000000" w:sz="16" w:space="0"/>
            </w:tcBorders>
            <w:shd w:val="clear" w:color="auto" w:fill="FFFFFF"/>
          </w:tcPr>
          <w:p>
            <w:pPr>
              <w:spacing w:after="0" w:line="240" w:lineRule="auto"/>
              <w:ind w:left="60" w:right="60"/>
              <w:rPr>
                <w:rFonts w:ascii="Times New Roman" w:hAnsi="Times New Roman" w:cs="Times New Roman"/>
                <w:color w:val="000000"/>
                <w:sz w:val="25"/>
                <w:szCs w:val="25"/>
              </w:rPr>
            </w:pPr>
            <w:r>
              <w:rPr>
                <w:rFonts w:ascii="Times New Roman" w:hAnsi="Times New Roman" w:cs="Times New Roman"/>
                <w:color w:val="000000"/>
                <w:sz w:val="25"/>
                <w:szCs w:val="25"/>
              </w:rPr>
              <w:t>Maximum</w:t>
            </w:r>
          </w:p>
        </w:tc>
        <w:tc>
          <w:tcPr>
            <w:tcW w:w="976" w:type="dxa"/>
            <w:tcBorders>
              <w:left w:val="single" w:color="000000" w:sz="16" w:space="0"/>
              <w:right w:val="single" w:color="000000" w:sz="8"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5.00</w:t>
            </w:r>
          </w:p>
        </w:tc>
        <w:tc>
          <w:tcPr>
            <w:tcW w:w="978" w:type="dxa"/>
            <w:tcBorders>
              <w:left w:val="single" w:color="000000" w:sz="8" w:space="0"/>
              <w:right w:val="single" w:color="000000" w:sz="8" w:space="0"/>
            </w:tcBorders>
            <w:shd w:val="clear" w:color="auto" w:fill="FFFFFF"/>
            <w:vAlign w:val="center"/>
          </w:tcPr>
          <w:p>
            <w:pPr>
              <w:spacing w:after="0" w:line="240" w:lineRule="auto"/>
              <w:rPr>
                <w:rFonts w:ascii="Times New Roman" w:hAnsi="Times New Roman" w:cs="Times New Roman"/>
                <w:sz w:val="25"/>
                <w:szCs w:val="25"/>
              </w:rPr>
            </w:pPr>
          </w:p>
        </w:tc>
        <w:tc>
          <w:tcPr>
            <w:tcW w:w="1071" w:type="dxa"/>
            <w:tcBorders>
              <w:left w:val="single" w:color="000000" w:sz="8" w:space="0"/>
              <w:right w:val="single" w:color="000000" w:sz="8" w:space="0"/>
            </w:tcBorders>
            <w:shd w:val="clear" w:color="auto" w:fill="FFFFFF"/>
            <w:vAlign w:val="center"/>
          </w:tcPr>
          <w:p>
            <w:pPr>
              <w:spacing w:after="0" w:line="240" w:lineRule="auto"/>
              <w:rPr>
                <w:rFonts w:ascii="Times New Roman" w:hAnsi="Times New Roman" w:cs="Times New Roman"/>
                <w:sz w:val="25"/>
                <w:szCs w:val="25"/>
              </w:rPr>
            </w:pPr>
          </w:p>
        </w:tc>
        <w:tc>
          <w:tcPr>
            <w:tcW w:w="1162" w:type="dxa"/>
            <w:tcBorders>
              <w:left w:val="single" w:color="000000" w:sz="8" w:space="0"/>
              <w:right w:val="single" w:color="000000" w:sz="8" w:space="0"/>
            </w:tcBorders>
            <w:shd w:val="clear" w:color="auto" w:fill="FFFFFF"/>
            <w:vAlign w:val="center"/>
          </w:tcPr>
          <w:p>
            <w:pPr>
              <w:spacing w:after="0" w:line="240" w:lineRule="auto"/>
              <w:rPr>
                <w:rFonts w:ascii="Times New Roman" w:hAnsi="Times New Roman" w:cs="Times New Roman"/>
                <w:sz w:val="25"/>
                <w:szCs w:val="25"/>
              </w:rPr>
            </w:pPr>
          </w:p>
        </w:tc>
        <w:tc>
          <w:tcPr>
            <w:tcW w:w="1169" w:type="dxa"/>
            <w:tcBorders>
              <w:left w:val="single" w:color="000000" w:sz="8" w:space="0"/>
              <w:right w:val="single" w:color="000000" w:sz="16" w:space="0"/>
            </w:tcBorders>
            <w:shd w:val="clear" w:color="auto" w:fill="FFFFFF"/>
            <w:vAlign w:val="center"/>
          </w:tcPr>
          <w:p>
            <w:pPr>
              <w:spacing w:after="0" w:line="240" w:lineRule="auto"/>
              <w:rPr>
                <w:rFonts w:ascii="Times New Roman" w:hAnsi="Times New Roman" w:cs="Times New Roman"/>
                <w:sz w:val="25"/>
                <w:szCs w:val="25"/>
              </w:rPr>
            </w:pPr>
          </w:p>
        </w:tc>
      </w:tr>
      <w:tr>
        <w:tblPrEx>
          <w:tblLayout w:type="fixed"/>
        </w:tblPrEx>
        <w:trPr>
          <w:cantSplit/>
        </w:trPr>
        <w:tc>
          <w:tcPr>
            <w:tcW w:w="2443" w:type="dxa"/>
            <w:vMerge w:val="continue"/>
            <w:tcBorders>
              <w:top w:val="single" w:color="000000" w:sz="16" w:space="0"/>
              <w:left w:val="single" w:color="000000" w:sz="16" w:space="0"/>
              <w:bottom w:val="single" w:color="000000" w:sz="8" w:space="0"/>
              <w:right w:val="single" w:color="auto" w:sz="12" w:space="0"/>
            </w:tcBorders>
            <w:shd w:val="clear" w:color="auto" w:fill="FFFFFF"/>
          </w:tcPr>
          <w:p>
            <w:pPr>
              <w:spacing w:after="0" w:line="240" w:lineRule="auto"/>
              <w:rPr>
                <w:rFonts w:ascii="Times New Roman" w:hAnsi="Times New Roman" w:cs="Times New Roman"/>
                <w:sz w:val="25"/>
                <w:szCs w:val="25"/>
              </w:rPr>
            </w:pPr>
          </w:p>
        </w:tc>
        <w:tc>
          <w:tcPr>
            <w:tcW w:w="1440" w:type="dxa"/>
            <w:tcBorders>
              <w:left w:val="single" w:color="auto" w:sz="12" w:space="0"/>
              <w:right w:val="single" w:color="000000" w:sz="16" w:space="0"/>
            </w:tcBorders>
            <w:shd w:val="clear" w:color="auto" w:fill="FFFFFF"/>
          </w:tcPr>
          <w:p>
            <w:pPr>
              <w:spacing w:after="0" w:line="240" w:lineRule="auto"/>
              <w:ind w:left="60" w:right="60"/>
              <w:rPr>
                <w:rFonts w:ascii="Times New Roman" w:hAnsi="Times New Roman" w:cs="Times New Roman"/>
                <w:color w:val="000000"/>
                <w:sz w:val="25"/>
                <w:szCs w:val="25"/>
              </w:rPr>
            </w:pPr>
            <w:r>
              <w:rPr>
                <w:rFonts w:ascii="Times New Roman" w:hAnsi="Times New Roman" w:cs="Times New Roman"/>
                <w:color w:val="000000"/>
                <w:sz w:val="25"/>
                <w:szCs w:val="25"/>
              </w:rPr>
              <w:t>Mean</w:t>
            </w:r>
          </w:p>
        </w:tc>
        <w:tc>
          <w:tcPr>
            <w:tcW w:w="976" w:type="dxa"/>
            <w:tcBorders>
              <w:left w:val="single" w:color="000000" w:sz="16" w:space="0"/>
              <w:right w:val="single" w:color="000000" w:sz="8"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4.1435</w:t>
            </w:r>
          </w:p>
        </w:tc>
        <w:tc>
          <w:tcPr>
            <w:tcW w:w="978" w:type="dxa"/>
            <w:tcBorders>
              <w:left w:val="single" w:color="000000" w:sz="8" w:space="0"/>
              <w:right w:val="single" w:color="000000" w:sz="8"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-.0027</w:t>
            </w:r>
          </w:p>
        </w:tc>
        <w:tc>
          <w:tcPr>
            <w:tcW w:w="1071" w:type="dxa"/>
            <w:tcBorders>
              <w:left w:val="single" w:color="000000" w:sz="8" w:space="0"/>
              <w:right w:val="single" w:color="000000" w:sz="8"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.0736</w:t>
            </w:r>
          </w:p>
        </w:tc>
        <w:tc>
          <w:tcPr>
            <w:tcW w:w="1162" w:type="dxa"/>
            <w:tcBorders>
              <w:left w:val="single" w:color="000000" w:sz="8" w:space="0"/>
              <w:right w:val="single" w:color="000000" w:sz="8"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3.9739</w:t>
            </w:r>
          </w:p>
        </w:tc>
        <w:tc>
          <w:tcPr>
            <w:tcW w:w="1169" w:type="dxa"/>
            <w:tcBorders>
              <w:left w:val="single" w:color="000000" w:sz="8" w:space="0"/>
              <w:right w:val="single" w:color="000000" w:sz="16"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4.2739</w:t>
            </w:r>
          </w:p>
        </w:tc>
      </w:tr>
      <w:tr>
        <w:tblPrEx>
          <w:tblLayout w:type="fixed"/>
        </w:tblPrEx>
        <w:trPr>
          <w:cantSplit/>
        </w:trPr>
        <w:tc>
          <w:tcPr>
            <w:tcW w:w="2443" w:type="dxa"/>
            <w:vMerge w:val="continue"/>
            <w:tcBorders>
              <w:top w:val="single" w:color="000000" w:sz="16" w:space="0"/>
              <w:left w:val="single" w:color="000000" w:sz="16" w:space="0"/>
              <w:bottom w:val="single" w:color="000000" w:sz="8" w:space="0"/>
              <w:right w:val="single" w:color="auto" w:sz="12" w:space="0"/>
            </w:tcBorders>
            <w:shd w:val="clear" w:color="auto" w:fill="FFFFFF"/>
          </w:tcPr>
          <w:p>
            <w:pPr>
              <w:spacing w:after="0" w:line="240" w:lineRule="auto"/>
              <w:rPr>
                <w:rFonts w:ascii="Times New Roman" w:hAnsi="Times New Roman" w:cs="Times New Roman"/>
                <w:color w:val="000000"/>
                <w:sz w:val="25"/>
                <w:szCs w:val="25"/>
              </w:rPr>
            </w:pPr>
          </w:p>
        </w:tc>
        <w:tc>
          <w:tcPr>
            <w:tcW w:w="1440" w:type="dxa"/>
            <w:tcBorders>
              <w:left w:val="single" w:color="auto" w:sz="12" w:space="0"/>
              <w:bottom w:val="single" w:color="000000" w:sz="8" w:space="0"/>
              <w:right w:val="single" w:color="000000" w:sz="16" w:space="0"/>
            </w:tcBorders>
            <w:shd w:val="clear" w:color="auto" w:fill="FFFFFF"/>
          </w:tcPr>
          <w:p>
            <w:pPr>
              <w:spacing w:after="0" w:line="240" w:lineRule="auto"/>
              <w:ind w:left="60" w:right="60"/>
              <w:rPr>
                <w:rFonts w:ascii="Times New Roman" w:hAnsi="Times New Roman" w:cs="Times New Roman"/>
                <w:color w:val="000000"/>
                <w:sz w:val="25"/>
                <w:szCs w:val="25"/>
              </w:rPr>
            </w:pPr>
            <w:r>
              <w:rPr>
                <w:rFonts w:ascii="Times New Roman" w:hAnsi="Times New Roman" w:cs="Times New Roman"/>
                <w:color w:val="000000"/>
                <w:sz w:val="25"/>
                <w:szCs w:val="25"/>
              </w:rPr>
              <w:t>Std. Deviation</w:t>
            </w:r>
          </w:p>
        </w:tc>
        <w:tc>
          <w:tcPr>
            <w:tcW w:w="976" w:type="dxa"/>
            <w:tcBorders>
              <w:left w:val="single" w:color="000000" w:sz="16" w:space="0"/>
              <w:bottom w:val="single" w:color="000000" w:sz="8" w:space="0"/>
              <w:right w:val="single" w:color="000000" w:sz="8"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1.03701</w:t>
            </w:r>
          </w:p>
        </w:tc>
        <w:tc>
          <w:tcPr>
            <w:tcW w:w="978" w:type="dxa"/>
            <w:tcBorders>
              <w:left w:val="single" w:color="000000" w:sz="8" w:space="0"/>
              <w:bottom w:val="single" w:color="000000" w:sz="8" w:space="0"/>
              <w:right w:val="single" w:color="000000" w:sz="8"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-.00127</w:t>
            </w:r>
          </w:p>
        </w:tc>
        <w:tc>
          <w:tcPr>
            <w:tcW w:w="1071" w:type="dxa"/>
            <w:tcBorders>
              <w:left w:val="single" w:color="000000" w:sz="8" w:space="0"/>
              <w:bottom w:val="single" w:color="000000" w:sz="8" w:space="0"/>
              <w:right w:val="single" w:color="000000" w:sz="8"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.07149</w:t>
            </w:r>
          </w:p>
        </w:tc>
        <w:tc>
          <w:tcPr>
            <w:tcW w:w="1162" w:type="dxa"/>
            <w:tcBorders>
              <w:left w:val="single" w:color="000000" w:sz="8" w:space="0"/>
              <w:bottom w:val="single" w:color="000000" w:sz="8" w:space="0"/>
              <w:right w:val="single" w:color="000000" w:sz="8"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.89701</w:t>
            </w:r>
          </w:p>
        </w:tc>
        <w:tc>
          <w:tcPr>
            <w:tcW w:w="1169" w:type="dxa"/>
            <w:tcBorders>
              <w:left w:val="single" w:color="000000" w:sz="8" w:space="0"/>
              <w:bottom w:val="single" w:color="000000" w:sz="8" w:space="0"/>
              <w:right w:val="single" w:color="000000" w:sz="16"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1.17527</w:t>
            </w:r>
          </w:p>
        </w:tc>
      </w:tr>
      <w:tr>
        <w:tblPrEx>
          <w:tblLayout w:type="fixed"/>
        </w:tblPrEx>
        <w:trPr>
          <w:cantSplit/>
        </w:trPr>
        <w:tc>
          <w:tcPr>
            <w:tcW w:w="2443" w:type="dxa"/>
            <w:vMerge w:val="restart"/>
            <w:tcBorders>
              <w:left w:val="single" w:color="000000" w:sz="16" w:space="0"/>
              <w:bottom w:val="single" w:color="000000" w:sz="8" w:space="0"/>
              <w:right w:val="single" w:color="auto" w:sz="12" w:space="0"/>
            </w:tcBorders>
            <w:shd w:val="clear" w:color="auto" w:fill="FFFFFF"/>
          </w:tcPr>
          <w:p>
            <w:pPr>
              <w:spacing w:after="0" w:line="240" w:lineRule="auto"/>
              <w:ind w:left="60" w:right="60"/>
              <w:rPr>
                <w:rFonts w:ascii="Times New Roman" w:hAnsi="Times New Roman" w:cs="Times New Roman"/>
                <w:color w:val="000000"/>
                <w:sz w:val="25"/>
                <w:szCs w:val="25"/>
              </w:rPr>
            </w:pPr>
            <w:r>
              <w:rPr>
                <w:rFonts w:ascii="Times New Roman" w:hAnsi="Times New Roman" w:cs="Times New Roman"/>
                <w:sz w:val="25"/>
                <w:szCs w:val="25"/>
              </w:rPr>
              <w:t>Green management of organizational culture.</w:t>
            </w:r>
          </w:p>
        </w:tc>
        <w:tc>
          <w:tcPr>
            <w:tcW w:w="1440" w:type="dxa"/>
            <w:tcBorders>
              <w:left w:val="single" w:color="auto" w:sz="12" w:space="0"/>
              <w:right w:val="single" w:color="000000" w:sz="16" w:space="0"/>
            </w:tcBorders>
            <w:shd w:val="clear" w:color="auto" w:fill="FFFFFF"/>
          </w:tcPr>
          <w:p>
            <w:pPr>
              <w:spacing w:after="0" w:line="240" w:lineRule="auto"/>
              <w:ind w:left="60" w:right="60"/>
              <w:rPr>
                <w:rFonts w:ascii="Times New Roman" w:hAnsi="Times New Roman" w:cs="Times New Roman"/>
                <w:color w:val="000000"/>
                <w:sz w:val="25"/>
                <w:szCs w:val="25"/>
              </w:rPr>
            </w:pPr>
            <w:r>
              <w:rPr>
                <w:rFonts w:ascii="Times New Roman" w:hAnsi="Times New Roman" w:cs="Times New Roman"/>
                <w:color w:val="000000"/>
                <w:sz w:val="25"/>
                <w:szCs w:val="25"/>
              </w:rPr>
              <w:t>N</w:t>
            </w:r>
          </w:p>
        </w:tc>
        <w:tc>
          <w:tcPr>
            <w:tcW w:w="976" w:type="dxa"/>
            <w:tcBorders>
              <w:left w:val="single" w:color="000000" w:sz="16" w:space="0"/>
              <w:right w:val="single" w:color="000000" w:sz="8"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50</w:t>
            </w:r>
          </w:p>
        </w:tc>
        <w:tc>
          <w:tcPr>
            <w:tcW w:w="978" w:type="dxa"/>
            <w:tcBorders>
              <w:left w:val="single" w:color="000000" w:sz="8" w:space="0"/>
              <w:right w:val="single" w:color="000000" w:sz="8"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0</w:t>
            </w:r>
          </w:p>
        </w:tc>
        <w:tc>
          <w:tcPr>
            <w:tcW w:w="1071" w:type="dxa"/>
            <w:tcBorders>
              <w:left w:val="single" w:color="000000" w:sz="8" w:space="0"/>
              <w:right w:val="single" w:color="000000" w:sz="8"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0</w:t>
            </w:r>
          </w:p>
        </w:tc>
        <w:tc>
          <w:tcPr>
            <w:tcW w:w="1162" w:type="dxa"/>
            <w:tcBorders>
              <w:left w:val="single" w:color="000000" w:sz="8" w:space="0"/>
              <w:right w:val="single" w:color="000000" w:sz="8"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50</w:t>
            </w:r>
          </w:p>
        </w:tc>
        <w:tc>
          <w:tcPr>
            <w:tcW w:w="1169" w:type="dxa"/>
            <w:tcBorders>
              <w:left w:val="single" w:color="000000" w:sz="8" w:space="0"/>
              <w:right w:val="single" w:color="000000" w:sz="16"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50</w:t>
            </w:r>
          </w:p>
        </w:tc>
      </w:tr>
      <w:tr>
        <w:tblPrEx>
          <w:tblLayout w:type="fixed"/>
        </w:tblPrEx>
        <w:trPr>
          <w:cantSplit/>
        </w:trPr>
        <w:tc>
          <w:tcPr>
            <w:tcW w:w="2443" w:type="dxa"/>
            <w:vMerge w:val="continue"/>
            <w:tcBorders>
              <w:left w:val="single" w:color="000000" w:sz="16" w:space="0"/>
              <w:bottom w:val="single" w:color="000000" w:sz="8" w:space="0"/>
              <w:right w:val="single" w:color="auto" w:sz="12" w:space="0"/>
            </w:tcBorders>
            <w:shd w:val="clear" w:color="auto" w:fill="FFFFFF"/>
          </w:tcPr>
          <w:p>
            <w:pPr>
              <w:spacing w:after="0" w:line="240" w:lineRule="auto"/>
              <w:rPr>
                <w:rFonts w:ascii="Times New Roman" w:hAnsi="Times New Roman" w:cs="Times New Roman"/>
                <w:color w:val="000000"/>
                <w:sz w:val="25"/>
                <w:szCs w:val="25"/>
              </w:rPr>
            </w:pPr>
          </w:p>
        </w:tc>
        <w:tc>
          <w:tcPr>
            <w:tcW w:w="1440" w:type="dxa"/>
            <w:tcBorders>
              <w:left w:val="single" w:color="auto" w:sz="12" w:space="0"/>
              <w:right w:val="single" w:color="000000" w:sz="16" w:space="0"/>
            </w:tcBorders>
            <w:shd w:val="clear" w:color="auto" w:fill="FFFFFF"/>
          </w:tcPr>
          <w:p>
            <w:pPr>
              <w:spacing w:after="0" w:line="240" w:lineRule="auto"/>
              <w:ind w:left="60" w:right="60"/>
              <w:rPr>
                <w:rFonts w:ascii="Times New Roman" w:hAnsi="Times New Roman" w:cs="Times New Roman"/>
                <w:color w:val="000000"/>
                <w:sz w:val="25"/>
                <w:szCs w:val="25"/>
              </w:rPr>
            </w:pPr>
            <w:r>
              <w:rPr>
                <w:rFonts w:ascii="Times New Roman" w:hAnsi="Times New Roman" w:cs="Times New Roman"/>
                <w:color w:val="000000"/>
                <w:sz w:val="25"/>
                <w:szCs w:val="25"/>
              </w:rPr>
              <w:t>Minimum</w:t>
            </w:r>
          </w:p>
        </w:tc>
        <w:tc>
          <w:tcPr>
            <w:tcW w:w="976" w:type="dxa"/>
            <w:tcBorders>
              <w:left w:val="single" w:color="000000" w:sz="16" w:space="0"/>
              <w:right w:val="single" w:color="000000" w:sz="8"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w:t>
            </w:r>
          </w:p>
        </w:tc>
        <w:tc>
          <w:tcPr>
            <w:tcW w:w="978" w:type="dxa"/>
            <w:tcBorders>
              <w:left w:val="single" w:color="000000" w:sz="8" w:space="0"/>
              <w:right w:val="single" w:color="000000" w:sz="8" w:space="0"/>
            </w:tcBorders>
            <w:shd w:val="clear" w:color="auto" w:fill="FFFFFF"/>
            <w:vAlign w:val="center"/>
          </w:tcPr>
          <w:p>
            <w:pPr>
              <w:spacing w:after="0" w:line="240" w:lineRule="auto"/>
              <w:rPr>
                <w:rFonts w:ascii="Times New Roman" w:hAnsi="Times New Roman" w:cs="Times New Roman"/>
                <w:sz w:val="25"/>
                <w:szCs w:val="25"/>
              </w:rPr>
            </w:pPr>
          </w:p>
        </w:tc>
        <w:tc>
          <w:tcPr>
            <w:tcW w:w="1071" w:type="dxa"/>
            <w:tcBorders>
              <w:left w:val="single" w:color="000000" w:sz="8" w:space="0"/>
              <w:right w:val="single" w:color="000000" w:sz="8" w:space="0"/>
            </w:tcBorders>
            <w:shd w:val="clear" w:color="auto" w:fill="FFFFFF"/>
            <w:vAlign w:val="center"/>
          </w:tcPr>
          <w:p>
            <w:pPr>
              <w:spacing w:after="0" w:line="240" w:lineRule="auto"/>
              <w:rPr>
                <w:rFonts w:ascii="Times New Roman" w:hAnsi="Times New Roman" w:cs="Times New Roman"/>
                <w:sz w:val="25"/>
                <w:szCs w:val="25"/>
              </w:rPr>
            </w:pPr>
          </w:p>
        </w:tc>
        <w:tc>
          <w:tcPr>
            <w:tcW w:w="1162" w:type="dxa"/>
            <w:tcBorders>
              <w:left w:val="single" w:color="000000" w:sz="8" w:space="0"/>
              <w:right w:val="single" w:color="000000" w:sz="8" w:space="0"/>
            </w:tcBorders>
            <w:shd w:val="clear" w:color="auto" w:fill="FFFFFF"/>
            <w:vAlign w:val="center"/>
          </w:tcPr>
          <w:p>
            <w:pPr>
              <w:spacing w:after="0" w:line="240" w:lineRule="auto"/>
              <w:rPr>
                <w:rFonts w:ascii="Times New Roman" w:hAnsi="Times New Roman" w:cs="Times New Roman"/>
                <w:sz w:val="25"/>
                <w:szCs w:val="25"/>
              </w:rPr>
            </w:pPr>
          </w:p>
        </w:tc>
        <w:tc>
          <w:tcPr>
            <w:tcW w:w="1169" w:type="dxa"/>
            <w:tcBorders>
              <w:left w:val="single" w:color="000000" w:sz="8" w:space="0"/>
              <w:right w:val="single" w:color="000000" w:sz="16" w:space="0"/>
            </w:tcBorders>
            <w:shd w:val="clear" w:color="auto" w:fill="FFFFFF"/>
            <w:vAlign w:val="center"/>
          </w:tcPr>
          <w:p>
            <w:pPr>
              <w:spacing w:after="0" w:line="240" w:lineRule="auto"/>
              <w:rPr>
                <w:rFonts w:ascii="Times New Roman" w:hAnsi="Times New Roman" w:cs="Times New Roman"/>
                <w:sz w:val="25"/>
                <w:szCs w:val="25"/>
              </w:rPr>
            </w:pPr>
          </w:p>
        </w:tc>
      </w:tr>
      <w:tr>
        <w:tblPrEx>
          <w:tblLayout w:type="fixed"/>
        </w:tblPrEx>
        <w:trPr>
          <w:cantSplit/>
        </w:trPr>
        <w:tc>
          <w:tcPr>
            <w:tcW w:w="2443" w:type="dxa"/>
            <w:vMerge w:val="continue"/>
            <w:tcBorders>
              <w:left w:val="single" w:color="000000" w:sz="16" w:space="0"/>
              <w:bottom w:val="single" w:color="000000" w:sz="8" w:space="0"/>
              <w:right w:val="single" w:color="auto" w:sz="12" w:space="0"/>
            </w:tcBorders>
            <w:shd w:val="clear" w:color="auto" w:fill="FFFFFF"/>
          </w:tcPr>
          <w:p>
            <w:pPr>
              <w:spacing w:after="0" w:line="240" w:lineRule="auto"/>
              <w:rPr>
                <w:rFonts w:ascii="Times New Roman" w:hAnsi="Times New Roman" w:cs="Times New Roman"/>
                <w:sz w:val="25"/>
                <w:szCs w:val="25"/>
              </w:rPr>
            </w:pPr>
          </w:p>
        </w:tc>
        <w:tc>
          <w:tcPr>
            <w:tcW w:w="1440" w:type="dxa"/>
            <w:tcBorders>
              <w:left w:val="single" w:color="auto" w:sz="12" w:space="0"/>
              <w:right w:val="single" w:color="000000" w:sz="16" w:space="0"/>
            </w:tcBorders>
            <w:shd w:val="clear" w:color="auto" w:fill="FFFFFF"/>
          </w:tcPr>
          <w:p>
            <w:pPr>
              <w:spacing w:after="0" w:line="240" w:lineRule="auto"/>
              <w:ind w:left="60" w:right="60"/>
              <w:rPr>
                <w:rFonts w:ascii="Times New Roman" w:hAnsi="Times New Roman" w:cs="Times New Roman"/>
                <w:color w:val="000000"/>
                <w:sz w:val="25"/>
                <w:szCs w:val="25"/>
              </w:rPr>
            </w:pPr>
            <w:r>
              <w:rPr>
                <w:rFonts w:ascii="Times New Roman" w:hAnsi="Times New Roman" w:cs="Times New Roman"/>
                <w:color w:val="000000"/>
                <w:sz w:val="25"/>
                <w:szCs w:val="25"/>
              </w:rPr>
              <w:t>Maximum</w:t>
            </w:r>
          </w:p>
        </w:tc>
        <w:tc>
          <w:tcPr>
            <w:tcW w:w="976" w:type="dxa"/>
            <w:tcBorders>
              <w:left w:val="single" w:color="000000" w:sz="16" w:space="0"/>
              <w:right w:val="single" w:color="000000" w:sz="8"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5.00</w:t>
            </w:r>
          </w:p>
        </w:tc>
        <w:tc>
          <w:tcPr>
            <w:tcW w:w="978" w:type="dxa"/>
            <w:tcBorders>
              <w:left w:val="single" w:color="000000" w:sz="8" w:space="0"/>
              <w:right w:val="single" w:color="000000" w:sz="8" w:space="0"/>
            </w:tcBorders>
            <w:shd w:val="clear" w:color="auto" w:fill="FFFFFF"/>
            <w:vAlign w:val="center"/>
          </w:tcPr>
          <w:p>
            <w:pPr>
              <w:spacing w:after="0" w:line="240" w:lineRule="auto"/>
              <w:rPr>
                <w:rFonts w:ascii="Times New Roman" w:hAnsi="Times New Roman" w:cs="Times New Roman"/>
                <w:sz w:val="25"/>
                <w:szCs w:val="25"/>
              </w:rPr>
            </w:pPr>
          </w:p>
        </w:tc>
        <w:tc>
          <w:tcPr>
            <w:tcW w:w="1071" w:type="dxa"/>
            <w:tcBorders>
              <w:left w:val="single" w:color="000000" w:sz="8" w:space="0"/>
              <w:right w:val="single" w:color="000000" w:sz="8" w:space="0"/>
            </w:tcBorders>
            <w:shd w:val="clear" w:color="auto" w:fill="FFFFFF"/>
            <w:vAlign w:val="center"/>
          </w:tcPr>
          <w:p>
            <w:pPr>
              <w:spacing w:after="0" w:line="240" w:lineRule="auto"/>
              <w:rPr>
                <w:rFonts w:ascii="Times New Roman" w:hAnsi="Times New Roman" w:cs="Times New Roman"/>
                <w:sz w:val="25"/>
                <w:szCs w:val="25"/>
              </w:rPr>
            </w:pPr>
          </w:p>
        </w:tc>
        <w:tc>
          <w:tcPr>
            <w:tcW w:w="1162" w:type="dxa"/>
            <w:tcBorders>
              <w:left w:val="single" w:color="000000" w:sz="8" w:space="0"/>
              <w:right w:val="single" w:color="000000" w:sz="8" w:space="0"/>
            </w:tcBorders>
            <w:shd w:val="clear" w:color="auto" w:fill="FFFFFF"/>
            <w:vAlign w:val="center"/>
          </w:tcPr>
          <w:p>
            <w:pPr>
              <w:spacing w:after="0" w:line="240" w:lineRule="auto"/>
              <w:rPr>
                <w:rFonts w:ascii="Times New Roman" w:hAnsi="Times New Roman" w:cs="Times New Roman"/>
                <w:sz w:val="25"/>
                <w:szCs w:val="25"/>
              </w:rPr>
            </w:pPr>
          </w:p>
        </w:tc>
        <w:tc>
          <w:tcPr>
            <w:tcW w:w="1169" w:type="dxa"/>
            <w:tcBorders>
              <w:left w:val="single" w:color="000000" w:sz="8" w:space="0"/>
              <w:right w:val="single" w:color="000000" w:sz="16" w:space="0"/>
            </w:tcBorders>
            <w:shd w:val="clear" w:color="auto" w:fill="FFFFFF"/>
            <w:vAlign w:val="center"/>
          </w:tcPr>
          <w:p>
            <w:pPr>
              <w:spacing w:after="0" w:line="240" w:lineRule="auto"/>
              <w:rPr>
                <w:rFonts w:ascii="Times New Roman" w:hAnsi="Times New Roman" w:cs="Times New Roman"/>
                <w:sz w:val="25"/>
                <w:szCs w:val="25"/>
              </w:rPr>
            </w:pPr>
          </w:p>
        </w:tc>
      </w:tr>
      <w:tr>
        <w:tblPrEx>
          <w:tblLayout w:type="fixed"/>
        </w:tblPrEx>
        <w:trPr>
          <w:cantSplit/>
        </w:trPr>
        <w:tc>
          <w:tcPr>
            <w:tcW w:w="2443" w:type="dxa"/>
            <w:vMerge w:val="continue"/>
            <w:tcBorders>
              <w:left w:val="single" w:color="000000" w:sz="16" w:space="0"/>
              <w:bottom w:val="single" w:color="000000" w:sz="8" w:space="0"/>
              <w:right w:val="single" w:color="auto" w:sz="12" w:space="0"/>
            </w:tcBorders>
            <w:shd w:val="clear" w:color="auto" w:fill="FFFFFF"/>
          </w:tcPr>
          <w:p>
            <w:pPr>
              <w:spacing w:after="0" w:line="240" w:lineRule="auto"/>
              <w:rPr>
                <w:rFonts w:ascii="Times New Roman" w:hAnsi="Times New Roman" w:cs="Times New Roman"/>
                <w:sz w:val="25"/>
                <w:szCs w:val="25"/>
              </w:rPr>
            </w:pPr>
          </w:p>
        </w:tc>
        <w:tc>
          <w:tcPr>
            <w:tcW w:w="1440" w:type="dxa"/>
            <w:tcBorders>
              <w:left w:val="single" w:color="auto" w:sz="12" w:space="0"/>
              <w:right w:val="single" w:color="000000" w:sz="16" w:space="0"/>
            </w:tcBorders>
            <w:shd w:val="clear" w:color="auto" w:fill="FFFFFF"/>
          </w:tcPr>
          <w:p>
            <w:pPr>
              <w:spacing w:after="0" w:line="240" w:lineRule="auto"/>
              <w:ind w:left="60" w:right="60"/>
              <w:rPr>
                <w:rFonts w:ascii="Times New Roman" w:hAnsi="Times New Roman" w:cs="Times New Roman"/>
                <w:color w:val="000000"/>
                <w:sz w:val="25"/>
                <w:szCs w:val="25"/>
              </w:rPr>
            </w:pPr>
            <w:r>
              <w:rPr>
                <w:rFonts w:ascii="Times New Roman" w:hAnsi="Times New Roman" w:cs="Times New Roman"/>
                <w:color w:val="000000"/>
                <w:sz w:val="25"/>
                <w:szCs w:val="25"/>
              </w:rPr>
              <w:t>Mean</w:t>
            </w:r>
          </w:p>
        </w:tc>
        <w:tc>
          <w:tcPr>
            <w:tcW w:w="976" w:type="dxa"/>
            <w:tcBorders>
              <w:left w:val="single" w:color="000000" w:sz="16" w:space="0"/>
              <w:right w:val="single" w:color="000000" w:sz="8"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4.1304</w:t>
            </w:r>
          </w:p>
        </w:tc>
        <w:tc>
          <w:tcPr>
            <w:tcW w:w="978" w:type="dxa"/>
            <w:tcBorders>
              <w:left w:val="single" w:color="000000" w:sz="8" w:space="0"/>
              <w:right w:val="single" w:color="000000" w:sz="8"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-.0009</w:t>
            </w:r>
          </w:p>
        </w:tc>
        <w:tc>
          <w:tcPr>
            <w:tcW w:w="1071" w:type="dxa"/>
            <w:tcBorders>
              <w:left w:val="single" w:color="000000" w:sz="8" w:space="0"/>
              <w:right w:val="single" w:color="000000" w:sz="8"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.0661</w:t>
            </w:r>
          </w:p>
        </w:tc>
        <w:tc>
          <w:tcPr>
            <w:tcW w:w="1162" w:type="dxa"/>
            <w:tcBorders>
              <w:left w:val="single" w:color="000000" w:sz="8" w:space="0"/>
              <w:right w:val="single" w:color="000000" w:sz="8"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3.9947</w:t>
            </w:r>
          </w:p>
        </w:tc>
        <w:tc>
          <w:tcPr>
            <w:tcW w:w="1169" w:type="dxa"/>
            <w:tcBorders>
              <w:left w:val="single" w:color="000000" w:sz="8" w:space="0"/>
              <w:right w:val="single" w:color="000000" w:sz="16"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4.2723</w:t>
            </w:r>
          </w:p>
        </w:tc>
      </w:tr>
      <w:tr>
        <w:tblPrEx>
          <w:tblLayout w:type="fixed"/>
        </w:tblPrEx>
        <w:trPr>
          <w:cantSplit/>
        </w:trPr>
        <w:tc>
          <w:tcPr>
            <w:tcW w:w="2443" w:type="dxa"/>
            <w:vMerge w:val="continue"/>
            <w:tcBorders>
              <w:left w:val="single" w:color="000000" w:sz="16" w:space="0"/>
              <w:bottom w:val="single" w:color="auto" w:sz="12" w:space="0"/>
              <w:right w:val="single" w:color="auto" w:sz="12" w:space="0"/>
            </w:tcBorders>
            <w:shd w:val="clear" w:color="auto" w:fill="FFFFFF"/>
          </w:tcPr>
          <w:p>
            <w:pPr>
              <w:spacing w:after="0" w:line="240" w:lineRule="auto"/>
              <w:rPr>
                <w:rFonts w:ascii="Times New Roman" w:hAnsi="Times New Roman" w:cs="Times New Roman"/>
                <w:color w:val="000000"/>
                <w:sz w:val="25"/>
                <w:szCs w:val="25"/>
              </w:rPr>
            </w:pPr>
          </w:p>
        </w:tc>
        <w:tc>
          <w:tcPr>
            <w:tcW w:w="1440" w:type="dxa"/>
            <w:tcBorders>
              <w:left w:val="single" w:color="auto" w:sz="12" w:space="0"/>
              <w:bottom w:val="single" w:color="auto" w:sz="12" w:space="0"/>
              <w:right w:val="single" w:color="000000" w:sz="16" w:space="0"/>
            </w:tcBorders>
            <w:shd w:val="clear" w:color="auto" w:fill="FFFFFF"/>
          </w:tcPr>
          <w:p>
            <w:pPr>
              <w:spacing w:after="0" w:line="240" w:lineRule="auto"/>
              <w:ind w:left="60" w:right="60"/>
              <w:rPr>
                <w:rFonts w:ascii="Times New Roman" w:hAnsi="Times New Roman" w:cs="Times New Roman"/>
                <w:color w:val="000000"/>
                <w:sz w:val="25"/>
                <w:szCs w:val="25"/>
              </w:rPr>
            </w:pPr>
            <w:r>
              <w:rPr>
                <w:rFonts w:ascii="Times New Roman" w:hAnsi="Times New Roman" w:cs="Times New Roman"/>
                <w:color w:val="000000"/>
                <w:sz w:val="25"/>
                <w:szCs w:val="25"/>
              </w:rPr>
              <w:t>Std. Deviation</w:t>
            </w:r>
          </w:p>
        </w:tc>
        <w:tc>
          <w:tcPr>
            <w:tcW w:w="976" w:type="dxa"/>
            <w:tcBorders>
              <w:left w:val="single" w:color="000000" w:sz="16" w:space="0"/>
              <w:bottom w:val="single" w:color="auto" w:sz="12" w:space="0"/>
              <w:right w:val="single" w:color="000000" w:sz="8"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.98035</w:t>
            </w:r>
          </w:p>
        </w:tc>
        <w:tc>
          <w:tcPr>
            <w:tcW w:w="978" w:type="dxa"/>
            <w:tcBorders>
              <w:left w:val="single" w:color="000000" w:sz="8" w:space="0"/>
              <w:bottom w:val="single" w:color="auto" w:sz="12" w:space="0"/>
              <w:right w:val="single" w:color="000000" w:sz="8"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-.00745</w:t>
            </w:r>
          </w:p>
        </w:tc>
        <w:tc>
          <w:tcPr>
            <w:tcW w:w="1071" w:type="dxa"/>
            <w:tcBorders>
              <w:left w:val="single" w:color="000000" w:sz="8" w:space="0"/>
              <w:bottom w:val="single" w:color="auto" w:sz="12" w:space="0"/>
              <w:right w:val="single" w:color="000000" w:sz="8"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.06254</w:t>
            </w:r>
          </w:p>
        </w:tc>
        <w:tc>
          <w:tcPr>
            <w:tcW w:w="1162" w:type="dxa"/>
            <w:tcBorders>
              <w:left w:val="single" w:color="000000" w:sz="8" w:space="0"/>
              <w:bottom w:val="single" w:color="auto" w:sz="12" w:space="0"/>
              <w:right w:val="single" w:color="000000" w:sz="8"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.83969</w:t>
            </w:r>
          </w:p>
        </w:tc>
        <w:tc>
          <w:tcPr>
            <w:tcW w:w="1169" w:type="dxa"/>
            <w:tcBorders>
              <w:left w:val="single" w:color="000000" w:sz="8" w:space="0"/>
              <w:bottom w:val="single" w:color="auto" w:sz="12" w:space="0"/>
              <w:right w:val="single" w:color="000000" w:sz="16"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1.09986</w:t>
            </w:r>
          </w:p>
        </w:tc>
      </w:tr>
      <w:tr>
        <w:tblPrEx>
          <w:tblLayout w:type="fixed"/>
        </w:tblPrEx>
        <w:trPr>
          <w:cantSplit/>
        </w:trPr>
        <w:tc>
          <w:tcPr>
            <w:tcW w:w="2443" w:type="dxa"/>
            <w:tcBorders>
              <w:top w:val="single" w:color="auto" w:sz="12" w:space="0"/>
              <w:left w:val="single" w:color="auto" w:sz="12" w:space="0"/>
              <w:right w:val="single" w:color="auto" w:sz="12" w:space="0"/>
            </w:tcBorders>
            <w:shd w:val="clear" w:color="auto" w:fill="FFFFFF"/>
          </w:tcPr>
          <w:p>
            <w:pPr>
              <w:spacing w:after="0" w:line="240" w:lineRule="auto"/>
              <w:ind w:left="60" w:right="60"/>
              <w:rPr>
                <w:rFonts w:ascii="Times New Roman" w:hAnsi="Times New Roman" w:cs="Times New Roman"/>
                <w:sz w:val="25"/>
                <w:szCs w:val="25"/>
              </w:rPr>
            </w:pPr>
          </w:p>
        </w:tc>
        <w:tc>
          <w:tcPr>
            <w:tcW w:w="1440" w:type="dxa"/>
            <w:tcBorders>
              <w:top w:val="single" w:color="auto" w:sz="12" w:space="0"/>
              <w:left w:val="single" w:color="auto" w:sz="12" w:space="0"/>
              <w:right w:val="single" w:color="auto" w:sz="12" w:space="0"/>
            </w:tcBorders>
            <w:shd w:val="clear" w:color="auto" w:fill="FFFFFF"/>
          </w:tcPr>
          <w:p>
            <w:pPr>
              <w:spacing w:after="0" w:line="240" w:lineRule="auto"/>
              <w:ind w:left="60" w:right="60"/>
              <w:rPr>
                <w:rFonts w:ascii="Times New Roman" w:hAnsi="Times New Roman" w:cs="Times New Roman"/>
                <w:color w:val="000000"/>
                <w:sz w:val="25"/>
                <w:szCs w:val="25"/>
              </w:rPr>
            </w:pPr>
            <w:r>
              <w:rPr>
                <w:rFonts w:ascii="Times New Roman" w:hAnsi="Times New Roman" w:cs="Times New Roman"/>
                <w:color w:val="000000"/>
                <w:sz w:val="25"/>
                <w:szCs w:val="25"/>
              </w:rPr>
              <w:t>N</w:t>
            </w:r>
          </w:p>
        </w:tc>
        <w:tc>
          <w:tcPr>
            <w:tcW w:w="976" w:type="dxa"/>
            <w:tcBorders>
              <w:top w:val="single" w:color="auto" w:sz="12" w:space="0"/>
              <w:left w:val="single" w:color="auto" w:sz="12" w:space="0"/>
              <w:right w:val="single" w:color="auto" w:sz="12"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50</w:t>
            </w:r>
          </w:p>
        </w:tc>
        <w:tc>
          <w:tcPr>
            <w:tcW w:w="978" w:type="dxa"/>
            <w:tcBorders>
              <w:top w:val="single" w:color="auto" w:sz="12" w:space="0"/>
              <w:left w:val="single" w:color="auto" w:sz="12" w:space="0"/>
              <w:right w:val="single" w:color="auto" w:sz="12"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0</w:t>
            </w:r>
          </w:p>
        </w:tc>
        <w:tc>
          <w:tcPr>
            <w:tcW w:w="1071" w:type="dxa"/>
            <w:tcBorders>
              <w:top w:val="single" w:color="auto" w:sz="12" w:space="0"/>
              <w:left w:val="single" w:color="auto" w:sz="12" w:space="0"/>
              <w:right w:val="single" w:color="auto" w:sz="12"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0</w:t>
            </w:r>
          </w:p>
        </w:tc>
        <w:tc>
          <w:tcPr>
            <w:tcW w:w="1162" w:type="dxa"/>
            <w:tcBorders>
              <w:top w:val="single" w:color="auto" w:sz="12" w:space="0"/>
              <w:left w:val="single" w:color="auto" w:sz="12" w:space="0"/>
              <w:right w:val="single" w:color="auto" w:sz="12"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50</w:t>
            </w:r>
          </w:p>
        </w:tc>
        <w:tc>
          <w:tcPr>
            <w:tcW w:w="1169" w:type="dxa"/>
            <w:tcBorders>
              <w:top w:val="single" w:color="auto" w:sz="12" w:space="0"/>
              <w:left w:val="single" w:color="auto" w:sz="12" w:space="0"/>
              <w:right w:val="single" w:color="auto" w:sz="12"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50</w:t>
            </w:r>
          </w:p>
        </w:tc>
      </w:tr>
      <w:tr>
        <w:tblPrEx>
          <w:tblLayout w:type="fixed"/>
        </w:tblPrEx>
        <w:trPr>
          <w:cantSplit/>
        </w:trPr>
        <w:tc>
          <w:tcPr>
            <w:tcW w:w="2443" w:type="dxa"/>
            <w:tcBorders>
              <w:left w:val="single" w:color="auto" w:sz="12" w:space="0"/>
              <w:right w:val="single" w:color="auto" w:sz="12" w:space="0"/>
            </w:tcBorders>
            <w:shd w:val="clear" w:color="auto" w:fill="FFFFFF"/>
          </w:tcPr>
          <w:p>
            <w:pPr>
              <w:spacing w:after="0" w:line="240" w:lineRule="auto"/>
              <w:ind w:right="60"/>
              <w:rPr>
                <w:rFonts w:ascii="Times New Roman" w:hAnsi="Times New Roman" w:cs="Times New Roman"/>
                <w:sz w:val="25"/>
                <w:szCs w:val="25"/>
              </w:rPr>
            </w:pPr>
            <w:r>
              <w:rPr>
                <w:rFonts w:ascii="Times New Roman" w:hAnsi="Times New Roman" w:cs="Times New Roman"/>
                <w:sz w:val="25"/>
                <w:szCs w:val="25"/>
              </w:rPr>
              <w:t>Green Performance</w:t>
            </w:r>
          </w:p>
        </w:tc>
        <w:tc>
          <w:tcPr>
            <w:tcW w:w="1440" w:type="dxa"/>
            <w:tcBorders>
              <w:left w:val="single" w:color="auto" w:sz="12" w:space="0"/>
              <w:right w:val="single" w:color="auto" w:sz="12" w:space="0"/>
            </w:tcBorders>
            <w:shd w:val="clear" w:color="auto" w:fill="FFFFFF"/>
          </w:tcPr>
          <w:p>
            <w:pPr>
              <w:spacing w:after="0" w:line="240" w:lineRule="auto"/>
              <w:ind w:left="60" w:right="60"/>
              <w:rPr>
                <w:rFonts w:ascii="Times New Roman" w:hAnsi="Times New Roman" w:cs="Times New Roman"/>
                <w:color w:val="000000"/>
                <w:sz w:val="25"/>
                <w:szCs w:val="25"/>
              </w:rPr>
            </w:pPr>
            <w:r>
              <w:rPr>
                <w:rFonts w:ascii="Times New Roman" w:hAnsi="Times New Roman" w:cs="Times New Roman"/>
                <w:color w:val="000000"/>
                <w:sz w:val="25"/>
                <w:szCs w:val="25"/>
              </w:rPr>
              <w:t>Minimum</w:t>
            </w:r>
          </w:p>
        </w:tc>
        <w:tc>
          <w:tcPr>
            <w:tcW w:w="976" w:type="dxa"/>
            <w:tcBorders>
              <w:left w:val="single" w:color="auto" w:sz="12" w:space="0"/>
              <w:right w:val="single" w:color="auto" w:sz="12"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w:t>
            </w:r>
          </w:p>
        </w:tc>
        <w:tc>
          <w:tcPr>
            <w:tcW w:w="978" w:type="dxa"/>
            <w:tcBorders>
              <w:left w:val="single" w:color="auto" w:sz="12" w:space="0"/>
              <w:right w:val="single" w:color="auto" w:sz="12"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p>
        </w:tc>
        <w:tc>
          <w:tcPr>
            <w:tcW w:w="1071" w:type="dxa"/>
            <w:tcBorders>
              <w:left w:val="single" w:color="auto" w:sz="12" w:space="0"/>
              <w:right w:val="single" w:color="auto" w:sz="12"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p>
        </w:tc>
        <w:tc>
          <w:tcPr>
            <w:tcW w:w="1162" w:type="dxa"/>
            <w:tcBorders>
              <w:left w:val="single" w:color="auto" w:sz="12" w:space="0"/>
              <w:right w:val="single" w:color="auto" w:sz="12"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p>
        </w:tc>
        <w:tc>
          <w:tcPr>
            <w:tcW w:w="1169" w:type="dxa"/>
            <w:tcBorders>
              <w:left w:val="single" w:color="auto" w:sz="12" w:space="0"/>
              <w:right w:val="single" w:color="auto" w:sz="12"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p>
        </w:tc>
      </w:tr>
      <w:tr>
        <w:tblPrEx>
          <w:tblLayout w:type="fixed"/>
        </w:tblPrEx>
        <w:trPr>
          <w:cantSplit/>
        </w:trPr>
        <w:tc>
          <w:tcPr>
            <w:tcW w:w="2443" w:type="dxa"/>
            <w:tcBorders>
              <w:left w:val="single" w:color="auto" w:sz="12" w:space="0"/>
              <w:right w:val="single" w:color="auto" w:sz="12" w:space="0"/>
            </w:tcBorders>
            <w:shd w:val="clear" w:color="auto" w:fill="FFFFFF"/>
          </w:tcPr>
          <w:p>
            <w:pPr>
              <w:spacing w:after="0" w:line="240" w:lineRule="auto"/>
              <w:ind w:right="60"/>
              <w:rPr>
                <w:rFonts w:ascii="Times New Roman" w:hAnsi="Times New Roman" w:cs="Times New Roman"/>
                <w:sz w:val="25"/>
                <w:szCs w:val="25"/>
              </w:rPr>
            </w:pPr>
            <w:r>
              <w:rPr>
                <w:rFonts w:ascii="Times New Roman" w:hAnsi="Times New Roman" w:cs="Times New Roman"/>
                <w:sz w:val="25"/>
                <w:szCs w:val="25"/>
              </w:rPr>
              <w:t>Management and</w:t>
            </w:r>
          </w:p>
        </w:tc>
        <w:tc>
          <w:tcPr>
            <w:tcW w:w="1440" w:type="dxa"/>
            <w:tcBorders>
              <w:left w:val="single" w:color="auto" w:sz="12" w:space="0"/>
              <w:right w:val="single" w:color="auto" w:sz="12" w:space="0"/>
            </w:tcBorders>
            <w:shd w:val="clear" w:color="auto" w:fill="FFFFFF"/>
          </w:tcPr>
          <w:p>
            <w:pPr>
              <w:spacing w:after="0" w:line="240" w:lineRule="auto"/>
              <w:ind w:left="60" w:right="60"/>
              <w:rPr>
                <w:rFonts w:ascii="Times New Roman" w:hAnsi="Times New Roman" w:cs="Times New Roman"/>
                <w:color w:val="000000"/>
                <w:sz w:val="25"/>
                <w:szCs w:val="25"/>
              </w:rPr>
            </w:pPr>
            <w:r>
              <w:rPr>
                <w:rFonts w:ascii="Times New Roman" w:hAnsi="Times New Roman" w:cs="Times New Roman"/>
                <w:color w:val="000000"/>
                <w:sz w:val="25"/>
                <w:szCs w:val="25"/>
              </w:rPr>
              <w:t>Maximum</w:t>
            </w:r>
          </w:p>
        </w:tc>
        <w:tc>
          <w:tcPr>
            <w:tcW w:w="976" w:type="dxa"/>
            <w:tcBorders>
              <w:left w:val="single" w:color="auto" w:sz="12" w:space="0"/>
              <w:right w:val="single" w:color="auto" w:sz="12"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5.00</w:t>
            </w:r>
          </w:p>
        </w:tc>
        <w:tc>
          <w:tcPr>
            <w:tcW w:w="978" w:type="dxa"/>
            <w:tcBorders>
              <w:left w:val="single" w:color="auto" w:sz="12" w:space="0"/>
              <w:right w:val="single" w:color="auto" w:sz="12"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p>
        </w:tc>
        <w:tc>
          <w:tcPr>
            <w:tcW w:w="1071" w:type="dxa"/>
            <w:tcBorders>
              <w:left w:val="single" w:color="auto" w:sz="12" w:space="0"/>
              <w:right w:val="single" w:color="auto" w:sz="12"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p>
        </w:tc>
        <w:tc>
          <w:tcPr>
            <w:tcW w:w="1162" w:type="dxa"/>
            <w:tcBorders>
              <w:left w:val="single" w:color="auto" w:sz="12" w:space="0"/>
              <w:right w:val="single" w:color="auto" w:sz="12"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p>
        </w:tc>
        <w:tc>
          <w:tcPr>
            <w:tcW w:w="1169" w:type="dxa"/>
            <w:tcBorders>
              <w:left w:val="single" w:color="auto" w:sz="12" w:space="0"/>
              <w:right w:val="single" w:color="auto" w:sz="12"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p>
        </w:tc>
      </w:tr>
      <w:tr>
        <w:tblPrEx>
          <w:tblLayout w:type="fixed"/>
        </w:tblPrEx>
        <w:trPr>
          <w:cantSplit/>
        </w:trPr>
        <w:tc>
          <w:tcPr>
            <w:tcW w:w="2443" w:type="dxa"/>
            <w:tcBorders>
              <w:left w:val="single" w:color="auto" w:sz="12" w:space="0"/>
              <w:right w:val="single" w:color="auto" w:sz="12" w:space="0"/>
            </w:tcBorders>
            <w:shd w:val="clear" w:color="auto" w:fill="FFFFFF"/>
          </w:tcPr>
          <w:p>
            <w:pPr>
              <w:spacing w:after="0" w:line="240" w:lineRule="auto"/>
              <w:ind w:right="60"/>
              <w:rPr>
                <w:rFonts w:ascii="Times New Roman" w:hAnsi="Times New Roman" w:cs="Times New Roman"/>
                <w:sz w:val="25"/>
                <w:szCs w:val="25"/>
              </w:rPr>
            </w:pPr>
            <w:r>
              <w:rPr>
                <w:rFonts w:ascii="Times New Roman" w:hAnsi="Times New Roman" w:cs="Times New Roman"/>
                <w:sz w:val="25"/>
                <w:szCs w:val="25"/>
              </w:rPr>
              <w:t>appraisal</w:t>
            </w:r>
          </w:p>
        </w:tc>
        <w:tc>
          <w:tcPr>
            <w:tcW w:w="1440" w:type="dxa"/>
            <w:tcBorders>
              <w:left w:val="single" w:color="auto" w:sz="12" w:space="0"/>
              <w:right w:val="single" w:color="auto" w:sz="12" w:space="0"/>
            </w:tcBorders>
            <w:shd w:val="clear" w:color="auto" w:fill="FFFFFF"/>
          </w:tcPr>
          <w:p>
            <w:pPr>
              <w:spacing w:after="0" w:line="240" w:lineRule="auto"/>
              <w:ind w:left="60" w:right="60"/>
              <w:rPr>
                <w:rFonts w:ascii="Times New Roman" w:hAnsi="Times New Roman" w:cs="Times New Roman"/>
                <w:color w:val="000000"/>
                <w:sz w:val="25"/>
                <w:szCs w:val="25"/>
              </w:rPr>
            </w:pPr>
            <w:r>
              <w:rPr>
                <w:rFonts w:ascii="Times New Roman" w:hAnsi="Times New Roman" w:cs="Times New Roman"/>
                <w:color w:val="000000"/>
                <w:sz w:val="25"/>
                <w:szCs w:val="25"/>
              </w:rPr>
              <w:t>Mean</w:t>
            </w:r>
          </w:p>
        </w:tc>
        <w:tc>
          <w:tcPr>
            <w:tcW w:w="976" w:type="dxa"/>
            <w:tcBorders>
              <w:left w:val="single" w:color="auto" w:sz="12" w:space="0"/>
              <w:right w:val="single" w:color="auto" w:sz="12"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4.4012</w:t>
            </w:r>
          </w:p>
        </w:tc>
        <w:tc>
          <w:tcPr>
            <w:tcW w:w="978" w:type="dxa"/>
            <w:tcBorders>
              <w:left w:val="single" w:color="auto" w:sz="12" w:space="0"/>
              <w:right w:val="single" w:color="auto" w:sz="12"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-.0015</w:t>
            </w:r>
          </w:p>
        </w:tc>
        <w:tc>
          <w:tcPr>
            <w:tcW w:w="1071" w:type="dxa"/>
            <w:tcBorders>
              <w:left w:val="single" w:color="auto" w:sz="12" w:space="0"/>
              <w:right w:val="single" w:color="auto" w:sz="12"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.0736</w:t>
            </w:r>
          </w:p>
        </w:tc>
        <w:tc>
          <w:tcPr>
            <w:tcW w:w="1162" w:type="dxa"/>
            <w:tcBorders>
              <w:left w:val="single" w:color="auto" w:sz="12" w:space="0"/>
              <w:right w:val="single" w:color="auto" w:sz="12"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3.1061</w:t>
            </w:r>
          </w:p>
        </w:tc>
        <w:tc>
          <w:tcPr>
            <w:tcW w:w="1169" w:type="dxa"/>
            <w:tcBorders>
              <w:left w:val="single" w:color="auto" w:sz="12" w:space="0"/>
              <w:right w:val="single" w:color="auto" w:sz="12"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4.5510</w:t>
            </w:r>
          </w:p>
        </w:tc>
      </w:tr>
      <w:tr>
        <w:tblPrEx>
          <w:tblLayout w:type="fixed"/>
        </w:tblPrEx>
        <w:trPr>
          <w:cantSplit/>
        </w:trPr>
        <w:tc>
          <w:tcPr>
            <w:tcW w:w="2443" w:type="dxa"/>
            <w:tcBorders>
              <w:left w:val="single" w:color="auto" w:sz="12" w:space="0"/>
              <w:bottom w:val="single" w:color="auto" w:sz="12" w:space="0"/>
              <w:right w:val="single" w:color="auto" w:sz="12" w:space="0"/>
            </w:tcBorders>
            <w:shd w:val="clear" w:color="auto" w:fill="FFFFFF"/>
          </w:tcPr>
          <w:p>
            <w:pPr>
              <w:spacing w:after="0" w:line="240" w:lineRule="auto"/>
              <w:ind w:right="60"/>
              <w:rPr>
                <w:rFonts w:ascii="Times New Roman" w:hAnsi="Times New Roman" w:cs="Times New Roman"/>
                <w:sz w:val="25"/>
                <w:szCs w:val="25"/>
              </w:rPr>
            </w:pPr>
          </w:p>
        </w:tc>
        <w:tc>
          <w:tcPr>
            <w:tcW w:w="1440" w:type="dxa"/>
            <w:tcBorders>
              <w:left w:val="single" w:color="auto" w:sz="12" w:space="0"/>
              <w:bottom w:val="single" w:color="auto" w:sz="12" w:space="0"/>
              <w:right w:val="single" w:color="auto" w:sz="12" w:space="0"/>
            </w:tcBorders>
            <w:shd w:val="clear" w:color="auto" w:fill="FFFFFF"/>
          </w:tcPr>
          <w:p>
            <w:pPr>
              <w:spacing w:after="0" w:line="240" w:lineRule="auto"/>
              <w:ind w:left="60" w:right="60"/>
              <w:rPr>
                <w:rFonts w:ascii="Times New Roman" w:hAnsi="Times New Roman" w:cs="Times New Roman"/>
                <w:color w:val="000000"/>
                <w:sz w:val="25"/>
                <w:szCs w:val="25"/>
              </w:rPr>
            </w:pPr>
            <w:r>
              <w:rPr>
                <w:rFonts w:ascii="Times New Roman" w:hAnsi="Times New Roman" w:cs="Times New Roman"/>
                <w:color w:val="000000"/>
                <w:sz w:val="25"/>
                <w:szCs w:val="25"/>
              </w:rPr>
              <w:t>Std. Deviation</w:t>
            </w:r>
          </w:p>
        </w:tc>
        <w:tc>
          <w:tcPr>
            <w:tcW w:w="976" w:type="dxa"/>
            <w:tcBorders>
              <w:left w:val="single" w:color="auto" w:sz="12" w:space="0"/>
              <w:bottom w:val="single" w:color="auto" w:sz="12" w:space="0"/>
              <w:right w:val="single" w:color="auto" w:sz="12"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.83701</w:t>
            </w:r>
          </w:p>
        </w:tc>
        <w:tc>
          <w:tcPr>
            <w:tcW w:w="978" w:type="dxa"/>
            <w:tcBorders>
              <w:left w:val="single" w:color="auto" w:sz="12" w:space="0"/>
              <w:bottom w:val="single" w:color="auto" w:sz="12" w:space="0"/>
              <w:right w:val="single" w:color="auto" w:sz="12"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-.00321</w:t>
            </w:r>
          </w:p>
        </w:tc>
        <w:tc>
          <w:tcPr>
            <w:tcW w:w="1071" w:type="dxa"/>
            <w:tcBorders>
              <w:left w:val="single" w:color="auto" w:sz="12" w:space="0"/>
              <w:bottom w:val="single" w:color="auto" w:sz="12" w:space="0"/>
              <w:right w:val="single" w:color="auto" w:sz="12"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.06514</w:t>
            </w:r>
          </w:p>
        </w:tc>
        <w:tc>
          <w:tcPr>
            <w:tcW w:w="1162" w:type="dxa"/>
            <w:tcBorders>
              <w:left w:val="single" w:color="auto" w:sz="12" w:space="0"/>
              <w:bottom w:val="single" w:color="auto" w:sz="12" w:space="0"/>
              <w:right w:val="single" w:color="auto" w:sz="12"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.70351</w:t>
            </w:r>
          </w:p>
        </w:tc>
        <w:tc>
          <w:tcPr>
            <w:tcW w:w="1169" w:type="dxa"/>
            <w:tcBorders>
              <w:left w:val="single" w:color="auto" w:sz="12" w:space="0"/>
              <w:bottom w:val="single" w:color="auto" w:sz="12" w:space="0"/>
              <w:right w:val="single" w:color="auto" w:sz="12"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1.17527</w:t>
            </w:r>
          </w:p>
        </w:tc>
      </w:tr>
      <w:tr>
        <w:tblPrEx>
          <w:tblLayout w:type="fixed"/>
        </w:tblPrEx>
        <w:trPr>
          <w:cantSplit/>
        </w:trPr>
        <w:tc>
          <w:tcPr>
            <w:tcW w:w="2443" w:type="dxa"/>
            <w:tcBorders>
              <w:top w:val="single" w:color="auto" w:sz="12" w:space="0"/>
              <w:left w:val="single" w:color="auto" w:sz="12" w:space="0"/>
              <w:right w:val="single" w:color="auto" w:sz="12" w:space="0"/>
            </w:tcBorders>
            <w:shd w:val="clear" w:color="auto" w:fill="FFFFFF"/>
          </w:tcPr>
          <w:p>
            <w:pPr>
              <w:spacing w:after="0" w:line="240" w:lineRule="auto"/>
              <w:ind w:right="60"/>
              <w:rPr>
                <w:rFonts w:ascii="Times New Roman" w:hAnsi="Times New Roman" w:cs="Times New Roman"/>
                <w:sz w:val="25"/>
                <w:szCs w:val="25"/>
              </w:rPr>
            </w:pPr>
            <w:r>
              <w:rPr>
                <w:rFonts w:ascii="Times New Roman" w:hAnsi="Times New Roman" w:cs="Times New Roman"/>
                <w:sz w:val="25"/>
                <w:szCs w:val="25"/>
              </w:rPr>
              <w:t xml:space="preserve">Green employee </w:t>
            </w:r>
          </w:p>
        </w:tc>
        <w:tc>
          <w:tcPr>
            <w:tcW w:w="1440" w:type="dxa"/>
            <w:tcBorders>
              <w:top w:val="single" w:color="auto" w:sz="12" w:space="0"/>
              <w:left w:val="single" w:color="auto" w:sz="12" w:space="0"/>
              <w:right w:val="single" w:color="auto" w:sz="12" w:space="0"/>
            </w:tcBorders>
            <w:shd w:val="clear" w:color="auto" w:fill="FFFFFF"/>
          </w:tcPr>
          <w:p>
            <w:pPr>
              <w:spacing w:after="0" w:line="240" w:lineRule="auto"/>
              <w:ind w:left="60" w:right="60"/>
              <w:rPr>
                <w:rFonts w:ascii="Times New Roman" w:hAnsi="Times New Roman" w:cs="Times New Roman"/>
                <w:color w:val="000000"/>
                <w:sz w:val="25"/>
                <w:szCs w:val="25"/>
              </w:rPr>
            </w:pPr>
            <w:r>
              <w:rPr>
                <w:rFonts w:ascii="Times New Roman" w:hAnsi="Times New Roman" w:cs="Times New Roman"/>
                <w:color w:val="000000"/>
                <w:sz w:val="25"/>
                <w:szCs w:val="25"/>
              </w:rPr>
              <w:t>N</w:t>
            </w:r>
          </w:p>
        </w:tc>
        <w:tc>
          <w:tcPr>
            <w:tcW w:w="976" w:type="dxa"/>
            <w:tcBorders>
              <w:top w:val="single" w:color="auto" w:sz="12" w:space="0"/>
              <w:left w:val="single" w:color="auto" w:sz="12" w:space="0"/>
              <w:right w:val="single" w:color="auto" w:sz="12"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50</w:t>
            </w:r>
          </w:p>
        </w:tc>
        <w:tc>
          <w:tcPr>
            <w:tcW w:w="978" w:type="dxa"/>
            <w:tcBorders>
              <w:top w:val="single" w:color="auto" w:sz="12" w:space="0"/>
              <w:left w:val="single" w:color="auto" w:sz="12" w:space="0"/>
              <w:right w:val="single" w:color="auto" w:sz="12"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0</w:t>
            </w:r>
          </w:p>
        </w:tc>
        <w:tc>
          <w:tcPr>
            <w:tcW w:w="1071" w:type="dxa"/>
            <w:tcBorders>
              <w:top w:val="single" w:color="auto" w:sz="12" w:space="0"/>
              <w:left w:val="single" w:color="auto" w:sz="12" w:space="0"/>
              <w:right w:val="single" w:color="auto" w:sz="12"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0</w:t>
            </w:r>
          </w:p>
        </w:tc>
        <w:tc>
          <w:tcPr>
            <w:tcW w:w="1162" w:type="dxa"/>
            <w:tcBorders>
              <w:top w:val="single" w:color="auto" w:sz="12" w:space="0"/>
              <w:left w:val="single" w:color="auto" w:sz="12" w:space="0"/>
              <w:right w:val="single" w:color="auto" w:sz="12"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50</w:t>
            </w:r>
          </w:p>
        </w:tc>
        <w:tc>
          <w:tcPr>
            <w:tcW w:w="1169" w:type="dxa"/>
            <w:tcBorders>
              <w:top w:val="single" w:color="auto" w:sz="12" w:space="0"/>
              <w:left w:val="single" w:color="auto" w:sz="12" w:space="0"/>
              <w:right w:val="single" w:color="auto" w:sz="12"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50</w:t>
            </w:r>
          </w:p>
        </w:tc>
      </w:tr>
      <w:tr>
        <w:tblPrEx>
          <w:tblLayout w:type="fixed"/>
        </w:tblPrEx>
        <w:trPr>
          <w:cantSplit/>
        </w:trPr>
        <w:tc>
          <w:tcPr>
            <w:tcW w:w="2443" w:type="dxa"/>
            <w:tcBorders>
              <w:left w:val="single" w:color="auto" w:sz="12" w:space="0"/>
              <w:right w:val="single" w:color="auto" w:sz="12" w:space="0"/>
            </w:tcBorders>
            <w:shd w:val="clear" w:color="auto" w:fill="FFFFFF"/>
          </w:tcPr>
          <w:p>
            <w:pPr>
              <w:spacing w:after="0" w:line="240" w:lineRule="auto"/>
              <w:ind w:right="60"/>
              <w:rPr>
                <w:rFonts w:ascii="Times New Roman" w:hAnsi="Times New Roman" w:cs="Times New Roman"/>
                <w:sz w:val="25"/>
                <w:szCs w:val="25"/>
              </w:rPr>
            </w:pPr>
            <w:r>
              <w:rPr>
                <w:rFonts w:ascii="Times New Roman" w:hAnsi="Times New Roman" w:cs="Times New Roman"/>
                <w:sz w:val="25"/>
                <w:szCs w:val="25"/>
              </w:rPr>
              <w:t xml:space="preserve">empowerment and </w:t>
            </w:r>
          </w:p>
        </w:tc>
        <w:tc>
          <w:tcPr>
            <w:tcW w:w="1440" w:type="dxa"/>
            <w:tcBorders>
              <w:left w:val="single" w:color="auto" w:sz="12" w:space="0"/>
              <w:right w:val="single" w:color="auto" w:sz="12" w:space="0"/>
            </w:tcBorders>
            <w:shd w:val="clear" w:color="auto" w:fill="FFFFFF"/>
          </w:tcPr>
          <w:p>
            <w:pPr>
              <w:spacing w:after="0" w:line="240" w:lineRule="auto"/>
              <w:ind w:left="60" w:right="60"/>
              <w:rPr>
                <w:rFonts w:ascii="Times New Roman" w:hAnsi="Times New Roman" w:cs="Times New Roman"/>
                <w:color w:val="000000"/>
                <w:sz w:val="25"/>
                <w:szCs w:val="25"/>
              </w:rPr>
            </w:pPr>
            <w:r>
              <w:rPr>
                <w:rFonts w:ascii="Times New Roman" w:hAnsi="Times New Roman" w:cs="Times New Roman"/>
                <w:color w:val="000000"/>
                <w:sz w:val="25"/>
                <w:szCs w:val="25"/>
              </w:rPr>
              <w:t>Minimum</w:t>
            </w:r>
          </w:p>
        </w:tc>
        <w:tc>
          <w:tcPr>
            <w:tcW w:w="976" w:type="dxa"/>
            <w:tcBorders>
              <w:left w:val="single" w:color="auto" w:sz="12" w:space="0"/>
              <w:right w:val="single" w:color="auto" w:sz="12"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w:t>
            </w:r>
          </w:p>
        </w:tc>
        <w:tc>
          <w:tcPr>
            <w:tcW w:w="978" w:type="dxa"/>
            <w:tcBorders>
              <w:left w:val="single" w:color="auto" w:sz="12" w:space="0"/>
              <w:right w:val="single" w:color="auto" w:sz="12"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p>
        </w:tc>
        <w:tc>
          <w:tcPr>
            <w:tcW w:w="1071" w:type="dxa"/>
            <w:tcBorders>
              <w:left w:val="single" w:color="auto" w:sz="12" w:space="0"/>
              <w:right w:val="single" w:color="auto" w:sz="12"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p>
        </w:tc>
        <w:tc>
          <w:tcPr>
            <w:tcW w:w="1162" w:type="dxa"/>
            <w:tcBorders>
              <w:left w:val="single" w:color="auto" w:sz="12" w:space="0"/>
              <w:right w:val="single" w:color="auto" w:sz="12"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p>
        </w:tc>
        <w:tc>
          <w:tcPr>
            <w:tcW w:w="1169" w:type="dxa"/>
            <w:tcBorders>
              <w:left w:val="single" w:color="auto" w:sz="12" w:space="0"/>
              <w:right w:val="single" w:color="auto" w:sz="12"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p>
        </w:tc>
      </w:tr>
      <w:tr>
        <w:tblPrEx>
          <w:tblLayout w:type="fixed"/>
        </w:tblPrEx>
        <w:trPr>
          <w:cantSplit/>
        </w:trPr>
        <w:tc>
          <w:tcPr>
            <w:tcW w:w="2443" w:type="dxa"/>
            <w:tcBorders>
              <w:left w:val="single" w:color="auto" w:sz="12" w:space="0"/>
              <w:right w:val="single" w:color="auto" w:sz="12" w:space="0"/>
            </w:tcBorders>
            <w:shd w:val="clear" w:color="auto" w:fill="FFFFFF"/>
          </w:tcPr>
          <w:p>
            <w:pPr>
              <w:spacing w:after="0" w:line="240" w:lineRule="auto"/>
              <w:ind w:right="60"/>
              <w:rPr>
                <w:rFonts w:ascii="Times New Roman" w:hAnsi="Times New Roman" w:cs="Times New Roman"/>
                <w:sz w:val="25"/>
                <w:szCs w:val="25"/>
              </w:rPr>
            </w:pPr>
            <w:r>
              <w:rPr>
                <w:rFonts w:ascii="Times New Roman" w:hAnsi="Times New Roman" w:cs="Times New Roman"/>
                <w:sz w:val="25"/>
                <w:szCs w:val="25"/>
              </w:rPr>
              <w:t>participation</w:t>
            </w:r>
          </w:p>
        </w:tc>
        <w:tc>
          <w:tcPr>
            <w:tcW w:w="1440" w:type="dxa"/>
            <w:tcBorders>
              <w:left w:val="single" w:color="auto" w:sz="12" w:space="0"/>
              <w:right w:val="single" w:color="auto" w:sz="12" w:space="0"/>
            </w:tcBorders>
            <w:shd w:val="clear" w:color="auto" w:fill="FFFFFF"/>
          </w:tcPr>
          <w:p>
            <w:pPr>
              <w:spacing w:after="0" w:line="240" w:lineRule="auto"/>
              <w:ind w:left="60" w:right="60"/>
              <w:rPr>
                <w:rFonts w:ascii="Times New Roman" w:hAnsi="Times New Roman" w:cs="Times New Roman"/>
                <w:color w:val="000000"/>
                <w:sz w:val="25"/>
                <w:szCs w:val="25"/>
              </w:rPr>
            </w:pPr>
            <w:r>
              <w:rPr>
                <w:rFonts w:ascii="Times New Roman" w:hAnsi="Times New Roman" w:cs="Times New Roman"/>
                <w:color w:val="000000"/>
                <w:sz w:val="25"/>
                <w:szCs w:val="25"/>
              </w:rPr>
              <w:t>Maximum</w:t>
            </w:r>
          </w:p>
        </w:tc>
        <w:tc>
          <w:tcPr>
            <w:tcW w:w="976" w:type="dxa"/>
            <w:tcBorders>
              <w:left w:val="single" w:color="auto" w:sz="12" w:space="0"/>
              <w:right w:val="single" w:color="auto" w:sz="12"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5.00</w:t>
            </w:r>
          </w:p>
        </w:tc>
        <w:tc>
          <w:tcPr>
            <w:tcW w:w="978" w:type="dxa"/>
            <w:tcBorders>
              <w:left w:val="single" w:color="auto" w:sz="12" w:space="0"/>
              <w:right w:val="single" w:color="auto" w:sz="12"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p>
        </w:tc>
        <w:tc>
          <w:tcPr>
            <w:tcW w:w="1071" w:type="dxa"/>
            <w:tcBorders>
              <w:left w:val="single" w:color="auto" w:sz="12" w:space="0"/>
              <w:right w:val="single" w:color="auto" w:sz="12"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p>
        </w:tc>
        <w:tc>
          <w:tcPr>
            <w:tcW w:w="1162" w:type="dxa"/>
            <w:tcBorders>
              <w:left w:val="single" w:color="auto" w:sz="12" w:space="0"/>
              <w:right w:val="single" w:color="auto" w:sz="12"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p>
        </w:tc>
        <w:tc>
          <w:tcPr>
            <w:tcW w:w="1169" w:type="dxa"/>
            <w:tcBorders>
              <w:left w:val="single" w:color="auto" w:sz="12" w:space="0"/>
              <w:right w:val="single" w:color="auto" w:sz="12"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p>
        </w:tc>
      </w:tr>
      <w:tr>
        <w:tblPrEx>
          <w:tblLayout w:type="fixed"/>
        </w:tblPrEx>
        <w:trPr>
          <w:cantSplit/>
        </w:trPr>
        <w:tc>
          <w:tcPr>
            <w:tcW w:w="2443" w:type="dxa"/>
            <w:tcBorders>
              <w:left w:val="single" w:color="auto" w:sz="12" w:space="0"/>
              <w:right w:val="single" w:color="auto" w:sz="12" w:space="0"/>
            </w:tcBorders>
            <w:shd w:val="clear" w:color="auto" w:fill="FFFFFF"/>
          </w:tcPr>
          <w:p>
            <w:pPr>
              <w:spacing w:after="0" w:line="240" w:lineRule="auto"/>
              <w:ind w:left="60" w:right="60"/>
              <w:rPr>
                <w:rFonts w:ascii="Times New Roman" w:hAnsi="Times New Roman" w:cs="Times New Roman"/>
                <w:sz w:val="25"/>
                <w:szCs w:val="25"/>
              </w:rPr>
            </w:pPr>
          </w:p>
        </w:tc>
        <w:tc>
          <w:tcPr>
            <w:tcW w:w="1440" w:type="dxa"/>
            <w:tcBorders>
              <w:left w:val="single" w:color="auto" w:sz="12" w:space="0"/>
              <w:right w:val="single" w:color="auto" w:sz="12" w:space="0"/>
            </w:tcBorders>
            <w:shd w:val="clear" w:color="auto" w:fill="FFFFFF"/>
          </w:tcPr>
          <w:p>
            <w:pPr>
              <w:spacing w:after="0" w:line="240" w:lineRule="auto"/>
              <w:ind w:left="60" w:right="60"/>
              <w:rPr>
                <w:rFonts w:ascii="Times New Roman" w:hAnsi="Times New Roman" w:cs="Times New Roman"/>
                <w:color w:val="000000"/>
                <w:sz w:val="25"/>
                <w:szCs w:val="25"/>
              </w:rPr>
            </w:pPr>
            <w:r>
              <w:rPr>
                <w:rFonts w:ascii="Times New Roman" w:hAnsi="Times New Roman" w:cs="Times New Roman"/>
                <w:color w:val="000000"/>
                <w:sz w:val="25"/>
                <w:szCs w:val="25"/>
              </w:rPr>
              <w:t>Mean</w:t>
            </w:r>
          </w:p>
        </w:tc>
        <w:tc>
          <w:tcPr>
            <w:tcW w:w="976" w:type="dxa"/>
            <w:tcBorders>
              <w:left w:val="single" w:color="auto" w:sz="12" w:space="0"/>
              <w:right w:val="single" w:color="auto" w:sz="12"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3.9133</w:t>
            </w:r>
          </w:p>
        </w:tc>
        <w:tc>
          <w:tcPr>
            <w:tcW w:w="978" w:type="dxa"/>
            <w:tcBorders>
              <w:left w:val="single" w:color="auto" w:sz="12" w:space="0"/>
              <w:right w:val="single" w:color="auto" w:sz="12"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-.0097</w:t>
            </w:r>
          </w:p>
        </w:tc>
        <w:tc>
          <w:tcPr>
            <w:tcW w:w="1071" w:type="dxa"/>
            <w:tcBorders>
              <w:left w:val="single" w:color="auto" w:sz="12" w:space="0"/>
              <w:right w:val="single" w:color="auto" w:sz="12"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.0325</w:t>
            </w:r>
          </w:p>
        </w:tc>
        <w:tc>
          <w:tcPr>
            <w:tcW w:w="1162" w:type="dxa"/>
            <w:tcBorders>
              <w:left w:val="single" w:color="auto" w:sz="12" w:space="0"/>
              <w:right w:val="single" w:color="auto" w:sz="12"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3.8715</w:t>
            </w:r>
          </w:p>
        </w:tc>
        <w:tc>
          <w:tcPr>
            <w:tcW w:w="1169" w:type="dxa"/>
            <w:tcBorders>
              <w:left w:val="single" w:color="auto" w:sz="12" w:space="0"/>
              <w:right w:val="single" w:color="auto" w:sz="12"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4.1239</w:t>
            </w:r>
          </w:p>
        </w:tc>
      </w:tr>
      <w:tr>
        <w:tblPrEx>
          <w:tblLayout w:type="fixed"/>
        </w:tblPrEx>
        <w:trPr>
          <w:cantSplit/>
        </w:trPr>
        <w:tc>
          <w:tcPr>
            <w:tcW w:w="2443" w:type="dxa"/>
            <w:tcBorders>
              <w:left w:val="single" w:color="auto" w:sz="12" w:space="0"/>
              <w:bottom w:val="single" w:color="auto" w:sz="12" w:space="0"/>
              <w:right w:val="single" w:color="auto" w:sz="12" w:space="0"/>
            </w:tcBorders>
            <w:shd w:val="clear" w:color="auto" w:fill="FFFFFF"/>
          </w:tcPr>
          <w:p>
            <w:pPr>
              <w:spacing w:after="0" w:line="240" w:lineRule="auto"/>
              <w:ind w:right="60"/>
              <w:rPr>
                <w:rFonts w:ascii="Times New Roman" w:hAnsi="Times New Roman" w:cs="Times New Roman"/>
                <w:sz w:val="25"/>
                <w:szCs w:val="25"/>
              </w:rPr>
            </w:pPr>
          </w:p>
        </w:tc>
        <w:tc>
          <w:tcPr>
            <w:tcW w:w="1440" w:type="dxa"/>
            <w:tcBorders>
              <w:left w:val="single" w:color="auto" w:sz="12" w:space="0"/>
              <w:bottom w:val="single" w:color="auto" w:sz="12" w:space="0"/>
              <w:right w:val="single" w:color="auto" w:sz="12" w:space="0"/>
            </w:tcBorders>
            <w:shd w:val="clear" w:color="auto" w:fill="FFFFFF"/>
          </w:tcPr>
          <w:p>
            <w:pPr>
              <w:spacing w:after="0" w:line="240" w:lineRule="auto"/>
              <w:ind w:left="60" w:right="60"/>
              <w:rPr>
                <w:rFonts w:ascii="Times New Roman" w:hAnsi="Times New Roman" w:cs="Times New Roman"/>
                <w:color w:val="000000"/>
                <w:sz w:val="25"/>
                <w:szCs w:val="25"/>
              </w:rPr>
            </w:pPr>
            <w:r>
              <w:rPr>
                <w:rFonts w:ascii="Times New Roman" w:hAnsi="Times New Roman" w:cs="Times New Roman"/>
                <w:color w:val="000000"/>
                <w:sz w:val="25"/>
                <w:szCs w:val="25"/>
              </w:rPr>
              <w:t>Std. Deviation</w:t>
            </w:r>
          </w:p>
        </w:tc>
        <w:tc>
          <w:tcPr>
            <w:tcW w:w="976" w:type="dxa"/>
            <w:tcBorders>
              <w:left w:val="single" w:color="auto" w:sz="12" w:space="0"/>
              <w:bottom w:val="single" w:color="auto" w:sz="12" w:space="0"/>
              <w:right w:val="single" w:color="auto" w:sz="12"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.97033</w:t>
            </w:r>
          </w:p>
        </w:tc>
        <w:tc>
          <w:tcPr>
            <w:tcW w:w="978" w:type="dxa"/>
            <w:tcBorders>
              <w:left w:val="single" w:color="auto" w:sz="12" w:space="0"/>
              <w:bottom w:val="single" w:color="auto" w:sz="12" w:space="0"/>
              <w:right w:val="single" w:color="auto" w:sz="12"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-.01735</w:t>
            </w:r>
          </w:p>
        </w:tc>
        <w:tc>
          <w:tcPr>
            <w:tcW w:w="1071" w:type="dxa"/>
            <w:tcBorders>
              <w:left w:val="single" w:color="auto" w:sz="12" w:space="0"/>
              <w:bottom w:val="single" w:color="auto" w:sz="12" w:space="0"/>
              <w:right w:val="single" w:color="auto" w:sz="12"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.08420</w:t>
            </w:r>
          </w:p>
        </w:tc>
        <w:tc>
          <w:tcPr>
            <w:tcW w:w="1162" w:type="dxa"/>
            <w:tcBorders>
              <w:left w:val="single" w:color="auto" w:sz="12" w:space="0"/>
              <w:bottom w:val="single" w:color="auto" w:sz="12" w:space="0"/>
              <w:right w:val="single" w:color="auto" w:sz="12"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1.21710</w:t>
            </w:r>
          </w:p>
        </w:tc>
        <w:tc>
          <w:tcPr>
            <w:tcW w:w="1169" w:type="dxa"/>
            <w:tcBorders>
              <w:left w:val="single" w:color="auto" w:sz="12" w:space="0"/>
              <w:bottom w:val="single" w:color="auto" w:sz="12" w:space="0"/>
              <w:right w:val="single" w:color="auto" w:sz="12"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1.30015</w:t>
            </w:r>
          </w:p>
        </w:tc>
      </w:tr>
      <w:tr>
        <w:tblPrEx>
          <w:tblLayout w:type="fixed"/>
        </w:tblPrEx>
        <w:trPr>
          <w:cantSplit/>
        </w:trPr>
        <w:tc>
          <w:tcPr>
            <w:tcW w:w="2443" w:type="dxa"/>
            <w:vMerge w:val="restart"/>
            <w:tcBorders>
              <w:top w:val="single" w:color="auto" w:sz="12" w:space="0"/>
              <w:left w:val="single" w:color="000000" w:sz="16" w:space="0"/>
              <w:bottom w:val="single" w:color="000000" w:sz="8" w:space="0"/>
              <w:right w:val="single" w:color="auto" w:sz="12" w:space="0"/>
            </w:tcBorders>
            <w:shd w:val="clear" w:color="auto" w:fill="FFFFFF"/>
          </w:tcPr>
          <w:p>
            <w:pPr>
              <w:spacing w:after="0" w:line="240" w:lineRule="auto"/>
              <w:ind w:left="60" w:right="60"/>
              <w:rPr>
                <w:rFonts w:ascii="Times New Roman" w:hAnsi="Times New Roman" w:cs="Times New Roman"/>
                <w:color w:val="000000"/>
                <w:sz w:val="25"/>
                <w:szCs w:val="25"/>
              </w:rPr>
            </w:pPr>
            <w:r>
              <w:rPr>
                <w:rFonts w:ascii="Times New Roman" w:hAnsi="Times New Roman" w:cs="Times New Roman"/>
                <w:sz w:val="25"/>
                <w:szCs w:val="25"/>
              </w:rPr>
              <w:t>Green reward and compensation</w:t>
            </w:r>
          </w:p>
        </w:tc>
        <w:tc>
          <w:tcPr>
            <w:tcW w:w="1440" w:type="dxa"/>
            <w:tcBorders>
              <w:top w:val="single" w:color="auto" w:sz="12" w:space="0"/>
              <w:left w:val="single" w:color="auto" w:sz="12" w:space="0"/>
              <w:right w:val="single" w:color="000000" w:sz="16" w:space="0"/>
            </w:tcBorders>
            <w:shd w:val="clear" w:color="auto" w:fill="FFFFFF"/>
          </w:tcPr>
          <w:p>
            <w:pPr>
              <w:spacing w:after="0" w:line="240" w:lineRule="auto"/>
              <w:ind w:left="60" w:right="60"/>
              <w:rPr>
                <w:rFonts w:ascii="Times New Roman" w:hAnsi="Times New Roman" w:cs="Times New Roman"/>
                <w:color w:val="000000"/>
                <w:sz w:val="25"/>
                <w:szCs w:val="25"/>
              </w:rPr>
            </w:pPr>
            <w:r>
              <w:rPr>
                <w:rFonts w:ascii="Times New Roman" w:hAnsi="Times New Roman" w:cs="Times New Roman"/>
                <w:color w:val="000000"/>
                <w:sz w:val="25"/>
                <w:szCs w:val="25"/>
              </w:rPr>
              <w:t>N</w:t>
            </w:r>
          </w:p>
        </w:tc>
        <w:tc>
          <w:tcPr>
            <w:tcW w:w="976" w:type="dxa"/>
            <w:tcBorders>
              <w:top w:val="single" w:color="auto" w:sz="12" w:space="0"/>
              <w:left w:val="single" w:color="000000" w:sz="16" w:space="0"/>
              <w:right w:val="single" w:color="000000" w:sz="8"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50</w:t>
            </w:r>
          </w:p>
        </w:tc>
        <w:tc>
          <w:tcPr>
            <w:tcW w:w="978" w:type="dxa"/>
            <w:tcBorders>
              <w:top w:val="single" w:color="auto" w:sz="12" w:space="0"/>
              <w:left w:val="single" w:color="000000" w:sz="8" w:space="0"/>
              <w:right w:val="single" w:color="000000" w:sz="8"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0</w:t>
            </w:r>
          </w:p>
        </w:tc>
        <w:tc>
          <w:tcPr>
            <w:tcW w:w="1071" w:type="dxa"/>
            <w:tcBorders>
              <w:top w:val="single" w:color="auto" w:sz="12" w:space="0"/>
              <w:left w:val="single" w:color="000000" w:sz="8" w:space="0"/>
              <w:right w:val="single" w:color="000000" w:sz="8"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0</w:t>
            </w:r>
          </w:p>
        </w:tc>
        <w:tc>
          <w:tcPr>
            <w:tcW w:w="1162" w:type="dxa"/>
            <w:tcBorders>
              <w:top w:val="single" w:color="auto" w:sz="12" w:space="0"/>
              <w:left w:val="single" w:color="000000" w:sz="8" w:space="0"/>
              <w:right w:val="single" w:color="000000" w:sz="8"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50</w:t>
            </w:r>
          </w:p>
        </w:tc>
        <w:tc>
          <w:tcPr>
            <w:tcW w:w="1169" w:type="dxa"/>
            <w:tcBorders>
              <w:top w:val="single" w:color="auto" w:sz="12" w:space="0"/>
              <w:left w:val="single" w:color="000000" w:sz="8" w:space="0"/>
              <w:right w:val="single" w:color="000000" w:sz="16"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50</w:t>
            </w:r>
          </w:p>
        </w:tc>
      </w:tr>
      <w:tr>
        <w:tblPrEx>
          <w:tblLayout w:type="fixed"/>
        </w:tblPrEx>
        <w:trPr>
          <w:cantSplit/>
        </w:trPr>
        <w:tc>
          <w:tcPr>
            <w:tcW w:w="2443" w:type="dxa"/>
            <w:vMerge w:val="continue"/>
            <w:tcBorders>
              <w:left w:val="single" w:color="000000" w:sz="16" w:space="0"/>
              <w:bottom w:val="single" w:color="000000" w:sz="8" w:space="0"/>
              <w:right w:val="single" w:color="auto" w:sz="12" w:space="0"/>
            </w:tcBorders>
            <w:shd w:val="clear" w:color="auto" w:fill="FFFFFF"/>
          </w:tcPr>
          <w:p>
            <w:pPr>
              <w:spacing w:after="0" w:line="240" w:lineRule="auto"/>
              <w:rPr>
                <w:rFonts w:ascii="Times New Roman" w:hAnsi="Times New Roman" w:cs="Times New Roman"/>
                <w:color w:val="000000"/>
                <w:sz w:val="25"/>
                <w:szCs w:val="25"/>
              </w:rPr>
            </w:pPr>
          </w:p>
        </w:tc>
        <w:tc>
          <w:tcPr>
            <w:tcW w:w="1440" w:type="dxa"/>
            <w:tcBorders>
              <w:left w:val="single" w:color="auto" w:sz="12" w:space="0"/>
              <w:right w:val="single" w:color="000000" w:sz="16" w:space="0"/>
            </w:tcBorders>
            <w:shd w:val="clear" w:color="auto" w:fill="FFFFFF"/>
          </w:tcPr>
          <w:p>
            <w:pPr>
              <w:spacing w:after="0" w:line="240" w:lineRule="auto"/>
              <w:ind w:left="60" w:right="60"/>
              <w:rPr>
                <w:rFonts w:ascii="Times New Roman" w:hAnsi="Times New Roman" w:cs="Times New Roman"/>
                <w:color w:val="000000"/>
                <w:sz w:val="25"/>
                <w:szCs w:val="25"/>
              </w:rPr>
            </w:pPr>
            <w:r>
              <w:rPr>
                <w:rFonts w:ascii="Times New Roman" w:hAnsi="Times New Roman" w:cs="Times New Roman"/>
                <w:color w:val="000000"/>
                <w:sz w:val="25"/>
                <w:szCs w:val="25"/>
              </w:rPr>
              <w:t>Minimum</w:t>
            </w:r>
          </w:p>
        </w:tc>
        <w:tc>
          <w:tcPr>
            <w:tcW w:w="976" w:type="dxa"/>
            <w:tcBorders>
              <w:left w:val="single" w:color="000000" w:sz="16" w:space="0"/>
              <w:right w:val="single" w:color="000000" w:sz="8"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w:t>
            </w:r>
          </w:p>
        </w:tc>
        <w:tc>
          <w:tcPr>
            <w:tcW w:w="978" w:type="dxa"/>
            <w:tcBorders>
              <w:left w:val="single" w:color="000000" w:sz="8" w:space="0"/>
              <w:right w:val="single" w:color="000000" w:sz="8" w:space="0"/>
            </w:tcBorders>
            <w:shd w:val="clear" w:color="auto" w:fill="FFFFFF"/>
            <w:vAlign w:val="center"/>
          </w:tcPr>
          <w:p>
            <w:pPr>
              <w:spacing w:after="0" w:line="240" w:lineRule="auto"/>
              <w:rPr>
                <w:rFonts w:ascii="Times New Roman" w:hAnsi="Times New Roman" w:cs="Times New Roman"/>
                <w:sz w:val="25"/>
                <w:szCs w:val="25"/>
              </w:rPr>
            </w:pPr>
          </w:p>
        </w:tc>
        <w:tc>
          <w:tcPr>
            <w:tcW w:w="1071" w:type="dxa"/>
            <w:tcBorders>
              <w:left w:val="single" w:color="000000" w:sz="8" w:space="0"/>
              <w:right w:val="single" w:color="000000" w:sz="8" w:space="0"/>
            </w:tcBorders>
            <w:shd w:val="clear" w:color="auto" w:fill="FFFFFF"/>
            <w:vAlign w:val="center"/>
          </w:tcPr>
          <w:p>
            <w:pPr>
              <w:spacing w:after="0" w:line="240" w:lineRule="auto"/>
              <w:rPr>
                <w:rFonts w:ascii="Times New Roman" w:hAnsi="Times New Roman" w:cs="Times New Roman"/>
                <w:sz w:val="25"/>
                <w:szCs w:val="25"/>
              </w:rPr>
            </w:pPr>
          </w:p>
        </w:tc>
        <w:tc>
          <w:tcPr>
            <w:tcW w:w="1162" w:type="dxa"/>
            <w:tcBorders>
              <w:left w:val="single" w:color="000000" w:sz="8" w:space="0"/>
              <w:right w:val="single" w:color="000000" w:sz="8" w:space="0"/>
            </w:tcBorders>
            <w:shd w:val="clear" w:color="auto" w:fill="FFFFFF"/>
            <w:vAlign w:val="center"/>
          </w:tcPr>
          <w:p>
            <w:pPr>
              <w:spacing w:after="0" w:line="240" w:lineRule="auto"/>
              <w:rPr>
                <w:rFonts w:ascii="Times New Roman" w:hAnsi="Times New Roman" w:cs="Times New Roman"/>
                <w:sz w:val="25"/>
                <w:szCs w:val="25"/>
              </w:rPr>
            </w:pPr>
          </w:p>
        </w:tc>
        <w:tc>
          <w:tcPr>
            <w:tcW w:w="1169" w:type="dxa"/>
            <w:tcBorders>
              <w:left w:val="single" w:color="000000" w:sz="8" w:space="0"/>
              <w:right w:val="single" w:color="000000" w:sz="16" w:space="0"/>
            </w:tcBorders>
            <w:shd w:val="clear" w:color="auto" w:fill="FFFFFF"/>
            <w:vAlign w:val="center"/>
          </w:tcPr>
          <w:p>
            <w:pPr>
              <w:spacing w:after="0" w:line="240" w:lineRule="auto"/>
              <w:rPr>
                <w:rFonts w:ascii="Times New Roman" w:hAnsi="Times New Roman" w:cs="Times New Roman"/>
                <w:sz w:val="25"/>
                <w:szCs w:val="25"/>
              </w:rPr>
            </w:pPr>
          </w:p>
        </w:tc>
      </w:tr>
      <w:tr>
        <w:tblPrEx>
          <w:tblLayout w:type="fixed"/>
        </w:tblPrEx>
        <w:trPr>
          <w:cantSplit/>
        </w:trPr>
        <w:tc>
          <w:tcPr>
            <w:tcW w:w="2443" w:type="dxa"/>
            <w:vMerge w:val="continue"/>
            <w:tcBorders>
              <w:left w:val="single" w:color="000000" w:sz="16" w:space="0"/>
              <w:bottom w:val="single" w:color="000000" w:sz="8" w:space="0"/>
              <w:right w:val="single" w:color="auto" w:sz="12" w:space="0"/>
            </w:tcBorders>
            <w:shd w:val="clear" w:color="auto" w:fill="FFFFFF"/>
          </w:tcPr>
          <w:p>
            <w:pPr>
              <w:spacing w:after="0" w:line="240" w:lineRule="auto"/>
              <w:rPr>
                <w:rFonts w:ascii="Times New Roman" w:hAnsi="Times New Roman" w:cs="Times New Roman"/>
                <w:sz w:val="25"/>
                <w:szCs w:val="25"/>
              </w:rPr>
            </w:pPr>
          </w:p>
        </w:tc>
        <w:tc>
          <w:tcPr>
            <w:tcW w:w="1440" w:type="dxa"/>
            <w:tcBorders>
              <w:left w:val="single" w:color="auto" w:sz="12" w:space="0"/>
              <w:right w:val="single" w:color="000000" w:sz="16" w:space="0"/>
            </w:tcBorders>
            <w:shd w:val="clear" w:color="auto" w:fill="FFFFFF"/>
          </w:tcPr>
          <w:p>
            <w:pPr>
              <w:spacing w:after="0" w:line="240" w:lineRule="auto"/>
              <w:ind w:left="60" w:right="60"/>
              <w:rPr>
                <w:rFonts w:ascii="Times New Roman" w:hAnsi="Times New Roman" w:cs="Times New Roman"/>
                <w:color w:val="000000"/>
                <w:sz w:val="25"/>
                <w:szCs w:val="25"/>
              </w:rPr>
            </w:pPr>
            <w:r>
              <w:rPr>
                <w:rFonts w:ascii="Times New Roman" w:hAnsi="Times New Roman" w:cs="Times New Roman"/>
                <w:color w:val="000000"/>
                <w:sz w:val="25"/>
                <w:szCs w:val="25"/>
              </w:rPr>
              <w:t>Maximum</w:t>
            </w:r>
          </w:p>
        </w:tc>
        <w:tc>
          <w:tcPr>
            <w:tcW w:w="976" w:type="dxa"/>
            <w:tcBorders>
              <w:left w:val="single" w:color="000000" w:sz="16" w:space="0"/>
              <w:right w:val="single" w:color="000000" w:sz="8"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5.00</w:t>
            </w:r>
          </w:p>
        </w:tc>
        <w:tc>
          <w:tcPr>
            <w:tcW w:w="978" w:type="dxa"/>
            <w:tcBorders>
              <w:left w:val="single" w:color="000000" w:sz="8" w:space="0"/>
              <w:right w:val="single" w:color="000000" w:sz="8" w:space="0"/>
            </w:tcBorders>
            <w:shd w:val="clear" w:color="auto" w:fill="FFFFFF"/>
            <w:vAlign w:val="center"/>
          </w:tcPr>
          <w:p>
            <w:pPr>
              <w:spacing w:after="0" w:line="240" w:lineRule="auto"/>
              <w:rPr>
                <w:rFonts w:ascii="Times New Roman" w:hAnsi="Times New Roman" w:cs="Times New Roman"/>
                <w:sz w:val="25"/>
                <w:szCs w:val="25"/>
              </w:rPr>
            </w:pPr>
          </w:p>
        </w:tc>
        <w:tc>
          <w:tcPr>
            <w:tcW w:w="1071" w:type="dxa"/>
            <w:tcBorders>
              <w:left w:val="single" w:color="000000" w:sz="8" w:space="0"/>
              <w:right w:val="single" w:color="000000" w:sz="8" w:space="0"/>
            </w:tcBorders>
            <w:shd w:val="clear" w:color="auto" w:fill="FFFFFF"/>
            <w:vAlign w:val="center"/>
          </w:tcPr>
          <w:p>
            <w:pPr>
              <w:spacing w:after="0" w:line="240" w:lineRule="auto"/>
              <w:rPr>
                <w:rFonts w:ascii="Times New Roman" w:hAnsi="Times New Roman" w:cs="Times New Roman"/>
                <w:sz w:val="25"/>
                <w:szCs w:val="25"/>
              </w:rPr>
            </w:pPr>
          </w:p>
        </w:tc>
        <w:tc>
          <w:tcPr>
            <w:tcW w:w="1162" w:type="dxa"/>
            <w:tcBorders>
              <w:left w:val="single" w:color="000000" w:sz="8" w:space="0"/>
              <w:right w:val="single" w:color="000000" w:sz="8" w:space="0"/>
            </w:tcBorders>
            <w:shd w:val="clear" w:color="auto" w:fill="FFFFFF"/>
            <w:vAlign w:val="center"/>
          </w:tcPr>
          <w:p>
            <w:pPr>
              <w:spacing w:after="0" w:line="240" w:lineRule="auto"/>
              <w:rPr>
                <w:rFonts w:ascii="Times New Roman" w:hAnsi="Times New Roman" w:cs="Times New Roman"/>
                <w:sz w:val="25"/>
                <w:szCs w:val="25"/>
              </w:rPr>
            </w:pPr>
          </w:p>
        </w:tc>
        <w:tc>
          <w:tcPr>
            <w:tcW w:w="1169" w:type="dxa"/>
            <w:tcBorders>
              <w:left w:val="single" w:color="000000" w:sz="8" w:space="0"/>
              <w:right w:val="single" w:color="000000" w:sz="16" w:space="0"/>
            </w:tcBorders>
            <w:shd w:val="clear" w:color="auto" w:fill="FFFFFF"/>
            <w:vAlign w:val="center"/>
          </w:tcPr>
          <w:p>
            <w:pPr>
              <w:spacing w:after="0" w:line="240" w:lineRule="auto"/>
              <w:rPr>
                <w:rFonts w:ascii="Times New Roman" w:hAnsi="Times New Roman" w:cs="Times New Roman"/>
                <w:sz w:val="25"/>
                <w:szCs w:val="25"/>
              </w:rPr>
            </w:pPr>
          </w:p>
        </w:tc>
      </w:tr>
      <w:tr>
        <w:tblPrEx>
          <w:tblLayout w:type="fixed"/>
        </w:tblPrEx>
        <w:trPr>
          <w:cantSplit/>
        </w:trPr>
        <w:tc>
          <w:tcPr>
            <w:tcW w:w="2443" w:type="dxa"/>
            <w:vMerge w:val="continue"/>
            <w:tcBorders>
              <w:left w:val="single" w:color="000000" w:sz="16" w:space="0"/>
              <w:bottom w:val="single" w:color="000000" w:sz="8" w:space="0"/>
              <w:right w:val="single" w:color="auto" w:sz="12" w:space="0"/>
            </w:tcBorders>
            <w:shd w:val="clear" w:color="auto" w:fill="FFFFFF"/>
          </w:tcPr>
          <w:p>
            <w:pPr>
              <w:spacing w:after="0" w:line="240" w:lineRule="auto"/>
              <w:rPr>
                <w:rFonts w:ascii="Times New Roman" w:hAnsi="Times New Roman" w:cs="Times New Roman"/>
                <w:sz w:val="25"/>
                <w:szCs w:val="25"/>
              </w:rPr>
            </w:pPr>
          </w:p>
        </w:tc>
        <w:tc>
          <w:tcPr>
            <w:tcW w:w="1440" w:type="dxa"/>
            <w:tcBorders>
              <w:left w:val="single" w:color="auto" w:sz="12" w:space="0"/>
              <w:right w:val="single" w:color="000000" w:sz="16" w:space="0"/>
            </w:tcBorders>
            <w:shd w:val="clear" w:color="auto" w:fill="FFFFFF"/>
          </w:tcPr>
          <w:p>
            <w:pPr>
              <w:spacing w:after="0" w:line="240" w:lineRule="auto"/>
              <w:ind w:left="60" w:right="60"/>
              <w:rPr>
                <w:rFonts w:ascii="Times New Roman" w:hAnsi="Times New Roman" w:cs="Times New Roman"/>
                <w:color w:val="000000"/>
                <w:sz w:val="25"/>
                <w:szCs w:val="25"/>
              </w:rPr>
            </w:pPr>
            <w:r>
              <w:rPr>
                <w:rFonts w:ascii="Times New Roman" w:hAnsi="Times New Roman" w:cs="Times New Roman"/>
                <w:color w:val="000000"/>
                <w:sz w:val="25"/>
                <w:szCs w:val="25"/>
              </w:rPr>
              <w:t>Mean</w:t>
            </w:r>
          </w:p>
        </w:tc>
        <w:tc>
          <w:tcPr>
            <w:tcW w:w="976" w:type="dxa"/>
            <w:tcBorders>
              <w:left w:val="single" w:color="000000" w:sz="16" w:space="0"/>
              <w:right w:val="single" w:color="000000" w:sz="8"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3.6609</w:t>
            </w:r>
          </w:p>
        </w:tc>
        <w:tc>
          <w:tcPr>
            <w:tcW w:w="978" w:type="dxa"/>
            <w:tcBorders>
              <w:left w:val="single" w:color="000000" w:sz="8" w:space="0"/>
              <w:right w:val="single" w:color="000000" w:sz="8"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-.0021</w:t>
            </w:r>
          </w:p>
        </w:tc>
        <w:tc>
          <w:tcPr>
            <w:tcW w:w="1071" w:type="dxa"/>
            <w:tcBorders>
              <w:left w:val="single" w:color="000000" w:sz="8" w:space="0"/>
              <w:right w:val="single" w:color="000000" w:sz="8"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.0854</w:t>
            </w:r>
          </w:p>
        </w:tc>
        <w:tc>
          <w:tcPr>
            <w:tcW w:w="1162" w:type="dxa"/>
            <w:tcBorders>
              <w:left w:val="single" w:color="000000" w:sz="8" w:space="0"/>
              <w:right w:val="single" w:color="000000" w:sz="8"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3.4764</w:t>
            </w:r>
          </w:p>
        </w:tc>
        <w:tc>
          <w:tcPr>
            <w:tcW w:w="1169" w:type="dxa"/>
            <w:tcBorders>
              <w:left w:val="single" w:color="000000" w:sz="8" w:space="0"/>
              <w:right w:val="single" w:color="000000" w:sz="16"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3.8217</w:t>
            </w:r>
          </w:p>
        </w:tc>
      </w:tr>
      <w:tr>
        <w:tblPrEx>
          <w:tblLayout w:type="fixed"/>
        </w:tblPrEx>
        <w:trPr>
          <w:cantSplit/>
        </w:trPr>
        <w:tc>
          <w:tcPr>
            <w:tcW w:w="2443" w:type="dxa"/>
            <w:vMerge w:val="continue"/>
            <w:tcBorders>
              <w:left w:val="single" w:color="000000" w:sz="16" w:space="0"/>
              <w:bottom w:val="single" w:color="000000" w:sz="8" w:space="0"/>
              <w:right w:val="single" w:color="auto" w:sz="12" w:space="0"/>
            </w:tcBorders>
            <w:shd w:val="clear" w:color="auto" w:fill="FFFFFF"/>
          </w:tcPr>
          <w:p>
            <w:pPr>
              <w:spacing w:after="0" w:line="240" w:lineRule="auto"/>
              <w:rPr>
                <w:rFonts w:ascii="Times New Roman" w:hAnsi="Times New Roman" w:cs="Times New Roman"/>
                <w:color w:val="000000"/>
                <w:sz w:val="25"/>
                <w:szCs w:val="25"/>
              </w:rPr>
            </w:pPr>
          </w:p>
        </w:tc>
        <w:tc>
          <w:tcPr>
            <w:tcW w:w="1440" w:type="dxa"/>
            <w:tcBorders>
              <w:left w:val="single" w:color="auto" w:sz="12" w:space="0"/>
              <w:bottom w:val="single" w:color="000000" w:sz="8" w:space="0"/>
              <w:right w:val="single" w:color="000000" w:sz="16" w:space="0"/>
            </w:tcBorders>
            <w:shd w:val="clear" w:color="auto" w:fill="FFFFFF"/>
          </w:tcPr>
          <w:p>
            <w:pPr>
              <w:spacing w:after="0" w:line="240" w:lineRule="auto"/>
              <w:ind w:left="60" w:right="60"/>
              <w:rPr>
                <w:rFonts w:ascii="Times New Roman" w:hAnsi="Times New Roman" w:cs="Times New Roman"/>
                <w:color w:val="000000"/>
                <w:sz w:val="25"/>
                <w:szCs w:val="25"/>
              </w:rPr>
            </w:pPr>
            <w:r>
              <w:rPr>
                <w:rFonts w:ascii="Times New Roman" w:hAnsi="Times New Roman" w:cs="Times New Roman"/>
                <w:color w:val="000000"/>
                <w:sz w:val="25"/>
                <w:szCs w:val="25"/>
              </w:rPr>
              <w:t>Std. Deviation</w:t>
            </w:r>
          </w:p>
        </w:tc>
        <w:tc>
          <w:tcPr>
            <w:tcW w:w="976" w:type="dxa"/>
            <w:tcBorders>
              <w:left w:val="single" w:color="000000" w:sz="16" w:space="0"/>
              <w:bottom w:val="single" w:color="000000" w:sz="8" w:space="0"/>
              <w:right w:val="single" w:color="000000" w:sz="8"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1.27033</w:t>
            </w:r>
          </w:p>
        </w:tc>
        <w:tc>
          <w:tcPr>
            <w:tcW w:w="978" w:type="dxa"/>
            <w:tcBorders>
              <w:left w:val="single" w:color="000000" w:sz="8" w:space="0"/>
              <w:bottom w:val="single" w:color="000000" w:sz="8" w:space="0"/>
              <w:right w:val="single" w:color="000000" w:sz="8"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-.00285</w:t>
            </w:r>
          </w:p>
        </w:tc>
        <w:tc>
          <w:tcPr>
            <w:tcW w:w="1071" w:type="dxa"/>
            <w:tcBorders>
              <w:left w:val="single" w:color="000000" w:sz="8" w:space="0"/>
              <w:bottom w:val="single" w:color="000000" w:sz="8" w:space="0"/>
              <w:right w:val="single" w:color="000000" w:sz="8"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.05330</w:t>
            </w:r>
          </w:p>
        </w:tc>
        <w:tc>
          <w:tcPr>
            <w:tcW w:w="1162" w:type="dxa"/>
            <w:tcBorders>
              <w:left w:val="single" w:color="000000" w:sz="8" w:space="0"/>
              <w:bottom w:val="single" w:color="000000" w:sz="8" w:space="0"/>
              <w:right w:val="single" w:color="000000" w:sz="8"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1.16148</w:t>
            </w:r>
          </w:p>
        </w:tc>
        <w:tc>
          <w:tcPr>
            <w:tcW w:w="1169" w:type="dxa"/>
            <w:tcBorders>
              <w:left w:val="single" w:color="000000" w:sz="8" w:space="0"/>
              <w:bottom w:val="single" w:color="000000" w:sz="8" w:space="0"/>
              <w:right w:val="single" w:color="000000" w:sz="16"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1.36925</w:t>
            </w:r>
          </w:p>
        </w:tc>
      </w:tr>
      <w:tr>
        <w:tblPrEx>
          <w:tblLayout w:type="fixed"/>
        </w:tblPrEx>
        <w:trPr>
          <w:cantSplit/>
        </w:trPr>
        <w:tc>
          <w:tcPr>
            <w:tcW w:w="2443" w:type="dxa"/>
            <w:vMerge w:val="restart"/>
            <w:tcBorders>
              <w:left w:val="single" w:color="000000" w:sz="16" w:space="0"/>
              <w:bottom w:val="single" w:color="000000" w:sz="8" w:space="0"/>
              <w:right w:val="single" w:color="auto" w:sz="12" w:space="0"/>
            </w:tcBorders>
            <w:shd w:val="clear" w:color="auto" w:fill="FFFFFF"/>
          </w:tcPr>
          <w:p>
            <w:pPr>
              <w:spacing w:after="0" w:line="240" w:lineRule="auto"/>
              <w:ind w:left="60" w:right="60"/>
              <w:rPr>
                <w:rFonts w:ascii="Times New Roman" w:hAnsi="Times New Roman" w:cs="Times New Roman"/>
                <w:color w:val="000000"/>
                <w:sz w:val="25"/>
                <w:szCs w:val="25"/>
              </w:rPr>
            </w:pPr>
            <w:r>
              <w:rPr>
                <w:rFonts w:ascii="Times New Roman" w:hAnsi="Times New Roman" w:cs="Times New Roman"/>
                <w:sz w:val="25"/>
                <w:szCs w:val="25"/>
              </w:rPr>
              <w:t>Green training and development</w:t>
            </w:r>
          </w:p>
        </w:tc>
        <w:tc>
          <w:tcPr>
            <w:tcW w:w="1440" w:type="dxa"/>
            <w:tcBorders>
              <w:left w:val="single" w:color="auto" w:sz="12" w:space="0"/>
              <w:right w:val="single" w:color="000000" w:sz="16" w:space="0"/>
            </w:tcBorders>
            <w:shd w:val="clear" w:color="auto" w:fill="FFFFFF"/>
          </w:tcPr>
          <w:p>
            <w:pPr>
              <w:spacing w:after="0" w:line="240" w:lineRule="auto"/>
              <w:ind w:left="60" w:right="60"/>
              <w:rPr>
                <w:rFonts w:ascii="Times New Roman" w:hAnsi="Times New Roman" w:cs="Times New Roman"/>
                <w:color w:val="000000"/>
                <w:sz w:val="25"/>
                <w:szCs w:val="25"/>
              </w:rPr>
            </w:pPr>
            <w:r>
              <w:rPr>
                <w:rFonts w:ascii="Times New Roman" w:hAnsi="Times New Roman" w:cs="Times New Roman"/>
                <w:color w:val="000000"/>
                <w:sz w:val="25"/>
                <w:szCs w:val="25"/>
              </w:rPr>
              <w:t>N</w:t>
            </w:r>
          </w:p>
        </w:tc>
        <w:tc>
          <w:tcPr>
            <w:tcW w:w="976" w:type="dxa"/>
            <w:tcBorders>
              <w:left w:val="single" w:color="000000" w:sz="16" w:space="0"/>
              <w:right w:val="single" w:color="000000" w:sz="8"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50</w:t>
            </w:r>
          </w:p>
        </w:tc>
        <w:tc>
          <w:tcPr>
            <w:tcW w:w="978" w:type="dxa"/>
            <w:tcBorders>
              <w:left w:val="single" w:color="000000" w:sz="8" w:space="0"/>
              <w:right w:val="single" w:color="000000" w:sz="8"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0</w:t>
            </w:r>
          </w:p>
        </w:tc>
        <w:tc>
          <w:tcPr>
            <w:tcW w:w="1071" w:type="dxa"/>
            <w:tcBorders>
              <w:left w:val="single" w:color="000000" w:sz="8" w:space="0"/>
              <w:right w:val="single" w:color="000000" w:sz="8"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0</w:t>
            </w:r>
          </w:p>
        </w:tc>
        <w:tc>
          <w:tcPr>
            <w:tcW w:w="1162" w:type="dxa"/>
            <w:tcBorders>
              <w:left w:val="single" w:color="000000" w:sz="8" w:space="0"/>
              <w:right w:val="single" w:color="000000" w:sz="8"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50</w:t>
            </w:r>
          </w:p>
        </w:tc>
        <w:tc>
          <w:tcPr>
            <w:tcW w:w="1169" w:type="dxa"/>
            <w:tcBorders>
              <w:left w:val="single" w:color="000000" w:sz="8" w:space="0"/>
              <w:right w:val="single" w:color="000000" w:sz="16"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50</w:t>
            </w:r>
          </w:p>
        </w:tc>
      </w:tr>
      <w:tr>
        <w:tblPrEx>
          <w:tblLayout w:type="fixed"/>
        </w:tblPrEx>
        <w:trPr>
          <w:cantSplit/>
        </w:trPr>
        <w:tc>
          <w:tcPr>
            <w:tcW w:w="2443" w:type="dxa"/>
            <w:vMerge w:val="continue"/>
            <w:tcBorders>
              <w:left w:val="single" w:color="000000" w:sz="16" w:space="0"/>
              <w:bottom w:val="single" w:color="000000" w:sz="8" w:space="0"/>
              <w:right w:val="single" w:color="auto" w:sz="12" w:space="0"/>
            </w:tcBorders>
            <w:shd w:val="clear" w:color="auto" w:fill="FFFFFF"/>
          </w:tcPr>
          <w:p>
            <w:pPr>
              <w:spacing w:after="0" w:line="240" w:lineRule="auto"/>
              <w:rPr>
                <w:rFonts w:ascii="Times New Roman" w:hAnsi="Times New Roman" w:cs="Times New Roman"/>
                <w:color w:val="000000"/>
                <w:sz w:val="25"/>
                <w:szCs w:val="25"/>
              </w:rPr>
            </w:pPr>
          </w:p>
        </w:tc>
        <w:tc>
          <w:tcPr>
            <w:tcW w:w="1440" w:type="dxa"/>
            <w:tcBorders>
              <w:left w:val="single" w:color="auto" w:sz="12" w:space="0"/>
              <w:right w:val="single" w:color="000000" w:sz="16" w:space="0"/>
            </w:tcBorders>
            <w:shd w:val="clear" w:color="auto" w:fill="FFFFFF"/>
          </w:tcPr>
          <w:p>
            <w:pPr>
              <w:spacing w:after="0" w:line="240" w:lineRule="auto"/>
              <w:ind w:left="60" w:right="60"/>
              <w:rPr>
                <w:rFonts w:ascii="Times New Roman" w:hAnsi="Times New Roman" w:cs="Times New Roman"/>
                <w:color w:val="000000"/>
                <w:sz w:val="25"/>
                <w:szCs w:val="25"/>
              </w:rPr>
            </w:pPr>
            <w:r>
              <w:rPr>
                <w:rFonts w:ascii="Times New Roman" w:hAnsi="Times New Roman" w:cs="Times New Roman"/>
                <w:color w:val="000000"/>
                <w:sz w:val="25"/>
                <w:szCs w:val="25"/>
              </w:rPr>
              <w:t>Minimum</w:t>
            </w:r>
          </w:p>
        </w:tc>
        <w:tc>
          <w:tcPr>
            <w:tcW w:w="976" w:type="dxa"/>
            <w:tcBorders>
              <w:left w:val="single" w:color="000000" w:sz="16" w:space="0"/>
              <w:right w:val="single" w:color="000000" w:sz="8"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w:t>
            </w:r>
          </w:p>
        </w:tc>
        <w:tc>
          <w:tcPr>
            <w:tcW w:w="978" w:type="dxa"/>
            <w:tcBorders>
              <w:left w:val="single" w:color="000000" w:sz="8" w:space="0"/>
              <w:right w:val="single" w:color="000000" w:sz="8" w:space="0"/>
            </w:tcBorders>
            <w:shd w:val="clear" w:color="auto" w:fill="FFFFFF"/>
            <w:vAlign w:val="center"/>
          </w:tcPr>
          <w:p>
            <w:pPr>
              <w:spacing w:after="0" w:line="240" w:lineRule="auto"/>
              <w:rPr>
                <w:rFonts w:ascii="Times New Roman" w:hAnsi="Times New Roman" w:cs="Times New Roman"/>
                <w:sz w:val="25"/>
                <w:szCs w:val="25"/>
              </w:rPr>
            </w:pPr>
          </w:p>
        </w:tc>
        <w:tc>
          <w:tcPr>
            <w:tcW w:w="1071" w:type="dxa"/>
            <w:tcBorders>
              <w:left w:val="single" w:color="000000" w:sz="8" w:space="0"/>
              <w:right w:val="single" w:color="000000" w:sz="8" w:space="0"/>
            </w:tcBorders>
            <w:shd w:val="clear" w:color="auto" w:fill="FFFFFF"/>
            <w:vAlign w:val="center"/>
          </w:tcPr>
          <w:p>
            <w:pPr>
              <w:spacing w:after="0" w:line="240" w:lineRule="auto"/>
              <w:rPr>
                <w:rFonts w:ascii="Times New Roman" w:hAnsi="Times New Roman" w:cs="Times New Roman"/>
                <w:sz w:val="25"/>
                <w:szCs w:val="25"/>
              </w:rPr>
            </w:pPr>
          </w:p>
        </w:tc>
        <w:tc>
          <w:tcPr>
            <w:tcW w:w="1162" w:type="dxa"/>
            <w:tcBorders>
              <w:left w:val="single" w:color="000000" w:sz="8" w:space="0"/>
              <w:right w:val="single" w:color="000000" w:sz="8" w:space="0"/>
            </w:tcBorders>
            <w:shd w:val="clear" w:color="auto" w:fill="FFFFFF"/>
            <w:vAlign w:val="center"/>
          </w:tcPr>
          <w:p>
            <w:pPr>
              <w:spacing w:after="0" w:line="240" w:lineRule="auto"/>
              <w:rPr>
                <w:rFonts w:ascii="Times New Roman" w:hAnsi="Times New Roman" w:cs="Times New Roman"/>
                <w:sz w:val="25"/>
                <w:szCs w:val="25"/>
              </w:rPr>
            </w:pPr>
          </w:p>
        </w:tc>
        <w:tc>
          <w:tcPr>
            <w:tcW w:w="1169" w:type="dxa"/>
            <w:tcBorders>
              <w:left w:val="single" w:color="000000" w:sz="8" w:space="0"/>
              <w:right w:val="single" w:color="000000" w:sz="16" w:space="0"/>
            </w:tcBorders>
            <w:shd w:val="clear" w:color="auto" w:fill="FFFFFF"/>
            <w:vAlign w:val="center"/>
          </w:tcPr>
          <w:p>
            <w:pPr>
              <w:spacing w:after="0" w:line="240" w:lineRule="auto"/>
              <w:rPr>
                <w:rFonts w:ascii="Times New Roman" w:hAnsi="Times New Roman" w:cs="Times New Roman"/>
                <w:sz w:val="25"/>
                <w:szCs w:val="25"/>
              </w:rPr>
            </w:pPr>
          </w:p>
        </w:tc>
      </w:tr>
      <w:tr>
        <w:tblPrEx>
          <w:tblLayout w:type="fixed"/>
        </w:tblPrEx>
        <w:trPr>
          <w:cantSplit/>
        </w:trPr>
        <w:tc>
          <w:tcPr>
            <w:tcW w:w="2443" w:type="dxa"/>
            <w:vMerge w:val="continue"/>
            <w:tcBorders>
              <w:left w:val="single" w:color="000000" w:sz="16" w:space="0"/>
              <w:bottom w:val="single" w:color="000000" w:sz="8" w:space="0"/>
              <w:right w:val="single" w:color="auto" w:sz="12" w:space="0"/>
            </w:tcBorders>
            <w:shd w:val="clear" w:color="auto" w:fill="FFFFFF"/>
          </w:tcPr>
          <w:p>
            <w:pPr>
              <w:spacing w:after="0" w:line="240" w:lineRule="auto"/>
              <w:rPr>
                <w:rFonts w:ascii="Times New Roman" w:hAnsi="Times New Roman" w:cs="Times New Roman"/>
                <w:sz w:val="25"/>
                <w:szCs w:val="25"/>
              </w:rPr>
            </w:pPr>
          </w:p>
        </w:tc>
        <w:tc>
          <w:tcPr>
            <w:tcW w:w="1440" w:type="dxa"/>
            <w:tcBorders>
              <w:left w:val="single" w:color="auto" w:sz="12" w:space="0"/>
              <w:right w:val="single" w:color="000000" w:sz="16" w:space="0"/>
            </w:tcBorders>
            <w:shd w:val="clear" w:color="auto" w:fill="FFFFFF"/>
          </w:tcPr>
          <w:p>
            <w:pPr>
              <w:spacing w:after="0" w:line="240" w:lineRule="auto"/>
              <w:ind w:left="60" w:right="60"/>
              <w:rPr>
                <w:rFonts w:ascii="Times New Roman" w:hAnsi="Times New Roman" w:cs="Times New Roman"/>
                <w:color w:val="000000"/>
                <w:sz w:val="25"/>
                <w:szCs w:val="25"/>
              </w:rPr>
            </w:pPr>
            <w:r>
              <w:rPr>
                <w:rFonts w:ascii="Times New Roman" w:hAnsi="Times New Roman" w:cs="Times New Roman"/>
                <w:color w:val="000000"/>
                <w:sz w:val="25"/>
                <w:szCs w:val="25"/>
              </w:rPr>
              <w:t>Maximum</w:t>
            </w:r>
          </w:p>
        </w:tc>
        <w:tc>
          <w:tcPr>
            <w:tcW w:w="976" w:type="dxa"/>
            <w:tcBorders>
              <w:left w:val="single" w:color="000000" w:sz="16" w:space="0"/>
              <w:right w:val="single" w:color="000000" w:sz="8"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5.00</w:t>
            </w:r>
          </w:p>
        </w:tc>
        <w:tc>
          <w:tcPr>
            <w:tcW w:w="978" w:type="dxa"/>
            <w:tcBorders>
              <w:left w:val="single" w:color="000000" w:sz="8" w:space="0"/>
              <w:right w:val="single" w:color="000000" w:sz="8" w:space="0"/>
            </w:tcBorders>
            <w:shd w:val="clear" w:color="auto" w:fill="FFFFFF"/>
            <w:vAlign w:val="center"/>
          </w:tcPr>
          <w:p>
            <w:pPr>
              <w:spacing w:after="0" w:line="240" w:lineRule="auto"/>
              <w:rPr>
                <w:rFonts w:ascii="Times New Roman" w:hAnsi="Times New Roman" w:cs="Times New Roman"/>
                <w:sz w:val="25"/>
                <w:szCs w:val="25"/>
              </w:rPr>
            </w:pPr>
          </w:p>
        </w:tc>
        <w:tc>
          <w:tcPr>
            <w:tcW w:w="1071" w:type="dxa"/>
            <w:tcBorders>
              <w:left w:val="single" w:color="000000" w:sz="8" w:space="0"/>
              <w:right w:val="single" w:color="000000" w:sz="8" w:space="0"/>
            </w:tcBorders>
            <w:shd w:val="clear" w:color="auto" w:fill="FFFFFF"/>
            <w:vAlign w:val="center"/>
          </w:tcPr>
          <w:p>
            <w:pPr>
              <w:spacing w:after="0" w:line="240" w:lineRule="auto"/>
              <w:rPr>
                <w:rFonts w:ascii="Times New Roman" w:hAnsi="Times New Roman" w:cs="Times New Roman"/>
                <w:sz w:val="25"/>
                <w:szCs w:val="25"/>
              </w:rPr>
            </w:pPr>
          </w:p>
        </w:tc>
        <w:tc>
          <w:tcPr>
            <w:tcW w:w="1162" w:type="dxa"/>
            <w:tcBorders>
              <w:left w:val="single" w:color="000000" w:sz="8" w:space="0"/>
              <w:right w:val="single" w:color="000000" w:sz="8" w:space="0"/>
            </w:tcBorders>
            <w:shd w:val="clear" w:color="auto" w:fill="FFFFFF"/>
            <w:vAlign w:val="center"/>
          </w:tcPr>
          <w:p>
            <w:pPr>
              <w:spacing w:after="0" w:line="240" w:lineRule="auto"/>
              <w:rPr>
                <w:rFonts w:ascii="Times New Roman" w:hAnsi="Times New Roman" w:cs="Times New Roman"/>
                <w:sz w:val="25"/>
                <w:szCs w:val="25"/>
              </w:rPr>
            </w:pPr>
          </w:p>
        </w:tc>
        <w:tc>
          <w:tcPr>
            <w:tcW w:w="1169" w:type="dxa"/>
            <w:tcBorders>
              <w:left w:val="single" w:color="000000" w:sz="8" w:space="0"/>
              <w:right w:val="single" w:color="000000" w:sz="16" w:space="0"/>
            </w:tcBorders>
            <w:shd w:val="clear" w:color="auto" w:fill="FFFFFF"/>
            <w:vAlign w:val="center"/>
          </w:tcPr>
          <w:p>
            <w:pPr>
              <w:spacing w:after="0" w:line="240" w:lineRule="auto"/>
              <w:rPr>
                <w:rFonts w:ascii="Times New Roman" w:hAnsi="Times New Roman" w:cs="Times New Roman"/>
                <w:sz w:val="25"/>
                <w:szCs w:val="25"/>
              </w:rPr>
            </w:pPr>
          </w:p>
        </w:tc>
      </w:tr>
      <w:tr>
        <w:tblPrEx>
          <w:tblLayout w:type="fixed"/>
        </w:tblPrEx>
        <w:trPr>
          <w:cantSplit/>
        </w:trPr>
        <w:tc>
          <w:tcPr>
            <w:tcW w:w="2443" w:type="dxa"/>
            <w:vMerge w:val="continue"/>
            <w:tcBorders>
              <w:left w:val="single" w:color="000000" w:sz="16" w:space="0"/>
              <w:bottom w:val="single" w:color="000000" w:sz="8" w:space="0"/>
              <w:right w:val="single" w:color="auto" w:sz="12" w:space="0"/>
            </w:tcBorders>
            <w:shd w:val="clear" w:color="auto" w:fill="FFFFFF"/>
          </w:tcPr>
          <w:p>
            <w:pPr>
              <w:spacing w:after="0" w:line="240" w:lineRule="auto"/>
              <w:rPr>
                <w:rFonts w:ascii="Times New Roman" w:hAnsi="Times New Roman" w:cs="Times New Roman"/>
                <w:sz w:val="25"/>
                <w:szCs w:val="25"/>
              </w:rPr>
            </w:pPr>
          </w:p>
        </w:tc>
        <w:tc>
          <w:tcPr>
            <w:tcW w:w="1440" w:type="dxa"/>
            <w:tcBorders>
              <w:left w:val="single" w:color="auto" w:sz="12" w:space="0"/>
              <w:right w:val="single" w:color="000000" w:sz="16" w:space="0"/>
            </w:tcBorders>
            <w:shd w:val="clear" w:color="auto" w:fill="FFFFFF"/>
          </w:tcPr>
          <w:p>
            <w:pPr>
              <w:spacing w:after="0" w:line="240" w:lineRule="auto"/>
              <w:ind w:left="60" w:right="60"/>
              <w:rPr>
                <w:rFonts w:ascii="Times New Roman" w:hAnsi="Times New Roman" w:cs="Times New Roman"/>
                <w:color w:val="000000"/>
                <w:sz w:val="25"/>
                <w:szCs w:val="25"/>
              </w:rPr>
            </w:pPr>
            <w:r>
              <w:rPr>
                <w:rFonts w:ascii="Times New Roman" w:hAnsi="Times New Roman" w:cs="Times New Roman"/>
                <w:color w:val="000000"/>
                <w:sz w:val="25"/>
                <w:szCs w:val="25"/>
              </w:rPr>
              <w:t>Mean</w:t>
            </w:r>
          </w:p>
        </w:tc>
        <w:tc>
          <w:tcPr>
            <w:tcW w:w="976" w:type="dxa"/>
            <w:tcBorders>
              <w:left w:val="single" w:color="000000" w:sz="16" w:space="0"/>
              <w:right w:val="single" w:color="000000" w:sz="8"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3.4609</w:t>
            </w:r>
          </w:p>
        </w:tc>
        <w:tc>
          <w:tcPr>
            <w:tcW w:w="978" w:type="dxa"/>
            <w:tcBorders>
              <w:left w:val="single" w:color="000000" w:sz="8" w:space="0"/>
              <w:right w:val="single" w:color="000000" w:sz="8"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.0008</w:t>
            </w:r>
          </w:p>
        </w:tc>
        <w:tc>
          <w:tcPr>
            <w:tcW w:w="1071" w:type="dxa"/>
            <w:tcBorders>
              <w:left w:val="single" w:color="000000" w:sz="8" w:space="0"/>
              <w:right w:val="single" w:color="000000" w:sz="8"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.0899</w:t>
            </w:r>
          </w:p>
        </w:tc>
        <w:tc>
          <w:tcPr>
            <w:tcW w:w="1162" w:type="dxa"/>
            <w:tcBorders>
              <w:left w:val="single" w:color="000000" w:sz="8" w:space="0"/>
              <w:right w:val="single" w:color="000000" w:sz="8"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3.3094</w:t>
            </w:r>
          </w:p>
        </w:tc>
        <w:tc>
          <w:tcPr>
            <w:tcW w:w="1169" w:type="dxa"/>
            <w:tcBorders>
              <w:left w:val="single" w:color="000000" w:sz="8" w:space="0"/>
              <w:right w:val="single" w:color="000000" w:sz="16"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3.6481</w:t>
            </w:r>
          </w:p>
        </w:tc>
      </w:tr>
      <w:tr>
        <w:tblPrEx>
          <w:tblLayout w:type="fixed"/>
        </w:tblPrEx>
        <w:trPr>
          <w:cantSplit/>
        </w:trPr>
        <w:tc>
          <w:tcPr>
            <w:tcW w:w="2443" w:type="dxa"/>
            <w:vMerge w:val="continue"/>
            <w:tcBorders>
              <w:left w:val="single" w:color="000000" w:sz="16" w:space="0"/>
              <w:bottom w:val="single" w:color="000000" w:sz="8" w:space="0"/>
              <w:right w:val="single" w:color="auto" w:sz="12" w:space="0"/>
            </w:tcBorders>
            <w:shd w:val="clear" w:color="auto" w:fill="FFFFFF"/>
          </w:tcPr>
          <w:p>
            <w:pPr>
              <w:spacing w:after="0" w:line="240" w:lineRule="auto"/>
              <w:rPr>
                <w:rFonts w:ascii="Times New Roman" w:hAnsi="Times New Roman" w:cs="Times New Roman"/>
                <w:color w:val="000000"/>
                <w:sz w:val="25"/>
                <w:szCs w:val="25"/>
              </w:rPr>
            </w:pPr>
          </w:p>
        </w:tc>
        <w:tc>
          <w:tcPr>
            <w:tcW w:w="1440" w:type="dxa"/>
            <w:tcBorders>
              <w:left w:val="single" w:color="auto" w:sz="12" w:space="0"/>
              <w:bottom w:val="single" w:color="000000" w:sz="8" w:space="0"/>
              <w:right w:val="single" w:color="000000" w:sz="16" w:space="0"/>
            </w:tcBorders>
            <w:shd w:val="clear" w:color="auto" w:fill="FFFFFF"/>
          </w:tcPr>
          <w:p>
            <w:pPr>
              <w:spacing w:after="0" w:line="240" w:lineRule="auto"/>
              <w:ind w:left="60" w:right="60"/>
              <w:rPr>
                <w:rFonts w:ascii="Times New Roman" w:hAnsi="Times New Roman" w:cs="Times New Roman"/>
                <w:color w:val="000000"/>
                <w:sz w:val="25"/>
                <w:szCs w:val="25"/>
              </w:rPr>
            </w:pPr>
            <w:r>
              <w:rPr>
                <w:rFonts w:ascii="Times New Roman" w:hAnsi="Times New Roman" w:cs="Times New Roman"/>
                <w:color w:val="000000"/>
                <w:sz w:val="25"/>
                <w:szCs w:val="25"/>
              </w:rPr>
              <w:t>Std. Deviation</w:t>
            </w:r>
          </w:p>
        </w:tc>
        <w:tc>
          <w:tcPr>
            <w:tcW w:w="976" w:type="dxa"/>
            <w:tcBorders>
              <w:left w:val="single" w:color="000000" w:sz="16" w:space="0"/>
              <w:bottom w:val="single" w:color="000000" w:sz="8" w:space="0"/>
              <w:right w:val="single" w:color="000000" w:sz="8"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1.37848</w:t>
            </w:r>
          </w:p>
        </w:tc>
        <w:tc>
          <w:tcPr>
            <w:tcW w:w="978" w:type="dxa"/>
            <w:tcBorders>
              <w:left w:val="single" w:color="000000" w:sz="8" w:space="0"/>
              <w:bottom w:val="single" w:color="000000" w:sz="8" w:space="0"/>
              <w:right w:val="single" w:color="000000" w:sz="8"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-.00192</w:t>
            </w:r>
          </w:p>
        </w:tc>
        <w:tc>
          <w:tcPr>
            <w:tcW w:w="1071" w:type="dxa"/>
            <w:tcBorders>
              <w:left w:val="single" w:color="000000" w:sz="8" w:space="0"/>
              <w:bottom w:val="single" w:color="000000" w:sz="8" w:space="0"/>
              <w:right w:val="single" w:color="000000" w:sz="8"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.04894</w:t>
            </w:r>
          </w:p>
        </w:tc>
        <w:tc>
          <w:tcPr>
            <w:tcW w:w="1162" w:type="dxa"/>
            <w:tcBorders>
              <w:left w:val="single" w:color="000000" w:sz="8" w:space="0"/>
              <w:bottom w:val="single" w:color="000000" w:sz="8" w:space="0"/>
              <w:right w:val="single" w:color="000000" w:sz="8"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1.27962</w:t>
            </w:r>
          </w:p>
        </w:tc>
        <w:tc>
          <w:tcPr>
            <w:tcW w:w="1169" w:type="dxa"/>
            <w:tcBorders>
              <w:left w:val="single" w:color="000000" w:sz="8" w:space="0"/>
              <w:bottom w:val="single" w:color="000000" w:sz="8" w:space="0"/>
              <w:right w:val="single" w:color="000000" w:sz="16"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1.46519</w:t>
            </w:r>
          </w:p>
        </w:tc>
      </w:tr>
      <w:tr>
        <w:tblPrEx>
          <w:tblLayout w:type="fixed"/>
        </w:tblPrEx>
        <w:trPr>
          <w:cantSplit/>
        </w:trPr>
        <w:tc>
          <w:tcPr>
            <w:tcW w:w="2443" w:type="dxa"/>
            <w:tcBorders>
              <w:left w:val="single" w:color="000000" w:sz="16" w:space="0"/>
              <w:bottom w:val="single" w:color="000000" w:sz="18" w:space="0"/>
              <w:right w:val="single" w:color="auto" w:sz="12" w:space="0"/>
            </w:tcBorders>
            <w:shd w:val="clear" w:color="auto" w:fill="FFFFFF"/>
          </w:tcPr>
          <w:p>
            <w:pPr>
              <w:spacing w:after="0" w:line="240" w:lineRule="auto"/>
              <w:ind w:left="60" w:right="60"/>
              <w:rPr>
                <w:rFonts w:ascii="Times New Roman" w:hAnsi="Times New Roman" w:cs="Times New Roman"/>
                <w:color w:val="000000"/>
                <w:sz w:val="25"/>
                <w:szCs w:val="25"/>
              </w:rPr>
            </w:pPr>
            <w:r>
              <w:rPr>
                <w:rFonts w:ascii="Times New Roman" w:hAnsi="Times New Roman" w:cs="Times New Roman"/>
                <w:color w:val="000000"/>
                <w:sz w:val="25"/>
                <w:szCs w:val="25"/>
              </w:rPr>
              <w:t>Valid N (</w:t>
            </w:r>
            <w:r>
              <w:rPr>
                <w:rFonts w:ascii="Times New Roman" w:hAnsi="Times New Roman" w:cs="Times New Roman"/>
                <w:color w:val="000000"/>
                <w:sz w:val="25"/>
                <w:szCs w:val="25"/>
              </w:rPr>
              <w:t>listwise</w:t>
            </w:r>
            <w:r>
              <w:rPr>
                <w:rFonts w:ascii="Times New Roman" w:hAnsi="Times New Roman" w:cs="Times New Roman"/>
                <w:color w:val="000000"/>
                <w:sz w:val="25"/>
                <w:szCs w:val="25"/>
              </w:rPr>
              <w:t>)</w:t>
            </w:r>
          </w:p>
        </w:tc>
        <w:tc>
          <w:tcPr>
            <w:tcW w:w="1440" w:type="dxa"/>
            <w:tcBorders>
              <w:left w:val="single" w:color="auto" w:sz="12" w:space="0"/>
              <w:bottom w:val="single" w:color="000000" w:sz="18" w:space="0"/>
              <w:right w:val="single" w:color="000000" w:sz="16" w:space="0"/>
            </w:tcBorders>
            <w:shd w:val="clear" w:color="auto" w:fill="FFFFFF"/>
          </w:tcPr>
          <w:p>
            <w:pPr>
              <w:spacing w:after="0" w:line="240" w:lineRule="auto"/>
              <w:ind w:left="60" w:right="60"/>
              <w:rPr>
                <w:rFonts w:ascii="Times New Roman" w:hAnsi="Times New Roman" w:cs="Times New Roman"/>
                <w:color w:val="000000"/>
                <w:sz w:val="25"/>
                <w:szCs w:val="25"/>
              </w:rPr>
            </w:pPr>
            <w:r>
              <w:rPr>
                <w:rFonts w:ascii="Times New Roman" w:hAnsi="Times New Roman" w:cs="Times New Roman"/>
                <w:color w:val="000000"/>
                <w:sz w:val="25"/>
                <w:szCs w:val="25"/>
              </w:rPr>
              <w:t>N</w:t>
            </w:r>
          </w:p>
        </w:tc>
        <w:tc>
          <w:tcPr>
            <w:tcW w:w="976" w:type="dxa"/>
            <w:tcBorders>
              <w:left w:val="single" w:color="000000" w:sz="16" w:space="0"/>
              <w:bottom w:val="single" w:color="000000" w:sz="16" w:space="0"/>
              <w:right w:val="single" w:color="000000" w:sz="8"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50</w:t>
            </w:r>
          </w:p>
        </w:tc>
        <w:tc>
          <w:tcPr>
            <w:tcW w:w="978" w:type="dxa"/>
            <w:tcBorders>
              <w:left w:val="single" w:color="000000" w:sz="8" w:space="0"/>
              <w:bottom w:val="single" w:color="000000" w:sz="16" w:space="0"/>
              <w:right w:val="single" w:color="000000" w:sz="8"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0</w:t>
            </w:r>
          </w:p>
        </w:tc>
        <w:tc>
          <w:tcPr>
            <w:tcW w:w="1071" w:type="dxa"/>
            <w:tcBorders>
              <w:left w:val="single" w:color="000000" w:sz="8" w:space="0"/>
              <w:bottom w:val="single" w:color="000000" w:sz="16" w:space="0"/>
              <w:right w:val="single" w:color="000000" w:sz="8"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0</w:t>
            </w:r>
          </w:p>
        </w:tc>
        <w:tc>
          <w:tcPr>
            <w:tcW w:w="1162" w:type="dxa"/>
            <w:tcBorders>
              <w:left w:val="single" w:color="000000" w:sz="8" w:space="0"/>
              <w:bottom w:val="single" w:color="000000" w:sz="16" w:space="0"/>
              <w:right w:val="single" w:color="000000" w:sz="8"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50</w:t>
            </w:r>
          </w:p>
        </w:tc>
        <w:tc>
          <w:tcPr>
            <w:tcW w:w="1169" w:type="dxa"/>
            <w:tcBorders>
              <w:left w:val="single" w:color="000000" w:sz="8" w:space="0"/>
              <w:bottom w:val="single" w:color="000000" w:sz="16" w:space="0"/>
              <w:right w:val="single" w:color="000000" w:sz="16" w:space="0"/>
            </w:tcBorders>
            <w:shd w:val="clear" w:color="auto" w:fill="FFFFFF"/>
            <w:vAlign w:val="center"/>
          </w:tcPr>
          <w:p>
            <w:pPr>
              <w:spacing w:after="0" w:line="24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50</w:t>
            </w:r>
          </w:p>
        </w:tc>
      </w:tr>
      <w:tr>
        <w:tblPrEx>
          <w:tblLayout w:type="fixed"/>
        </w:tblPrEx>
        <w:trPr>
          <w:cantSplit/>
        </w:trPr>
        <w:tc>
          <w:tcPr>
            <w:tcW w:w="9239" w:type="dxa"/>
            <w:gridSpan w:val="7"/>
            <w:shd w:val="clear" w:color="auto" w:fill="FFFFFF"/>
          </w:tcPr>
          <w:p>
            <w:pPr>
              <w:spacing w:line="320" w:lineRule="atLeast"/>
              <w:ind w:left="60" w:right="60"/>
              <w:rPr>
                <w:rFonts w:ascii="Times New Roman" w:hAnsi="Times New Roman" w:cs="Times New Roman"/>
                <w:b/>
                <w:bCs/>
                <w:i/>
                <w:iCs/>
                <w:color w:val="000000"/>
                <w:sz w:val="25"/>
                <w:szCs w:val="25"/>
              </w:rPr>
            </w:pPr>
            <w:r>
              <w:rPr>
                <w:rFonts w:ascii="Times New Roman" w:hAnsi="Times New Roman" w:cs="Times New Roman"/>
                <w:b/>
                <w:bCs/>
                <w:i/>
                <w:iCs/>
                <w:color w:val="000000"/>
                <w:sz w:val="25"/>
                <w:szCs w:val="25"/>
              </w:rPr>
              <w:t>Sourc</w:t>
            </w:r>
            <w:r>
              <w:rPr>
                <w:rFonts w:ascii="Times New Roman" w:hAnsi="Times New Roman" w:cs="Times New Roman"/>
                <w:b/>
                <w:bCs/>
                <w:i/>
                <w:iCs/>
                <w:color w:val="000000"/>
                <w:sz w:val="25"/>
                <w:szCs w:val="25"/>
              </w:rPr>
              <w:t xml:space="preserve">e: Field Survey, </w:t>
            </w:r>
            <w:r>
              <w:rPr>
                <w:rFonts w:ascii="Times New Roman" w:hAnsi="Times New Roman" w:cs="Times New Roman"/>
                <w:b/>
                <w:bCs/>
                <w:i/>
                <w:iCs/>
                <w:color w:val="000000"/>
                <w:sz w:val="25"/>
                <w:szCs w:val="25"/>
              </w:rPr>
              <w:t>2025</w:t>
            </w:r>
          </w:p>
          <w:p>
            <w:pPr>
              <w:spacing w:line="320" w:lineRule="atLeast"/>
              <w:ind w:left="60" w:right="60"/>
              <w:rPr>
                <w:rFonts w:ascii="Times New Roman" w:hAnsi="Times New Roman" w:cs="Times New Roman"/>
                <w:color w:val="000000"/>
                <w:sz w:val="25"/>
                <w:szCs w:val="25"/>
              </w:rPr>
            </w:pPr>
          </w:p>
        </w:tc>
      </w:tr>
    </w:tbl>
    <w:p>
      <w:pPr>
        <w:spacing w:line="480" w:lineRule="auto"/>
        <w:jc w:val="both"/>
        <w:rPr>
          <w:rFonts w:ascii="Times New Roman" w:hAnsi="Times New Roman" w:cs="Times New Roman"/>
          <w:b/>
          <w:bCs/>
          <w:iCs/>
          <w:color w:val="000000"/>
          <w:sz w:val="25"/>
          <w:szCs w:val="25"/>
        </w:rPr>
      </w:pPr>
      <w:r>
        <w:rPr>
          <w:rFonts w:ascii="Times New Roman" w:hAnsi="Times New Roman" w:cs="Times New Roman"/>
          <w:b/>
          <w:bCs/>
          <w:iCs/>
          <w:color w:val="000000"/>
          <w:sz w:val="25"/>
          <w:szCs w:val="25"/>
        </w:rPr>
        <w:t xml:space="preserve">4.4.1 Analysis of Green Human Resource Management Practices in GTB </w:t>
      </w:r>
      <w:r>
        <w:rPr>
          <w:rFonts w:ascii="Times New Roman" w:hAnsi="Times New Roman" w:cs="Times New Roman"/>
          <w:b/>
          <w:bCs/>
          <w:iCs/>
          <w:color w:val="000000"/>
          <w:sz w:val="25"/>
          <w:szCs w:val="25"/>
        </w:rPr>
        <w:t>Plc</w:t>
      </w:r>
      <w:r>
        <w:rPr>
          <w:rFonts w:ascii="Times New Roman" w:hAnsi="Times New Roman" w:cs="Times New Roman"/>
          <w:b/>
          <w:bCs/>
          <w:iCs/>
          <w:color w:val="000000"/>
          <w:sz w:val="25"/>
          <w:szCs w:val="25"/>
        </w:rPr>
        <w:t xml:space="preserve"> Ilorin</w:t>
      </w:r>
    </w:p>
    <w:p>
      <w:pPr>
        <w:spacing w:line="480" w:lineRule="auto"/>
        <w:jc w:val="both"/>
        <w:rPr>
          <w:rFonts w:ascii="Times New Roman" w:hAnsi="Times New Roman" w:cs="Times New Roman"/>
          <w:bCs/>
          <w:iCs/>
          <w:color w:val="000000"/>
          <w:sz w:val="25"/>
          <w:szCs w:val="25"/>
        </w:rPr>
      </w:pPr>
      <w:r>
        <w:rPr>
          <w:rFonts w:ascii="Times New Roman" w:hAnsi="Times New Roman" w:cs="Times New Roman"/>
          <w:bCs/>
          <w:iCs/>
          <w:color w:val="000000"/>
          <w:sz w:val="25"/>
          <w:szCs w:val="25"/>
        </w:rPr>
        <w:t xml:space="preserve">Table 4.4.1 presents the mean rankings of various Green Human Resource Management (GHRM) practices implemented at GTB </w:t>
      </w:r>
      <w:r>
        <w:rPr>
          <w:rFonts w:ascii="Times New Roman" w:hAnsi="Times New Roman" w:cs="Times New Roman"/>
          <w:bCs/>
          <w:iCs/>
          <w:color w:val="000000"/>
          <w:sz w:val="25"/>
          <w:szCs w:val="25"/>
        </w:rPr>
        <w:t>Plc</w:t>
      </w:r>
      <w:r>
        <w:rPr>
          <w:rFonts w:ascii="Times New Roman" w:hAnsi="Times New Roman" w:cs="Times New Roman"/>
          <w:bCs/>
          <w:iCs/>
          <w:color w:val="000000"/>
          <w:sz w:val="25"/>
          <w:szCs w:val="25"/>
        </w:rPr>
        <w:t xml:space="preserve">, Ilorin, categorized by specific constructs. Each construct was measured using a five-point </w:t>
      </w:r>
      <w:r>
        <w:rPr>
          <w:rFonts w:ascii="Times New Roman" w:hAnsi="Times New Roman" w:cs="Times New Roman"/>
          <w:bCs/>
          <w:iCs/>
          <w:color w:val="000000"/>
          <w:sz w:val="25"/>
          <w:szCs w:val="25"/>
        </w:rPr>
        <w:t>Likert</w:t>
      </w:r>
      <w:r>
        <w:rPr>
          <w:rFonts w:ascii="Times New Roman" w:hAnsi="Times New Roman" w:cs="Times New Roman"/>
          <w:bCs/>
          <w:iCs/>
          <w:color w:val="000000"/>
          <w:sz w:val="25"/>
          <w:szCs w:val="25"/>
        </w:rPr>
        <w:t xml:space="preserve"> scale, where 1 represented strong disagreement and 5 represented strong agreement. The midpoint of 3 indicated a neutral stance. This rating scale allowed for a comprehensive evaluation of the extent to which GHRM practices are embedded in the bank’s operations.</w:t>
      </w:r>
    </w:p>
    <w:p>
      <w:pPr>
        <w:spacing w:line="480" w:lineRule="auto"/>
        <w:jc w:val="both"/>
        <w:rPr>
          <w:rFonts w:ascii="Times New Roman" w:hAnsi="Times New Roman" w:cs="Times New Roman"/>
          <w:bCs/>
          <w:iCs/>
          <w:color w:val="000000"/>
          <w:sz w:val="25"/>
          <w:szCs w:val="25"/>
        </w:rPr>
      </w:pPr>
      <w:r>
        <w:rPr>
          <w:rFonts w:ascii="Times New Roman" w:hAnsi="Times New Roman" w:cs="Times New Roman"/>
          <w:bCs/>
          <w:iCs/>
          <w:color w:val="000000"/>
          <w:sz w:val="25"/>
          <w:szCs w:val="25"/>
        </w:rPr>
        <w:t>The mean scores, derived through bootstrapping techniques, reflect respondents’ perceptions of the bank’s engagement with green HR practices. The bootstrapped confidence intervals and standard errors support the reliability of the data, indicating a low likelihood that the observed means occurred by chance.</w:t>
      </w:r>
    </w:p>
    <w:p>
      <w:pPr>
        <w:spacing w:line="480" w:lineRule="auto"/>
        <w:jc w:val="both"/>
        <w:rPr>
          <w:rFonts w:ascii="Times New Roman" w:hAnsi="Times New Roman" w:cs="Times New Roman"/>
          <w:bCs/>
          <w:iCs/>
          <w:color w:val="000000"/>
          <w:sz w:val="25"/>
          <w:szCs w:val="25"/>
        </w:rPr>
      </w:pPr>
      <w:r>
        <w:rPr>
          <w:rFonts w:ascii="Times New Roman" w:hAnsi="Times New Roman" w:cs="Times New Roman"/>
          <w:bCs/>
          <w:iCs/>
          <w:color w:val="000000"/>
          <w:sz w:val="25"/>
          <w:szCs w:val="25"/>
        </w:rPr>
        <w:t xml:space="preserve">The analysis reveals a parametric mean of 4.1435 for green recruitment and selection, with a confidence interval between 3.9739 and 4.2739 and a standard error of 0.0736. This suggests that on average, respondents agree that GTB values environmentally conscious hiring </w:t>
      </w:r>
      <w:r>
        <w:rPr>
          <w:rFonts w:ascii="Times New Roman" w:hAnsi="Times New Roman" w:cs="Times New Roman"/>
          <w:bCs/>
          <w:iCs/>
          <w:color w:val="000000"/>
          <w:sz w:val="25"/>
          <w:szCs w:val="25"/>
        </w:rPr>
        <w:t>practices, aligning with existing research that emphasizes green recruitment as a cornerstone of sustainable HRM (Renwick et al., 2013).</w:t>
      </w:r>
    </w:p>
    <w:p>
      <w:pPr>
        <w:spacing w:line="480" w:lineRule="auto"/>
        <w:jc w:val="both"/>
        <w:rPr>
          <w:rFonts w:ascii="Times New Roman" w:hAnsi="Times New Roman" w:cs="Times New Roman"/>
          <w:bCs/>
          <w:iCs/>
          <w:color w:val="000000"/>
          <w:sz w:val="25"/>
          <w:szCs w:val="25"/>
        </w:rPr>
      </w:pPr>
      <w:r>
        <w:rPr>
          <w:rFonts w:ascii="Times New Roman" w:hAnsi="Times New Roman" w:cs="Times New Roman"/>
          <w:bCs/>
          <w:iCs/>
          <w:color w:val="000000"/>
          <w:sz w:val="25"/>
          <w:szCs w:val="25"/>
        </w:rPr>
        <w:t>Similarly, the construct for green organizational culture recorded a mean of 4.1304, with a confidence interval of 3.9947 to 4.2723 and a standard error of 0.0661. This implies a strong internal alignment of values and practices that support environmental sustainability—an essential driver of long-term organizational performance in the 21st century (</w:t>
      </w:r>
      <w:r>
        <w:rPr>
          <w:rFonts w:ascii="Times New Roman" w:hAnsi="Times New Roman" w:cs="Times New Roman"/>
          <w:bCs/>
          <w:iCs/>
          <w:color w:val="000000"/>
          <w:sz w:val="25"/>
          <w:szCs w:val="25"/>
        </w:rPr>
        <w:t>Jabbour</w:t>
      </w:r>
      <w:r>
        <w:rPr>
          <w:rFonts w:ascii="Times New Roman" w:hAnsi="Times New Roman" w:cs="Times New Roman"/>
          <w:bCs/>
          <w:iCs/>
          <w:color w:val="000000"/>
          <w:sz w:val="25"/>
          <w:szCs w:val="25"/>
        </w:rPr>
        <w:t xml:space="preserve"> &amp; Santos, 2008).</w:t>
      </w:r>
    </w:p>
    <w:p>
      <w:pPr>
        <w:spacing w:line="480" w:lineRule="auto"/>
        <w:jc w:val="both"/>
        <w:rPr>
          <w:rFonts w:ascii="Times New Roman" w:hAnsi="Times New Roman" w:cs="Times New Roman"/>
          <w:bCs/>
          <w:iCs/>
          <w:color w:val="000000"/>
          <w:sz w:val="25"/>
          <w:szCs w:val="25"/>
        </w:rPr>
      </w:pPr>
      <w:r>
        <w:rPr>
          <w:rFonts w:ascii="Times New Roman" w:hAnsi="Times New Roman" w:cs="Times New Roman"/>
          <w:bCs/>
          <w:iCs/>
          <w:color w:val="000000"/>
          <w:sz w:val="25"/>
          <w:szCs w:val="25"/>
        </w:rPr>
        <w:t>Green performance management and appraisal showed a parametric mean score of 3.1061 and a relatively low standard error of 0.0651. While this score is slightly lower than those of recruitment and culture, it still exceeds the neutrality threshold of 3.0, indicating a moderate level of implementation. Notably, this construct displayed the lowest standard deviation, suggesting more consistent responses and a potentially greater organizational emphasis on performance metri</w:t>
      </w:r>
      <w:r>
        <w:rPr>
          <w:rFonts w:ascii="Times New Roman" w:hAnsi="Times New Roman" w:cs="Times New Roman"/>
          <w:bCs/>
          <w:iCs/>
          <w:color w:val="000000"/>
          <w:sz w:val="25"/>
          <w:szCs w:val="25"/>
        </w:rPr>
        <w:t>cs that reflect green outcomes.</w:t>
      </w:r>
    </w:p>
    <w:p>
      <w:pPr>
        <w:spacing w:line="480" w:lineRule="auto"/>
        <w:jc w:val="both"/>
        <w:rPr>
          <w:rFonts w:ascii="Times New Roman" w:hAnsi="Times New Roman" w:cs="Times New Roman"/>
          <w:bCs/>
          <w:iCs/>
          <w:color w:val="000000"/>
          <w:sz w:val="25"/>
          <w:szCs w:val="25"/>
        </w:rPr>
      </w:pPr>
      <w:r>
        <w:rPr>
          <w:rFonts w:ascii="Times New Roman" w:hAnsi="Times New Roman" w:cs="Times New Roman"/>
          <w:bCs/>
          <w:iCs/>
          <w:color w:val="000000"/>
          <w:sz w:val="25"/>
          <w:szCs w:val="25"/>
        </w:rPr>
        <w:t>The green employee empowerment and engagement dimension scored an average of 3.913, with a narrow confidence range (3.8715–4.1239) and a standard error of 0.0325, demonstrating strong agreement among respondents that GTB supports proactive employee involvement in sustainability efforts. As noted by Dumont et al. (2017), empowerment is a critical enabler of green innovation and contributes significantly to enhanced organizational outcomes.</w:t>
      </w:r>
    </w:p>
    <w:p>
      <w:pPr>
        <w:spacing w:line="480" w:lineRule="auto"/>
        <w:jc w:val="both"/>
        <w:rPr>
          <w:rFonts w:ascii="Times New Roman" w:hAnsi="Times New Roman" w:cs="Times New Roman"/>
          <w:bCs/>
          <w:iCs/>
          <w:color w:val="000000"/>
          <w:sz w:val="25"/>
          <w:szCs w:val="25"/>
        </w:rPr>
      </w:pPr>
      <w:r>
        <w:rPr>
          <w:rFonts w:ascii="Times New Roman" w:hAnsi="Times New Roman" w:cs="Times New Roman"/>
          <w:bCs/>
          <w:iCs/>
          <w:color w:val="000000"/>
          <w:sz w:val="25"/>
          <w:szCs w:val="25"/>
        </w:rPr>
        <w:t>Furthermore, green reward and compensation management was evaluated with a mean of 3.4764 and a standard error of 0.0854. While not as highly rated as other constructs, it still suggests moderate integration of environmentally linked incentives—a key motivator for sustaining green behavior in employees (Yong et al., 2020).</w:t>
      </w:r>
    </w:p>
    <w:p>
      <w:pPr>
        <w:spacing w:line="480" w:lineRule="auto"/>
        <w:jc w:val="both"/>
        <w:rPr>
          <w:rFonts w:ascii="Times New Roman" w:hAnsi="Times New Roman" w:cs="Times New Roman"/>
          <w:bCs/>
          <w:iCs/>
          <w:color w:val="000000"/>
          <w:sz w:val="25"/>
          <w:szCs w:val="25"/>
        </w:rPr>
      </w:pPr>
      <w:r>
        <w:rPr>
          <w:rFonts w:ascii="Times New Roman" w:hAnsi="Times New Roman" w:cs="Times New Roman"/>
          <w:bCs/>
          <w:iCs/>
          <w:color w:val="000000"/>
          <w:sz w:val="25"/>
          <w:szCs w:val="25"/>
        </w:rPr>
        <w:t>The dimension of green training and development yielded a mean of 3.4609, within a confidence interval of 3.3094 to 3.6481, and a standard error of 0.0899. This suggests that while training exists, it may require further strategic alignment to fully enhance employees’ environmental competencies and awareness, consistent with findings by Jackson et al. (2011).</w:t>
      </w:r>
    </w:p>
    <w:p>
      <w:pPr>
        <w:spacing w:line="480" w:lineRule="auto"/>
        <w:jc w:val="both"/>
        <w:rPr>
          <w:rFonts w:ascii="Times New Roman" w:hAnsi="Times New Roman" w:cs="Times New Roman"/>
          <w:bCs/>
          <w:iCs/>
          <w:color w:val="000000"/>
          <w:sz w:val="25"/>
          <w:szCs w:val="25"/>
        </w:rPr>
      </w:pPr>
      <w:r>
        <w:rPr>
          <w:rFonts w:ascii="Times New Roman" w:hAnsi="Times New Roman" w:cs="Times New Roman"/>
          <w:bCs/>
          <w:iCs/>
          <w:color w:val="000000"/>
          <w:sz w:val="25"/>
          <w:szCs w:val="25"/>
        </w:rPr>
        <w:t>Overall, the mean scores for all six constructs exceed the baseline value of 3.0, signifying a favorable implementation of GHRM practices across the bank. Despite this, certain constructs—particularly green performance management—may still be susceptible to outliers or variability in interpretation, warranting deeper exploration. The relatively low standard errors across constructs indicate that responses are statistically reliable, strengthening the validity of these findings.</w:t>
      </w:r>
    </w:p>
    <w:p>
      <w:pPr>
        <w:spacing w:line="480" w:lineRule="auto"/>
        <w:jc w:val="both"/>
        <w:rPr>
          <w:rFonts w:ascii="Times New Roman" w:hAnsi="Times New Roman" w:cs="Times New Roman"/>
          <w:bCs/>
          <w:iCs/>
          <w:color w:val="000000"/>
          <w:sz w:val="25"/>
          <w:szCs w:val="25"/>
        </w:rPr>
      </w:pPr>
      <w:r>
        <w:rPr>
          <w:rFonts w:ascii="Times New Roman" w:hAnsi="Times New Roman" w:cs="Times New Roman"/>
          <w:bCs/>
          <w:iCs/>
          <w:color w:val="000000"/>
          <w:sz w:val="25"/>
          <w:szCs w:val="25"/>
        </w:rPr>
        <w:t>This evidence suggests that GHRM practices play a critical role in shaping organizational performance in modern banking institutions like GTB, supporting the broader argument that sustainable HRM is essential for competitive advantage in the 21st century (Daily &amp; Huang, 2001). However, further empirical investigation is recommended to determine whether the perceived impact of these practices—especially performance appraisal—is indeed translating into measurable organizational success or if it reflects prevailing employee sentiment.</w:t>
      </w:r>
    </w:p>
    <w:p>
      <w:pPr>
        <w:spacing w:line="480" w:lineRule="auto"/>
        <w:jc w:val="both"/>
        <w:rPr>
          <w:rFonts w:ascii="Times New Roman" w:hAnsi="Times New Roman" w:cs="Times New Roman"/>
          <w:bCs/>
          <w:iCs/>
          <w:color w:val="000000"/>
          <w:sz w:val="25"/>
          <w:szCs w:val="25"/>
        </w:rPr>
      </w:pPr>
      <w:r>
        <w:rPr>
          <w:rFonts w:ascii="Times New Roman" w:hAnsi="Times New Roman" w:cs="Times New Roman"/>
          <w:b/>
          <w:bCs/>
          <w:sz w:val="25"/>
          <w:szCs w:val="25"/>
        </w:rPr>
        <w:t>Research Question 2: what is the relationship between GHRM practices and organizational competitiveness</w:t>
      </w:r>
    </w:p>
    <w:p>
      <w:pPr>
        <w:autoSpaceDE w:val="0"/>
        <w:autoSpaceDN w:val="0"/>
        <w:adjustRightInd w:val="0"/>
        <w:spacing w:after="0" w:line="240" w:lineRule="auto"/>
        <w:rPr>
          <w:rFonts w:ascii="Times New Roman" w:hAnsi="Times New Roman" w:cs="Times New Roman"/>
          <w:sz w:val="25"/>
          <w:szCs w:val="25"/>
        </w:rPr>
      </w:pPr>
    </w:p>
    <w:tbl>
      <w:tblPr>
        <w:tblStyle w:val="8"/>
        <w:tblW w:w="818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20"/>
        <w:gridCol w:w="2416"/>
        <w:gridCol w:w="1162"/>
        <w:gridCol w:w="1024"/>
        <w:gridCol w:w="1393"/>
        <w:gridCol w:w="1469"/>
      </w:tblGrid>
      <w:tr>
        <w:tblPrEx>
          <w:tblLayout w:type="fixed"/>
        </w:tblPrEx>
        <w:trPr>
          <w:cantSplit/>
        </w:trPr>
        <w:tc>
          <w:tcPr>
            <w:tcW w:w="8184" w:type="dxa"/>
            <w:gridSpan w:val="6"/>
            <w:tcBorders>
              <w:top w:val="nil"/>
              <w:left w:val="nil"/>
              <w:bottom w:val="nil"/>
              <w:right w:val="nil"/>
            </w:tcBorders>
            <w:shd w:val="clear" w:color="auto" w:fill="FFFFFF"/>
            <w:vAlign w:val="center"/>
          </w:tcPr>
          <w:p>
            <w:pPr>
              <w:spacing w:after="0"/>
              <w:jc w:val="both"/>
              <w:rPr>
                <w:rFonts w:ascii="Times New Roman" w:hAnsi="Times New Roman" w:cs="Times New Roman"/>
                <w:color w:val="000000"/>
                <w:sz w:val="25"/>
                <w:szCs w:val="25"/>
              </w:rPr>
            </w:pPr>
            <w:r>
              <w:rPr>
                <w:rFonts w:ascii="Times New Roman" w:hAnsi="Times New Roman" w:cs="Times New Roman"/>
                <w:sz w:val="25"/>
                <w:szCs w:val="25"/>
              </w:rPr>
              <w:t>Table 4.4.2 Green job design and analysis are properly practiced in your organization</w:t>
            </w:r>
          </w:p>
        </w:tc>
      </w:tr>
      <w:tr>
        <w:tblPrEx>
          <w:tblLayout w:type="fixed"/>
        </w:tblPrEx>
        <w:trPr>
          <w:cantSplit/>
        </w:trPr>
        <w:tc>
          <w:tcPr>
            <w:tcW w:w="3136" w:type="dxa"/>
            <w:gridSpan w:val="2"/>
            <w:tcBorders>
              <w:top w:val="single" w:color="000000" w:sz="16" w:space="0"/>
              <w:left w:val="single" w:color="000000" w:sz="16" w:space="0"/>
              <w:bottom w:val="single" w:color="000000" w:sz="16" w:space="0"/>
              <w:right w:val="nil"/>
            </w:tcBorders>
            <w:shd w:val="clear" w:color="auto" w:fill="FFFFFF"/>
            <w:vAlign w:val="bottom"/>
          </w:tcPr>
          <w:p>
            <w:pPr>
              <w:autoSpaceDE w:val="0"/>
              <w:autoSpaceDN w:val="0"/>
              <w:adjustRightInd w:val="0"/>
              <w:spacing w:after="0" w:line="240" w:lineRule="auto"/>
              <w:rPr>
                <w:rFonts w:ascii="Times New Roman" w:hAnsi="Times New Roman" w:cs="Times New Roman"/>
                <w:sz w:val="25"/>
                <w:szCs w:val="25"/>
              </w:rPr>
            </w:pPr>
          </w:p>
        </w:tc>
        <w:tc>
          <w:tcPr>
            <w:tcW w:w="1162" w:type="dxa"/>
            <w:tcBorders>
              <w:top w:val="single" w:color="000000" w:sz="16" w:space="0"/>
              <w:left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Frequency</w:t>
            </w:r>
          </w:p>
        </w:tc>
        <w:tc>
          <w:tcPr>
            <w:tcW w:w="1024" w:type="dxa"/>
            <w:tcBorders>
              <w:top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Percent</w:t>
            </w:r>
          </w:p>
        </w:tc>
        <w:tc>
          <w:tcPr>
            <w:tcW w:w="1393" w:type="dxa"/>
            <w:tcBorders>
              <w:top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Valid Percent</w:t>
            </w:r>
          </w:p>
        </w:tc>
        <w:tc>
          <w:tcPr>
            <w:tcW w:w="1469" w:type="dxa"/>
            <w:tcBorders>
              <w:top w:val="single" w:color="000000" w:sz="16" w:space="0"/>
              <w:bottom w:val="single" w:color="000000" w:sz="16" w:space="0"/>
              <w:right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Cumulative Percent</w:t>
            </w:r>
          </w:p>
        </w:tc>
      </w:tr>
      <w:tr>
        <w:tblPrEx>
          <w:tblLayout w:type="fixed"/>
        </w:tblPrEx>
        <w:trPr>
          <w:cantSplit/>
        </w:trPr>
        <w:tc>
          <w:tcPr>
            <w:tcW w:w="720" w:type="dxa"/>
            <w:vMerge w:val="restart"/>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Valid</w:t>
            </w:r>
          </w:p>
        </w:tc>
        <w:tc>
          <w:tcPr>
            <w:tcW w:w="2416" w:type="dxa"/>
            <w:tcBorders>
              <w:top w:val="single" w:color="000000" w:sz="16" w:space="0"/>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STRONGLY DISAGREED</w:t>
            </w:r>
          </w:p>
        </w:tc>
        <w:tc>
          <w:tcPr>
            <w:tcW w:w="1162" w:type="dxa"/>
            <w:tcBorders>
              <w:top w:val="single" w:color="000000" w:sz="16" w:space="0"/>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w:t>
            </w:r>
          </w:p>
        </w:tc>
        <w:tc>
          <w:tcPr>
            <w:tcW w:w="1024" w:type="dxa"/>
            <w:tcBorders>
              <w:top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4.0</w:t>
            </w:r>
          </w:p>
        </w:tc>
        <w:tc>
          <w:tcPr>
            <w:tcW w:w="1393" w:type="dxa"/>
            <w:tcBorders>
              <w:top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4.0</w:t>
            </w:r>
          </w:p>
        </w:tc>
        <w:tc>
          <w:tcPr>
            <w:tcW w:w="1469" w:type="dxa"/>
            <w:tcBorders>
              <w:top w:val="single" w:color="000000" w:sz="16" w:space="0"/>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4.0</w:t>
            </w:r>
          </w:p>
        </w:tc>
      </w:tr>
      <w:tr>
        <w:tblPrEx>
          <w:tblLayout w:type="fixed"/>
        </w:tblPrEx>
        <w:trPr>
          <w:cantSplit/>
        </w:trPr>
        <w:tc>
          <w:tcPr>
            <w:tcW w:w="720"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2416" w:type="dxa"/>
            <w:tcBorders>
              <w:top w:val="nil"/>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DISAGREED</w:t>
            </w:r>
          </w:p>
        </w:tc>
        <w:tc>
          <w:tcPr>
            <w:tcW w:w="1162"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3</w:t>
            </w:r>
          </w:p>
        </w:tc>
        <w:tc>
          <w:tcPr>
            <w:tcW w:w="1024"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6.0</w:t>
            </w:r>
          </w:p>
        </w:tc>
        <w:tc>
          <w:tcPr>
            <w:tcW w:w="1393"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6.0</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w:t>
            </w:r>
          </w:p>
        </w:tc>
      </w:tr>
      <w:tr>
        <w:tblPrEx>
          <w:tblLayout w:type="fixed"/>
        </w:tblPrEx>
        <w:trPr>
          <w:cantSplit/>
        </w:trPr>
        <w:tc>
          <w:tcPr>
            <w:tcW w:w="720"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2416" w:type="dxa"/>
            <w:tcBorders>
              <w:top w:val="nil"/>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UNDECIDED</w:t>
            </w:r>
          </w:p>
        </w:tc>
        <w:tc>
          <w:tcPr>
            <w:tcW w:w="1162"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w:t>
            </w:r>
          </w:p>
        </w:tc>
        <w:tc>
          <w:tcPr>
            <w:tcW w:w="1024"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4.0</w:t>
            </w:r>
          </w:p>
        </w:tc>
        <w:tc>
          <w:tcPr>
            <w:tcW w:w="1393"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4.0</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14.0</w:t>
            </w:r>
          </w:p>
        </w:tc>
      </w:tr>
      <w:tr>
        <w:tblPrEx>
          <w:tblLayout w:type="fixed"/>
        </w:tblPrEx>
        <w:trPr>
          <w:cantSplit/>
        </w:trPr>
        <w:tc>
          <w:tcPr>
            <w:tcW w:w="720"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2416" w:type="dxa"/>
            <w:tcBorders>
              <w:top w:val="nil"/>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AGREED</w:t>
            </w:r>
          </w:p>
        </w:tc>
        <w:tc>
          <w:tcPr>
            <w:tcW w:w="1162"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8</w:t>
            </w:r>
          </w:p>
        </w:tc>
        <w:tc>
          <w:tcPr>
            <w:tcW w:w="1024"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16.0</w:t>
            </w:r>
          </w:p>
        </w:tc>
        <w:tc>
          <w:tcPr>
            <w:tcW w:w="1393"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16.0</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30.0</w:t>
            </w:r>
          </w:p>
        </w:tc>
      </w:tr>
      <w:tr>
        <w:tblPrEx>
          <w:tblLayout w:type="fixed"/>
        </w:tblPrEx>
        <w:trPr>
          <w:cantSplit/>
        </w:trPr>
        <w:tc>
          <w:tcPr>
            <w:tcW w:w="720"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2416" w:type="dxa"/>
            <w:tcBorders>
              <w:top w:val="nil"/>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STRONGLY AREED</w:t>
            </w:r>
          </w:p>
        </w:tc>
        <w:tc>
          <w:tcPr>
            <w:tcW w:w="1162"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35</w:t>
            </w:r>
          </w:p>
        </w:tc>
        <w:tc>
          <w:tcPr>
            <w:tcW w:w="1024"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70.0</w:t>
            </w:r>
          </w:p>
        </w:tc>
        <w:tc>
          <w:tcPr>
            <w:tcW w:w="1393"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70.0</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100.0</w:t>
            </w:r>
          </w:p>
        </w:tc>
      </w:tr>
      <w:tr>
        <w:tblPrEx>
          <w:tblLayout w:type="fixed"/>
        </w:tblPrEx>
        <w:trPr>
          <w:cantSplit/>
        </w:trPr>
        <w:tc>
          <w:tcPr>
            <w:tcW w:w="720"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2416" w:type="dxa"/>
            <w:tcBorders>
              <w:top w:val="nil"/>
              <w:left w:val="nil"/>
              <w:bottom w:val="single" w:color="000000" w:sz="16" w:space="0"/>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Total</w:t>
            </w:r>
          </w:p>
        </w:tc>
        <w:tc>
          <w:tcPr>
            <w:tcW w:w="1162" w:type="dxa"/>
            <w:tcBorders>
              <w:top w:val="nil"/>
              <w:left w:val="single" w:color="000000" w:sz="16" w:space="0"/>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50</w:t>
            </w:r>
          </w:p>
        </w:tc>
        <w:tc>
          <w:tcPr>
            <w:tcW w:w="1024" w:type="dxa"/>
            <w:tcBorders>
              <w:top w:val="nil"/>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100.0</w:t>
            </w:r>
          </w:p>
        </w:tc>
        <w:tc>
          <w:tcPr>
            <w:tcW w:w="1393" w:type="dxa"/>
            <w:tcBorders>
              <w:top w:val="nil"/>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100.0</w:t>
            </w:r>
          </w:p>
        </w:tc>
        <w:tc>
          <w:tcPr>
            <w:tcW w:w="1469" w:type="dxa"/>
            <w:tcBorders>
              <w:top w:val="nil"/>
              <w:bottom w:val="single" w:color="000000" w:sz="16" w:space="0"/>
              <w:right w:val="single" w:color="000000" w:sz="16" w:space="0"/>
            </w:tcBorders>
            <w:shd w:val="clear" w:color="auto" w:fill="FFFFFF"/>
            <w:vAlign w:val="center"/>
          </w:tcPr>
          <w:p>
            <w:pPr>
              <w:autoSpaceDE w:val="0"/>
              <w:autoSpaceDN w:val="0"/>
              <w:adjustRightInd w:val="0"/>
              <w:spacing w:after="0" w:line="240" w:lineRule="auto"/>
              <w:rPr>
                <w:rFonts w:ascii="Times New Roman" w:hAnsi="Times New Roman" w:cs="Times New Roman"/>
                <w:sz w:val="25"/>
                <w:szCs w:val="25"/>
              </w:rPr>
            </w:pPr>
          </w:p>
        </w:tc>
      </w:tr>
    </w:tbl>
    <w:p>
      <w:pPr>
        <w:spacing w:after="0"/>
        <w:jc w:val="both"/>
        <w:rPr>
          <w:rFonts w:ascii="Times New Roman" w:hAnsi="Times New Roman" w:cs="Times New Roman"/>
          <w:b/>
          <w:sz w:val="25"/>
          <w:szCs w:val="25"/>
        </w:rPr>
      </w:pPr>
      <w:r>
        <w:rPr>
          <w:rFonts w:ascii="Times New Roman" w:hAnsi="Times New Roman" w:cs="Times New Roman"/>
          <w:b/>
          <w:sz w:val="25"/>
          <w:szCs w:val="25"/>
        </w:rPr>
        <w:t>Source: SPSS Computation, 2025</w:t>
      </w:r>
    </w:p>
    <w:p>
      <w:pPr>
        <w:autoSpaceDE w:val="0"/>
        <w:autoSpaceDN w:val="0"/>
        <w:adjustRightInd w:val="0"/>
        <w:spacing w:after="0" w:line="480" w:lineRule="auto"/>
        <w:jc w:val="both"/>
        <w:rPr>
          <w:rFonts w:ascii="Times New Roman" w:hAnsi="Times New Roman" w:cs="Times New Roman"/>
          <w:sz w:val="25"/>
          <w:szCs w:val="25"/>
        </w:rPr>
      </w:pPr>
    </w:p>
    <w:p>
      <w:pPr>
        <w:autoSpaceDE w:val="0"/>
        <w:autoSpaceDN w:val="0"/>
        <w:adjustRightInd w:val="0"/>
        <w:spacing w:after="0" w:line="400" w:lineRule="atLeast"/>
        <w:rPr>
          <w:rFonts w:ascii="Times New Roman" w:hAnsi="Times New Roman" w:cs="Times New Roman"/>
          <w:sz w:val="25"/>
          <w:szCs w:val="25"/>
        </w:rPr>
      </w:pPr>
      <w:r>
        <w:rPr>
          <w:rFonts w:ascii="Times New Roman" w:hAnsi="Times New Roman" w:cs="Times New Roman"/>
          <w:sz w:val="25"/>
          <w:szCs w:val="25"/>
        </w:rPr>
        <w:t>Based on the provided information, it can be concluded that a majority of the respondents, specifically 86% (43 out of the total respondents), agreed with the statement that Green job design and analysis are properly practiced in the organization. In contrast, only 10% (5 respondents) disagreed with this assertion.</w:t>
      </w:r>
    </w:p>
    <w:p>
      <w:pPr>
        <w:autoSpaceDE w:val="0"/>
        <w:autoSpaceDN w:val="0"/>
        <w:adjustRightInd w:val="0"/>
        <w:spacing w:after="0" w:line="400" w:lineRule="atLeast"/>
        <w:rPr>
          <w:rFonts w:ascii="Times New Roman" w:hAnsi="Times New Roman" w:cs="Times New Roman"/>
          <w:sz w:val="25"/>
          <w:szCs w:val="25"/>
        </w:rPr>
      </w:pPr>
    </w:p>
    <w:tbl>
      <w:tblPr>
        <w:tblStyle w:val="8"/>
        <w:tblW w:w="818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2402"/>
        <w:gridCol w:w="1162"/>
        <w:gridCol w:w="1024"/>
        <w:gridCol w:w="1393"/>
        <w:gridCol w:w="1469"/>
      </w:tblGrid>
      <w:tr>
        <w:tblPrEx>
          <w:tblLayout w:type="fixed"/>
        </w:tblPrEx>
        <w:trPr>
          <w:cantSplit/>
        </w:trPr>
        <w:tc>
          <w:tcPr>
            <w:tcW w:w="8184" w:type="dxa"/>
            <w:gridSpan w:val="6"/>
            <w:tcBorders>
              <w:top w:val="nil"/>
              <w:left w:val="nil"/>
              <w:bottom w:val="nil"/>
              <w:right w:val="nil"/>
            </w:tcBorders>
            <w:shd w:val="clear" w:color="auto" w:fill="FFFFFF"/>
            <w:vAlign w:val="center"/>
          </w:tcPr>
          <w:p>
            <w:pPr>
              <w:spacing w:after="0"/>
              <w:jc w:val="both"/>
              <w:rPr>
                <w:rFonts w:ascii="Times New Roman" w:hAnsi="Times New Roman" w:cs="Times New Roman"/>
                <w:color w:val="000000"/>
                <w:sz w:val="25"/>
                <w:szCs w:val="25"/>
              </w:rPr>
            </w:pPr>
            <w:r>
              <w:rPr>
                <w:rFonts w:ascii="Times New Roman" w:hAnsi="Times New Roman" w:cs="Times New Roman"/>
                <w:sz w:val="25"/>
                <w:szCs w:val="25"/>
              </w:rPr>
              <w:t>Table 4.4.3: Green human resource planning is involved in your organizational decision making</w:t>
            </w:r>
          </w:p>
        </w:tc>
      </w:tr>
      <w:tr>
        <w:tblPrEx>
          <w:tblLayout w:type="fixed"/>
        </w:tblPrEx>
        <w:trPr>
          <w:cantSplit/>
        </w:trPr>
        <w:tc>
          <w:tcPr>
            <w:tcW w:w="3136" w:type="dxa"/>
            <w:gridSpan w:val="2"/>
            <w:tcBorders>
              <w:top w:val="single" w:color="000000" w:sz="16" w:space="0"/>
              <w:left w:val="single" w:color="000000" w:sz="16" w:space="0"/>
              <w:bottom w:val="single" w:color="000000" w:sz="16" w:space="0"/>
              <w:right w:val="nil"/>
            </w:tcBorders>
            <w:shd w:val="clear" w:color="auto" w:fill="FFFFFF"/>
            <w:vAlign w:val="bottom"/>
          </w:tcPr>
          <w:p>
            <w:pPr>
              <w:autoSpaceDE w:val="0"/>
              <w:autoSpaceDN w:val="0"/>
              <w:adjustRightInd w:val="0"/>
              <w:spacing w:after="0" w:line="240" w:lineRule="auto"/>
              <w:rPr>
                <w:rFonts w:ascii="Times New Roman" w:hAnsi="Times New Roman" w:cs="Times New Roman"/>
                <w:sz w:val="25"/>
                <w:szCs w:val="25"/>
              </w:rPr>
            </w:pPr>
          </w:p>
        </w:tc>
        <w:tc>
          <w:tcPr>
            <w:tcW w:w="1162" w:type="dxa"/>
            <w:tcBorders>
              <w:top w:val="single" w:color="000000" w:sz="16" w:space="0"/>
              <w:left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Frequency</w:t>
            </w:r>
          </w:p>
        </w:tc>
        <w:tc>
          <w:tcPr>
            <w:tcW w:w="1024" w:type="dxa"/>
            <w:tcBorders>
              <w:top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Percent</w:t>
            </w:r>
          </w:p>
        </w:tc>
        <w:tc>
          <w:tcPr>
            <w:tcW w:w="1393" w:type="dxa"/>
            <w:tcBorders>
              <w:top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Valid Percent</w:t>
            </w:r>
          </w:p>
        </w:tc>
        <w:tc>
          <w:tcPr>
            <w:tcW w:w="1469" w:type="dxa"/>
            <w:tcBorders>
              <w:top w:val="single" w:color="000000" w:sz="16" w:space="0"/>
              <w:bottom w:val="single" w:color="000000" w:sz="16" w:space="0"/>
              <w:right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Cumulative Percent</w:t>
            </w:r>
          </w:p>
        </w:tc>
      </w:tr>
      <w:tr>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Valid</w:t>
            </w:r>
          </w:p>
        </w:tc>
        <w:tc>
          <w:tcPr>
            <w:tcW w:w="2402" w:type="dxa"/>
            <w:tcBorders>
              <w:top w:val="single" w:color="000000" w:sz="16" w:space="0"/>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STRONGLY DISAGREED</w:t>
            </w:r>
          </w:p>
        </w:tc>
        <w:tc>
          <w:tcPr>
            <w:tcW w:w="1162" w:type="dxa"/>
            <w:tcBorders>
              <w:top w:val="single" w:color="000000" w:sz="16" w:space="0"/>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w:t>
            </w:r>
          </w:p>
        </w:tc>
        <w:tc>
          <w:tcPr>
            <w:tcW w:w="1024" w:type="dxa"/>
            <w:tcBorders>
              <w:top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4.0</w:t>
            </w:r>
          </w:p>
        </w:tc>
        <w:tc>
          <w:tcPr>
            <w:tcW w:w="1393" w:type="dxa"/>
            <w:tcBorders>
              <w:top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4.0</w:t>
            </w:r>
          </w:p>
        </w:tc>
        <w:tc>
          <w:tcPr>
            <w:tcW w:w="1469" w:type="dxa"/>
            <w:tcBorders>
              <w:top w:val="single" w:color="000000" w:sz="16" w:space="0"/>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DISAGREED</w:t>
            </w:r>
          </w:p>
        </w:tc>
        <w:tc>
          <w:tcPr>
            <w:tcW w:w="1162"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3</w:t>
            </w:r>
          </w:p>
        </w:tc>
        <w:tc>
          <w:tcPr>
            <w:tcW w:w="1024"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6.0</w:t>
            </w:r>
          </w:p>
        </w:tc>
        <w:tc>
          <w:tcPr>
            <w:tcW w:w="1393"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6.0</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UNDECIDED</w:t>
            </w:r>
          </w:p>
        </w:tc>
        <w:tc>
          <w:tcPr>
            <w:tcW w:w="1162"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w:t>
            </w:r>
          </w:p>
        </w:tc>
        <w:tc>
          <w:tcPr>
            <w:tcW w:w="1024"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2.0</w:t>
            </w:r>
          </w:p>
        </w:tc>
        <w:tc>
          <w:tcPr>
            <w:tcW w:w="1393"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2.0</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12.0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AGREED</w:t>
            </w:r>
          </w:p>
        </w:tc>
        <w:tc>
          <w:tcPr>
            <w:tcW w:w="1162"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7</w:t>
            </w:r>
          </w:p>
        </w:tc>
        <w:tc>
          <w:tcPr>
            <w:tcW w:w="1024"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14.0</w:t>
            </w:r>
          </w:p>
        </w:tc>
        <w:tc>
          <w:tcPr>
            <w:tcW w:w="1393"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14.0</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26.0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STRONGLY AGREED</w:t>
            </w:r>
          </w:p>
        </w:tc>
        <w:tc>
          <w:tcPr>
            <w:tcW w:w="1162"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37</w:t>
            </w:r>
          </w:p>
        </w:tc>
        <w:tc>
          <w:tcPr>
            <w:tcW w:w="1024"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74.0</w:t>
            </w:r>
          </w:p>
        </w:tc>
        <w:tc>
          <w:tcPr>
            <w:tcW w:w="1393"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74.0</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single" w:color="000000" w:sz="16" w:space="0"/>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Total</w:t>
            </w:r>
          </w:p>
        </w:tc>
        <w:tc>
          <w:tcPr>
            <w:tcW w:w="1162" w:type="dxa"/>
            <w:tcBorders>
              <w:top w:val="nil"/>
              <w:left w:val="single" w:color="000000" w:sz="16" w:space="0"/>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50</w:t>
            </w:r>
          </w:p>
        </w:tc>
        <w:tc>
          <w:tcPr>
            <w:tcW w:w="1024" w:type="dxa"/>
            <w:tcBorders>
              <w:top w:val="nil"/>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100.0</w:t>
            </w:r>
          </w:p>
        </w:tc>
        <w:tc>
          <w:tcPr>
            <w:tcW w:w="1393" w:type="dxa"/>
            <w:tcBorders>
              <w:top w:val="nil"/>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100.0</w:t>
            </w:r>
          </w:p>
        </w:tc>
        <w:tc>
          <w:tcPr>
            <w:tcW w:w="1469" w:type="dxa"/>
            <w:tcBorders>
              <w:top w:val="nil"/>
              <w:bottom w:val="single" w:color="000000" w:sz="16" w:space="0"/>
              <w:right w:val="single" w:color="000000" w:sz="16" w:space="0"/>
            </w:tcBorders>
            <w:shd w:val="clear" w:color="auto" w:fill="FFFFFF"/>
            <w:vAlign w:val="center"/>
          </w:tcPr>
          <w:p>
            <w:pPr>
              <w:autoSpaceDE w:val="0"/>
              <w:autoSpaceDN w:val="0"/>
              <w:adjustRightInd w:val="0"/>
              <w:spacing w:after="0" w:line="240" w:lineRule="auto"/>
              <w:rPr>
                <w:rFonts w:ascii="Times New Roman" w:hAnsi="Times New Roman" w:cs="Times New Roman"/>
                <w:sz w:val="25"/>
                <w:szCs w:val="25"/>
              </w:rPr>
            </w:pPr>
          </w:p>
        </w:tc>
      </w:tr>
    </w:tbl>
    <w:p>
      <w:pPr>
        <w:spacing w:after="0" w:line="480" w:lineRule="auto"/>
        <w:jc w:val="both"/>
        <w:rPr>
          <w:rFonts w:ascii="Times New Roman" w:hAnsi="Times New Roman" w:cs="Times New Roman"/>
          <w:b/>
          <w:sz w:val="25"/>
          <w:szCs w:val="25"/>
        </w:rPr>
      </w:pPr>
      <w:r>
        <w:rPr>
          <w:rFonts w:ascii="Times New Roman" w:hAnsi="Times New Roman" w:cs="Times New Roman"/>
          <w:b/>
          <w:sz w:val="25"/>
          <w:szCs w:val="25"/>
        </w:rPr>
        <w:t>Source: SPSS Computation, 2025</w:t>
      </w:r>
    </w:p>
    <w:p>
      <w:pPr>
        <w:spacing w:after="0" w:line="480" w:lineRule="auto"/>
        <w:jc w:val="both"/>
        <w:rPr>
          <w:rFonts w:ascii="Times New Roman" w:hAnsi="Times New Roman" w:cs="Times New Roman"/>
          <w:sz w:val="25"/>
          <w:szCs w:val="25"/>
        </w:rPr>
      </w:pPr>
      <w:r>
        <w:rPr>
          <w:rFonts w:ascii="Times New Roman" w:hAnsi="Times New Roman" w:cs="Times New Roman"/>
          <w:sz w:val="25"/>
          <w:szCs w:val="25"/>
        </w:rPr>
        <w:t xml:space="preserve"> </w:t>
      </w:r>
    </w:p>
    <w:tbl>
      <w:tblPr>
        <w:tblStyle w:val="8"/>
        <w:tblW w:w="818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2402"/>
        <w:gridCol w:w="1162"/>
        <w:gridCol w:w="1024"/>
        <w:gridCol w:w="1393"/>
        <w:gridCol w:w="1469"/>
      </w:tblGrid>
      <w:tr>
        <w:tblPrEx>
          <w:tblLayout w:type="fixed"/>
        </w:tblPrEx>
        <w:trPr>
          <w:cantSplit/>
        </w:trPr>
        <w:tc>
          <w:tcPr>
            <w:tcW w:w="8184" w:type="dxa"/>
            <w:gridSpan w:val="6"/>
            <w:tcBorders>
              <w:top w:val="nil"/>
              <w:left w:val="nil"/>
              <w:bottom w:val="nil"/>
              <w:right w:val="nil"/>
            </w:tcBorders>
            <w:shd w:val="clear" w:color="auto" w:fill="FFFFFF"/>
            <w:vAlign w:val="center"/>
          </w:tcPr>
          <w:p>
            <w:pPr>
              <w:autoSpaceDE w:val="0"/>
              <w:autoSpaceDN w:val="0"/>
              <w:adjustRightInd w:val="0"/>
              <w:spacing w:after="0" w:line="400" w:lineRule="atLeast"/>
              <w:rPr>
                <w:rFonts w:ascii="Times New Roman" w:hAnsi="Times New Roman" w:cs="Times New Roman"/>
                <w:color w:val="000000"/>
                <w:sz w:val="25"/>
                <w:szCs w:val="25"/>
              </w:rPr>
            </w:pPr>
            <w:r>
              <w:rPr>
                <w:rFonts w:ascii="Times New Roman" w:hAnsi="Times New Roman" w:cs="Times New Roman"/>
                <w:sz w:val="25"/>
                <w:szCs w:val="25"/>
              </w:rPr>
              <w:t>Table 4.4.4: Green induction is applied in your organization</w:t>
            </w:r>
          </w:p>
        </w:tc>
      </w:tr>
      <w:tr>
        <w:tblPrEx>
          <w:tblLayout w:type="fixed"/>
        </w:tblPrEx>
        <w:trPr>
          <w:cantSplit/>
        </w:trPr>
        <w:tc>
          <w:tcPr>
            <w:tcW w:w="3136" w:type="dxa"/>
            <w:gridSpan w:val="2"/>
            <w:tcBorders>
              <w:top w:val="single" w:color="000000" w:sz="16" w:space="0"/>
              <w:left w:val="single" w:color="000000" w:sz="16" w:space="0"/>
              <w:bottom w:val="single" w:color="000000" w:sz="16" w:space="0"/>
              <w:right w:val="nil"/>
            </w:tcBorders>
            <w:shd w:val="clear" w:color="auto" w:fill="FFFFFF"/>
            <w:vAlign w:val="bottom"/>
          </w:tcPr>
          <w:p>
            <w:pPr>
              <w:autoSpaceDE w:val="0"/>
              <w:autoSpaceDN w:val="0"/>
              <w:adjustRightInd w:val="0"/>
              <w:spacing w:after="0" w:line="240" w:lineRule="auto"/>
              <w:rPr>
                <w:rFonts w:ascii="Times New Roman" w:hAnsi="Times New Roman" w:cs="Times New Roman"/>
                <w:sz w:val="25"/>
                <w:szCs w:val="25"/>
              </w:rPr>
            </w:pPr>
          </w:p>
        </w:tc>
        <w:tc>
          <w:tcPr>
            <w:tcW w:w="1162" w:type="dxa"/>
            <w:tcBorders>
              <w:top w:val="single" w:color="000000" w:sz="16" w:space="0"/>
              <w:left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Frequency</w:t>
            </w:r>
          </w:p>
        </w:tc>
        <w:tc>
          <w:tcPr>
            <w:tcW w:w="1024" w:type="dxa"/>
            <w:tcBorders>
              <w:top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Percent</w:t>
            </w:r>
          </w:p>
        </w:tc>
        <w:tc>
          <w:tcPr>
            <w:tcW w:w="1393" w:type="dxa"/>
            <w:tcBorders>
              <w:top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Valid Percent</w:t>
            </w:r>
          </w:p>
        </w:tc>
        <w:tc>
          <w:tcPr>
            <w:tcW w:w="1469" w:type="dxa"/>
            <w:tcBorders>
              <w:top w:val="single" w:color="000000" w:sz="16" w:space="0"/>
              <w:bottom w:val="single" w:color="000000" w:sz="16" w:space="0"/>
              <w:right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Cumulative Percent</w:t>
            </w:r>
          </w:p>
        </w:tc>
      </w:tr>
      <w:tr>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Valid</w:t>
            </w:r>
          </w:p>
        </w:tc>
        <w:tc>
          <w:tcPr>
            <w:tcW w:w="2402" w:type="dxa"/>
            <w:tcBorders>
              <w:top w:val="single" w:color="000000" w:sz="16" w:space="0"/>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STRONGLY DISAGREED</w:t>
            </w:r>
          </w:p>
        </w:tc>
        <w:tc>
          <w:tcPr>
            <w:tcW w:w="1162" w:type="dxa"/>
            <w:tcBorders>
              <w:top w:val="single" w:color="000000" w:sz="16" w:space="0"/>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3</w:t>
            </w:r>
          </w:p>
        </w:tc>
        <w:tc>
          <w:tcPr>
            <w:tcW w:w="1024" w:type="dxa"/>
            <w:tcBorders>
              <w:top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6.0</w:t>
            </w:r>
          </w:p>
        </w:tc>
        <w:tc>
          <w:tcPr>
            <w:tcW w:w="1393" w:type="dxa"/>
            <w:tcBorders>
              <w:top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6.0</w:t>
            </w:r>
          </w:p>
        </w:tc>
        <w:tc>
          <w:tcPr>
            <w:tcW w:w="1469" w:type="dxa"/>
            <w:tcBorders>
              <w:top w:val="single" w:color="000000" w:sz="16" w:space="0"/>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6.0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DISAGREED</w:t>
            </w:r>
          </w:p>
        </w:tc>
        <w:tc>
          <w:tcPr>
            <w:tcW w:w="1162"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w:t>
            </w:r>
          </w:p>
        </w:tc>
        <w:tc>
          <w:tcPr>
            <w:tcW w:w="1024"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2.0</w:t>
            </w:r>
          </w:p>
        </w:tc>
        <w:tc>
          <w:tcPr>
            <w:tcW w:w="1393"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2.0</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8.0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UNDECIDED</w:t>
            </w:r>
          </w:p>
        </w:tc>
        <w:tc>
          <w:tcPr>
            <w:tcW w:w="1162"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w:t>
            </w:r>
          </w:p>
        </w:tc>
        <w:tc>
          <w:tcPr>
            <w:tcW w:w="1024"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4.0</w:t>
            </w:r>
          </w:p>
        </w:tc>
        <w:tc>
          <w:tcPr>
            <w:tcW w:w="1393"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4.0</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12.0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AGREED</w:t>
            </w:r>
          </w:p>
        </w:tc>
        <w:tc>
          <w:tcPr>
            <w:tcW w:w="1162"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23</w:t>
            </w:r>
          </w:p>
        </w:tc>
        <w:tc>
          <w:tcPr>
            <w:tcW w:w="1024"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46.0</w:t>
            </w:r>
          </w:p>
        </w:tc>
        <w:tc>
          <w:tcPr>
            <w:tcW w:w="1393"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46.0</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58.0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STRONGLY AGREED</w:t>
            </w:r>
          </w:p>
        </w:tc>
        <w:tc>
          <w:tcPr>
            <w:tcW w:w="1162"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21</w:t>
            </w:r>
          </w:p>
        </w:tc>
        <w:tc>
          <w:tcPr>
            <w:tcW w:w="1024"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42.0</w:t>
            </w:r>
          </w:p>
        </w:tc>
        <w:tc>
          <w:tcPr>
            <w:tcW w:w="1393"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42.0</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single" w:color="000000" w:sz="16" w:space="0"/>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Total</w:t>
            </w:r>
          </w:p>
        </w:tc>
        <w:tc>
          <w:tcPr>
            <w:tcW w:w="1162" w:type="dxa"/>
            <w:tcBorders>
              <w:top w:val="nil"/>
              <w:left w:val="single" w:color="000000" w:sz="16" w:space="0"/>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50</w:t>
            </w:r>
          </w:p>
        </w:tc>
        <w:tc>
          <w:tcPr>
            <w:tcW w:w="1024" w:type="dxa"/>
            <w:tcBorders>
              <w:top w:val="nil"/>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100.0</w:t>
            </w:r>
          </w:p>
        </w:tc>
        <w:tc>
          <w:tcPr>
            <w:tcW w:w="1393" w:type="dxa"/>
            <w:tcBorders>
              <w:top w:val="nil"/>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100.0</w:t>
            </w:r>
          </w:p>
        </w:tc>
        <w:tc>
          <w:tcPr>
            <w:tcW w:w="1469" w:type="dxa"/>
            <w:tcBorders>
              <w:top w:val="nil"/>
              <w:bottom w:val="single" w:color="000000" w:sz="16" w:space="0"/>
              <w:right w:val="single" w:color="000000" w:sz="16" w:space="0"/>
            </w:tcBorders>
            <w:shd w:val="clear" w:color="auto" w:fill="FFFFFF"/>
            <w:vAlign w:val="center"/>
          </w:tcPr>
          <w:p>
            <w:pPr>
              <w:autoSpaceDE w:val="0"/>
              <w:autoSpaceDN w:val="0"/>
              <w:adjustRightInd w:val="0"/>
              <w:spacing w:after="0" w:line="240" w:lineRule="auto"/>
              <w:rPr>
                <w:rFonts w:ascii="Times New Roman" w:hAnsi="Times New Roman" w:cs="Times New Roman"/>
                <w:sz w:val="25"/>
                <w:szCs w:val="25"/>
              </w:rPr>
            </w:pPr>
          </w:p>
        </w:tc>
      </w:tr>
    </w:tbl>
    <w:p>
      <w:pPr>
        <w:spacing w:after="0"/>
        <w:jc w:val="both"/>
        <w:rPr>
          <w:rFonts w:ascii="Times New Roman" w:hAnsi="Times New Roman" w:cs="Times New Roman"/>
          <w:b/>
          <w:sz w:val="25"/>
          <w:szCs w:val="25"/>
        </w:rPr>
      </w:pPr>
      <w:r>
        <w:rPr>
          <w:rFonts w:ascii="Times New Roman" w:hAnsi="Times New Roman" w:cs="Times New Roman"/>
          <w:b/>
          <w:sz w:val="25"/>
          <w:szCs w:val="25"/>
        </w:rPr>
        <w:t>Source: SPSS Computation, 2025</w:t>
      </w:r>
    </w:p>
    <w:p>
      <w:pPr>
        <w:autoSpaceDE w:val="0"/>
        <w:autoSpaceDN w:val="0"/>
        <w:adjustRightInd w:val="0"/>
        <w:spacing w:after="0" w:line="480" w:lineRule="auto"/>
        <w:rPr>
          <w:rFonts w:ascii="Times New Roman" w:hAnsi="Times New Roman" w:cs="Times New Roman"/>
          <w:sz w:val="25"/>
          <w:szCs w:val="25"/>
        </w:rPr>
      </w:pPr>
      <w:r>
        <w:rPr>
          <w:rFonts w:ascii="Times New Roman" w:hAnsi="Times New Roman" w:cs="Times New Roman"/>
          <w:sz w:val="25"/>
          <w:szCs w:val="25"/>
        </w:rPr>
        <w:t>As shown in the table above, 2 respondents representing 4% were neither agreeing with the claim nor disagreeing with it, whereas 44 respondents representing 88% agreed with the assertion that the Green induction is used in your firm. This indicates that the assertion that Green Induction is used in your organization was accepted by the majority of respondents. This raises the competitiveness of the organization.</w:t>
      </w:r>
    </w:p>
    <w:p>
      <w:pPr>
        <w:autoSpaceDE w:val="0"/>
        <w:autoSpaceDN w:val="0"/>
        <w:adjustRightInd w:val="0"/>
        <w:spacing w:after="0" w:line="400" w:lineRule="atLeast"/>
        <w:rPr>
          <w:rFonts w:ascii="Times New Roman" w:hAnsi="Times New Roman" w:cs="Times New Roman"/>
          <w:sz w:val="25"/>
          <w:szCs w:val="25"/>
        </w:rPr>
      </w:pPr>
    </w:p>
    <w:tbl>
      <w:tblPr>
        <w:tblStyle w:val="8"/>
        <w:tblW w:w="818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2402"/>
        <w:gridCol w:w="1162"/>
        <w:gridCol w:w="1024"/>
        <w:gridCol w:w="1393"/>
        <w:gridCol w:w="1469"/>
      </w:tblGrid>
      <w:tr>
        <w:tblPrEx>
          <w:tblLayout w:type="fixed"/>
        </w:tblPrEx>
        <w:trPr>
          <w:cantSplit/>
        </w:trPr>
        <w:tc>
          <w:tcPr>
            <w:tcW w:w="8184" w:type="dxa"/>
            <w:gridSpan w:val="6"/>
            <w:tcBorders>
              <w:top w:val="nil"/>
              <w:left w:val="nil"/>
              <w:bottom w:val="nil"/>
              <w:right w:val="nil"/>
            </w:tcBorders>
            <w:shd w:val="clear" w:color="auto" w:fill="FFFFFF"/>
            <w:vAlign w:val="center"/>
          </w:tcPr>
          <w:p>
            <w:pPr>
              <w:spacing w:after="0"/>
              <w:jc w:val="both"/>
              <w:rPr>
                <w:rFonts w:ascii="Times New Roman" w:hAnsi="Times New Roman" w:cs="Times New Roman"/>
                <w:color w:val="000000"/>
                <w:sz w:val="25"/>
                <w:szCs w:val="25"/>
              </w:rPr>
            </w:pPr>
            <w:r>
              <w:rPr>
                <w:rFonts w:ascii="Times New Roman" w:hAnsi="Times New Roman" w:cs="Times New Roman"/>
                <w:spacing w:val="4"/>
                <w:sz w:val="25"/>
                <w:szCs w:val="25"/>
              </w:rPr>
              <w:t xml:space="preserve">Table 4.4.5: </w:t>
            </w:r>
            <w:r>
              <w:rPr>
                <w:rFonts w:ascii="Times New Roman" w:hAnsi="Times New Roman" w:cs="Times New Roman"/>
                <w:sz w:val="25"/>
                <w:szCs w:val="25"/>
              </w:rPr>
              <w:t>Green health and safety management are properly practiced in your organization</w:t>
            </w:r>
          </w:p>
        </w:tc>
      </w:tr>
      <w:tr>
        <w:tblPrEx>
          <w:tblLayout w:type="fixed"/>
        </w:tblPrEx>
        <w:trPr>
          <w:cantSplit/>
        </w:trPr>
        <w:tc>
          <w:tcPr>
            <w:tcW w:w="3136" w:type="dxa"/>
            <w:gridSpan w:val="2"/>
            <w:tcBorders>
              <w:top w:val="single" w:color="000000" w:sz="16" w:space="0"/>
              <w:left w:val="single" w:color="000000" w:sz="16" w:space="0"/>
              <w:bottom w:val="single" w:color="000000" w:sz="16" w:space="0"/>
              <w:right w:val="nil"/>
            </w:tcBorders>
            <w:shd w:val="clear" w:color="auto" w:fill="FFFFFF"/>
            <w:vAlign w:val="bottom"/>
          </w:tcPr>
          <w:p>
            <w:pPr>
              <w:autoSpaceDE w:val="0"/>
              <w:autoSpaceDN w:val="0"/>
              <w:adjustRightInd w:val="0"/>
              <w:spacing w:after="0" w:line="240" w:lineRule="auto"/>
              <w:rPr>
                <w:rFonts w:ascii="Times New Roman" w:hAnsi="Times New Roman" w:cs="Times New Roman"/>
                <w:sz w:val="25"/>
                <w:szCs w:val="25"/>
              </w:rPr>
            </w:pPr>
          </w:p>
        </w:tc>
        <w:tc>
          <w:tcPr>
            <w:tcW w:w="1162" w:type="dxa"/>
            <w:tcBorders>
              <w:top w:val="single" w:color="000000" w:sz="16" w:space="0"/>
              <w:left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Frequency</w:t>
            </w:r>
          </w:p>
        </w:tc>
        <w:tc>
          <w:tcPr>
            <w:tcW w:w="1024" w:type="dxa"/>
            <w:tcBorders>
              <w:top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Percent</w:t>
            </w:r>
          </w:p>
        </w:tc>
        <w:tc>
          <w:tcPr>
            <w:tcW w:w="1393" w:type="dxa"/>
            <w:tcBorders>
              <w:top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Valid Percent</w:t>
            </w:r>
          </w:p>
        </w:tc>
        <w:tc>
          <w:tcPr>
            <w:tcW w:w="1469" w:type="dxa"/>
            <w:tcBorders>
              <w:top w:val="single" w:color="000000" w:sz="16" w:space="0"/>
              <w:bottom w:val="single" w:color="000000" w:sz="16" w:space="0"/>
              <w:right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Cumulative Percent</w:t>
            </w:r>
          </w:p>
        </w:tc>
      </w:tr>
      <w:tr>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Valid</w:t>
            </w:r>
          </w:p>
        </w:tc>
        <w:tc>
          <w:tcPr>
            <w:tcW w:w="2402" w:type="dxa"/>
            <w:tcBorders>
              <w:top w:val="single" w:color="000000" w:sz="16" w:space="0"/>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STRONGLY DISAGREED</w:t>
            </w:r>
          </w:p>
        </w:tc>
        <w:tc>
          <w:tcPr>
            <w:tcW w:w="1162" w:type="dxa"/>
            <w:tcBorders>
              <w:top w:val="single" w:color="000000" w:sz="16" w:space="0"/>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w:t>
            </w:r>
          </w:p>
        </w:tc>
        <w:tc>
          <w:tcPr>
            <w:tcW w:w="1024" w:type="dxa"/>
            <w:tcBorders>
              <w:top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4.0</w:t>
            </w:r>
          </w:p>
        </w:tc>
        <w:tc>
          <w:tcPr>
            <w:tcW w:w="1393" w:type="dxa"/>
            <w:tcBorders>
              <w:top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4.0</w:t>
            </w:r>
          </w:p>
        </w:tc>
        <w:tc>
          <w:tcPr>
            <w:tcW w:w="1469" w:type="dxa"/>
            <w:tcBorders>
              <w:top w:val="single" w:color="000000" w:sz="16" w:space="0"/>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DISAGREED</w:t>
            </w:r>
          </w:p>
        </w:tc>
        <w:tc>
          <w:tcPr>
            <w:tcW w:w="1162"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w:t>
            </w:r>
          </w:p>
        </w:tc>
        <w:tc>
          <w:tcPr>
            <w:tcW w:w="1024"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2.0</w:t>
            </w:r>
          </w:p>
        </w:tc>
        <w:tc>
          <w:tcPr>
            <w:tcW w:w="1393"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2.0</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6.0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UNDECIDED</w:t>
            </w:r>
          </w:p>
        </w:tc>
        <w:tc>
          <w:tcPr>
            <w:tcW w:w="1162"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3</w:t>
            </w:r>
          </w:p>
        </w:tc>
        <w:tc>
          <w:tcPr>
            <w:tcW w:w="1024"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6.0</w:t>
            </w:r>
          </w:p>
        </w:tc>
        <w:tc>
          <w:tcPr>
            <w:tcW w:w="1393"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6.0</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12.0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AGREED</w:t>
            </w:r>
          </w:p>
        </w:tc>
        <w:tc>
          <w:tcPr>
            <w:tcW w:w="1162"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24</w:t>
            </w:r>
          </w:p>
        </w:tc>
        <w:tc>
          <w:tcPr>
            <w:tcW w:w="1024"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48.0</w:t>
            </w:r>
          </w:p>
        </w:tc>
        <w:tc>
          <w:tcPr>
            <w:tcW w:w="1393"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48.0</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60.0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STRONGLY AGREED</w:t>
            </w:r>
          </w:p>
        </w:tc>
        <w:tc>
          <w:tcPr>
            <w:tcW w:w="1162"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20</w:t>
            </w:r>
          </w:p>
        </w:tc>
        <w:tc>
          <w:tcPr>
            <w:tcW w:w="1024"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40.0</w:t>
            </w:r>
          </w:p>
        </w:tc>
        <w:tc>
          <w:tcPr>
            <w:tcW w:w="1393"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40.0</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single" w:color="000000" w:sz="16" w:space="0"/>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Total</w:t>
            </w:r>
          </w:p>
        </w:tc>
        <w:tc>
          <w:tcPr>
            <w:tcW w:w="1162" w:type="dxa"/>
            <w:tcBorders>
              <w:top w:val="nil"/>
              <w:left w:val="single" w:color="000000" w:sz="16" w:space="0"/>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50</w:t>
            </w:r>
          </w:p>
        </w:tc>
        <w:tc>
          <w:tcPr>
            <w:tcW w:w="1024" w:type="dxa"/>
            <w:tcBorders>
              <w:top w:val="nil"/>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100.0</w:t>
            </w:r>
          </w:p>
        </w:tc>
        <w:tc>
          <w:tcPr>
            <w:tcW w:w="1393" w:type="dxa"/>
            <w:tcBorders>
              <w:top w:val="nil"/>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100.0</w:t>
            </w:r>
          </w:p>
        </w:tc>
        <w:tc>
          <w:tcPr>
            <w:tcW w:w="1469" w:type="dxa"/>
            <w:tcBorders>
              <w:top w:val="nil"/>
              <w:bottom w:val="single" w:color="000000" w:sz="16" w:space="0"/>
              <w:right w:val="single" w:color="000000" w:sz="16" w:space="0"/>
            </w:tcBorders>
            <w:shd w:val="clear" w:color="auto" w:fill="FFFFFF"/>
            <w:vAlign w:val="center"/>
          </w:tcPr>
          <w:p>
            <w:pPr>
              <w:autoSpaceDE w:val="0"/>
              <w:autoSpaceDN w:val="0"/>
              <w:adjustRightInd w:val="0"/>
              <w:spacing w:after="0" w:line="240" w:lineRule="auto"/>
              <w:rPr>
                <w:rFonts w:ascii="Times New Roman" w:hAnsi="Times New Roman" w:cs="Times New Roman"/>
                <w:sz w:val="25"/>
                <w:szCs w:val="25"/>
              </w:rPr>
            </w:pPr>
          </w:p>
        </w:tc>
      </w:tr>
    </w:tbl>
    <w:p>
      <w:pPr>
        <w:spacing w:after="0"/>
        <w:jc w:val="both"/>
        <w:rPr>
          <w:rFonts w:ascii="Times New Roman" w:hAnsi="Times New Roman" w:cs="Times New Roman"/>
          <w:b/>
          <w:sz w:val="25"/>
          <w:szCs w:val="25"/>
        </w:rPr>
      </w:pPr>
      <w:r>
        <w:rPr>
          <w:rFonts w:ascii="Times New Roman" w:hAnsi="Times New Roman" w:cs="Times New Roman"/>
          <w:b/>
          <w:sz w:val="25"/>
          <w:szCs w:val="25"/>
        </w:rPr>
        <w:t>Source: SPSS Computation, 2025</w:t>
      </w:r>
    </w:p>
    <w:p>
      <w:pPr>
        <w:autoSpaceDE w:val="0"/>
        <w:autoSpaceDN w:val="0"/>
        <w:adjustRightInd w:val="0"/>
        <w:spacing w:after="0" w:line="400" w:lineRule="atLeast"/>
        <w:rPr>
          <w:rFonts w:ascii="Times New Roman" w:hAnsi="Times New Roman" w:cs="Times New Roman"/>
          <w:sz w:val="25"/>
          <w:szCs w:val="25"/>
        </w:rPr>
      </w:pPr>
      <w:r>
        <w:rPr>
          <w:rFonts w:ascii="Times New Roman" w:hAnsi="Times New Roman" w:cs="Times New Roman"/>
          <w:sz w:val="25"/>
          <w:szCs w:val="25"/>
        </w:rPr>
        <w:t>Based on the information provided, it can be concluded that the majority of respondents, specifically 88% (44 out of the total respondents), agreed with the claim that green health and safety management is properly implemented in the organization. Additionally, 6% (3 respondents) disagreed with this assertion, while another 6% (3 respondents) neither agreed nor disagreed.</w:t>
      </w:r>
    </w:p>
    <w:tbl>
      <w:tblPr>
        <w:tblStyle w:val="8"/>
        <w:tblW w:w="818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2402"/>
        <w:gridCol w:w="1162"/>
        <w:gridCol w:w="1024"/>
        <w:gridCol w:w="1393"/>
        <w:gridCol w:w="1469"/>
      </w:tblGrid>
      <w:tr>
        <w:tblPrEx>
          <w:tblLayout w:type="fixed"/>
        </w:tblPrEx>
        <w:trPr>
          <w:cantSplit/>
        </w:trPr>
        <w:tc>
          <w:tcPr>
            <w:tcW w:w="8184" w:type="dxa"/>
            <w:gridSpan w:val="6"/>
            <w:tcBorders>
              <w:top w:val="nil"/>
              <w:left w:val="nil"/>
              <w:bottom w:val="nil"/>
              <w:right w:val="nil"/>
            </w:tcBorders>
            <w:shd w:val="clear" w:color="auto" w:fill="FFFFFF"/>
            <w:vAlign w:val="center"/>
          </w:tcPr>
          <w:p>
            <w:pPr>
              <w:spacing w:after="0"/>
              <w:jc w:val="both"/>
              <w:rPr>
                <w:rFonts w:ascii="Times New Roman" w:hAnsi="Times New Roman" w:cs="Times New Roman"/>
                <w:color w:val="000000"/>
                <w:sz w:val="25"/>
                <w:szCs w:val="25"/>
              </w:rPr>
            </w:pPr>
            <w:r>
              <w:rPr>
                <w:rFonts w:ascii="Times New Roman" w:hAnsi="Times New Roman" w:cs="Times New Roman"/>
                <w:sz w:val="25"/>
                <w:szCs w:val="25"/>
              </w:rPr>
              <w:t>Table 4.4.6: Your organization maintains green employee discipline management</w:t>
            </w:r>
          </w:p>
        </w:tc>
      </w:tr>
      <w:tr>
        <w:tblPrEx>
          <w:tblLayout w:type="fixed"/>
        </w:tblPrEx>
        <w:trPr>
          <w:cantSplit/>
        </w:trPr>
        <w:tc>
          <w:tcPr>
            <w:tcW w:w="3136" w:type="dxa"/>
            <w:gridSpan w:val="2"/>
            <w:tcBorders>
              <w:top w:val="single" w:color="000000" w:sz="16" w:space="0"/>
              <w:left w:val="single" w:color="000000" w:sz="16" w:space="0"/>
              <w:bottom w:val="single" w:color="000000" w:sz="16" w:space="0"/>
              <w:right w:val="nil"/>
            </w:tcBorders>
            <w:shd w:val="clear" w:color="auto" w:fill="FFFFFF"/>
            <w:vAlign w:val="bottom"/>
          </w:tcPr>
          <w:p>
            <w:pPr>
              <w:autoSpaceDE w:val="0"/>
              <w:autoSpaceDN w:val="0"/>
              <w:adjustRightInd w:val="0"/>
              <w:spacing w:after="0" w:line="240" w:lineRule="auto"/>
              <w:rPr>
                <w:rFonts w:ascii="Times New Roman" w:hAnsi="Times New Roman" w:cs="Times New Roman"/>
                <w:sz w:val="25"/>
                <w:szCs w:val="25"/>
              </w:rPr>
            </w:pPr>
          </w:p>
        </w:tc>
        <w:tc>
          <w:tcPr>
            <w:tcW w:w="1162" w:type="dxa"/>
            <w:tcBorders>
              <w:top w:val="single" w:color="000000" w:sz="16" w:space="0"/>
              <w:left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Frequency</w:t>
            </w:r>
          </w:p>
        </w:tc>
        <w:tc>
          <w:tcPr>
            <w:tcW w:w="1024" w:type="dxa"/>
            <w:tcBorders>
              <w:top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Percent</w:t>
            </w:r>
          </w:p>
        </w:tc>
        <w:tc>
          <w:tcPr>
            <w:tcW w:w="1393" w:type="dxa"/>
            <w:tcBorders>
              <w:top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Valid Percent</w:t>
            </w:r>
          </w:p>
        </w:tc>
        <w:tc>
          <w:tcPr>
            <w:tcW w:w="1469" w:type="dxa"/>
            <w:tcBorders>
              <w:top w:val="single" w:color="000000" w:sz="16" w:space="0"/>
              <w:bottom w:val="single" w:color="000000" w:sz="16" w:space="0"/>
              <w:right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Cumulative Percent</w:t>
            </w:r>
          </w:p>
        </w:tc>
      </w:tr>
      <w:tr>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Valid</w:t>
            </w:r>
          </w:p>
        </w:tc>
        <w:tc>
          <w:tcPr>
            <w:tcW w:w="2402" w:type="dxa"/>
            <w:tcBorders>
              <w:top w:val="single" w:color="000000" w:sz="16" w:space="0"/>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STRONGLY DISAGREED</w:t>
            </w:r>
          </w:p>
        </w:tc>
        <w:tc>
          <w:tcPr>
            <w:tcW w:w="1162" w:type="dxa"/>
            <w:tcBorders>
              <w:top w:val="single" w:color="000000" w:sz="16" w:space="0"/>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w:t>
            </w:r>
          </w:p>
        </w:tc>
        <w:tc>
          <w:tcPr>
            <w:tcW w:w="1024" w:type="dxa"/>
            <w:tcBorders>
              <w:top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4.0</w:t>
            </w:r>
          </w:p>
        </w:tc>
        <w:tc>
          <w:tcPr>
            <w:tcW w:w="1393" w:type="dxa"/>
            <w:tcBorders>
              <w:top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4.0</w:t>
            </w:r>
          </w:p>
        </w:tc>
        <w:tc>
          <w:tcPr>
            <w:tcW w:w="1469" w:type="dxa"/>
            <w:tcBorders>
              <w:top w:val="single" w:color="000000" w:sz="16" w:space="0"/>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DISAGRRED</w:t>
            </w:r>
          </w:p>
        </w:tc>
        <w:tc>
          <w:tcPr>
            <w:tcW w:w="1162"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3</w:t>
            </w:r>
          </w:p>
        </w:tc>
        <w:tc>
          <w:tcPr>
            <w:tcW w:w="1024"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6.0</w:t>
            </w:r>
          </w:p>
        </w:tc>
        <w:tc>
          <w:tcPr>
            <w:tcW w:w="1393"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6.0</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UNDECIDED</w:t>
            </w:r>
          </w:p>
        </w:tc>
        <w:tc>
          <w:tcPr>
            <w:tcW w:w="1162"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3</w:t>
            </w:r>
          </w:p>
        </w:tc>
        <w:tc>
          <w:tcPr>
            <w:tcW w:w="1024"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6.0</w:t>
            </w:r>
          </w:p>
        </w:tc>
        <w:tc>
          <w:tcPr>
            <w:tcW w:w="1393"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6.0</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16.0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AGRRED</w:t>
            </w:r>
          </w:p>
        </w:tc>
        <w:tc>
          <w:tcPr>
            <w:tcW w:w="1162"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8</w:t>
            </w:r>
          </w:p>
        </w:tc>
        <w:tc>
          <w:tcPr>
            <w:tcW w:w="1024"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16.0</w:t>
            </w:r>
          </w:p>
        </w:tc>
        <w:tc>
          <w:tcPr>
            <w:tcW w:w="1393"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16.0</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32.0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STRONGLY AGREED</w:t>
            </w:r>
          </w:p>
        </w:tc>
        <w:tc>
          <w:tcPr>
            <w:tcW w:w="1162"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34</w:t>
            </w:r>
          </w:p>
        </w:tc>
        <w:tc>
          <w:tcPr>
            <w:tcW w:w="1024"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68.0</w:t>
            </w:r>
          </w:p>
        </w:tc>
        <w:tc>
          <w:tcPr>
            <w:tcW w:w="1393"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68.0</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single" w:color="000000" w:sz="16" w:space="0"/>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Total</w:t>
            </w:r>
          </w:p>
        </w:tc>
        <w:tc>
          <w:tcPr>
            <w:tcW w:w="1162" w:type="dxa"/>
            <w:tcBorders>
              <w:top w:val="nil"/>
              <w:left w:val="single" w:color="000000" w:sz="16" w:space="0"/>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50</w:t>
            </w:r>
          </w:p>
        </w:tc>
        <w:tc>
          <w:tcPr>
            <w:tcW w:w="1024" w:type="dxa"/>
            <w:tcBorders>
              <w:top w:val="nil"/>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100.0</w:t>
            </w:r>
          </w:p>
        </w:tc>
        <w:tc>
          <w:tcPr>
            <w:tcW w:w="1393" w:type="dxa"/>
            <w:tcBorders>
              <w:top w:val="nil"/>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100.0</w:t>
            </w:r>
          </w:p>
        </w:tc>
        <w:tc>
          <w:tcPr>
            <w:tcW w:w="1469" w:type="dxa"/>
            <w:tcBorders>
              <w:top w:val="nil"/>
              <w:bottom w:val="single" w:color="000000" w:sz="16" w:space="0"/>
              <w:right w:val="single" w:color="000000" w:sz="16" w:space="0"/>
            </w:tcBorders>
            <w:shd w:val="clear" w:color="auto" w:fill="FFFFFF"/>
            <w:vAlign w:val="center"/>
          </w:tcPr>
          <w:p>
            <w:pPr>
              <w:autoSpaceDE w:val="0"/>
              <w:autoSpaceDN w:val="0"/>
              <w:adjustRightInd w:val="0"/>
              <w:spacing w:after="0" w:line="240" w:lineRule="auto"/>
              <w:rPr>
                <w:rFonts w:ascii="Times New Roman" w:hAnsi="Times New Roman" w:cs="Times New Roman"/>
                <w:sz w:val="25"/>
                <w:szCs w:val="25"/>
              </w:rPr>
            </w:pPr>
          </w:p>
        </w:tc>
      </w:tr>
    </w:tbl>
    <w:p>
      <w:pPr>
        <w:spacing w:after="0"/>
        <w:jc w:val="both"/>
        <w:rPr>
          <w:rFonts w:ascii="Times New Roman" w:hAnsi="Times New Roman" w:cs="Times New Roman"/>
          <w:b/>
          <w:sz w:val="25"/>
          <w:szCs w:val="25"/>
        </w:rPr>
      </w:pPr>
      <w:r>
        <w:rPr>
          <w:rFonts w:ascii="Times New Roman" w:hAnsi="Times New Roman" w:cs="Times New Roman"/>
          <w:b/>
          <w:sz w:val="25"/>
          <w:szCs w:val="25"/>
        </w:rPr>
        <w:t>Source: SPSS Computation, 2025</w:t>
      </w:r>
    </w:p>
    <w:p>
      <w:pPr>
        <w:autoSpaceDE w:val="0"/>
        <w:autoSpaceDN w:val="0"/>
        <w:adjustRightInd w:val="0"/>
        <w:spacing w:after="0" w:line="480" w:lineRule="auto"/>
        <w:jc w:val="both"/>
        <w:rPr>
          <w:rFonts w:ascii="Times New Roman" w:hAnsi="Times New Roman" w:cs="Times New Roman"/>
          <w:sz w:val="25"/>
          <w:szCs w:val="25"/>
        </w:rPr>
      </w:pPr>
    </w:p>
    <w:p>
      <w:pPr>
        <w:autoSpaceDE w:val="0"/>
        <w:autoSpaceDN w:val="0"/>
        <w:adjustRightInd w:val="0"/>
        <w:spacing w:after="0" w:line="480" w:lineRule="auto"/>
        <w:rPr>
          <w:rFonts w:ascii="Times New Roman" w:hAnsi="Times New Roman" w:cs="Times New Roman"/>
          <w:sz w:val="25"/>
          <w:szCs w:val="25"/>
        </w:rPr>
      </w:pPr>
      <w:r>
        <w:rPr>
          <w:rFonts w:ascii="Times New Roman" w:hAnsi="Times New Roman" w:cs="Times New Roman"/>
          <w:sz w:val="25"/>
          <w:szCs w:val="25"/>
        </w:rPr>
        <w:t>Based on the provided information, it can be inferred that 10% of the respondents (5 out of the total respondents) disagreed with the claim that the bank utilizes green staff discipline management. In contrast, the majority of respondents, specifically 84% (42 respondents), agreed with this assertion. Additionally, 6% (3 respondents) were ambivalent about the claim.</w:t>
      </w:r>
    </w:p>
    <w:tbl>
      <w:tblPr>
        <w:tblStyle w:val="8"/>
        <w:tblW w:w="818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2402"/>
        <w:gridCol w:w="1162"/>
        <w:gridCol w:w="1024"/>
        <w:gridCol w:w="1393"/>
        <w:gridCol w:w="1469"/>
      </w:tblGrid>
      <w:tr>
        <w:tblPrEx>
          <w:tblLayout w:type="fixed"/>
        </w:tblPrEx>
        <w:trPr>
          <w:cantSplit/>
        </w:trPr>
        <w:tc>
          <w:tcPr>
            <w:tcW w:w="8184" w:type="dxa"/>
            <w:gridSpan w:val="6"/>
            <w:tcBorders>
              <w:top w:val="nil"/>
              <w:left w:val="nil"/>
              <w:bottom w:val="nil"/>
              <w:right w:val="nil"/>
            </w:tcBorders>
            <w:shd w:val="clear" w:color="auto" w:fill="FFFFFF"/>
            <w:vAlign w:val="center"/>
          </w:tcPr>
          <w:p>
            <w:pPr>
              <w:spacing w:after="0"/>
              <w:jc w:val="both"/>
              <w:rPr>
                <w:rFonts w:ascii="Times New Roman" w:hAnsi="Times New Roman" w:cs="Times New Roman"/>
                <w:color w:val="000000"/>
                <w:sz w:val="25"/>
                <w:szCs w:val="25"/>
              </w:rPr>
            </w:pPr>
            <w:r>
              <w:rPr>
                <w:rFonts w:ascii="Times New Roman" w:hAnsi="Times New Roman" w:cs="Times New Roman"/>
                <w:sz w:val="25"/>
                <w:szCs w:val="25"/>
              </w:rPr>
              <w:t>Table 4.4.7: Your organization develops green employee relations</w:t>
            </w:r>
          </w:p>
        </w:tc>
      </w:tr>
      <w:tr>
        <w:tblPrEx>
          <w:tblLayout w:type="fixed"/>
        </w:tblPrEx>
        <w:trPr>
          <w:cantSplit/>
        </w:trPr>
        <w:tc>
          <w:tcPr>
            <w:tcW w:w="3136" w:type="dxa"/>
            <w:gridSpan w:val="2"/>
            <w:tcBorders>
              <w:top w:val="single" w:color="000000" w:sz="16" w:space="0"/>
              <w:left w:val="single" w:color="000000" w:sz="16" w:space="0"/>
              <w:bottom w:val="single" w:color="000000" w:sz="16" w:space="0"/>
              <w:right w:val="nil"/>
            </w:tcBorders>
            <w:shd w:val="clear" w:color="auto" w:fill="FFFFFF"/>
            <w:vAlign w:val="bottom"/>
          </w:tcPr>
          <w:p>
            <w:pPr>
              <w:autoSpaceDE w:val="0"/>
              <w:autoSpaceDN w:val="0"/>
              <w:adjustRightInd w:val="0"/>
              <w:spacing w:after="0" w:line="240" w:lineRule="auto"/>
              <w:rPr>
                <w:rFonts w:ascii="Times New Roman" w:hAnsi="Times New Roman" w:cs="Times New Roman"/>
                <w:sz w:val="25"/>
                <w:szCs w:val="25"/>
              </w:rPr>
            </w:pPr>
          </w:p>
        </w:tc>
        <w:tc>
          <w:tcPr>
            <w:tcW w:w="1162" w:type="dxa"/>
            <w:tcBorders>
              <w:top w:val="single" w:color="000000" w:sz="16" w:space="0"/>
              <w:left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Frequency</w:t>
            </w:r>
          </w:p>
        </w:tc>
        <w:tc>
          <w:tcPr>
            <w:tcW w:w="1024" w:type="dxa"/>
            <w:tcBorders>
              <w:top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Percent</w:t>
            </w:r>
          </w:p>
        </w:tc>
        <w:tc>
          <w:tcPr>
            <w:tcW w:w="1393" w:type="dxa"/>
            <w:tcBorders>
              <w:top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Valid Percent</w:t>
            </w:r>
          </w:p>
        </w:tc>
        <w:tc>
          <w:tcPr>
            <w:tcW w:w="1469" w:type="dxa"/>
            <w:tcBorders>
              <w:top w:val="single" w:color="000000" w:sz="16" w:space="0"/>
              <w:bottom w:val="single" w:color="000000" w:sz="16" w:space="0"/>
              <w:right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Cumulative Percent</w:t>
            </w:r>
          </w:p>
        </w:tc>
      </w:tr>
      <w:tr>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Valid</w:t>
            </w:r>
          </w:p>
        </w:tc>
        <w:tc>
          <w:tcPr>
            <w:tcW w:w="2402" w:type="dxa"/>
            <w:tcBorders>
              <w:top w:val="single" w:color="000000" w:sz="16" w:space="0"/>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STRONGLY DISAGREED</w:t>
            </w:r>
          </w:p>
        </w:tc>
        <w:tc>
          <w:tcPr>
            <w:tcW w:w="1162" w:type="dxa"/>
            <w:tcBorders>
              <w:top w:val="single" w:color="000000" w:sz="16" w:space="0"/>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w:t>
            </w:r>
          </w:p>
        </w:tc>
        <w:tc>
          <w:tcPr>
            <w:tcW w:w="1024" w:type="dxa"/>
            <w:tcBorders>
              <w:top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2.0</w:t>
            </w:r>
          </w:p>
        </w:tc>
        <w:tc>
          <w:tcPr>
            <w:tcW w:w="1393" w:type="dxa"/>
            <w:tcBorders>
              <w:top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2.0</w:t>
            </w:r>
          </w:p>
        </w:tc>
        <w:tc>
          <w:tcPr>
            <w:tcW w:w="1469" w:type="dxa"/>
            <w:tcBorders>
              <w:top w:val="single" w:color="000000" w:sz="16" w:space="0"/>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DISAGREED</w:t>
            </w:r>
          </w:p>
        </w:tc>
        <w:tc>
          <w:tcPr>
            <w:tcW w:w="1162"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3</w:t>
            </w:r>
          </w:p>
        </w:tc>
        <w:tc>
          <w:tcPr>
            <w:tcW w:w="1024"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6.0</w:t>
            </w:r>
          </w:p>
        </w:tc>
        <w:tc>
          <w:tcPr>
            <w:tcW w:w="1393"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6.0</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8.0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UNDECIDED</w:t>
            </w:r>
          </w:p>
        </w:tc>
        <w:tc>
          <w:tcPr>
            <w:tcW w:w="1162"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w:t>
            </w:r>
          </w:p>
        </w:tc>
        <w:tc>
          <w:tcPr>
            <w:tcW w:w="1024"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4.0</w:t>
            </w:r>
          </w:p>
        </w:tc>
        <w:tc>
          <w:tcPr>
            <w:tcW w:w="1393"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4.0</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12.0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AGREED</w:t>
            </w:r>
          </w:p>
        </w:tc>
        <w:tc>
          <w:tcPr>
            <w:tcW w:w="1162"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w:t>
            </w:r>
          </w:p>
        </w:tc>
        <w:tc>
          <w:tcPr>
            <w:tcW w:w="1024"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20.0</w:t>
            </w:r>
          </w:p>
        </w:tc>
        <w:tc>
          <w:tcPr>
            <w:tcW w:w="1393"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20.0</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32.0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STRONGLY AGREED</w:t>
            </w:r>
          </w:p>
        </w:tc>
        <w:tc>
          <w:tcPr>
            <w:tcW w:w="1162"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34</w:t>
            </w:r>
          </w:p>
        </w:tc>
        <w:tc>
          <w:tcPr>
            <w:tcW w:w="1024"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68.0</w:t>
            </w:r>
          </w:p>
        </w:tc>
        <w:tc>
          <w:tcPr>
            <w:tcW w:w="1393"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68.0</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single" w:color="000000" w:sz="16" w:space="0"/>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Total</w:t>
            </w:r>
          </w:p>
        </w:tc>
        <w:tc>
          <w:tcPr>
            <w:tcW w:w="1162" w:type="dxa"/>
            <w:tcBorders>
              <w:top w:val="nil"/>
              <w:left w:val="single" w:color="000000" w:sz="16" w:space="0"/>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50</w:t>
            </w:r>
          </w:p>
        </w:tc>
        <w:tc>
          <w:tcPr>
            <w:tcW w:w="1024" w:type="dxa"/>
            <w:tcBorders>
              <w:top w:val="nil"/>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100.0</w:t>
            </w:r>
          </w:p>
        </w:tc>
        <w:tc>
          <w:tcPr>
            <w:tcW w:w="1393" w:type="dxa"/>
            <w:tcBorders>
              <w:top w:val="nil"/>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100.0</w:t>
            </w:r>
          </w:p>
        </w:tc>
        <w:tc>
          <w:tcPr>
            <w:tcW w:w="1469" w:type="dxa"/>
            <w:tcBorders>
              <w:top w:val="nil"/>
              <w:bottom w:val="single" w:color="000000" w:sz="16" w:space="0"/>
              <w:right w:val="single" w:color="000000" w:sz="16" w:space="0"/>
            </w:tcBorders>
            <w:shd w:val="clear" w:color="auto" w:fill="FFFFFF"/>
            <w:vAlign w:val="center"/>
          </w:tcPr>
          <w:p>
            <w:pPr>
              <w:autoSpaceDE w:val="0"/>
              <w:autoSpaceDN w:val="0"/>
              <w:adjustRightInd w:val="0"/>
              <w:spacing w:after="0" w:line="240" w:lineRule="auto"/>
              <w:rPr>
                <w:rFonts w:ascii="Times New Roman" w:hAnsi="Times New Roman" w:cs="Times New Roman"/>
                <w:sz w:val="25"/>
                <w:szCs w:val="25"/>
              </w:rPr>
            </w:pPr>
          </w:p>
        </w:tc>
      </w:tr>
    </w:tbl>
    <w:p>
      <w:pPr>
        <w:spacing w:after="0"/>
        <w:jc w:val="both"/>
        <w:rPr>
          <w:rFonts w:ascii="Times New Roman" w:hAnsi="Times New Roman" w:cs="Times New Roman"/>
          <w:b/>
          <w:sz w:val="25"/>
          <w:szCs w:val="25"/>
        </w:rPr>
      </w:pPr>
      <w:r>
        <w:rPr>
          <w:rFonts w:ascii="Times New Roman" w:hAnsi="Times New Roman" w:cs="Times New Roman"/>
          <w:b/>
          <w:sz w:val="25"/>
          <w:szCs w:val="25"/>
        </w:rPr>
        <w:t>Source: SPSS Computation, 2025</w:t>
      </w:r>
    </w:p>
    <w:p>
      <w:pPr>
        <w:spacing w:after="0"/>
        <w:jc w:val="both"/>
        <w:rPr>
          <w:rFonts w:ascii="Times New Roman" w:hAnsi="Times New Roman" w:cs="Times New Roman"/>
          <w:b/>
          <w:sz w:val="25"/>
          <w:szCs w:val="25"/>
        </w:rPr>
      </w:pPr>
    </w:p>
    <w:p>
      <w:pPr>
        <w:spacing w:after="0" w:line="480" w:lineRule="auto"/>
        <w:jc w:val="both"/>
        <w:rPr>
          <w:rFonts w:ascii="Times New Roman" w:hAnsi="Times New Roman" w:cs="Times New Roman"/>
          <w:sz w:val="25"/>
          <w:szCs w:val="25"/>
        </w:rPr>
      </w:pPr>
      <w:r>
        <w:rPr>
          <w:rFonts w:ascii="Times New Roman" w:hAnsi="Times New Roman" w:cs="Times New Roman"/>
          <w:sz w:val="25"/>
          <w:szCs w:val="25"/>
        </w:rPr>
        <w:t>In the above table, 4 respondents, or 8% of the total, disagreed that the company cultivates green employee relations. Additionally, 2 respondents (4%), 44 respondents (88%), and 2 respondents (4%), were undecided about the claim. This indicates that the vast majority of respondents agree with the assertion that the company fosters green employee relations.</w:t>
      </w:r>
    </w:p>
    <w:p>
      <w:pPr>
        <w:spacing w:line="480" w:lineRule="auto"/>
        <w:jc w:val="both"/>
        <w:rPr>
          <w:rFonts w:ascii="Times New Roman" w:hAnsi="Times New Roman" w:cs="Times New Roman"/>
          <w:b/>
          <w:bCs/>
          <w:sz w:val="25"/>
          <w:szCs w:val="25"/>
        </w:rPr>
      </w:pPr>
      <w:r>
        <w:rPr>
          <w:rFonts w:ascii="Times New Roman" w:hAnsi="Times New Roman" w:cs="Times New Roman"/>
          <w:b/>
          <w:bCs/>
          <w:sz w:val="25"/>
          <w:szCs w:val="25"/>
        </w:rPr>
        <w:t>Research Question 3: what is the role of GHRM practices on organizational resilience in GTB?</w:t>
      </w:r>
    </w:p>
    <w:tbl>
      <w:tblPr>
        <w:tblStyle w:val="8"/>
        <w:tblW w:w="818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2402"/>
        <w:gridCol w:w="1162"/>
        <w:gridCol w:w="1024"/>
        <w:gridCol w:w="1393"/>
        <w:gridCol w:w="1469"/>
      </w:tblGrid>
      <w:tr>
        <w:tblPrEx>
          <w:tblLayout w:type="fixed"/>
        </w:tblPrEx>
        <w:trPr>
          <w:cantSplit/>
        </w:trPr>
        <w:tc>
          <w:tcPr>
            <w:tcW w:w="8184" w:type="dxa"/>
            <w:gridSpan w:val="6"/>
            <w:tcBorders>
              <w:top w:val="nil"/>
              <w:left w:val="nil"/>
              <w:bottom w:val="nil"/>
              <w:right w:val="nil"/>
            </w:tcBorders>
            <w:shd w:val="clear" w:color="auto" w:fill="FFFFFF"/>
            <w:vAlign w:val="center"/>
          </w:tcPr>
          <w:p>
            <w:pPr>
              <w:spacing w:after="0"/>
              <w:jc w:val="both"/>
              <w:rPr>
                <w:rFonts w:ascii="Times New Roman" w:hAnsi="Times New Roman" w:cs="Times New Roman"/>
                <w:sz w:val="25"/>
                <w:szCs w:val="25"/>
              </w:rPr>
            </w:pPr>
            <w:r>
              <w:rPr>
                <w:rFonts w:ascii="Times New Roman" w:hAnsi="Times New Roman" w:cs="Times New Roman"/>
                <w:sz w:val="25"/>
                <w:szCs w:val="25"/>
              </w:rPr>
              <w:t>Table 4.4.8: Promote social responsibility towards environment</w:t>
            </w:r>
          </w:p>
        </w:tc>
      </w:tr>
      <w:tr>
        <w:tblPrEx>
          <w:tblLayout w:type="fixed"/>
        </w:tblPrEx>
        <w:trPr>
          <w:cantSplit/>
        </w:trPr>
        <w:tc>
          <w:tcPr>
            <w:tcW w:w="3136" w:type="dxa"/>
            <w:gridSpan w:val="2"/>
            <w:tcBorders>
              <w:top w:val="single" w:color="000000" w:sz="16" w:space="0"/>
              <w:left w:val="single" w:color="000000" w:sz="16" w:space="0"/>
              <w:bottom w:val="single" w:color="000000" w:sz="16" w:space="0"/>
              <w:right w:val="nil"/>
            </w:tcBorders>
            <w:shd w:val="clear" w:color="auto" w:fill="FFFFFF"/>
            <w:vAlign w:val="bottom"/>
          </w:tcPr>
          <w:p>
            <w:pPr>
              <w:autoSpaceDE w:val="0"/>
              <w:autoSpaceDN w:val="0"/>
              <w:adjustRightInd w:val="0"/>
              <w:spacing w:after="0" w:line="240" w:lineRule="auto"/>
              <w:rPr>
                <w:rFonts w:ascii="Times New Roman" w:hAnsi="Times New Roman" w:cs="Times New Roman"/>
                <w:sz w:val="25"/>
                <w:szCs w:val="25"/>
              </w:rPr>
            </w:pPr>
          </w:p>
        </w:tc>
        <w:tc>
          <w:tcPr>
            <w:tcW w:w="1162" w:type="dxa"/>
            <w:tcBorders>
              <w:top w:val="single" w:color="000000" w:sz="16" w:space="0"/>
              <w:left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Frequency</w:t>
            </w:r>
          </w:p>
        </w:tc>
        <w:tc>
          <w:tcPr>
            <w:tcW w:w="1024" w:type="dxa"/>
            <w:tcBorders>
              <w:top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Percent</w:t>
            </w:r>
          </w:p>
        </w:tc>
        <w:tc>
          <w:tcPr>
            <w:tcW w:w="1393" w:type="dxa"/>
            <w:tcBorders>
              <w:top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Valid Percent</w:t>
            </w:r>
          </w:p>
        </w:tc>
        <w:tc>
          <w:tcPr>
            <w:tcW w:w="1469" w:type="dxa"/>
            <w:tcBorders>
              <w:top w:val="single" w:color="000000" w:sz="16" w:space="0"/>
              <w:bottom w:val="single" w:color="000000" w:sz="16" w:space="0"/>
              <w:right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Cumulative Percent</w:t>
            </w:r>
          </w:p>
        </w:tc>
      </w:tr>
      <w:tr>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Valid</w:t>
            </w:r>
          </w:p>
        </w:tc>
        <w:tc>
          <w:tcPr>
            <w:tcW w:w="2402" w:type="dxa"/>
            <w:tcBorders>
              <w:top w:val="single" w:color="000000" w:sz="16" w:space="0"/>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STRONGLY DISAGREED</w:t>
            </w:r>
          </w:p>
        </w:tc>
        <w:tc>
          <w:tcPr>
            <w:tcW w:w="1162" w:type="dxa"/>
            <w:tcBorders>
              <w:top w:val="single" w:color="000000" w:sz="16" w:space="0"/>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w:t>
            </w:r>
          </w:p>
        </w:tc>
        <w:tc>
          <w:tcPr>
            <w:tcW w:w="1024" w:type="dxa"/>
            <w:tcBorders>
              <w:top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4.0</w:t>
            </w:r>
          </w:p>
        </w:tc>
        <w:tc>
          <w:tcPr>
            <w:tcW w:w="1393" w:type="dxa"/>
            <w:tcBorders>
              <w:top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4.0</w:t>
            </w:r>
          </w:p>
        </w:tc>
        <w:tc>
          <w:tcPr>
            <w:tcW w:w="1469" w:type="dxa"/>
            <w:tcBorders>
              <w:top w:val="single" w:color="000000" w:sz="16" w:space="0"/>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DISAGRRED</w:t>
            </w:r>
          </w:p>
        </w:tc>
        <w:tc>
          <w:tcPr>
            <w:tcW w:w="1162"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3</w:t>
            </w:r>
          </w:p>
        </w:tc>
        <w:tc>
          <w:tcPr>
            <w:tcW w:w="1024"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6.0</w:t>
            </w:r>
          </w:p>
        </w:tc>
        <w:tc>
          <w:tcPr>
            <w:tcW w:w="1393"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6.0</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UNDECIDED</w:t>
            </w:r>
          </w:p>
        </w:tc>
        <w:tc>
          <w:tcPr>
            <w:tcW w:w="1162"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5</w:t>
            </w:r>
          </w:p>
        </w:tc>
        <w:tc>
          <w:tcPr>
            <w:tcW w:w="1024"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w:t>
            </w:r>
          </w:p>
        </w:tc>
        <w:tc>
          <w:tcPr>
            <w:tcW w:w="1393"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AGREED</w:t>
            </w:r>
          </w:p>
        </w:tc>
        <w:tc>
          <w:tcPr>
            <w:tcW w:w="1162"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18</w:t>
            </w:r>
          </w:p>
        </w:tc>
        <w:tc>
          <w:tcPr>
            <w:tcW w:w="1024"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36.0</w:t>
            </w:r>
          </w:p>
        </w:tc>
        <w:tc>
          <w:tcPr>
            <w:tcW w:w="1393"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36.0</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56.0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STRONGLY AGRRED</w:t>
            </w:r>
          </w:p>
        </w:tc>
        <w:tc>
          <w:tcPr>
            <w:tcW w:w="1162"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22</w:t>
            </w:r>
          </w:p>
        </w:tc>
        <w:tc>
          <w:tcPr>
            <w:tcW w:w="1024"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44.0</w:t>
            </w:r>
          </w:p>
        </w:tc>
        <w:tc>
          <w:tcPr>
            <w:tcW w:w="1393"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44.0</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single" w:color="000000" w:sz="16" w:space="0"/>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Total</w:t>
            </w:r>
          </w:p>
        </w:tc>
        <w:tc>
          <w:tcPr>
            <w:tcW w:w="1162" w:type="dxa"/>
            <w:tcBorders>
              <w:top w:val="nil"/>
              <w:left w:val="single" w:color="000000" w:sz="16" w:space="0"/>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50</w:t>
            </w:r>
          </w:p>
        </w:tc>
        <w:tc>
          <w:tcPr>
            <w:tcW w:w="1024" w:type="dxa"/>
            <w:tcBorders>
              <w:top w:val="nil"/>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100.0</w:t>
            </w:r>
          </w:p>
        </w:tc>
        <w:tc>
          <w:tcPr>
            <w:tcW w:w="1393" w:type="dxa"/>
            <w:tcBorders>
              <w:top w:val="nil"/>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100.0</w:t>
            </w:r>
          </w:p>
        </w:tc>
        <w:tc>
          <w:tcPr>
            <w:tcW w:w="1469" w:type="dxa"/>
            <w:tcBorders>
              <w:top w:val="nil"/>
              <w:bottom w:val="single" w:color="000000" w:sz="16" w:space="0"/>
              <w:right w:val="single" w:color="000000" w:sz="16" w:space="0"/>
            </w:tcBorders>
            <w:shd w:val="clear" w:color="auto" w:fill="FFFFFF"/>
            <w:vAlign w:val="center"/>
          </w:tcPr>
          <w:p>
            <w:pPr>
              <w:autoSpaceDE w:val="0"/>
              <w:autoSpaceDN w:val="0"/>
              <w:adjustRightInd w:val="0"/>
              <w:spacing w:after="0" w:line="240" w:lineRule="auto"/>
              <w:rPr>
                <w:rFonts w:ascii="Times New Roman" w:hAnsi="Times New Roman" w:cs="Times New Roman"/>
                <w:sz w:val="25"/>
                <w:szCs w:val="25"/>
              </w:rPr>
            </w:pPr>
          </w:p>
        </w:tc>
      </w:tr>
    </w:tbl>
    <w:p>
      <w:pPr>
        <w:spacing w:after="0" w:line="480" w:lineRule="auto"/>
        <w:jc w:val="both"/>
        <w:rPr>
          <w:rFonts w:ascii="Times New Roman" w:hAnsi="Times New Roman" w:cs="Times New Roman"/>
          <w:b/>
          <w:sz w:val="25"/>
          <w:szCs w:val="25"/>
        </w:rPr>
      </w:pPr>
      <w:r>
        <w:rPr>
          <w:rFonts w:ascii="Times New Roman" w:hAnsi="Times New Roman" w:cs="Times New Roman"/>
          <w:b/>
          <w:sz w:val="25"/>
          <w:szCs w:val="25"/>
        </w:rPr>
        <w:t>Source: SPSS Computation, 2025</w:t>
      </w:r>
    </w:p>
    <w:p>
      <w:pPr>
        <w:spacing w:after="0" w:line="480" w:lineRule="auto"/>
        <w:jc w:val="both"/>
        <w:rPr>
          <w:rFonts w:ascii="Times New Roman" w:hAnsi="Times New Roman" w:cs="Times New Roman"/>
          <w:sz w:val="25"/>
          <w:szCs w:val="25"/>
        </w:rPr>
      </w:pPr>
      <w:r>
        <w:rPr>
          <w:rFonts w:ascii="Times New Roman" w:hAnsi="Times New Roman" w:cs="Times New Roman"/>
          <w:sz w:val="25"/>
          <w:szCs w:val="25"/>
        </w:rPr>
        <w:t>Based on the information provided, it can be concluded that 80% of the respondents (40 out of the total respondents) agreed with the statement that GHRM promotes societal responsibility for the environment. In contrast, 10% of the respondents (5 respondents) disagreed with this assertion, while another 10% (5 respondents) did not express an opinion.</w:t>
      </w:r>
    </w:p>
    <w:p>
      <w:pPr>
        <w:spacing w:after="0" w:line="480" w:lineRule="auto"/>
        <w:jc w:val="both"/>
        <w:rPr>
          <w:rFonts w:ascii="Times New Roman" w:hAnsi="Times New Roman" w:cs="Times New Roman"/>
          <w:sz w:val="25"/>
          <w:szCs w:val="25"/>
        </w:rPr>
      </w:pPr>
      <w:r>
        <w:rPr>
          <w:rFonts w:ascii="Times New Roman" w:hAnsi="Times New Roman" w:cs="Times New Roman"/>
          <w:sz w:val="25"/>
          <w:szCs w:val="25"/>
        </w:rPr>
        <w:t>This indicates that the majority of survey participants hold a positive view and agree that GHRM promotes social responsibility toward the environment in the chosen bank. The organization's commitment to promoting environmental responsibility can be seen as a sign of resilience and adaptability in the face of challenges present in the working environment.</w:t>
      </w:r>
    </w:p>
    <w:tbl>
      <w:tblPr>
        <w:tblStyle w:val="8"/>
        <w:tblW w:w="818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2402"/>
        <w:gridCol w:w="1162"/>
        <w:gridCol w:w="1024"/>
        <w:gridCol w:w="1393"/>
        <w:gridCol w:w="1469"/>
      </w:tblGrid>
      <w:tr>
        <w:tblPrEx>
          <w:tblLayout w:type="fixed"/>
        </w:tblPrEx>
        <w:trPr>
          <w:cantSplit/>
        </w:trPr>
        <w:tc>
          <w:tcPr>
            <w:tcW w:w="8184" w:type="dxa"/>
            <w:gridSpan w:val="6"/>
            <w:tcBorders>
              <w:top w:val="nil"/>
              <w:left w:val="nil"/>
              <w:bottom w:val="nil"/>
              <w:right w:val="nil"/>
            </w:tcBorders>
            <w:shd w:val="clear" w:color="auto" w:fill="FFFFFF"/>
            <w:vAlign w:val="center"/>
          </w:tcPr>
          <w:p>
            <w:pPr>
              <w:spacing w:after="0"/>
              <w:jc w:val="both"/>
              <w:rPr>
                <w:rFonts w:ascii="Times New Roman" w:hAnsi="Times New Roman" w:cs="Times New Roman"/>
                <w:color w:val="000000"/>
                <w:sz w:val="25"/>
                <w:szCs w:val="25"/>
              </w:rPr>
            </w:pPr>
            <w:r>
              <w:rPr>
                <w:rFonts w:ascii="Times New Roman" w:hAnsi="Times New Roman" w:cs="Times New Roman"/>
                <w:sz w:val="25"/>
                <w:szCs w:val="25"/>
              </w:rPr>
              <w:t>Table 4.4.9: Creating a competitive advantage</w:t>
            </w:r>
          </w:p>
        </w:tc>
      </w:tr>
      <w:tr>
        <w:tblPrEx>
          <w:tblLayout w:type="fixed"/>
        </w:tblPrEx>
        <w:trPr>
          <w:cantSplit/>
        </w:trPr>
        <w:tc>
          <w:tcPr>
            <w:tcW w:w="3136" w:type="dxa"/>
            <w:gridSpan w:val="2"/>
            <w:tcBorders>
              <w:top w:val="single" w:color="000000" w:sz="16" w:space="0"/>
              <w:left w:val="single" w:color="000000" w:sz="16" w:space="0"/>
              <w:bottom w:val="single" w:color="000000" w:sz="16" w:space="0"/>
              <w:right w:val="nil"/>
            </w:tcBorders>
            <w:shd w:val="clear" w:color="auto" w:fill="FFFFFF"/>
            <w:vAlign w:val="bottom"/>
          </w:tcPr>
          <w:p>
            <w:pPr>
              <w:autoSpaceDE w:val="0"/>
              <w:autoSpaceDN w:val="0"/>
              <w:adjustRightInd w:val="0"/>
              <w:spacing w:after="0" w:line="240" w:lineRule="auto"/>
              <w:rPr>
                <w:rFonts w:ascii="Times New Roman" w:hAnsi="Times New Roman" w:cs="Times New Roman"/>
                <w:sz w:val="25"/>
                <w:szCs w:val="25"/>
              </w:rPr>
            </w:pPr>
          </w:p>
        </w:tc>
        <w:tc>
          <w:tcPr>
            <w:tcW w:w="1162" w:type="dxa"/>
            <w:tcBorders>
              <w:top w:val="single" w:color="000000" w:sz="16" w:space="0"/>
              <w:left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Frequency</w:t>
            </w:r>
          </w:p>
        </w:tc>
        <w:tc>
          <w:tcPr>
            <w:tcW w:w="1024" w:type="dxa"/>
            <w:tcBorders>
              <w:top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Percent</w:t>
            </w:r>
          </w:p>
        </w:tc>
        <w:tc>
          <w:tcPr>
            <w:tcW w:w="1393" w:type="dxa"/>
            <w:tcBorders>
              <w:top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Valid Percent</w:t>
            </w:r>
          </w:p>
        </w:tc>
        <w:tc>
          <w:tcPr>
            <w:tcW w:w="1469" w:type="dxa"/>
            <w:tcBorders>
              <w:top w:val="single" w:color="000000" w:sz="16" w:space="0"/>
              <w:bottom w:val="single" w:color="000000" w:sz="16" w:space="0"/>
              <w:right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Cumulative Percent</w:t>
            </w:r>
          </w:p>
        </w:tc>
      </w:tr>
      <w:tr>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Valid</w:t>
            </w:r>
          </w:p>
        </w:tc>
        <w:tc>
          <w:tcPr>
            <w:tcW w:w="2402" w:type="dxa"/>
            <w:tcBorders>
              <w:top w:val="single" w:color="000000" w:sz="16" w:space="0"/>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STRONGLY DISAGREED</w:t>
            </w:r>
          </w:p>
        </w:tc>
        <w:tc>
          <w:tcPr>
            <w:tcW w:w="1162" w:type="dxa"/>
            <w:tcBorders>
              <w:top w:val="single" w:color="000000" w:sz="16" w:space="0"/>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w:t>
            </w:r>
          </w:p>
        </w:tc>
        <w:tc>
          <w:tcPr>
            <w:tcW w:w="1024" w:type="dxa"/>
            <w:tcBorders>
              <w:top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2.0</w:t>
            </w:r>
          </w:p>
        </w:tc>
        <w:tc>
          <w:tcPr>
            <w:tcW w:w="1393" w:type="dxa"/>
            <w:tcBorders>
              <w:top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2.0</w:t>
            </w:r>
          </w:p>
        </w:tc>
        <w:tc>
          <w:tcPr>
            <w:tcW w:w="1469" w:type="dxa"/>
            <w:tcBorders>
              <w:top w:val="single" w:color="000000" w:sz="16" w:space="0"/>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DISAGREED</w:t>
            </w:r>
          </w:p>
        </w:tc>
        <w:tc>
          <w:tcPr>
            <w:tcW w:w="1162"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3</w:t>
            </w:r>
          </w:p>
        </w:tc>
        <w:tc>
          <w:tcPr>
            <w:tcW w:w="1024"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6.0</w:t>
            </w:r>
          </w:p>
        </w:tc>
        <w:tc>
          <w:tcPr>
            <w:tcW w:w="1393"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6.0</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8.0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UNDECIDED</w:t>
            </w:r>
          </w:p>
        </w:tc>
        <w:tc>
          <w:tcPr>
            <w:tcW w:w="1162"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w:t>
            </w:r>
          </w:p>
        </w:tc>
        <w:tc>
          <w:tcPr>
            <w:tcW w:w="1024"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2.0</w:t>
            </w:r>
          </w:p>
        </w:tc>
        <w:tc>
          <w:tcPr>
            <w:tcW w:w="1393"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2.0</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AGREED</w:t>
            </w:r>
          </w:p>
        </w:tc>
        <w:tc>
          <w:tcPr>
            <w:tcW w:w="1162"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21</w:t>
            </w:r>
          </w:p>
        </w:tc>
        <w:tc>
          <w:tcPr>
            <w:tcW w:w="1024"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42.0</w:t>
            </w:r>
          </w:p>
        </w:tc>
        <w:tc>
          <w:tcPr>
            <w:tcW w:w="1393"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42.0</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52.0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STRONGLY AGREED</w:t>
            </w:r>
          </w:p>
        </w:tc>
        <w:tc>
          <w:tcPr>
            <w:tcW w:w="1162"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24</w:t>
            </w:r>
          </w:p>
        </w:tc>
        <w:tc>
          <w:tcPr>
            <w:tcW w:w="1024"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48.0</w:t>
            </w:r>
          </w:p>
        </w:tc>
        <w:tc>
          <w:tcPr>
            <w:tcW w:w="1393"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48.0</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single" w:color="000000" w:sz="16" w:space="0"/>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Total</w:t>
            </w:r>
          </w:p>
        </w:tc>
        <w:tc>
          <w:tcPr>
            <w:tcW w:w="1162" w:type="dxa"/>
            <w:tcBorders>
              <w:top w:val="nil"/>
              <w:left w:val="single" w:color="000000" w:sz="16" w:space="0"/>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50</w:t>
            </w:r>
          </w:p>
        </w:tc>
        <w:tc>
          <w:tcPr>
            <w:tcW w:w="1024" w:type="dxa"/>
            <w:tcBorders>
              <w:top w:val="nil"/>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100.0</w:t>
            </w:r>
          </w:p>
        </w:tc>
        <w:tc>
          <w:tcPr>
            <w:tcW w:w="1393" w:type="dxa"/>
            <w:tcBorders>
              <w:top w:val="nil"/>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100.0</w:t>
            </w:r>
          </w:p>
        </w:tc>
        <w:tc>
          <w:tcPr>
            <w:tcW w:w="1469" w:type="dxa"/>
            <w:tcBorders>
              <w:top w:val="nil"/>
              <w:bottom w:val="single" w:color="000000" w:sz="16" w:space="0"/>
              <w:right w:val="single" w:color="000000" w:sz="16" w:space="0"/>
            </w:tcBorders>
            <w:shd w:val="clear" w:color="auto" w:fill="FFFFFF"/>
            <w:vAlign w:val="center"/>
          </w:tcPr>
          <w:p>
            <w:pPr>
              <w:autoSpaceDE w:val="0"/>
              <w:autoSpaceDN w:val="0"/>
              <w:adjustRightInd w:val="0"/>
              <w:spacing w:after="0" w:line="240" w:lineRule="auto"/>
              <w:rPr>
                <w:rFonts w:ascii="Times New Roman" w:hAnsi="Times New Roman" w:cs="Times New Roman"/>
                <w:sz w:val="25"/>
                <w:szCs w:val="25"/>
              </w:rPr>
            </w:pPr>
          </w:p>
        </w:tc>
      </w:tr>
    </w:tbl>
    <w:p>
      <w:pPr>
        <w:spacing w:after="0" w:line="480" w:lineRule="auto"/>
        <w:jc w:val="both"/>
        <w:rPr>
          <w:rFonts w:ascii="Times New Roman" w:hAnsi="Times New Roman" w:cs="Times New Roman"/>
          <w:b/>
          <w:sz w:val="25"/>
          <w:szCs w:val="25"/>
        </w:rPr>
      </w:pPr>
      <w:r>
        <w:rPr>
          <w:rFonts w:ascii="Times New Roman" w:hAnsi="Times New Roman" w:cs="Times New Roman"/>
          <w:b/>
          <w:sz w:val="25"/>
          <w:szCs w:val="25"/>
        </w:rPr>
        <w:t>Source: SPSS Computation, 2025</w:t>
      </w:r>
    </w:p>
    <w:p>
      <w:pPr>
        <w:autoSpaceDE w:val="0"/>
        <w:autoSpaceDN w:val="0"/>
        <w:adjustRightInd w:val="0"/>
        <w:spacing w:after="0" w:line="400" w:lineRule="atLeast"/>
        <w:rPr>
          <w:rFonts w:ascii="Times New Roman" w:hAnsi="Times New Roman" w:cs="Times New Roman"/>
          <w:sz w:val="25"/>
          <w:szCs w:val="25"/>
        </w:rPr>
      </w:pPr>
      <w:r>
        <w:rPr>
          <w:rFonts w:ascii="Times New Roman" w:hAnsi="Times New Roman" w:cs="Times New Roman"/>
          <w:sz w:val="25"/>
          <w:szCs w:val="25"/>
        </w:rPr>
        <w:t>Based on the information you provided, it appears that the majority of respondents (90%) agreed that GHRM (presumably referring to Human Resource Management) has a role in generating a competitive advantage. This acceptance of the notion suggests that the organization's ability to handle challenges in the working environment is significantly improved, leading to increased organizational resilience.</w:t>
      </w:r>
    </w:p>
    <w:tbl>
      <w:tblPr>
        <w:tblStyle w:val="8"/>
        <w:tblW w:w="818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2402"/>
        <w:gridCol w:w="1162"/>
        <w:gridCol w:w="1024"/>
        <w:gridCol w:w="1393"/>
        <w:gridCol w:w="1469"/>
      </w:tblGrid>
      <w:tr>
        <w:tblPrEx>
          <w:tblLayout w:type="fixed"/>
        </w:tblPrEx>
        <w:trPr>
          <w:cantSplit/>
        </w:trPr>
        <w:tc>
          <w:tcPr>
            <w:tcW w:w="8184" w:type="dxa"/>
            <w:gridSpan w:val="6"/>
            <w:tcBorders>
              <w:top w:val="nil"/>
              <w:left w:val="nil"/>
              <w:bottom w:val="nil"/>
              <w:right w:val="nil"/>
            </w:tcBorders>
            <w:shd w:val="clear" w:color="auto" w:fill="FFFFFF"/>
            <w:vAlign w:val="center"/>
          </w:tcPr>
          <w:p>
            <w:pPr>
              <w:spacing w:after="0"/>
              <w:jc w:val="both"/>
              <w:rPr>
                <w:rFonts w:ascii="Times New Roman" w:hAnsi="Times New Roman" w:cs="Times New Roman"/>
                <w:color w:val="000000"/>
                <w:sz w:val="25"/>
                <w:szCs w:val="25"/>
              </w:rPr>
            </w:pPr>
            <w:r>
              <w:rPr>
                <w:rFonts w:ascii="Times New Roman" w:hAnsi="Times New Roman" w:cs="Times New Roman"/>
                <w:sz w:val="25"/>
                <w:szCs w:val="25"/>
              </w:rPr>
              <w:t>Table 4.4.10: Increase employee loyalty and retention</w:t>
            </w:r>
          </w:p>
        </w:tc>
      </w:tr>
      <w:tr>
        <w:tblPrEx>
          <w:tblLayout w:type="fixed"/>
        </w:tblPrEx>
        <w:trPr>
          <w:cantSplit/>
        </w:trPr>
        <w:tc>
          <w:tcPr>
            <w:tcW w:w="3136" w:type="dxa"/>
            <w:gridSpan w:val="2"/>
            <w:tcBorders>
              <w:top w:val="single" w:color="000000" w:sz="16" w:space="0"/>
              <w:left w:val="single" w:color="000000" w:sz="16" w:space="0"/>
              <w:bottom w:val="single" w:color="000000" w:sz="16" w:space="0"/>
              <w:right w:val="nil"/>
            </w:tcBorders>
            <w:shd w:val="clear" w:color="auto" w:fill="FFFFFF"/>
            <w:vAlign w:val="bottom"/>
          </w:tcPr>
          <w:p>
            <w:pPr>
              <w:autoSpaceDE w:val="0"/>
              <w:autoSpaceDN w:val="0"/>
              <w:adjustRightInd w:val="0"/>
              <w:spacing w:after="0" w:line="240" w:lineRule="auto"/>
              <w:rPr>
                <w:rFonts w:ascii="Times New Roman" w:hAnsi="Times New Roman" w:cs="Times New Roman"/>
                <w:sz w:val="25"/>
                <w:szCs w:val="25"/>
              </w:rPr>
            </w:pPr>
          </w:p>
        </w:tc>
        <w:tc>
          <w:tcPr>
            <w:tcW w:w="1162" w:type="dxa"/>
            <w:tcBorders>
              <w:top w:val="single" w:color="000000" w:sz="16" w:space="0"/>
              <w:left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Frequency</w:t>
            </w:r>
          </w:p>
        </w:tc>
        <w:tc>
          <w:tcPr>
            <w:tcW w:w="1024" w:type="dxa"/>
            <w:tcBorders>
              <w:top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Percent</w:t>
            </w:r>
          </w:p>
        </w:tc>
        <w:tc>
          <w:tcPr>
            <w:tcW w:w="1393" w:type="dxa"/>
            <w:tcBorders>
              <w:top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Valid Percent</w:t>
            </w:r>
          </w:p>
        </w:tc>
        <w:tc>
          <w:tcPr>
            <w:tcW w:w="1469" w:type="dxa"/>
            <w:tcBorders>
              <w:top w:val="single" w:color="000000" w:sz="16" w:space="0"/>
              <w:bottom w:val="single" w:color="000000" w:sz="16" w:space="0"/>
              <w:right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Cumulative Percent</w:t>
            </w:r>
          </w:p>
        </w:tc>
      </w:tr>
      <w:tr>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Valid</w:t>
            </w:r>
          </w:p>
        </w:tc>
        <w:tc>
          <w:tcPr>
            <w:tcW w:w="2402" w:type="dxa"/>
            <w:tcBorders>
              <w:top w:val="single" w:color="000000" w:sz="16" w:space="0"/>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STRONGLY DISAGREED</w:t>
            </w:r>
          </w:p>
        </w:tc>
        <w:tc>
          <w:tcPr>
            <w:tcW w:w="1162" w:type="dxa"/>
            <w:tcBorders>
              <w:top w:val="single" w:color="000000" w:sz="16" w:space="0"/>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3</w:t>
            </w:r>
          </w:p>
        </w:tc>
        <w:tc>
          <w:tcPr>
            <w:tcW w:w="1024" w:type="dxa"/>
            <w:tcBorders>
              <w:top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6.0</w:t>
            </w:r>
          </w:p>
        </w:tc>
        <w:tc>
          <w:tcPr>
            <w:tcW w:w="1393" w:type="dxa"/>
            <w:tcBorders>
              <w:top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6.0</w:t>
            </w:r>
          </w:p>
        </w:tc>
        <w:tc>
          <w:tcPr>
            <w:tcW w:w="1469" w:type="dxa"/>
            <w:tcBorders>
              <w:top w:val="single" w:color="000000" w:sz="16" w:space="0"/>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6.0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DISAGREED</w:t>
            </w:r>
          </w:p>
        </w:tc>
        <w:tc>
          <w:tcPr>
            <w:tcW w:w="1162"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w:t>
            </w:r>
          </w:p>
        </w:tc>
        <w:tc>
          <w:tcPr>
            <w:tcW w:w="1024"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4.0</w:t>
            </w:r>
          </w:p>
        </w:tc>
        <w:tc>
          <w:tcPr>
            <w:tcW w:w="1393"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4.0</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UNDECIDED</w:t>
            </w:r>
          </w:p>
        </w:tc>
        <w:tc>
          <w:tcPr>
            <w:tcW w:w="1162"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w:t>
            </w:r>
          </w:p>
        </w:tc>
        <w:tc>
          <w:tcPr>
            <w:tcW w:w="1024"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4.0</w:t>
            </w:r>
          </w:p>
        </w:tc>
        <w:tc>
          <w:tcPr>
            <w:tcW w:w="1393"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4.0</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14.0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AGREED</w:t>
            </w:r>
          </w:p>
        </w:tc>
        <w:tc>
          <w:tcPr>
            <w:tcW w:w="1162"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22</w:t>
            </w:r>
          </w:p>
        </w:tc>
        <w:tc>
          <w:tcPr>
            <w:tcW w:w="1024"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44.0</w:t>
            </w:r>
          </w:p>
        </w:tc>
        <w:tc>
          <w:tcPr>
            <w:tcW w:w="1393"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44.0</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58.0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STRONGLY AGREED</w:t>
            </w:r>
          </w:p>
        </w:tc>
        <w:tc>
          <w:tcPr>
            <w:tcW w:w="1162"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21</w:t>
            </w:r>
          </w:p>
        </w:tc>
        <w:tc>
          <w:tcPr>
            <w:tcW w:w="1024"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42.0</w:t>
            </w:r>
          </w:p>
        </w:tc>
        <w:tc>
          <w:tcPr>
            <w:tcW w:w="1393"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42.0</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single" w:color="000000" w:sz="16" w:space="0"/>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Total</w:t>
            </w:r>
          </w:p>
        </w:tc>
        <w:tc>
          <w:tcPr>
            <w:tcW w:w="1162" w:type="dxa"/>
            <w:tcBorders>
              <w:top w:val="nil"/>
              <w:left w:val="single" w:color="000000" w:sz="16" w:space="0"/>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50</w:t>
            </w:r>
          </w:p>
        </w:tc>
        <w:tc>
          <w:tcPr>
            <w:tcW w:w="1024" w:type="dxa"/>
            <w:tcBorders>
              <w:top w:val="nil"/>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100.0</w:t>
            </w:r>
          </w:p>
        </w:tc>
        <w:tc>
          <w:tcPr>
            <w:tcW w:w="1393" w:type="dxa"/>
            <w:tcBorders>
              <w:top w:val="nil"/>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100.0</w:t>
            </w:r>
          </w:p>
        </w:tc>
        <w:tc>
          <w:tcPr>
            <w:tcW w:w="1469" w:type="dxa"/>
            <w:tcBorders>
              <w:top w:val="nil"/>
              <w:bottom w:val="single" w:color="000000" w:sz="16" w:space="0"/>
              <w:right w:val="single" w:color="000000" w:sz="16" w:space="0"/>
            </w:tcBorders>
            <w:shd w:val="clear" w:color="auto" w:fill="FFFFFF"/>
            <w:vAlign w:val="center"/>
          </w:tcPr>
          <w:p>
            <w:pPr>
              <w:autoSpaceDE w:val="0"/>
              <w:autoSpaceDN w:val="0"/>
              <w:adjustRightInd w:val="0"/>
              <w:spacing w:after="0" w:line="240" w:lineRule="auto"/>
              <w:rPr>
                <w:rFonts w:ascii="Times New Roman" w:hAnsi="Times New Roman" w:cs="Times New Roman"/>
                <w:sz w:val="25"/>
                <w:szCs w:val="25"/>
              </w:rPr>
            </w:pPr>
          </w:p>
        </w:tc>
      </w:tr>
    </w:tbl>
    <w:p>
      <w:pPr>
        <w:spacing w:after="0" w:line="480" w:lineRule="auto"/>
        <w:jc w:val="both"/>
        <w:rPr>
          <w:rFonts w:ascii="Times New Roman" w:hAnsi="Times New Roman" w:cs="Times New Roman"/>
          <w:b/>
          <w:sz w:val="25"/>
          <w:szCs w:val="25"/>
        </w:rPr>
      </w:pPr>
      <w:r>
        <w:rPr>
          <w:rFonts w:ascii="Times New Roman" w:hAnsi="Times New Roman" w:cs="Times New Roman"/>
          <w:b/>
          <w:sz w:val="25"/>
          <w:szCs w:val="25"/>
        </w:rPr>
        <w:t>Source: SPSS Computation, 2025</w:t>
      </w:r>
    </w:p>
    <w:p>
      <w:pPr>
        <w:spacing w:after="0" w:line="480" w:lineRule="auto"/>
        <w:jc w:val="both"/>
        <w:rPr>
          <w:rFonts w:ascii="Times New Roman" w:hAnsi="Times New Roman" w:cs="Times New Roman"/>
          <w:b/>
          <w:sz w:val="25"/>
          <w:szCs w:val="25"/>
        </w:rPr>
      </w:pPr>
      <w:r>
        <w:rPr>
          <w:rFonts w:ascii="Times New Roman" w:hAnsi="Times New Roman" w:cs="Times New Roman"/>
          <w:sz w:val="25"/>
          <w:szCs w:val="25"/>
        </w:rPr>
        <w:t>Based on the information provided, it seems that the majority of respondents (86%) agreed with the claim that GHRM practices promote employee loyalty and retention. This suggests that there is a prevailing belief among the respondents that GHRM should play a role in boosting employee retention and loyalty.</w:t>
      </w:r>
    </w:p>
    <w:p>
      <w:pPr>
        <w:autoSpaceDE w:val="0"/>
        <w:autoSpaceDN w:val="0"/>
        <w:adjustRightInd w:val="0"/>
        <w:spacing w:after="0" w:line="400" w:lineRule="atLeast"/>
        <w:rPr>
          <w:rFonts w:ascii="Times New Roman" w:hAnsi="Times New Roman" w:cs="Times New Roman"/>
          <w:sz w:val="25"/>
          <w:szCs w:val="25"/>
        </w:rPr>
      </w:pPr>
      <w:r>
        <w:rPr>
          <w:rFonts w:ascii="Times New Roman" w:hAnsi="Times New Roman" w:cs="Times New Roman"/>
          <w:sz w:val="25"/>
          <w:szCs w:val="25"/>
        </w:rPr>
        <w:t>It's worth noting that 10% of the respondents disagreed with the statement, and 4% were undecided. While these numbers indicate some dissenting and undecided views, the majority agreement suggests that the majority of respondents recognize the importance of GHRM practices in enhancing employee loyalty and retention.</w:t>
      </w:r>
    </w:p>
    <w:p>
      <w:pPr>
        <w:autoSpaceDE w:val="0"/>
        <w:autoSpaceDN w:val="0"/>
        <w:adjustRightInd w:val="0"/>
        <w:spacing w:after="0" w:line="400" w:lineRule="atLeast"/>
        <w:rPr>
          <w:rFonts w:ascii="Times New Roman" w:hAnsi="Times New Roman" w:cs="Times New Roman"/>
          <w:sz w:val="25"/>
          <w:szCs w:val="25"/>
        </w:rPr>
      </w:pPr>
      <w:r>
        <w:rPr>
          <w:rFonts w:ascii="Times New Roman" w:hAnsi="Times New Roman" w:cs="Times New Roman"/>
          <w:sz w:val="25"/>
          <w:szCs w:val="25"/>
        </w:rPr>
        <w:t>.</w:t>
      </w:r>
    </w:p>
    <w:p>
      <w:pPr/>
      <w:r>
        <w:br w:type="page"/>
      </w:r>
    </w:p>
    <w:tbl>
      <w:tblPr>
        <w:tblStyle w:val="8"/>
        <w:tblW w:w="8184" w:type="dxa"/>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2402"/>
        <w:gridCol w:w="1162"/>
        <w:gridCol w:w="1024"/>
        <w:gridCol w:w="1393"/>
        <w:gridCol w:w="1469"/>
      </w:tblGrid>
      <w:tr>
        <w:tblPrEx>
          <w:tblLayout w:type="fixed"/>
        </w:tblPrEx>
        <w:trPr>
          <w:cantSplit/>
        </w:trPr>
        <w:tc>
          <w:tcPr>
            <w:tcW w:w="8184" w:type="dxa"/>
            <w:gridSpan w:val="6"/>
            <w:tcBorders>
              <w:top w:val="nil"/>
              <w:left w:val="nil"/>
              <w:bottom w:val="nil"/>
              <w:right w:val="nil"/>
            </w:tcBorders>
            <w:shd w:val="clear" w:color="auto" w:fill="FFFFFF"/>
            <w:vAlign w:val="center"/>
          </w:tcPr>
          <w:p>
            <w:pPr>
              <w:spacing w:after="0"/>
              <w:jc w:val="both"/>
              <w:rPr>
                <w:rFonts w:ascii="Times New Roman" w:hAnsi="Times New Roman" w:cs="Times New Roman"/>
                <w:color w:val="000000"/>
                <w:sz w:val="25"/>
                <w:szCs w:val="25"/>
              </w:rPr>
            </w:pPr>
            <w:r>
              <w:rPr>
                <w:rFonts w:ascii="Times New Roman" w:hAnsi="Times New Roman" w:cs="Times New Roman"/>
                <w:sz w:val="25"/>
                <w:szCs w:val="25"/>
              </w:rPr>
              <w:t>Table 4.4.11: Increase profitability and reduce cost</w:t>
            </w:r>
          </w:p>
        </w:tc>
      </w:tr>
      <w:tr>
        <w:tblPrEx>
          <w:tblLayout w:type="fixed"/>
        </w:tblPrEx>
        <w:trPr>
          <w:cantSplit/>
        </w:trPr>
        <w:tc>
          <w:tcPr>
            <w:tcW w:w="3136" w:type="dxa"/>
            <w:gridSpan w:val="2"/>
            <w:tcBorders>
              <w:top w:val="single" w:color="000000" w:sz="16" w:space="0"/>
              <w:left w:val="single" w:color="000000" w:sz="16" w:space="0"/>
              <w:bottom w:val="single" w:color="000000" w:sz="16" w:space="0"/>
              <w:right w:val="nil"/>
            </w:tcBorders>
            <w:shd w:val="clear" w:color="auto" w:fill="FFFFFF"/>
            <w:vAlign w:val="bottom"/>
          </w:tcPr>
          <w:p>
            <w:pPr>
              <w:autoSpaceDE w:val="0"/>
              <w:autoSpaceDN w:val="0"/>
              <w:adjustRightInd w:val="0"/>
              <w:spacing w:after="0" w:line="240" w:lineRule="auto"/>
              <w:rPr>
                <w:rFonts w:ascii="Times New Roman" w:hAnsi="Times New Roman" w:cs="Times New Roman"/>
                <w:sz w:val="25"/>
                <w:szCs w:val="25"/>
              </w:rPr>
            </w:pPr>
          </w:p>
        </w:tc>
        <w:tc>
          <w:tcPr>
            <w:tcW w:w="1162" w:type="dxa"/>
            <w:tcBorders>
              <w:top w:val="single" w:color="000000" w:sz="16" w:space="0"/>
              <w:left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Frequency</w:t>
            </w:r>
          </w:p>
        </w:tc>
        <w:tc>
          <w:tcPr>
            <w:tcW w:w="1024" w:type="dxa"/>
            <w:tcBorders>
              <w:top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Percent</w:t>
            </w:r>
          </w:p>
        </w:tc>
        <w:tc>
          <w:tcPr>
            <w:tcW w:w="1393" w:type="dxa"/>
            <w:tcBorders>
              <w:top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Valid Percent</w:t>
            </w:r>
          </w:p>
        </w:tc>
        <w:tc>
          <w:tcPr>
            <w:tcW w:w="1469" w:type="dxa"/>
            <w:tcBorders>
              <w:top w:val="single" w:color="000000" w:sz="16" w:space="0"/>
              <w:bottom w:val="single" w:color="000000" w:sz="16" w:space="0"/>
              <w:right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Cumulative Percent</w:t>
            </w:r>
          </w:p>
        </w:tc>
      </w:tr>
      <w:tr>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Valid</w:t>
            </w:r>
          </w:p>
        </w:tc>
        <w:tc>
          <w:tcPr>
            <w:tcW w:w="2402" w:type="dxa"/>
            <w:tcBorders>
              <w:top w:val="single" w:color="000000" w:sz="16" w:space="0"/>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STRONGLY DISAGREED</w:t>
            </w:r>
          </w:p>
        </w:tc>
        <w:tc>
          <w:tcPr>
            <w:tcW w:w="1162" w:type="dxa"/>
            <w:tcBorders>
              <w:top w:val="single" w:color="000000" w:sz="16" w:space="0"/>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w:t>
            </w:r>
          </w:p>
        </w:tc>
        <w:tc>
          <w:tcPr>
            <w:tcW w:w="1024" w:type="dxa"/>
            <w:tcBorders>
              <w:top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4.0</w:t>
            </w:r>
          </w:p>
        </w:tc>
        <w:tc>
          <w:tcPr>
            <w:tcW w:w="1393" w:type="dxa"/>
            <w:tcBorders>
              <w:top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4.0</w:t>
            </w:r>
          </w:p>
        </w:tc>
        <w:tc>
          <w:tcPr>
            <w:tcW w:w="1469" w:type="dxa"/>
            <w:tcBorders>
              <w:top w:val="single" w:color="000000" w:sz="16" w:space="0"/>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DISAGREED</w:t>
            </w:r>
          </w:p>
        </w:tc>
        <w:tc>
          <w:tcPr>
            <w:tcW w:w="1162"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w:t>
            </w:r>
          </w:p>
        </w:tc>
        <w:tc>
          <w:tcPr>
            <w:tcW w:w="1024"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4.0</w:t>
            </w:r>
          </w:p>
        </w:tc>
        <w:tc>
          <w:tcPr>
            <w:tcW w:w="1393"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4.0</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8.0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UNDECIDED</w:t>
            </w:r>
          </w:p>
        </w:tc>
        <w:tc>
          <w:tcPr>
            <w:tcW w:w="1162"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w:t>
            </w:r>
          </w:p>
        </w:tc>
        <w:tc>
          <w:tcPr>
            <w:tcW w:w="1024"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4.0</w:t>
            </w:r>
          </w:p>
        </w:tc>
        <w:tc>
          <w:tcPr>
            <w:tcW w:w="1393"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4.0</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12.0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AGREED</w:t>
            </w:r>
          </w:p>
        </w:tc>
        <w:tc>
          <w:tcPr>
            <w:tcW w:w="1162"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19</w:t>
            </w:r>
          </w:p>
        </w:tc>
        <w:tc>
          <w:tcPr>
            <w:tcW w:w="1024"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38.0</w:t>
            </w:r>
          </w:p>
        </w:tc>
        <w:tc>
          <w:tcPr>
            <w:tcW w:w="1393"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38.0</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50.0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STRONGLY AGREED</w:t>
            </w:r>
          </w:p>
        </w:tc>
        <w:tc>
          <w:tcPr>
            <w:tcW w:w="1162"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25</w:t>
            </w:r>
          </w:p>
        </w:tc>
        <w:tc>
          <w:tcPr>
            <w:tcW w:w="1024"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50.0</w:t>
            </w:r>
          </w:p>
        </w:tc>
        <w:tc>
          <w:tcPr>
            <w:tcW w:w="1393"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50.0</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single" w:color="000000" w:sz="16" w:space="0"/>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Total</w:t>
            </w:r>
          </w:p>
        </w:tc>
        <w:tc>
          <w:tcPr>
            <w:tcW w:w="1162" w:type="dxa"/>
            <w:tcBorders>
              <w:top w:val="nil"/>
              <w:left w:val="single" w:color="000000" w:sz="16" w:space="0"/>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50</w:t>
            </w:r>
          </w:p>
        </w:tc>
        <w:tc>
          <w:tcPr>
            <w:tcW w:w="1024" w:type="dxa"/>
            <w:tcBorders>
              <w:top w:val="nil"/>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100.0</w:t>
            </w:r>
          </w:p>
        </w:tc>
        <w:tc>
          <w:tcPr>
            <w:tcW w:w="1393" w:type="dxa"/>
            <w:tcBorders>
              <w:top w:val="nil"/>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100.0</w:t>
            </w:r>
          </w:p>
        </w:tc>
        <w:tc>
          <w:tcPr>
            <w:tcW w:w="1469" w:type="dxa"/>
            <w:tcBorders>
              <w:top w:val="nil"/>
              <w:bottom w:val="single" w:color="000000" w:sz="16" w:space="0"/>
              <w:right w:val="single" w:color="000000" w:sz="16" w:space="0"/>
            </w:tcBorders>
            <w:shd w:val="clear" w:color="auto" w:fill="FFFFFF"/>
            <w:vAlign w:val="center"/>
          </w:tcPr>
          <w:p>
            <w:pPr>
              <w:autoSpaceDE w:val="0"/>
              <w:autoSpaceDN w:val="0"/>
              <w:adjustRightInd w:val="0"/>
              <w:spacing w:after="0" w:line="240" w:lineRule="auto"/>
              <w:rPr>
                <w:rFonts w:ascii="Times New Roman" w:hAnsi="Times New Roman" w:cs="Times New Roman"/>
                <w:sz w:val="25"/>
                <w:szCs w:val="25"/>
              </w:rPr>
            </w:pPr>
          </w:p>
        </w:tc>
      </w:tr>
    </w:tbl>
    <w:p>
      <w:pPr>
        <w:spacing w:after="0"/>
        <w:jc w:val="both"/>
        <w:rPr>
          <w:rFonts w:ascii="Times New Roman" w:hAnsi="Times New Roman" w:cs="Times New Roman"/>
          <w:b/>
          <w:sz w:val="25"/>
          <w:szCs w:val="25"/>
        </w:rPr>
      </w:pPr>
      <w:r>
        <w:rPr>
          <w:rFonts w:ascii="Times New Roman" w:hAnsi="Times New Roman" w:cs="Times New Roman"/>
          <w:b/>
          <w:sz w:val="25"/>
          <w:szCs w:val="25"/>
        </w:rPr>
        <w:t>Source: SPSS Computation, 2025</w:t>
      </w:r>
    </w:p>
    <w:p>
      <w:pPr>
        <w:autoSpaceDE w:val="0"/>
        <w:autoSpaceDN w:val="0"/>
        <w:adjustRightInd w:val="0"/>
        <w:spacing w:after="0" w:line="400" w:lineRule="atLeast"/>
        <w:rPr>
          <w:rFonts w:ascii="Times New Roman" w:hAnsi="Times New Roman" w:cs="Times New Roman"/>
          <w:sz w:val="25"/>
          <w:szCs w:val="25"/>
        </w:rPr>
      </w:pPr>
      <w:r>
        <w:rPr>
          <w:rFonts w:ascii="Times New Roman" w:hAnsi="Times New Roman" w:cs="Times New Roman"/>
          <w:sz w:val="25"/>
          <w:szCs w:val="25"/>
        </w:rPr>
        <w:t>According to the information in the table, 4 respondents (8%) disputed the claim that customers felt free to interact with the business. Additionally, 2 respondents (4%) were undecided, while 44 respondents (88%) agreed with the claim.</w:t>
      </w:r>
    </w:p>
    <w:tbl>
      <w:tblPr>
        <w:tblStyle w:val="8"/>
        <w:tblW w:w="818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2402"/>
        <w:gridCol w:w="1162"/>
        <w:gridCol w:w="1024"/>
        <w:gridCol w:w="1393"/>
        <w:gridCol w:w="1469"/>
      </w:tblGrid>
      <w:tr>
        <w:tblPrEx>
          <w:tblLayout w:type="fixed"/>
        </w:tblPrEx>
        <w:trPr>
          <w:cantSplit/>
        </w:trPr>
        <w:tc>
          <w:tcPr>
            <w:tcW w:w="8184" w:type="dxa"/>
            <w:gridSpan w:val="6"/>
            <w:tcBorders>
              <w:top w:val="nil"/>
              <w:left w:val="nil"/>
              <w:bottom w:val="nil"/>
              <w:right w:val="nil"/>
            </w:tcBorders>
            <w:shd w:val="clear" w:color="auto" w:fill="FFFFFF"/>
            <w:vAlign w:val="center"/>
          </w:tcPr>
          <w:p>
            <w:pPr>
              <w:spacing w:after="0"/>
              <w:jc w:val="both"/>
              <w:rPr>
                <w:rFonts w:ascii="Times New Roman" w:hAnsi="Times New Roman" w:cs="Times New Roman"/>
                <w:sz w:val="25"/>
                <w:szCs w:val="25"/>
              </w:rPr>
            </w:pPr>
          </w:p>
          <w:p>
            <w:pPr>
              <w:spacing w:after="0"/>
              <w:jc w:val="both"/>
              <w:rPr>
                <w:rFonts w:ascii="Times New Roman" w:hAnsi="Times New Roman" w:cs="Times New Roman"/>
                <w:color w:val="000000"/>
                <w:sz w:val="25"/>
                <w:szCs w:val="25"/>
              </w:rPr>
            </w:pPr>
            <w:r>
              <w:rPr>
                <w:rFonts w:ascii="Times New Roman" w:hAnsi="Times New Roman" w:cs="Times New Roman"/>
                <w:sz w:val="25"/>
                <w:szCs w:val="25"/>
              </w:rPr>
              <w:t>Table 4.4.12: Create a culture of having concern for the wellbeing and health of fellow workers</w:t>
            </w:r>
          </w:p>
        </w:tc>
      </w:tr>
      <w:tr>
        <w:tblPrEx>
          <w:tblLayout w:type="fixed"/>
        </w:tblPrEx>
        <w:trPr>
          <w:cantSplit/>
        </w:trPr>
        <w:tc>
          <w:tcPr>
            <w:tcW w:w="3136" w:type="dxa"/>
            <w:gridSpan w:val="2"/>
            <w:tcBorders>
              <w:top w:val="single" w:color="000000" w:sz="16" w:space="0"/>
              <w:left w:val="single" w:color="000000" w:sz="16" w:space="0"/>
              <w:bottom w:val="single" w:color="000000" w:sz="16" w:space="0"/>
              <w:right w:val="nil"/>
            </w:tcBorders>
            <w:shd w:val="clear" w:color="auto" w:fill="FFFFFF"/>
            <w:vAlign w:val="bottom"/>
          </w:tcPr>
          <w:p>
            <w:pPr>
              <w:autoSpaceDE w:val="0"/>
              <w:autoSpaceDN w:val="0"/>
              <w:adjustRightInd w:val="0"/>
              <w:spacing w:after="0" w:line="240" w:lineRule="auto"/>
              <w:rPr>
                <w:rFonts w:ascii="Times New Roman" w:hAnsi="Times New Roman" w:cs="Times New Roman"/>
                <w:sz w:val="25"/>
                <w:szCs w:val="25"/>
              </w:rPr>
            </w:pPr>
          </w:p>
        </w:tc>
        <w:tc>
          <w:tcPr>
            <w:tcW w:w="1162" w:type="dxa"/>
            <w:tcBorders>
              <w:top w:val="single" w:color="000000" w:sz="16" w:space="0"/>
              <w:left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Frequency</w:t>
            </w:r>
          </w:p>
        </w:tc>
        <w:tc>
          <w:tcPr>
            <w:tcW w:w="1024" w:type="dxa"/>
            <w:tcBorders>
              <w:top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Percent</w:t>
            </w:r>
          </w:p>
        </w:tc>
        <w:tc>
          <w:tcPr>
            <w:tcW w:w="1393" w:type="dxa"/>
            <w:tcBorders>
              <w:top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Valid Percent</w:t>
            </w:r>
          </w:p>
        </w:tc>
        <w:tc>
          <w:tcPr>
            <w:tcW w:w="1469" w:type="dxa"/>
            <w:tcBorders>
              <w:top w:val="single" w:color="000000" w:sz="16" w:space="0"/>
              <w:bottom w:val="single" w:color="000000" w:sz="16" w:space="0"/>
              <w:right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Cumulative Percent</w:t>
            </w:r>
          </w:p>
        </w:tc>
      </w:tr>
      <w:tr>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Valid</w:t>
            </w:r>
          </w:p>
        </w:tc>
        <w:tc>
          <w:tcPr>
            <w:tcW w:w="2402" w:type="dxa"/>
            <w:tcBorders>
              <w:top w:val="single" w:color="000000" w:sz="16" w:space="0"/>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STRONGLY DISAGREED</w:t>
            </w:r>
          </w:p>
        </w:tc>
        <w:tc>
          <w:tcPr>
            <w:tcW w:w="1162" w:type="dxa"/>
            <w:tcBorders>
              <w:top w:val="single" w:color="000000" w:sz="16" w:space="0"/>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w:t>
            </w:r>
          </w:p>
        </w:tc>
        <w:tc>
          <w:tcPr>
            <w:tcW w:w="1024" w:type="dxa"/>
            <w:tcBorders>
              <w:top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4.0</w:t>
            </w:r>
          </w:p>
        </w:tc>
        <w:tc>
          <w:tcPr>
            <w:tcW w:w="1393" w:type="dxa"/>
            <w:tcBorders>
              <w:top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4.0</w:t>
            </w:r>
          </w:p>
        </w:tc>
        <w:tc>
          <w:tcPr>
            <w:tcW w:w="1469" w:type="dxa"/>
            <w:tcBorders>
              <w:top w:val="single" w:color="000000" w:sz="16" w:space="0"/>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DISAGREED</w:t>
            </w:r>
          </w:p>
        </w:tc>
        <w:tc>
          <w:tcPr>
            <w:tcW w:w="1162"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3</w:t>
            </w:r>
          </w:p>
        </w:tc>
        <w:tc>
          <w:tcPr>
            <w:tcW w:w="1024"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6.0</w:t>
            </w:r>
          </w:p>
        </w:tc>
        <w:tc>
          <w:tcPr>
            <w:tcW w:w="1393"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6.0</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UNDECIDED</w:t>
            </w:r>
          </w:p>
        </w:tc>
        <w:tc>
          <w:tcPr>
            <w:tcW w:w="1162"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w:t>
            </w:r>
          </w:p>
        </w:tc>
        <w:tc>
          <w:tcPr>
            <w:tcW w:w="1024"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4.0</w:t>
            </w:r>
          </w:p>
        </w:tc>
        <w:tc>
          <w:tcPr>
            <w:tcW w:w="1393"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4.0</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14.0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AGREED</w:t>
            </w:r>
          </w:p>
        </w:tc>
        <w:tc>
          <w:tcPr>
            <w:tcW w:w="1162"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16</w:t>
            </w:r>
          </w:p>
        </w:tc>
        <w:tc>
          <w:tcPr>
            <w:tcW w:w="1024"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32.0</w:t>
            </w:r>
          </w:p>
        </w:tc>
        <w:tc>
          <w:tcPr>
            <w:tcW w:w="1393"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32.0</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46.0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STRONGLY AGREED</w:t>
            </w:r>
          </w:p>
        </w:tc>
        <w:tc>
          <w:tcPr>
            <w:tcW w:w="1162"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27</w:t>
            </w:r>
          </w:p>
        </w:tc>
        <w:tc>
          <w:tcPr>
            <w:tcW w:w="1024"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54.0</w:t>
            </w:r>
          </w:p>
        </w:tc>
        <w:tc>
          <w:tcPr>
            <w:tcW w:w="1393"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54.0</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single" w:color="000000" w:sz="16" w:space="0"/>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Total</w:t>
            </w:r>
          </w:p>
        </w:tc>
        <w:tc>
          <w:tcPr>
            <w:tcW w:w="1162" w:type="dxa"/>
            <w:tcBorders>
              <w:top w:val="nil"/>
              <w:left w:val="single" w:color="000000" w:sz="16" w:space="0"/>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50</w:t>
            </w:r>
          </w:p>
        </w:tc>
        <w:tc>
          <w:tcPr>
            <w:tcW w:w="1024" w:type="dxa"/>
            <w:tcBorders>
              <w:top w:val="nil"/>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100.0</w:t>
            </w:r>
          </w:p>
        </w:tc>
        <w:tc>
          <w:tcPr>
            <w:tcW w:w="1393" w:type="dxa"/>
            <w:tcBorders>
              <w:top w:val="nil"/>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100.0</w:t>
            </w:r>
          </w:p>
        </w:tc>
        <w:tc>
          <w:tcPr>
            <w:tcW w:w="1469" w:type="dxa"/>
            <w:tcBorders>
              <w:top w:val="nil"/>
              <w:bottom w:val="single" w:color="000000" w:sz="16" w:space="0"/>
              <w:right w:val="single" w:color="000000" w:sz="16" w:space="0"/>
            </w:tcBorders>
            <w:shd w:val="clear" w:color="auto" w:fill="FFFFFF"/>
            <w:vAlign w:val="center"/>
          </w:tcPr>
          <w:p>
            <w:pPr>
              <w:autoSpaceDE w:val="0"/>
              <w:autoSpaceDN w:val="0"/>
              <w:adjustRightInd w:val="0"/>
              <w:spacing w:after="0" w:line="240" w:lineRule="auto"/>
              <w:rPr>
                <w:rFonts w:ascii="Times New Roman" w:hAnsi="Times New Roman" w:cs="Times New Roman"/>
                <w:sz w:val="25"/>
                <w:szCs w:val="25"/>
              </w:rPr>
            </w:pPr>
          </w:p>
        </w:tc>
      </w:tr>
    </w:tbl>
    <w:p>
      <w:pPr>
        <w:spacing w:after="0"/>
        <w:jc w:val="both"/>
        <w:rPr>
          <w:rFonts w:ascii="Times New Roman" w:hAnsi="Times New Roman" w:cs="Times New Roman"/>
          <w:b/>
          <w:sz w:val="25"/>
          <w:szCs w:val="25"/>
        </w:rPr>
      </w:pPr>
      <w:r>
        <w:rPr>
          <w:rFonts w:ascii="Times New Roman" w:hAnsi="Times New Roman" w:cs="Times New Roman"/>
          <w:b/>
          <w:sz w:val="25"/>
          <w:szCs w:val="25"/>
        </w:rPr>
        <w:t>Source: SPSS Computation, 2025</w:t>
      </w:r>
    </w:p>
    <w:p>
      <w:pPr>
        <w:spacing w:after="0" w:line="480" w:lineRule="auto"/>
        <w:jc w:val="both"/>
        <w:rPr>
          <w:rFonts w:ascii="Times New Roman" w:hAnsi="Times New Roman" w:cs="Times New Roman"/>
          <w:sz w:val="25"/>
          <w:szCs w:val="25"/>
        </w:rPr>
      </w:pPr>
      <w:r>
        <w:rPr>
          <w:rFonts w:ascii="Times New Roman" w:hAnsi="Times New Roman" w:cs="Times New Roman"/>
          <w:sz w:val="25"/>
          <w:szCs w:val="25"/>
        </w:rPr>
        <w:t>In the table above, 5 respondents (10%) disagreed that GHRM foster a culture of concern for the wellbeing and health of coworkers, 2 respondents (4%), were neither agree nor disagree, and 43 respondents (86%) agreed that GHRM foster a culture of concern for the wellbeing and health of coworkers.</w:t>
      </w:r>
    </w:p>
    <w:tbl>
      <w:tblPr>
        <w:tblStyle w:val="8"/>
        <w:tblW w:w="818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2402"/>
        <w:gridCol w:w="1162"/>
        <w:gridCol w:w="1024"/>
        <w:gridCol w:w="1393"/>
        <w:gridCol w:w="1469"/>
      </w:tblGrid>
      <w:tr>
        <w:tblPrEx>
          <w:tblLayout w:type="fixed"/>
        </w:tblPrEx>
        <w:trPr>
          <w:cantSplit/>
        </w:trPr>
        <w:tc>
          <w:tcPr>
            <w:tcW w:w="8184" w:type="dxa"/>
            <w:gridSpan w:val="6"/>
            <w:tcBorders>
              <w:top w:val="nil"/>
              <w:left w:val="nil"/>
              <w:bottom w:val="nil"/>
              <w:right w:val="nil"/>
            </w:tcBorders>
            <w:shd w:val="clear" w:color="auto" w:fill="FFFFFF"/>
            <w:vAlign w:val="center"/>
          </w:tcPr>
          <w:p>
            <w:pPr>
              <w:spacing w:after="0"/>
              <w:jc w:val="both"/>
              <w:rPr>
                <w:rFonts w:ascii="Times New Roman" w:hAnsi="Times New Roman" w:cs="Times New Roman"/>
                <w:sz w:val="25"/>
                <w:szCs w:val="25"/>
              </w:rPr>
            </w:pPr>
          </w:p>
          <w:p>
            <w:pPr>
              <w:spacing w:after="0"/>
              <w:jc w:val="both"/>
              <w:rPr>
                <w:rFonts w:ascii="Times New Roman" w:hAnsi="Times New Roman" w:cs="Times New Roman"/>
                <w:color w:val="000000"/>
                <w:sz w:val="25"/>
                <w:szCs w:val="25"/>
              </w:rPr>
            </w:pPr>
            <w:r>
              <w:rPr>
                <w:rFonts w:ascii="Times New Roman" w:hAnsi="Times New Roman" w:cs="Times New Roman"/>
                <w:sz w:val="25"/>
                <w:szCs w:val="25"/>
              </w:rPr>
              <w:t>Table 4.4.13: Helps in achieving higher employee job satisfaction and commitment</w:t>
            </w:r>
          </w:p>
        </w:tc>
      </w:tr>
      <w:tr>
        <w:tblPrEx>
          <w:tblLayout w:type="fixed"/>
        </w:tblPrEx>
        <w:trPr>
          <w:cantSplit/>
        </w:trPr>
        <w:tc>
          <w:tcPr>
            <w:tcW w:w="3136" w:type="dxa"/>
            <w:gridSpan w:val="2"/>
            <w:tcBorders>
              <w:top w:val="single" w:color="000000" w:sz="16" w:space="0"/>
              <w:left w:val="single" w:color="000000" w:sz="16" w:space="0"/>
              <w:bottom w:val="single" w:color="000000" w:sz="16" w:space="0"/>
              <w:right w:val="nil"/>
            </w:tcBorders>
            <w:shd w:val="clear" w:color="auto" w:fill="FFFFFF"/>
            <w:vAlign w:val="bottom"/>
          </w:tcPr>
          <w:p>
            <w:pPr>
              <w:autoSpaceDE w:val="0"/>
              <w:autoSpaceDN w:val="0"/>
              <w:adjustRightInd w:val="0"/>
              <w:spacing w:after="0" w:line="240" w:lineRule="auto"/>
              <w:rPr>
                <w:rFonts w:ascii="Times New Roman" w:hAnsi="Times New Roman" w:cs="Times New Roman"/>
                <w:sz w:val="25"/>
                <w:szCs w:val="25"/>
              </w:rPr>
            </w:pPr>
          </w:p>
        </w:tc>
        <w:tc>
          <w:tcPr>
            <w:tcW w:w="1162" w:type="dxa"/>
            <w:tcBorders>
              <w:top w:val="single" w:color="000000" w:sz="16" w:space="0"/>
              <w:left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Frequency</w:t>
            </w:r>
          </w:p>
        </w:tc>
        <w:tc>
          <w:tcPr>
            <w:tcW w:w="1024" w:type="dxa"/>
            <w:tcBorders>
              <w:top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Percent</w:t>
            </w:r>
          </w:p>
        </w:tc>
        <w:tc>
          <w:tcPr>
            <w:tcW w:w="1393" w:type="dxa"/>
            <w:tcBorders>
              <w:top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Valid Percent</w:t>
            </w:r>
          </w:p>
        </w:tc>
        <w:tc>
          <w:tcPr>
            <w:tcW w:w="1469" w:type="dxa"/>
            <w:tcBorders>
              <w:top w:val="single" w:color="000000" w:sz="16" w:space="0"/>
              <w:bottom w:val="single" w:color="000000" w:sz="16" w:space="0"/>
              <w:right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Cumulative Percent</w:t>
            </w:r>
          </w:p>
        </w:tc>
      </w:tr>
      <w:tr>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Valid</w:t>
            </w:r>
          </w:p>
        </w:tc>
        <w:tc>
          <w:tcPr>
            <w:tcW w:w="2402" w:type="dxa"/>
            <w:tcBorders>
              <w:top w:val="single" w:color="000000" w:sz="16" w:space="0"/>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STRONGLY DISAGREED</w:t>
            </w:r>
          </w:p>
        </w:tc>
        <w:tc>
          <w:tcPr>
            <w:tcW w:w="1162" w:type="dxa"/>
            <w:tcBorders>
              <w:top w:val="single" w:color="000000" w:sz="16" w:space="0"/>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12</w:t>
            </w:r>
          </w:p>
        </w:tc>
        <w:tc>
          <w:tcPr>
            <w:tcW w:w="1024" w:type="dxa"/>
            <w:tcBorders>
              <w:top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24.0</w:t>
            </w:r>
          </w:p>
        </w:tc>
        <w:tc>
          <w:tcPr>
            <w:tcW w:w="1393" w:type="dxa"/>
            <w:tcBorders>
              <w:top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24.0</w:t>
            </w:r>
          </w:p>
        </w:tc>
        <w:tc>
          <w:tcPr>
            <w:tcW w:w="1469" w:type="dxa"/>
            <w:tcBorders>
              <w:top w:val="single" w:color="000000" w:sz="16" w:space="0"/>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24.0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DISAGREED</w:t>
            </w:r>
          </w:p>
        </w:tc>
        <w:tc>
          <w:tcPr>
            <w:tcW w:w="1162"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3</w:t>
            </w:r>
          </w:p>
        </w:tc>
        <w:tc>
          <w:tcPr>
            <w:tcW w:w="1024"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6.0</w:t>
            </w:r>
          </w:p>
        </w:tc>
        <w:tc>
          <w:tcPr>
            <w:tcW w:w="1393"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6.0</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30.0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UNDECIDED</w:t>
            </w:r>
          </w:p>
        </w:tc>
        <w:tc>
          <w:tcPr>
            <w:tcW w:w="1162"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w:t>
            </w:r>
          </w:p>
        </w:tc>
        <w:tc>
          <w:tcPr>
            <w:tcW w:w="1024"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4.0</w:t>
            </w:r>
          </w:p>
        </w:tc>
        <w:tc>
          <w:tcPr>
            <w:tcW w:w="1393"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4.0</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34.0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AGREED</w:t>
            </w:r>
          </w:p>
        </w:tc>
        <w:tc>
          <w:tcPr>
            <w:tcW w:w="1162"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16</w:t>
            </w:r>
          </w:p>
        </w:tc>
        <w:tc>
          <w:tcPr>
            <w:tcW w:w="1024"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32.0</w:t>
            </w:r>
          </w:p>
        </w:tc>
        <w:tc>
          <w:tcPr>
            <w:tcW w:w="1393"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32.0</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66.0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STRONGLY AGREED</w:t>
            </w:r>
          </w:p>
        </w:tc>
        <w:tc>
          <w:tcPr>
            <w:tcW w:w="1162"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17</w:t>
            </w:r>
          </w:p>
        </w:tc>
        <w:tc>
          <w:tcPr>
            <w:tcW w:w="1024"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34.0</w:t>
            </w:r>
          </w:p>
        </w:tc>
        <w:tc>
          <w:tcPr>
            <w:tcW w:w="1393"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34.0</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single" w:color="000000" w:sz="16" w:space="0"/>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Total</w:t>
            </w:r>
          </w:p>
        </w:tc>
        <w:tc>
          <w:tcPr>
            <w:tcW w:w="1162" w:type="dxa"/>
            <w:tcBorders>
              <w:top w:val="nil"/>
              <w:left w:val="single" w:color="000000" w:sz="16" w:space="0"/>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50</w:t>
            </w:r>
          </w:p>
        </w:tc>
        <w:tc>
          <w:tcPr>
            <w:tcW w:w="1024" w:type="dxa"/>
            <w:tcBorders>
              <w:top w:val="nil"/>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100.0</w:t>
            </w:r>
          </w:p>
        </w:tc>
        <w:tc>
          <w:tcPr>
            <w:tcW w:w="1393" w:type="dxa"/>
            <w:tcBorders>
              <w:top w:val="nil"/>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100.0</w:t>
            </w:r>
          </w:p>
        </w:tc>
        <w:tc>
          <w:tcPr>
            <w:tcW w:w="1469" w:type="dxa"/>
            <w:tcBorders>
              <w:top w:val="nil"/>
              <w:bottom w:val="single" w:color="000000" w:sz="16" w:space="0"/>
              <w:right w:val="single" w:color="000000" w:sz="16" w:space="0"/>
            </w:tcBorders>
            <w:shd w:val="clear" w:color="auto" w:fill="FFFFFF"/>
            <w:vAlign w:val="center"/>
          </w:tcPr>
          <w:p>
            <w:pPr>
              <w:autoSpaceDE w:val="0"/>
              <w:autoSpaceDN w:val="0"/>
              <w:adjustRightInd w:val="0"/>
              <w:spacing w:after="0" w:line="240" w:lineRule="auto"/>
              <w:rPr>
                <w:rFonts w:ascii="Times New Roman" w:hAnsi="Times New Roman" w:cs="Times New Roman"/>
                <w:sz w:val="25"/>
                <w:szCs w:val="25"/>
              </w:rPr>
            </w:pPr>
          </w:p>
        </w:tc>
      </w:tr>
    </w:tbl>
    <w:p>
      <w:pPr>
        <w:spacing w:after="0"/>
        <w:jc w:val="both"/>
        <w:rPr>
          <w:rFonts w:ascii="Times New Roman" w:hAnsi="Times New Roman" w:cs="Times New Roman"/>
          <w:b/>
          <w:sz w:val="25"/>
          <w:szCs w:val="25"/>
        </w:rPr>
      </w:pPr>
      <w:r>
        <w:rPr>
          <w:rFonts w:ascii="Times New Roman" w:hAnsi="Times New Roman" w:cs="Times New Roman"/>
          <w:b/>
          <w:sz w:val="25"/>
          <w:szCs w:val="25"/>
        </w:rPr>
        <w:t>Source: SPSS Computation, 2025</w:t>
      </w:r>
    </w:p>
    <w:p>
      <w:pPr>
        <w:spacing w:after="0" w:line="480" w:lineRule="auto"/>
        <w:jc w:val="both"/>
        <w:rPr>
          <w:rFonts w:ascii="Times New Roman" w:hAnsi="Times New Roman" w:cs="Times New Roman"/>
          <w:sz w:val="25"/>
          <w:szCs w:val="25"/>
        </w:rPr>
      </w:pPr>
    </w:p>
    <w:p>
      <w:pPr>
        <w:spacing w:after="0" w:line="480" w:lineRule="auto"/>
        <w:jc w:val="both"/>
        <w:rPr>
          <w:rFonts w:ascii="Times New Roman" w:hAnsi="Times New Roman" w:cs="Times New Roman"/>
          <w:sz w:val="25"/>
          <w:szCs w:val="25"/>
        </w:rPr>
      </w:pPr>
      <w:r>
        <w:rPr>
          <w:rFonts w:ascii="Times New Roman" w:hAnsi="Times New Roman" w:cs="Times New Roman"/>
          <w:sz w:val="25"/>
          <w:szCs w:val="25"/>
        </w:rPr>
        <w:t>In table above, 15 respondents representing 30% disagreed that GHRM helps in achieving higher employee job satisfaction and commitment, 2 respondents representing 4% were neither agree nor disagree and 43 respondents representing 66% agreed on the claim. This implies that that GHRM helps in achieving higher employee job satisfaction and commitment when settled by the assertion of majorities in the claim.</w:t>
      </w:r>
    </w:p>
    <w:tbl>
      <w:tblPr>
        <w:tblStyle w:val="8"/>
        <w:tblW w:w="818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2402"/>
        <w:gridCol w:w="1162"/>
        <w:gridCol w:w="1024"/>
        <w:gridCol w:w="1393"/>
        <w:gridCol w:w="1469"/>
      </w:tblGrid>
      <w:tr>
        <w:tblPrEx>
          <w:tblLayout w:type="fixed"/>
        </w:tblPrEx>
        <w:trPr>
          <w:cantSplit/>
        </w:trPr>
        <w:tc>
          <w:tcPr>
            <w:tcW w:w="8184" w:type="dxa"/>
            <w:gridSpan w:val="6"/>
            <w:tcBorders>
              <w:top w:val="nil"/>
              <w:left w:val="nil"/>
              <w:bottom w:val="nil"/>
              <w:right w:val="nil"/>
            </w:tcBorders>
            <w:shd w:val="clear" w:color="auto" w:fill="FFFFFF"/>
            <w:vAlign w:val="center"/>
          </w:tcPr>
          <w:p>
            <w:pPr>
              <w:spacing w:after="0"/>
              <w:jc w:val="both"/>
              <w:rPr>
                <w:rFonts w:ascii="Times New Roman" w:hAnsi="Times New Roman" w:cs="Times New Roman"/>
                <w:sz w:val="25"/>
                <w:szCs w:val="25"/>
              </w:rPr>
            </w:pPr>
          </w:p>
          <w:p>
            <w:pPr>
              <w:spacing w:after="0"/>
              <w:jc w:val="both"/>
              <w:rPr>
                <w:rFonts w:ascii="Times New Roman" w:hAnsi="Times New Roman" w:cs="Times New Roman"/>
                <w:color w:val="000000"/>
                <w:sz w:val="25"/>
                <w:szCs w:val="25"/>
              </w:rPr>
            </w:pPr>
            <w:r>
              <w:rPr>
                <w:rFonts w:ascii="Times New Roman" w:hAnsi="Times New Roman" w:cs="Times New Roman"/>
                <w:sz w:val="25"/>
                <w:szCs w:val="25"/>
              </w:rPr>
              <w:t>Table 4.4.14: Encourage employees through training and compensation to reduce the use of environmental damaging materials</w:t>
            </w:r>
          </w:p>
        </w:tc>
      </w:tr>
      <w:tr>
        <w:tblPrEx>
          <w:tblLayout w:type="fixed"/>
        </w:tblPrEx>
        <w:trPr>
          <w:cantSplit/>
        </w:trPr>
        <w:tc>
          <w:tcPr>
            <w:tcW w:w="3136" w:type="dxa"/>
            <w:gridSpan w:val="2"/>
            <w:tcBorders>
              <w:top w:val="single" w:color="000000" w:sz="16" w:space="0"/>
              <w:left w:val="single" w:color="000000" w:sz="16" w:space="0"/>
              <w:bottom w:val="single" w:color="000000" w:sz="16" w:space="0"/>
              <w:right w:val="nil"/>
            </w:tcBorders>
            <w:shd w:val="clear" w:color="auto" w:fill="FFFFFF"/>
            <w:vAlign w:val="bottom"/>
          </w:tcPr>
          <w:p>
            <w:pPr>
              <w:autoSpaceDE w:val="0"/>
              <w:autoSpaceDN w:val="0"/>
              <w:adjustRightInd w:val="0"/>
              <w:spacing w:after="0" w:line="240" w:lineRule="auto"/>
              <w:rPr>
                <w:rFonts w:ascii="Times New Roman" w:hAnsi="Times New Roman" w:cs="Times New Roman"/>
                <w:sz w:val="25"/>
                <w:szCs w:val="25"/>
              </w:rPr>
            </w:pPr>
          </w:p>
        </w:tc>
        <w:tc>
          <w:tcPr>
            <w:tcW w:w="1162" w:type="dxa"/>
            <w:tcBorders>
              <w:top w:val="single" w:color="000000" w:sz="16" w:space="0"/>
              <w:left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Frequency</w:t>
            </w:r>
          </w:p>
        </w:tc>
        <w:tc>
          <w:tcPr>
            <w:tcW w:w="1024" w:type="dxa"/>
            <w:tcBorders>
              <w:top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Percent</w:t>
            </w:r>
          </w:p>
        </w:tc>
        <w:tc>
          <w:tcPr>
            <w:tcW w:w="1393" w:type="dxa"/>
            <w:tcBorders>
              <w:top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Valid Percent</w:t>
            </w:r>
          </w:p>
        </w:tc>
        <w:tc>
          <w:tcPr>
            <w:tcW w:w="1469" w:type="dxa"/>
            <w:tcBorders>
              <w:top w:val="single" w:color="000000" w:sz="16" w:space="0"/>
              <w:bottom w:val="single" w:color="000000" w:sz="16" w:space="0"/>
              <w:right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Cumulative Percent</w:t>
            </w:r>
          </w:p>
        </w:tc>
      </w:tr>
      <w:tr>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Valid</w:t>
            </w:r>
          </w:p>
        </w:tc>
        <w:tc>
          <w:tcPr>
            <w:tcW w:w="2402" w:type="dxa"/>
            <w:tcBorders>
              <w:top w:val="single" w:color="000000" w:sz="16" w:space="0"/>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STRONGLY DISAGREED</w:t>
            </w:r>
          </w:p>
        </w:tc>
        <w:tc>
          <w:tcPr>
            <w:tcW w:w="1162" w:type="dxa"/>
            <w:tcBorders>
              <w:top w:val="single" w:color="000000" w:sz="16" w:space="0"/>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7</w:t>
            </w:r>
          </w:p>
        </w:tc>
        <w:tc>
          <w:tcPr>
            <w:tcW w:w="1024" w:type="dxa"/>
            <w:tcBorders>
              <w:top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14.0</w:t>
            </w:r>
          </w:p>
        </w:tc>
        <w:tc>
          <w:tcPr>
            <w:tcW w:w="1393" w:type="dxa"/>
            <w:tcBorders>
              <w:top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14.0</w:t>
            </w:r>
          </w:p>
        </w:tc>
        <w:tc>
          <w:tcPr>
            <w:tcW w:w="1469" w:type="dxa"/>
            <w:tcBorders>
              <w:top w:val="single" w:color="000000" w:sz="16" w:space="0"/>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14.0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DISAGREED</w:t>
            </w:r>
          </w:p>
        </w:tc>
        <w:tc>
          <w:tcPr>
            <w:tcW w:w="1162"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w:t>
            </w:r>
          </w:p>
        </w:tc>
        <w:tc>
          <w:tcPr>
            <w:tcW w:w="1024"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20.0</w:t>
            </w:r>
          </w:p>
        </w:tc>
        <w:tc>
          <w:tcPr>
            <w:tcW w:w="1393"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20.0</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34.0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UNDECIDED</w:t>
            </w:r>
          </w:p>
        </w:tc>
        <w:tc>
          <w:tcPr>
            <w:tcW w:w="1162"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5</w:t>
            </w:r>
          </w:p>
        </w:tc>
        <w:tc>
          <w:tcPr>
            <w:tcW w:w="1024"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w:t>
            </w:r>
          </w:p>
        </w:tc>
        <w:tc>
          <w:tcPr>
            <w:tcW w:w="1393"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44.0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AGREED</w:t>
            </w:r>
          </w:p>
        </w:tc>
        <w:tc>
          <w:tcPr>
            <w:tcW w:w="1162"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16</w:t>
            </w:r>
          </w:p>
        </w:tc>
        <w:tc>
          <w:tcPr>
            <w:tcW w:w="1024"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32.0</w:t>
            </w:r>
          </w:p>
        </w:tc>
        <w:tc>
          <w:tcPr>
            <w:tcW w:w="1393"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32.0</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76.0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STRONGLY AGREED</w:t>
            </w:r>
          </w:p>
        </w:tc>
        <w:tc>
          <w:tcPr>
            <w:tcW w:w="1162"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12</w:t>
            </w:r>
          </w:p>
        </w:tc>
        <w:tc>
          <w:tcPr>
            <w:tcW w:w="1024"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24.0</w:t>
            </w:r>
          </w:p>
        </w:tc>
        <w:tc>
          <w:tcPr>
            <w:tcW w:w="1393"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24.0</w:t>
            </w:r>
          </w:p>
        </w:tc>
        <w:tc>
          <w:tcPr>
            <w:tcW w:w="1469" w:type="dxa"/>
            <w:tcBorders>
              <w:top w:val="nil"/>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100.0</w:t>
            </w:r>
          </w:p>
        </w:tc>
      </w:tr>
      <w:tr>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2402" w:type="dxa"/>
            <w:tcBorders>
              <w:top w:val="nil"/>
              <w:left w:val="nil"/>
              <w:bottom w:val="single" w:color="000000" w:sz="16" w:space="0"/>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Total</w:t>
            </w:r>
          </w:p>
        </w:tc>
        <w:tc>
          <w:tcPr>
            <w:tcW w:w="1162" w:type="dxa"/>
            <w:tcBorders>
              <w:top w:val="nil"/>
              <w:left w:val="single" w:color="000000" w:sz="16" w:space="0"/>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50</w:t>
            </w:r>
          </w:p>
        </w:tc>
        <w:tc>
          <w:tcPr>
            <w:tcW w:w="1024" w:type="dxa"/>
            <w:tcBorders>
              <w:top w:val="nil"/>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100.0</w:t>
            </w:r>
          </w:p>
        </w:tc>
        <w:tc>
          <w:tcPr>
            <w:tcW w:w="1393" w:type="dxa"/>
            <w:tcBorders>
              <w:top w:val="nil"/>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100.0</w:t>
            </w:r>
          </w:p>
        </w:tc>
        <w:tc>
          <w:tcPr>
            <w:tcW w:w="1469" w:type="dxa"/>
            <w:tcBorders>
              <w:top w:val="nil"/>
              <w:bottom w:val="single" w:color="000000" w:sz="16" w:space="0"/>
              <w:right w:val="single" w:color="000000" w:sz="16" w:space="0"/>
            </w:tcBorders>
            <w:shd w:val="clear" w:color="auto" w:fill="FFFFFF"/>
            <w:vAlign w:val="center"/>
          </w:tcPr>
          <w:p>
            <w:pPr>
              <w:autoSpaceDE w:val="0"/>
              <w:autoSpaceDN w:val="0"/>
              <w:adjustRightInd w:val="0"/>
              <w:spacing w:after="0" w:line="240" w:lineRule="auto"/>
              <w:rPr>
                <w:rFonts w:ascii="Times New Roman" w:hAnsi="Times New Roman" w:cs="Times New Roman"/>
                <w:sz w:val="25"/>
                <w:szCs w:val="25"/>
              </w:rPr>
            </w:pPr>
          </w:p>
        </w:tc>
      </w:tr>
    </w:tbl>
    <w:p>
      <w:pPr>
        <w:spacing w:after="0"/>
        <w:jc w:val="both"/>
        <w:rPr>
          <w:rFonts w:ascii="Times New Roman" w:hAnsi="Times New Roman" w:cs="Times New Roman"/>
          <w:b/>
          <w:sz w:val="25"/>
          <w:szCs w:val="25"/>
        </w:rPr>
      </w:pPr>
      <w:r>
        <w:rPr>
          <w:rFonts w:ascii="Times New Roman" w:hAnsi="Times New Roman" w:cs="Times New Roman"/>
          <w:b/>
          <w:sz w:val="25"/>
          <w:szCs w:val="25"/>
        </w:rPr>
        <w:t>Source: SPSS Computation, 2025</w:t>
      </w:r>
    </w:p>
    <w:p>
      <w:pPr>
        <w:spacing w:after="0" w:line="480" w:lineRule="auto"/>
        <w:jc w:val="both"/>
        <w:rPr>
          <w:rFonts w:ascii="Times New Roman" w:hAnsi="Times New Roman" w:cs="Times New Roman"/>
          <w:sz w:val="25"/>
          <w:szCs w:val="25"/>
        </w:rPr>
      </w:pPr>
    </w:p>
    <w:p>
      <w:pPr>
        <w:spacing w:after="0" w:line="480" w:lineRule="auto"/>
        <w:jc w:val="both"/>
        <w:rPr>
          <w:rFonts w:ascii="Times New Roman" w:hAnsi="Times New Roman" w:cs="Times New Roman"/>
          <w:sz w:val="25"/>
          <w:szCs w:val="25"/>
        </w:rPr>
      </w:pPr>
      <w:r>
        <w:rPr>
          <w:rFonts w:ascii="Times New Roman" w:hAnsi="Times New Roman" w:cs="Times New Roman"/>
          <w:sz w:val="25"/>
          <w:szCs w:val="25"/>
        </w:rPr>
        <w:t>In the chart above, 17 respondents (34%), disagreed that GHRM encourages employees to use less environmentally hazardous products through training and compensation, 5 respondents (10%) were neither agree nor disagree, and 28 respondents (56%), agreed on the premise. This means that GHRM encourages employees to use less environmentally harmful products through training and compensation when a suit is decided based on the majority's opinion.</w:t>
      </w:r>
    </w:p>
    <w:p>
      <w:pPr>
        <w:spacing w:after="0"/>
        <w:jc w:val="both"/>
        <w:rPr>
          <w:rFonts w:ascii="Times New Roman" w:hAnsi="Times New Roman" w:cs="Times New Roman"/>
          <w:b/>
          <w:sz w:val="25"/>
          <w:szCs w:val="25"/>
        </w:rPr>
      </w:pPr>
    </w:p>
    <w:p>
      <w:pPr>
        <w:pStyle w:val="10"/>
        <w:numPr>
          <w:ilvl w:val="1"/>
          <w:numId w:val="13"/>
        </w:numPr>
        <w:spacing w:after="0"/>
        <w:jc w:val="both"/>
        <w:rPr>
          <w:rFonts w:ascii="Times New Roman" w:hAnsi="Times New Roman" w:cs="Times New Roman"/>
          <w:b/>
          <w:sz w:val="25"/>
          <w:szCs w:val="25"/>
        </w:rPr>
      </w:pPr>
      <w:r>
        <w:rPr>
          <w:rFonts w:ascii="Times New Roman" w:hAnsi="Times New Roman" w:cs="Times New Roman"/>
          <w:b/>
          <w:sz w:val="25"/>
          <w:szCs w:val="25"/>
        </w:rPr>
        <w:t>Hypotheses Testing</w:t>
      </w:r>
    </w:p>
    <w:p>
      <w:pPr>
        <w:spacing w:after="0"/>
        <w:jc w:val="both"/>
        <w:rPr>
          <w:rFonts w:ascii="Times New Roman" w:hAnsi="Times New Roman" w:cs="Times New Roman"/>
          <w:b/>
          <w:sz w:val="25"/>
          <w:szCs w:val="25"/>
        </w:rPr>
      </w:pPr>
    </w:p>
    <w:p>
      <w:pPr>
        <w:spacing w:line="480" w:lineRule="auto"/>
        <w:jc w:val="both"/>
        <w:rPr>
          <w:rFonts w:ascii="Times New Roman" w:hAnsi="Times New Roman" w:cs="Times New Roman"/>
          <w:b/>
          <w:sz w:val="25"/>
          <w:szCs w:val="25"/>
        </w:rPr>
      </w:pPr>
      <w:r>
        <w:rPr>
          <w:rFonts w:ascii="Times New Roman" w:hAnsi="Times New Roman" w:cs="Times New Roman"/>
          <w:b/>
          <w:sz w:val="25"/>
          <w:szCs w:val="25"/>
        </w:rPr>
        <w:t>H</w:t>
      </w:r>
      <w:r>
        <w:rPr>
          <w:rFonts w:ascii="Times New Roman" w:hAnsi="Times New Roman" w:cs="Times New Roman"/>
          <w:b/>
          <w:sz w:val="25"/>
          <w:szCs w:val="25"/>
          <w:vertAlign w:val="subscript"/>
        </w:rPr>
        <w:t>01</w:t>
      </w:r>
      <w:r>
        <w:rPr>
          <w:rFonts w:ascii="Times New Roman" w:hAnsi="Times New Roman" w:cs="Times New Roman"/>
          <w:b/>
          <w:sz w:val="25"/>
          <w:szCs w:val="25"/>
        </w:rPr>
        <w:t>: GHRM practices does not have any influence on the organizational effectiveness of GTB</w:t>
      </w:r>
    </w:p>
    <w:tbl>
      <w:tblPr>
        <w:tblStyle w:val="8"/>
        <w:tblW w:w="584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95"/>
        <w:gridCol w:w="1024"/>
        <w:gridCol w:w="1086"/>
        <w:gridCol w:w="1469"/>
        <w:gridCol w:w="1469"/>
      </w:tblGrid>
      <w:tr>
        <w:tblPrEx>
          <w:tblLayout w:type="fixed"/>
        </w:tblPrEx>
        <w:trPr>
          <w:cantSplit/>
        </w:trPr>
        <w:tc>
          <w:tcPr>
            <w:tcW w:w="5843" w:type="dxa"/>
            <w:gridSpan w:val="5"/>
            <w:tcBorders>
              <w:top w:val="nil"/>
              <w:left w:val="nil"/>
              <w:bottom w:val="nil"/>
              <w:right w:val="nil"/>
            </w:tcBorders>
            <w:shd w:val="clear" w:color="auto" w:fill="FFFFFF"/>
            <w:vAlign w:val="center"/>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b/>
                <w:sz w:val="25"/>
                <w:szCs w:val="25"/>
              </w:rPr>
              <w:t xml:space="preserve">Table 4.5.1: </w:t>
            </w:r>
            <w:r>
              <w:rPr>
                <w:rFonts w:ascii="Times New Roman" w:hAnsi="Times New Roman" w:cs="Times New Roman"/>
                <w:b/>
                <w:bCs/>
                <w:color w:val="000000"/>
                <w:sz w:val="25"/>
                <w:szCs w:val="25"/>
              </w:rPr>
              <w:t>Model Summary</w:t>
            </w:r>
          </w:p>
        </w:tc>
      </w:tr>
      <w:tr>
        <w:tblPrEx>
          <w:tblLayout w:type="fixed"/>
        </w:tblPrEx>
        <w:trPr>
          <w:cantSplit/>
        </w:trPr>
        <w:tc>
          <w:tcPr>
            <w:tcW w:w="795" w:type="dxa"/>
            <w:tcBorders>
              <w:top w:val="single" w:color="000000" w:sz="16" w:space="0"/>
              <w:left w:val="single" w:color="000000" w:sz="16" w:space="0"/>
              <w:bottom w:val="single" w:color="000000" w:sz="16" w:space="0"/>
              <w:right w:val="single" w:color="000000" w:sz="16" w:space="0"/>
            </w:tcBorders>
            <w:shd w:val="clear" w:color="auto" w:fill="FFFFFF"/>
            <w:vAlign w:val="bottom"/>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Model</w:t>
            </w:r>
          </w:p>
        </w:tc>
        <w:tc>
          <w:tcPr>
            <w:tcW w:w="1024" w:type="dxa"/>
            <w:tcBorders>
              <w:top w:val="single" w:color="000000" w:sz="16" w:space="0"/>
              <w:left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R</w:t>
            </w:r>
          </w:p>
        </w:tc>
        <w:tc>
          <w:tcPr>
            <w:tcW w:w="1086" w:type="dxa"/>
            <w:tcBorders>
              <w:top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R Square</w:t>
            </w:r>
          </w:p>
        </w:tc>
        <w:tc>
          <w:tcPr>
            <w:tcW w:w="1469" w:type="dxa"/>
            <w:tcBorders>
              <w:top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Adjusted R Square</w:t>
            </w:r>
          </w:p>
        </w:tc>
        <w:tc>
          <w:tcPr>
            <w:tcW w:w="1469" w:type="dxa"/>
            <w:tcBorders>
              <w:top w:val="single" w:color="000000" w:sz="16" w:space="0"/>
              <w:bottom w:val="single" w:color="000000" w:sz="16" w:space="0"/>
              <w:right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Std. Error of the Estimate</w:t>
            </w:r>
          </w:p>
        </w:tc>
      </w:tr>
      <w:tr>
        <w:tblPrEx>
          <w:tblLayout w:type="fixed"/>
        </w:tblPrEx>
        <w:trPr>
          <w:cantSplit/>
        </w:trPr>
        <w:tc>
          <w:tcPr>
            <w:tcW w:w="795" w:type="dxa"/>
            <w:tcBorders>
              <w:top w:val="single" w:color="000000" w:sz="16" w:space="0"/>
              <w:left w:val="single" w:color="000000" w:sz="16" w:space="0"/>
              <w:bottom w:val="single" w:color="000000" w:sz="16" w:space="0"/>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1</w:t>
            </w:r>
          </w:p>
        </w:tc>
        <w:tc>
          <w:tcPr>
            <w:tcW w:w="1024" w:type="dxa"/>
            <w:tcBorders>
              <w:top w:val="single" w:color="000000" w:sz="16" w:space="0"/>
              <w:left w:val="single" w:color="000000" w:sz="16" w:space="0"/>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.663</w:t>
            </w:r>
            <w:r>
              <w:rPr>
                <w:rFonts w:ascii="Times New Roman" w:hAnsi="Times New Roman" w:cs="Times New Roman"/>
                <w:color w:val="000000"/>
                <w:sz w:val="25"/>
                <w:szCs w:val="25"/>
                <w:vertAlign w:val="superscript"/>
              </w:rPr>
              <w:t>a</w:t>
            </w:r>
          </w:p>
        </w:tc>
        <w:tc>
          <w:tcPr>
            <w:tcW w:w="1086" w:type="dxa"/>
            <w:tcBorders>
              <w:top w:val="single" w:color="000000" w:sz="16" w:space="0"/>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.440</w:t>
            </w:r>
          </w:p>
        </w:tc>
        <w:tc>
          <w:tcPr>
            <w:tcW w:w="1469" w:type="dxa"/>
            <w:tcBorders>
              <w:top w:val="single" w:color="000000" w:sz="16" w:space="0"/>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.439</w:t>
            </w:r>
          </w:p>
        </w:tc>
        <w:tc>
          <w:tcPr>
            <w:tcW w:w="1469" w:type="dxa"/>
            <w:tcBorders>
              <w:top w:val="single" w:color="000000" w:sz="16" w:space="0"/>
              <w:bottom w:val="single" w:color="000000" w:sz="16" w:space="0"/>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.57610</w:t>
            </w:r>
          </w:p>
        </w:tc>
      </w:tr>
      <w:tr>
        <w:tblPrEx>
          <w:tblLayout w:type="fixed"/>
        </w:tblPrEx>
        <w:trPr>
          <w:cantSplit/>
        </w:trPr>
        <w:tc>
          <w:tcPr>
            <w:tcW w:w="5843" w:type="dxa"/>
            <w:gridSpan w:val="5"/>
            <w:tcBorders>
              <w:top w:val="nil"/>
              <w:left w:val="nil"/>
              <w:bottom w:val="nil"/>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a. Predictors: (Constant), GHRM (Performance MGT Appraisal)</w:t>
            </w:r>
          </w:p>
        </w:tc>
      </w:tr>
    </w:tbl>
    <w:p>
      <w:pPr>
        <w:autoSpaceDE w:val="0"/>
        <w:autoSpaceDN w:val="0"/>
        <w:adjustRightInd w:val="0"/>
        <w:spacing w:after="0" w:line="400" w:lineRule="atLeast"/>
        <w:rPr>
          <w:rFonts w:ascii="Times New Roman" w:hAnsi="Times New Roman" w:cs="Times New Roman"/>
          <w:sz w:val="25"/>
          <w:szCs w:val="25"/>
        </w:rPr>
      </w:pPr>
    </w:p>
    <w:p>
      <w:pPr>
        <w:spacing w:line="480" w:lineRule="auto"/>
        <w:jc w:val="both"/>
        <w:rPr>
          <w:rFonts w:ascii="Times New Roman" w:hAnsi="Times New Roman" w:cs="Times New Roman"/>
          <w:sz w:val="25"/>
          <w:szCs w:val="25"/>
        </w:rPr>
      </w:pPr>
      <w:r>
        <w:rPr>
          <w:rFonts w:ascii="Times New Roman" w:hAnsi="Times New Roman" w:cs="Times New Roman"/>
          <w:sz w:val="25"/>
          <w:szCs w:val="25"/>
        </w:rPr>
        <w:t>The analysis conducted was a simple linear regression to examine the relationship between GHRM (proxied by Performance Management Appraisal) and Organizational Effectiveness. The model summary indicates that the correlation coefficient (R) is 0.663. The adjusted R-square is 0.439, which is very close to the R-square value of 0.440. This suggests that if the model were derived from the entire population rather than a sample, it would account for approximately 0.1% less variance in the outcome.</w:t>
      </w:r>
    </w:p>
    <w:p>
      <w:pPr>
        <w:spacing w:line="480" w:lineRule="auto"/>
        <w:jc w:val="both"/>
        <w:rPr>
          <w:rFonts w:ascii="Times New Roman" w:hAnsi="Times New Roman" w:cs="Times New Roman"/>
          <w:sz w:val="25"/>
          <w:szCs w:val="25"/>
        </w:rPr>
      </w:pPr>
      <w:r>
        <w:rPr>
          <w:rFonts w:ascii="Times New Roman" w:hAnsi="Times New Roman" w:cs="Times New Roman"/>
          <w:sz w:val="25"/>
          <w:szCs w:val="25"/>
        </w:rPr>
        <w:t>Based on these results, it can be concluded that GHRM (proxied by Performance Management Appraisal) explains about 44% of the improvement in organizational effectiveness. The remaining 56% is likely influenced by other factors not included in the model, such as the GHRM environment, training and development, compensation, recruitment and selection, and so on.</w:t>
      </w:r>
    </w:p>
    <w:p>
      <w:pPr>
        <w:spacing w:line="480" w:lineRule="auto"/>
        <w:jc w:val="both"/>
        <w:rPr>
          <w:rFonts w:ascii="Times New Roman" w:hAnsi="Times New Roman" w:cs="Times New Roman"/>
          <w:sz w:val="25"/>
          <w:szCs w:val="25"/>
        </w:rPr>
      </w:pPr>
      <w:r>
        <w:rPr>
          <w:rFonts w:ascii="Times New Roman" w:hAnsi="Times New Roman" w:cs="Times New Roman"/>
          <w:sz w:val="25"/>
          <w:szCs w:val="25"/>
        </w:rPr>
        <w:t>It's important to note that these findings are specific to the selected bank and may not be generalizable to other organizations or contexts. Additionally, the limitations of the regression analysis and the specific variables included in the model should be considered when interpreting the results.</w:t>
      </w:r>
    </w:p>
    <w:tbl>
      <w:tblPr>
        <w:tblStyle w:val="8"/>
        <w:tblW w:w="796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3"/>
        <w:gridCol w:w="1284"/>
        <w:gridCol w:w="1469"/>
        <w:gridCol w:w="1025"/>
        <w:gridCol w:w="1408"/>
        <w:gridCol w:w="1025"/>
        <w:gridCol w:w="1025"/>
      </w:tblGrid>
      <w:tr>
        <w:tblPrEx>
          <w:tblLayout w:type="fixed"/>
        </w:tblPrEx>
        <w:trPr>
          <w:cantSplit/>
        </w:trPr>
        <w:tc>
          <w:tcPr>
            <w:tcW w:w="7969" w:type="dxa"/>
            <w:gridSpan w:val="7"/>
            <w:tcBorders>
              <w:top w:val="nil"/>
              <w:left w:val="nil"/>
              <w:bottom w:val="nil"/>
              <w:right w:val="nil"/>
            </w:tcBorders>
            <w:shd w:val="clear" w:color="auto" w:fill="FFFFFF"/>
            <w:vAlign w:val="center"/>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b/>
                <w:sz w:val="25"/>
                <w:szCs w:val="25"/>
              </w:rPr>
              <w:t xml:space="preserve">Table 4.5.2: </w:t>
            </w:r>
            <w:r>
              <w:rPr>
                <w:rFonts w:ascii="Times New Roman" w:hAnsi="Times New Roman" w:cs="Times New Roman"/>
                <w:b/>
                <w:bCs/>
                <w:color w:val="000000"/>
                <w:sz w:val="25"/>
                <w:szCs w:val="25"/>
              </w:rPr>
              <w:t>ANOVA</w:t>
            </w:r>
            <w:r>
              <w:rPr>
                <w:rFonts w:ascii="Times New Roman" w:hAnsi="Times New Roman" w:cs="Times New Roman"/>
                <w:b/>
                <w:bCs/>
                <w:color w:val="000000"/>
                <w:sz w:val="25"/>
                <w:szCs w:val="25"/>
                <w:vertAlign w:val="superscript"/>
              </w:rPr>
              <w:t>a</w:t>
            </w:r>
          </w:p>
        </w:tc>
      </w:tr>
      <w:tr>
        <w:tblPrEx>
          <w:tblLayout w:type="fixed"/>
        </w:tblPrEx>
        <w:trPr>
          <w:cantSplit/>
        </w:trPr>
        <w:tc>
          <w:tcPr>
            <w:tcW w:w="2017" w:type="dxa"/>
            <w:gridSpan w:val="2"/>
            <w:tcBorders>
              <w:top w:val="single" w:color="000000" w:sz="16" w:space="0"/>
              <w:left w:val="single" w:color="000000" w:sz="16" w:space="0"/>
              <w:bottom w:val="single" w:color="000000" w:sz="16" w:space="0"/>
              <w:right w:val="nil"/>
            </w:tcBorders>
            <w:shd w:val="clear" w:color="auto" w:fill="FFFFFF"/>
            <w:vAlign w:val="bottom"/>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Model</w:t>
            </w:r>
          </w:p>
        </w:tc>
        <w:tc>
          <w:tcPr>
            <w:tcW w:w="1469" w:type="dxa"/>
            <w:tcBorders>
              <w:top w:val="single" w:color="000000" w:sz="16" w:space="0"/>
              <w:left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Sum of Squares</w:t>
            </w:r>
          </w:p>
        </w:tc>
        <w:tc>
          <w:tcPr>
            <w:tcW w:w="1025" w:type="dxa"/>
            <w:tcBorders>
              <w:top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df</w:t>
            </w:r>
          </w:p>
        </w:tc>
        <w:tc>
          <w:tcPr>
            <w:tcW w:w="1408" w:type="dxa"/>
            <w:tcBorders>
              <w:top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Mean Square</w:t>
            </w:r>
          </w:p>
        </w:tc>
        <w:tc>
          <w:tcPr>
            <w:tcW w:w="1025" w:type="dxa"/>
            <w:tcBorders>
              <w:top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F</w:t>
            </w:r>
          </w:p>
        </w:tc>
        <w:tc>
          <w:tcPr>
            <w:tcW w:w="1025" w:type="dxa"/>
            <w:tcBorders>
              <w:top w:val="single" w:color="000000" w:sz="16" w:space="0"/>
              <w:bottom w:val="single" w:color="000000" w:sz="16" w:space="0"/>
              <w:right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Sig.</w:t>
            </w:r>
          </w:p>
        </w:tc>
      </w:tr>
      <w:tr>
        <w:tblPrEx>
          <w:tblLayout w:type="fixed"/>
        </w:tblPrEx>
        <w:trPr>
          <w:cantSplit/>
        </w:trPr>
        <w:tc>
          <w:tcPr>
            <w:tcW w:w="733" w:type="dxa"/>
            <w:vMerge w:val="restart"/>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1</w:t>
            </w:r>
          </w:p>
        </w:tc>
        <w:tc>
          <w:tcPr>
            <w:tcW w:w="1284" w:type="dxa"/>
            <w:tcBorders>
              <w:top w:val="single" w:color="000000" w:sz="16" w:space="0"/>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Regression</w:t>
            </w:r>
          </w:p>
        </w:tc>
        <w:tc>
          <w:tcPr>
            <w:tcW w:w="1469" w:type="dxa"/>
            <w:tcBorders>
              <w:top w:val="single" w:color="000000" w:sz="16" w:space="0"/>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24.360</w:t>
            </w:r>
          </w:p>
        </w:tc>
        <w:tc>
          <w:tcPr>
            <w:tcW w:w="1025" w:type="dxa"/>
            <w:tcBorders>
              <w:top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w:t>
            </w:r>
          </w:p>
        </w:tc>
        <w:tc>
          <w:tcPr>
            <w:tcW w:w="1408" w:type="dxa"/>
            <w:tcBorders>
              <w:top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24.360</w:t>
            </w:r>
          </w:p>
        </w:tc>
        <w:tc>
          <w:tcPr>
            <w:tcW w:w="1025" w:type="dxa"/>
            <w:tcBorders>
              <w:top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37.768</w:t>
            </w:r>
          </w:p>
        </w:tc>
        <w:tc>
          <w:tcPr>
            <w:tcW w:w="1025" w:type="dxa"/>
            <w:tcBorders>
              <w:top w:val="single" w:color="000000" w:sz="16" w:space="0"/>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.000</w:t>
            </w:r>
            <w:r>
              <w:rPr>
                <w:rFonts w:ascii="Times New Roman" w:hAnsi="Times New Roman" w:cs="Times New Roman"/>
                <w:color w:val="000000"/>
                <w:sz w:val="25"/>
                <w:szCs w:val="25"/>
                <w:vertAlign w:val="superscript"/>
              </w:rPr>
              <w:t>b</w:t>
            </w:r>
          </w:p>
        </w:tc>
      </w:tr>
      <w:tr>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1284" w:type="dxa"/>
            <w:tcBorders>
              <w:top w:val="nil"/>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Residual</w:t>
            </w:r>
          </w:p>
        </w:tc>
        <w:tc>
          <w:tcPr>
            <w:tcW w:w="1469" w:type="dxa"/>
            <w:tcBorders>
              <w:top w:val="nil"/>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30.978</w:t>
            </w:r>
          </w:p>
        </w:tc>
        <w:tc>
          <w:tcPr>
            <w:tcW w:w="1025"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48</w:t>
            </w:r>
          </w:p>
        </w:tc>
        <w:tc>
          <w:tcPr>
            <w:tcW w:w="1408" w:type="dxa"/>
            <w:tcBorders>
              <w:top w:val="nil"/>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.645</w:t>
            </w:r>
          </w:p>
        </w:tc>
        <w:tc>
          <w:tcPr>
            <w:tcW w:w="1025" w:type="dxa"/>
            <w:tcBorders>
              <w:top w:val="nil"/>
              <w:bottom w:val="nil"/>
            </w:tcBorders>
            <w:shd w:val="clear" w:color="auto" w:fill="FFFFFF"/>
            <w:vAlign w:val="center"/>
          </w:tcPr>
          <w:p>
            <w:pPr>
              <w:autoSpaceDE w:val="0"/>
              <w:autoSpaceDN w:val="0"/>
              <w:adjustRightInd w:val="0"/>
              <w:spacing w:after="0" w:line="240" w:lineRule="auto"/>
              <w:rPr>
                <w:rFonts w:ascii="Times New Roman" w:hAnsi="Times New Roman" w:cs="Times New Roman"/>
                <w:sz w:val="25"/>
                <w:szCs w:val="25"/>
              </w:rPr>
            </w:pPr>
          </w:p>
        </w:tc>
        <w:tc>
          <w:tcPr>
            <w:tcW w:w="1025" w:type="dxa"/>
            <w:tcBorders>
              <w:top w:val="nil"/>
              <w:bottom w:val="nil"/>
              <w:right w:val="single" w:color="000000" w:sz="16" w:space="0"/>
            </w:tcBorders>
            <w:shd w:val="clear" w:color="auto" w:fill="FFFFFF"/>
            <w:vAlign w:val="center"/>
          </w:tcPr>
          <w:p>
            <w:pPr>
              <w:autoSpaceDE w:val="0"/>
              <w:autoSpaceDN w:val="0"/>
              <w:adjustRightInd w:val="0"/>
              <w:spacing w:after="0" w:line="240" w:lineRule="auto"/>
              <w:rPr>
                <w:rFonts w:ascii="Times New Roman" w:hAnsi="Times New Roman" w:cs="Times New Roman"/>
                <w:sz w:val="25"/>
                <w:szCs w:val="25"/>
              </w:rPr>
            </w:pPr>
          </w:p>
        </w:tc>
      </w:tr>
      <w:tr>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sz w:val="25"/>
                <w:szCs w:val="25"/>
              </w:rPr>
            </w:pPr>
          </w:p>
        </w:tc>
        <w:tc>
          <w:tcPr>
            <w:tcW w:w="1284" w:type="dxa"/>
            <w:tcBorders>
              <w:top w:val="nil"/>
              <w:left w:val="nil"/>
              <w:bottom w:val="single" w:color="000000" w:sz="16" w:space="0"/>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Total</w:t>
            </w:r>
          </w:p>
        </w:tc>
        <w:tc>
          <w:tcPr>
            <w:tcW w:w="1469" w:type="dxa"/>
            <w:tcBorders>
              <w:top w:val="nil"/>
              <w:left w:val="single" w:color="000000" w:sz="16" w:space="0"/>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55.338</w:t>
            </w:r>
          </w:p>
        </w:tc>
        <w:tc>
          <w:tcPr>
            <w:tcW w:w="1025" w:type="dxa"/>
            <w:tcBorders>
              <w:top w:val="nil"/>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49</w:t>
            </w:r>
          </w:p>
        </w:tc>
        <w:tc>
          <w:tcPr>
            <w:tcW w:w="1408" w:type="dxa"/>
            <w:tcBorders>
              <w:top w:val="nil"/>
              <w:bottom w:val="single" w:color="000000" w:sz="16" w:space="0"/>
            </w:tcBorders>
            <w:shd w:val="clear" w:color="auto" w:fill="FFFFFF"/>
            <w:vAlign w:val="center"/>
          </w:tcPr>
          <w:p>
            <w:pPr>
              <w:autoSpaceDE w:val="0"/>
              <w:autoSpaceDN w:val="0"/>
              <w:adjustRightInd w:val="0"/>
              <w:spacing w:after="0" w:line="240" w:lineRule="auto"/>
              <w:rPr>
                <w:rFonts w:ascii="Times New Roman" w:hAnsi="Times New Roman" w:cs="Times New Roman"/>
                <w:sz w:val="25"/>
                <w:szCs w:val="25"/>
              </w:rPr>
            </w:pPr>
          </w:p>
        </w:tc>
        <w:tc>
          <w:tcPr>
            <w:tcW w:w="1025" w:type="dxa"/>
            <w:tcBorders>
              <w:top w:val="nil"/>
              <w:bottom w:val="single" w:color="000000" w:sz="16" w:space="0"/>
            </w:tcBorders>
            <w:shd w:val="clear" w:color="auto" w:fill="FFFFFF"/>
            <w:vAlign w:val="center"/>
          </w:tcPr>
          <w:p>
            <w:pPr>
              <w:autoSpaceDE w:val="0"/>
              <w:autoSpaceDN w:val="0"/>
              <w:adjustRightInd w:val="0"/>
              <w:spacing w:after="0" w:line="240" w:lineRule="auto"/>
              <w:rPr>
                <w:rFonts w:ascii="Times New Roman" w:hAnsi="Times New Roman" w:cs="Times New Roman"/>
                <w:sz w:val="25"/>
                <w:szCs w:val="25"/>
              </w:rPr>
            </w:pPr>
          </w:p>
        </w:tc>
        <w:tc>
          <w:tcPr>
            <w:tcW w:w="1025" w:type="dxa"/>
            <w:tcBorders>
              <w:top w:val="nil"/>
              <w:bottom w:val="single" w:color="000000" w:sz="16" w:space="0"/>
              <w:right w:val="single" w:color="000000" w:sz="16" w:space="0"/>
            </w:tcBorders>
            <w:shd w:val="clear" w:color="auto" w:fill="FFFFFF"/>
            <w:vAlign w:val="center"/>
          </w:tcPr>
          <w:p>
            <w:pPr>
              <w:autoSpaceDE w:val="0"/>
              <w:autoSpaceDN w:val="0"/>
              <w:adjustRightInd w:val="0"/>
              <w:spacing w:after="0" w:line="240" w:lineRule="auto"/>
              <w:rPr>
                <w:rFonts w:ascii="Times New Roman" w:hAnsi="Times New Roman" w:cs="Times New Roman"/>
                <w:sz w:val="25"/>
                <w:szCs w:val="25"/>
              </w:rPr>
            </w:pPr>
          </w:p>
        </w:tc>
      </w:tr>
      <w:tr>
        <w:tblPrEx>
          <w:tblLayout w:type="fixed"/>
        </w:tblPrEx>
        <w:trPr>
          <w:cantSplit/>
        </w:trPr>
        <w:tc>
          <w:tcPr>
            <w:tcW w:w="7969" w:type="dxa"/>
            <w:gridSpan w:val="7"/>
            <w:tcBorders>
              <w:top w:val="nil"/>
              <w:left w:val="nil"/>
              <w:bottom w:val="nil"/>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a. Dependent Variable: Organizational Effectiveness</w:t>
            </w:r>
          </w:p>
        </w:tc>
      </w:tr>
      <w:tr>
        <w:tblPrEx>
          <w:tblLayout w:type="fixed"/>
        </w:tblPrEx>
        <w:trPr>
          <w:cantSplit/>
        </w:trPr>
        <w:tc>
          <w:tcPr>
            <w:tcW w:w="7969" w:type="dxa"/>
            <w:gridSpan w:val="7"/>
            <w:tcBorders>
              <w:top w:val="nil"/>
              <w:left w:val="nil"/>
              <w:bottom w:val="nil"/>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b. Predictors: (Constant), GHRM (Performance MGT Appraisal)</w:t>
            </w:r>
          </w:p>
        </w:tc>
      </w:tr>
    </w:tbl>
    <w:p>
      <w:pPr>
        <w:autoSpaceDE w:val="0"/>
        <w:autoSpaceDN w:val="0"/>
        <w:adjustRightInd w:val="0"/>
        <w:spacing w:after="0" w:line="400" w:lineRule="atLeast"/>
        <w:rPr>
          <w:rFonts w:ascii="Times New Roman" w:hAnsi="Times New Roman" w:cs="Times New Roman"/>
          <w:sz w:val="25"/>
          <w:szCs w:val="25"/>
        </w:rPr>
      </w:pPr>
    </w:p>
    <w:p>
      <w:pPr>
        <w:tabs>
          <w:tab w:val="left" w:pos="4107"/>
        </w:tabs>
        <w:spacing w:line="480" w:lineRule="auto"/>
        <w:jc w:val="both"/>
        <w:rPr>
          <w:rFonts w:ascii="Times New Roman" w:hAnsi="Times New Roman" w:cs="Times New Roman"/>
          <w:sz w:val="25"/>
          <w:szCs w:val="25"/>
        </w:rPr>
      </w:pPr>
      <w:r>
        <w:rPr>
          <w:rFonts w:ascii="Times New Roman" w:hAnsi="Times New Roman" w:cs="Times New Roman"/>
          <w:sz w:val="25"/>
          <w:szCs w:val="25"/>
        </w:rPr>
        <w:t>ANOVA was used to assess whether the model, compared to mean ranking, significantly improved the prediction of organizational efficiency. The F-ratio (37.768) measures the improvement in prediction resulting from model fitting. The regression sum of square value divided by the total sum of square yielded an R2 value of 0.440, indicating a substantial association and improved forecasting capacity of GHRM in relation to organizational efficiency. The p-value (0.000) is less than the significance level of 0.05, suggesting a direct, positive association between the independent variable (GHRM) and the dependent variable (Organizational Effectiveness). Therefore, it is hypothesized that there is a significant association between GHRM and organizational effectiveness at a 5% level of significance..</w:t>
      </w:r>
    </w:p>
    <w:tbl>
      <w:tblPr>
        <w:tblStyle w:val="8"/>
        <w:tblW w:w="828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3"/>
        <w:gridCol w:w="2507"/>
        <w:gridCol w:w="900"/>
        <w:gridCol w:w="900"/>
        <w:gridCol w:w="1530"/>
        <w:gridCol w:w="900"/>
        <w:gridCol w:w="810"/>
      </w:tblGrid>
      <w:tr>
        <w:tblPrEx>
          <w:tblLayout w:type="fixed"/>
        </w:tblPrEx>
        <w:trPr>
          <w:cantSplit/>
        </w:trPr>
        <w:tc>
          <w:tcPr>
            <w:tcW w:w="8280" w:type="dxa"/>
            <w:gridSpan w:val="7"/>
            <w:tcBorders>
              <w:top w:val="nil"/>
              <w:left w:val="nil"/>
              <w:bottom w:val="nil"/>
              <w:right w:val="nil"/>
            </w:tcBorders>
            <w:shd w:val="clear" w:color="auto" w:fill="FFFFFF"/>
            <w:vAlign w:val="center"/>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b/>
                <w:sz w:val="25"/>
                <w:szCs w:val="25"/>
              </w:rPr>
              <w:t xml:space="preserve">Table 4.5.3: </w:t>
            </w:r>
            <w:r>
              <w:rPr>
                <w:rFonts w:ascii="Times New Roman" w:hAnsi="Times New Roman" w:cs="Times New Roman"/>
                <w:b/>
                <w:bCs/>
                <w:color w:val="000000"/>
                <w:sz w:val="25"/>
                <w:szCs w:val="25"/>
              </w:rPr>
              <w:t xml:space="preserve">Regression </w:t>
            </w:r>
            <w:r>
              <w:rPr>
                <w:rFonts w:ascii="Times New Roman" w:hAnsi="Times New Roman" w:cs="Times New Roman"/>
                <w:b/>
                <w:bCs/>
                <w:color w:val="000000"/>
                <w:sz w:val="25"/>
                <w:szCs w:val="25"/>
              </w:rPr>
              <w:t>Coefficients</w:t>
            </w:r>
            <w:r>
              <w:rPr>
                <w:rFonts w:ascii="Times New Roman" w:hAnsi="Times New Roman" w:cs="Times New Roman"/>
                <w:b/>
                <w:bCs/>
                <w:color w:val="000000"/>
                <w:sz w:val="25"/>
                <w:szCs w:val="25"/>
                <w:vertAlign w:val="superscript"/>
              </w:rPr>
              <w:t>a</w:t>
            </w:r>
          </w:p>
        </w:tc>
      </w:tr>
      <w:tr>
        <w:tblPrEx>
          <w:tblLayout w:type="fixed"/>
        </w:tblPrEx>
        <w:trPr>
          <w:cantSplit/>
        </w:trPr>
        <w:tc>
          <w:tcPr>
            <w:tcW w:w="3240" w:type="dxa"/>
            <w:gridSpan w:val="2"/>
            <w:vMerge w:val="restart"/>
            <w:tcBorders>
              <w:top w:val="single" w:color="000000" w:sz="16" w:space="0"/>
              <w:left w:val="single" w:color="000000" w:sz="16" w:space="0"/>
              <w:bottom w:val="nil"/>
              <w:right w:val="nil"/>
            </w:tcBorders>
            <w:shd w:val="clear" w:color="auto" w:fill="FFFFFF"/>
            <w:vAlign w:val="bottom"/>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Model</w:t>
            </w:r>
          </w:p>
        </w:tc>
        <w:tc>
          <w:tcPr>
            <w:tcW w:w="1800" w:type="dxa"/>
            <w:gridSpan w:val="2"/>
            <w:tcBorders>
              <w:top w:val="single" w:color="000000" w:sz="16" w:space="0"/>
              <w:left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Unstandardized Coefficients</w:t>
            </w:r>
          </w:p>
        </w:tc>
        <w:tc>
          <w:tcPr>
            <w:tcW w:w="1530" w:type="dxa"/>
            <w:tcBorders>
              <w:top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Standardized Coefficients</w:t>
            </w:r>
          </w:p>
        </w:tc>
        <w:tc>
          <w:tcPr>
            <w:tcW w:w="900" w:type="dxa"/>
            <w:vMerge w:val="restart"/>
            <w:tcBorders>
              <w:top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t</w:t>
            </w:r>
          </w:p>
        </w:tc>
        <w:tc>
          <w:tcPr>
            <w:tcW w:w="810" w:type="dxa"/>
            <w:vMerge w:val="restart"/>
            <w:tcBorders>
              <w:top w:val="single" w:color="000000" w:sz="16" w:space="0"/>
              <w:right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Sig.</w:t>
            </w:r>
          </w:p>
        </w:tc>
      </w:tr>
      <w:tr>
        <w:tblPrEx>
          <w:tblLayout w:type="fixed"/>
        </w:tblPrEx>
        <w:trPr>
          <w:cantSplit/>
        </w:trPr>
        <w:tc>
          <w:tcPr>
            <w:tcW w:w="3240" w:type="dxa"/>
            <w:gridSpan w:val="2"/>
            <w:vMerge w:val="continue"/>
            <w:tcBorders>
              <w:top w:val="single" w:color="000000" w:sz="16" w:space="0"/>
              <w:left w:val="single" w:color="000000" w:sz="16" w:space="0"/>
              <w:bottom w:val="nil"/>
              <w:right w:val="nil"/>
            </w:tcBorders>
            <w:shd w:val="clear" w:color="auto" w:fill="FFFFFF"/>
            <w:vAlign w:val="bottom"/>
          </w:tcPr>
          <w:p>
            <w:pPr>
              <w:autoSpaceDE w:val="0"/>
              <w:autoSpaceDN w:val="0"/>
              <w:adjustRightInd w:val="0"/>
              <w:spacing w:after="0" w:line="240" w:lineRule="auto"/>
              <w:rPr>
                <w:rFonts w:ascii="Times New Roman" w:hAnsi="Times New Roman" w:cs="Times New Roman"/>
                <w:color w:val="000000"/>
                <w:sz w:val="25"/>
                <w:szCs w:val="25"/>
              </w:rPr>
            </w:pPr>
          </w:p>
        </w:tc>
        <w:tc>
          <w:tcPr>
            <w:tcW w:w="900" w:type="dxa"/>
            <w:tcBorders>
              <w:left w:val="single" w:color="000000" w:sz="16" w:space="0"/>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B</w:t>
            </w:r>
          </w:p>
        </w:tc>
        <w:tc>
          <w:tcPr>
            <w:tcW w:w="900" w:type="dxa"/>
            <w:tcBorders>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Std. Error</w:t>
            </w:r>
          </w:p>
        </w:tc>
        <w:tc>
          <w:tcPr>
            <w:tcW w:w="1530" w:type="dxa"/>
            <w:tcBorders>
              <w:bottom w:val="single" w:color="000000" w:sz="16" w:space="0"/>
            </w:tcBorders>
            <w:shd w:val="clear" w:color="auto" w:fill="FFFFFF"/>
            <w:vAlign w:val="bottom"/>
          </w:tcPr>
          <w:p>
            <w:pPr>
              <w:autoSpaceDE w:val="0"/>
              <w:autoSpaceDN w:val="0"/>
              <w:adjustRightInd w:val="0"/>
              <w:spacing w:after="0" w:line="320" w:lineRule="atLeast"/>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Beta</w:t>
            </w:r>
          </w:p>
        </w:tc>
        <w:tc>
          <w:tcPr>
            <w:tcW w:w="900" w:type="dxa"/>
            <w:vMerge w:val="continue"/>
            <w:tcBorders>
              <w:top w:val="single" w:color="000000" w:sz="16" w:space="0"/>
            </w:tcBorders>
            <w:shd w:val="clear" w:color="auto" w:fill="FFFFFF"/>
            <w:vAlign w:val="bottom"/>
          </w:tcPr>
          <w:p>
            <w:pPr>
              <w:autoSpaceDE w:val="0"/>
              <w:autoSpaceDN w:val="0"/>
              <w:adjustRightInd w:val="0"/>
              <w:spacing w:after="0" w:line="240" w:lineRule="auto"/>
              <w:rPr>
                <w:rFonts w:ascii="Times New Roman" w:hAnsi="Times New Roman" w:cs="Times New Roman"/>
                <w:color w:val="000000"/>
                <w:sz w:val="25"/>
                <w:szCs w:val="25"/>
              </w:rPr>
            </w:pPr>
          </w:p>
        </w:tc>
        <w:tc>
          <w:tcPr>
            <w:tcW w:w="810" w:type="dxa"/>
            <w:vMerge w:val="continue"/>
            <w:tcBorders>
              <w:top w:val="single" w:color="000000" w:sz="16" w:space="0"/>
              <w:right w:val="single" w:color="000000" w:sz="16" w:space="0"/>
            </w:tcBorders>
            <w:shd w:val="clear" w:color="auto" w:fill="FFFFFF"/>
            <w:vAlign w:val="bottom"/>
          </w:tcPr>
          <w:p>
            <w:pPr>
              <w:autoSpaceDE w:val="0"/>
              <w:autoSpaceDN w:val="0"/>
              <w:adjustRightInd w:val="0"/>
              <w:spacing w:after="0" w:line="240" w:lineRule="auto"/>
              <w:rPr>
                <w:rFonts w:ascii="Times New Roman" w:hAnsi="Times New Roman" w:cs="Times New Roman"/>
                <w:color w:val="000000"/>
                <w:sz w:val="25"/>
                <w:szCs w:val="25"/>
              </w:rPr>
            </w:pPr>
          </w:p>
        </w:tc>
      </w:tr>
      <w:tr>
        <w:tblPrEx>
          <w:tblLayout w:type="fixed"/>
        </w:tblPrEx>
        <w:trPr>
          <w:cantSplit/>
        </w:trPr>
        <w:tc>
          <w:tcPr>
            <w:tcW w:w="733" w:type="dxa"/>
            <w:vMerge w:val="restart"/>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1</w:t>
            </w:r>
          </w:p>
        </w:tc>
        <w:tc>
          <w:tcPr>
            <w:tcW w:w="2507" w:type="dxa"/>
            <w:tcBorders>
              <w:top w:val="single" w:color="000000" w:sz="16" w:space="0"/>
              <w:left w:val="nil"/>
              <w:bottom w:val="nil"/>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(Constant)</w:t>
            </w:r>
          </w:p>
        </w:tc>
        <w:tc>
          <w:tcPr>
            <w:tcW w:w="900" w:type="dxa"/>
            <w:tcBorders>
              <w:top w:val="single" w:color="000000" w:sz="16" w:space="0"/>
              <w:left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-.381</w:t>
            </w:r>
          </w:p>
        </w:tc>
        <w:tc>
          <w:tcPr>
            <w:tcW w:w="900" w:type="dxa"/>
            <w:tcBorders>
              <w:top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.150</w:t>
            </w:r>
          </w:p>
        </w:tc>
        <w:tc>
          <w:tcPr>
            <w:tcW w:w="1530" w:type="dxa"/>
            <w:tcBorders>
              <w:top w:val="single" w:color="000000" w:sz="16" w:space="0"/>
              <w:bottom w:val="nil"/>
            </w:tcBorders>
            <w:shd w:val="clear" w:color="auto" w:fill="FFFFFF"/>
            <w:vAlign w:val="center"/>
          </w:tcPr>
          <w:p>
            <w:pPr>
              <w:autoSpaceDE w:val="0"/>
              <w:autoSpaceDN w:val="0"/>
              <w:adjustRightInd w:val="0"/>
              <w:spacing w:after="0" w:line="240" w:lineRule="auto"/>
              <w:rPr>
                <w:rFonts w:ascii="Times New Roman" w:hAnsi="Times New Roman" w:cs="Times New Roman"/>
                <w:sz w:val="25"/>
                <w:szCs w:val="25"/>
              </w:rPr>
            </w:pPr>
          </w:p>
        </w:tc>
        <w:tc>
          <w:tcPr>
            <w:tcW w:w="900" w:type="dxa"/>
            <w:tcBorders>
              <w:top w:val="single" w:color="000000" w:sz="16" w:space="0"/>
              <w:bottom w:val="nil"/>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-2.495</w:t>
            </w:r>
          </w:p>
        </w:tc>
        <w:tc>
          <w:tcPr>
            <w:tcW w:w="810" w:type="dxa"/>
            <w:tcBorders>
              <w:top w:val="single" w:color="000000" w:sz="16" w:space="0"/>
              <w:bottom w:val="nil"/>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.000</w:t>
            </w:r>
          </w:p>
        </w:tc>
      </w:tr>
      <w:tr>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ascii="Times New Roman" w:hAnsi="Times New Roman" w:cs="Times New Roman"/>
                <w:color w:val="000000"/>
                <w:sz w:val="25"/>
                <w:szCs w:val="25"/>
              </w:rPr>
            </w:pPr>
          </w:p>
        </w:tc>
        <w:tc>
          <w:tcPr>
            <w:tcW w:w="2507" w:type="dxa"/>
            <w:tcBorders>
              <w:top w:val="nil"/>
              <w:left w:val="nil"/>
              <w:bottom w:val="single" w:color="000000" w:sz="16" w:space="0"/>
              <w:right w:val="single" w:color="000000" w:sz="16" w:space="0"/>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GHRM (Performance MGT Appraisal)</w:t>
            </w:r>
          </w:p>
        </w:tc>
        <w:tc>
          <w:tcPr>
            <w:tcW w:w="900" w:type="dxa"/>
            <w:tcBorders>
              <w:top w:val="nil"/>
              <w:left w:val="single" w:color="000000" w:sz="16" w:space="0"/>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.702</w:t>
            </w:r>
          </w:p>
        </w:tc>
        <w:tc>
          <w:tcPr>
            <w:tcW w:w="900" w:type="dxa"/>
            <w:tcBorders>
              <w:top w:val="nil"/>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.162</w:t>
            </w:r>
          </w:p>
        </w:tc>
        <w:tc>
          <w:tcPr>
            <w:tcW w:w="1530" w:type="dxa"/>
            <w:tcBorders>
              <w:top w:val="nil"/>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.663</w:t>
            </w:r>
          </w:p>
        </w:tc>
        <w:tc>
          <w:tcPr>
            <w:tcW w:w="900" w:type="dxa"/>
            <w:tcBorders>
              <w:top w:val="nil"/>
              <w:bottom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4.333</w:t>
            </w:r>
          </w:p>
        </w:tc>
        <w:tc>
          <w:tcPr>
            <w:tcW w:w="810" w:type="dxa"/>
            <w:tcBorders>
              <w:top w:val="nil"/>
              <w:bottom w:val="single" w:color="000000" w:sz="16" w:space="0"/>
              <w:right w:val="single" w:color="000000" w:sz="16" w:space="0"/>
            </w:tcBorders>
            <w:shd w:val="clear" w:color="auto" w:fill="FFFFFF"/>
            <w:vAlign w:val="center"/>
          </w:tcPr>
          <w:p>
            <w:pPr>
              <w:autoSpaceDE w:val="0"/>
              <w:autoSpaceDN w:val="0"/>
              <w:adjustRightInd w:val="0"/>
              <w:spacing w:after="0" w:line="320" w:lineRule="atLeast"/>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.001</w:t>
            </w:r>
          </w:p>
        </w:tc>
      </w:tr>
      <w:tr>
        <w:tblPrEx>
          <w:tblLayout w:type="fixed"/>
        </w:tblPrEx>
        <w:trPr>
          <w:cantSplit/>
        </w:trPr>
        <w:tc>
          <w:tcPr>
            <w:tcW w:w="8280" w:type="dxa"/>
            <w:gridSpan w:val="7"/>
            <w:tcBorders>
              <w:top w:val="nil"/>
              <w:left w:val="nil"/>
              <w:bottom w:val="nil"/>
              <w:right w:val="nil"/>
            </w:tcBorders>
            <w:shd w:val="clear" w:color="auto" w:fill="FFFFFF"/>
          </w:tcPr>
          <w:p>
            <w:pPr>
              <w:autoSpaceDE w:val="0"/>
              <w:autoSpaceDN w:val="0"/>
              <w:adjustRightInd w:val="0"/>
              <w:spacing w:after="0" w:line="320" w:lineRule="atLeast"/>
              <w:ind w:left="60" w:right="60"/>
              <w:rPr>
                <w:rFonts w:ascii="Times New Roman" w:hAnsi="Times New Roman" w:cs="Times New Roman"/>
                <w:color w:val="000000"/>
                <w:sz w:val="25"/>
                <w:szCs w:val="25"/>
              </w:rPr>
            </w:pPr>
            <w:r>
              <w:rPr>
                <w:rFonts w:ascii="Times New Roman" w:hAnsi="Times New Roman" w:cs="Times New Roman"/>
                <w:color w:val="000000"/>
                <w:sz w:val="25"/>
                <w:szCs w:val="25"/>
              </w:rPr>
              <w:t>a. Dependent Variable: Organizational Effectiveness</w:t>
            </w:r>
          </w:p>
          <w:p>
            <w:pPr>
              <w:autoSpaceDE w:val="0"/>
              <w:autoSpaceDN w:val="0"/>
              <w:adjustRightInd w:val="0"/>
              <w:spacing w:after="0" w:line="320" w:lineRule="atLeast"/>
              <w:ind w:left="60" w:right="60"/>
              <w:rPr>
                <w:rFonts w:ascii="Times New Roman" w:hAnsi="Times New Roman" w:cs="Times New Roman"/>
                <w:color w:val="000000"/>
                <w:sz w:val="25"/>
                <w:szCs w:val="25"/>
              </w:rPr>
            </w:pPr>
          </w:p>
        </w:tc>
      </w:tr>
    </w:tbl>
    <w:p>
      <w:pPr>
        <w:autoSpaceDE w:val="0"/>
        <w:autoSpaceDN w:val="0"/>
        <w:adjustRightInd w:val="0"/>
        <w:spacing w:after="0" w:line="480" w:lineRule="auto"/>
        <w:jc w:val="both"/>
        <w:rPr>
          <w:rFonts w:ascii="Times New Roman" w:hAnsi="Times New Roman" w:cs="Times New Roman"/>
          <w:sz w:val="25"/>
          <w:szCs w:val="25"/>
        </w:rPr>
      </w:pPr>
      <w:r>
        <w:rPr>
          <w:rFonts w:ascii="Times New Roman" w:hAnsi="Times New Roman" w:cs="Times New Roman"/>
          <w:sz w:val="25"/>
          <w:szCs w:val="25"/>
        </w:rPr>
        <w:t>Based on the R square explained above, the GHRM explain 44% of the variance of dependent variable “Organizational Effectiveness”. Using non- standardized weight of regression, simple regression of equation was fitted for the model below:</w:t>
      </w:r>
    </w:p>
    <w:p>
      <w:pPr>
        <w:autoSpaceDE w:val="0"/>
        <w:autoSpaceDN w:val="0"/>
        <w:adjustRightInd w:val="0"/>
        <w:spacing w:after="0" w:line="480" w:lineRule="auto"/>
        <w:jc w:val="both"/>
        <w:rPr>
          <w:rFonts w:ascii="Times New Roman" w:hAnsi="Times New Roman" w:cs="Times New Roman"/>
          <w:sz w:val="25"/>
          <w:szCs w:val="25"/>
        </w:rPr>
      </w:pPr>
      <w:r>
        <w:rPr>
          <w:rFonts w:ascii="Times New Roman" w:hAnsi="Times New Roman" w:cs="Times New Roman"/>
          <w:sz w:val="25"/>
          <w:szCs w:val="25"/>
        </w:rPr>
        <w:t>Ŷ = -0.381 + 0.702</w:t>
      </w:r>
      <w:r>
        <w:rPr>
          <w:rFonts w:ascii="Times New Roman" w:hAnsi="Times New Roman" w:cs="Times New Roman"/>
          <w:i/>
          <w:iCs/>
          <w:sz w:val="25"/>
          <w:szCs w:val="25"/>
        </w:rPr>
        <w:t>x</w:t>
      </w:r>
      <w:r>
        <w:rPr>
          <w:rFonts w:ascii="Times New Roman" w:hAnsi="Times New Roman" w:cs="Times New Roman"/>
          <w:sz w:val="25"/>
          <w:szCs w:val="25"/>
          <w:vertAlign w:val="subscript"/>
        </w:rPr>
        <w:t>1</w:t>
      </w:r>
      <w:r>
        <w:rPr>
          <w:rFonts w:ascii="Times New Roman" w:hAnsi="Times New Roman" w:cs="Times New Roman"/>
          <w:sz w:val="25"/>
          <w:szCs w:val="25"/>
        </w:rPr>
        <w:t xml:space="preserve"> </w:t>
      </w:r>
    </w:p>
    <w:p>
      <w:pPr>
        <w:autoSpaceDE w:val="0"/>
        <w:autoSpaceDN w:val="0"/>
        <w:adjustRightInd w:val="0"/>
        <w:spacing w:after="0" w:line="480" w:lineRule="auto"/>
        <w:jc w:val="both"/>
        <w:rPr>
          <w:rFonts w:ascii="Times New Roman" w:hAnsi="Times New Roman" w:cs="Times New Roman"/>
          <w:sz w:val="25"/>
          <w:szCs w:val="25"/>
        </w:rPr>
      </w:pPr>
      <w:r>
        <w:rPr>
          <w:rFonts w:ascii="Times New Roman" w:hAnsi="Times New Roman" w:cs="Times New Roman"/>
          <w:sz w:val="25"/>
          <w:szCs w:val="25"/>
        </w:rPr>
        <w:t>According to the equation above, organizational effectiveness is calculated as the product of non-standardized beta coefficients with the applicable method's average and a non-standardized weight constant. The GHRM (Performance MGT Appraisal) is statistically significant for the model based on the findings of the regression study. Given that the regression coefficient is positive (=0.702), the rise in GHRM as measured by the performance management appraisal will be accompanied by an increase in organizational effectiveness.The findings of the statistical test for the beta coefficient control demonstrate that GHRM (Performance Management Appraisal) has a substantial impact on the model's ability to increase organizational effectiveness at the 5% level of significance (t1= 17.825 and p=0.0010.05). The vector-error correction of the regression line's constant (c=-0.381) in the model indicates that if the chosen bank disregarded the GHRM practices, it is likely that organizational effectiveness would decrease by 38.1%, which might have an impact on the organization's goals and functional approach development. As a result, the alternative hypothesis—that there is a significant impact of GHRM practice on organizational effectiveness at a 95% confidence level—was accepted and the null hypothesis was rejected. This result was consistent with earlier research by Sharifa Mousa and Mohammed Othman (2020), who discovered that the identification and prioritization of green performance management methods differed depending on the type of business. Although, as in the case of this study, considerably more needed in the banking sector than the healthcare delivery sector.</w:t>
      </w:r>
    </w:p>
    <w:p>
      <w:pPr>
        <w:spacing w:line="480" w:lineRule="auto"/>
        <w:jc w:val="both"/>
        <w:rPr>
          <w:rFonts w:ascii="Times New Roman" w:hAnsi="Times New Roman" w:cs="Times New Roman"/>
          <w:b/>
          <w:sz w:val="25"/>
          <w:szCs w:val="25"/>
        </w:rPr>
      </w:pPr>
      <w:r>
        <w:rPr>
          <w:rFonts w:ascii="Times New Roman" w:hAnsi="Times New Roman" w:cs="Times New Roman"/>
          <w:b/>
          <w:sz w:val="25"/>
          <w:szCs w:val="25"/>
        </w:rPr>
        <w:t>H</w:t>
      </w:r>
      <w:r>
        <w:rPr>
          <w:rFonts w:ascii="Times New Roman" w:hAnsi="Times New Roman" w:cs="Times New Roman"/>
          <w:b/>
          <w:sz w:val="25"/>
          <w:szCs w:val="25"/>
          <w:vertAlign w:val="subscript"/>
        </w:rPr>
        <w:t>02</w:t>
      </w:r>
      <w:r>
        <w:rPr>
          <w:rFonts w:ascii="Times New Roman" w:hAnsi="Times New Roman" w:cs="Times New Roman"/>
          <w:b/>
          <w:sz w:val="25"/>
          <w:szCs w:val="25"/>
        </w:rPr>
        <w:t>: there is no relationship between GHRM practices and organizational competitiveness</w:t>
      </w:r>
    </w:p>
    <w:tbl>
      <w:tblPr>
        <w:tblStyle w:val="8"/>
        <w:tblW w:w="9990" w:type="dxa"/>
        <w:tblInd w:w="0" w:type="dxa"/>
        <w:tblLayout w:type="fixed"/>
        <w:tblCellMar>
          <w:top w:w="0" w:type="dxa"/>
          <w:left w:w="0" w:type="dxa"/>
          <w:bottom w:w="0" w:type="dxa"/>
          <w:right w:w="0" w:type="dxa"/>
        </w:tblCellMar>
      </w:tblPr>
      <w:tblGrid>
        <w:gridCol w:w="2161"/>
        <w:gridCol w:w="1888"/>
        <w:gridCol w:w="1530"/>
        <w:gridCol w:w="1439"/>
        <w:gridCol w:w="1440"/>
        <w:gridCol w:w="1532"/>
      </w:tblGrid>
      <w:tr>
        <w:tblPrEx>
          <w:tblLayout w:type="fixed"/>
        </w:tblPrEx>
        <w:trPr>
          <w:cantSplit/>
        </w:trPr>
        <w:tc>
          <w:tcPr>
            <w:tcW w:w="9990" w:type="dxa"/>
            <w:gridSpan w:val="6"/>
            <w:shd w:val="clear" w:color="auto" w:fill="FFFFFF"/>
            <w:vAlign w:val="center"/>
          </w:tcPr>
          <w:p>
            <w:pPr>
              <w:spacing w:line="320" w:lineRule="atLeast"/>
              <w:ind w:left="60" w:right="60"/>
              <w:jc w:val="center"/>
              <w:rPr>
                <w:rFonts w:ascii="Times New Roman" w:hAnsi="Times New Roman" w:cs="Times New Roman"/>
                <w:sz w:val="25"/>
                <w:szCs w:val="25"/>
              </w:rPr>
            </w:pPr>
            <w:r>
              <w:rPr>
                <w:rFonts w:ascii="Times New Roman" w:hAnsi="Times New Roman" w:eastAsia="Calibri" w:cs="Times New Roman"/>
                <w:b/>
                <w:bCs/>
                <w:color w:val="000000"/>
                <w:sz w:val="25"/>
                <w:szCs w:val="25"/>
              </w:rPr>
              <w:t>Table 4.5.4: Bivariate Correlations Matrix showing the relationship between Dimension of Compensation management (CM) and Worker’s Productivity (WP)</w:t>
            </w:r>
          </w:p>
        </w:tc>
      </w:tr>
      <w:tr>
        <w:tblPrEx>
          <w:tblLayout w:type="fixed"/>
        </w:tblPrEx>
        <w:trPr>
          <w:cantSplit/>
        </w:trPr>
        <w:tc>
          <w:tcPr>
            <w:tcW w:w="2161" w:type="dxa"/>
            <w:vMerge w:val="restart"/>
            <w:tcBorders>
              <w:top w:val="single" w:color="000000" w:sz="16" w:space="0"/>
              <w:left w:val="single" w:color="000000" w:sz="16" w:space="0"/>
              <w:bottom w:val="single" w:color="000000" w:sz="8" w:space="0"/>
            </w:tcBorders>
            <w:shd w:val="clear" w:color="auto" w:fill="FFFFFF"/>
          </w:tcPr>
          <w:p>
            <w:pPr>
              <w:spacing w:line="320" w:lineRule="atLeast"/>
              <w:ind w:left="60" w:right="60"/>
              <w:rPr>
                <w:rFonts w:ascii="Times New Roman" w:hAnsi="Times New Roman" w:eastAsia="Calibri" w:cs="Times New Roman"/>
                <w:color w:val="000000"/>
                <w:sz w:val="25"/>
                <w:szCs w:val="25"/>
              </w:rPr>
            </w:pPr>
          </w:p>
        </w:tc>
        <w:tc>
          <w:tcPr>
            <w:tcW w:w="1888" w:type="dxa"/>
            <w:tcBorders>
              <w:top w:val="single" w:color="000000" w:sz="16" w:space="0"/>
              <w:right w:val="single" w:color="000000" w:sz="16" w:space="0"/>
            </w:tcBorders>
            <w:shd w:val="clear" w:color="auto" w:fill="FFFFFF"/>
          </w:tcPr>
          <w:p>
            <w:pPr>
              <w:spacing w:line="320" w:lineRule="atLeast"/>
              <w:ind w:left="60" w:right="60"/>
              <w:rPr>
                <w:rFonts w:ascii="Times New Roman" w:hAnsi="Times New Roman" w:eastAsia="Calibri" w:cs="Times New Roman"/>
                <w:color w:val="000000"/>
                <w:sz w:val="25"/>
                <w:szCs w:val="25"/>
              </w:rPr>
            </w:pPr>
          </w:p>
        </w:tc>
        <w:tc>
          <w:tcPr>
            <w:tcW w:w="1530" w:type="dxa"/>
            <w:tcBorders>
              <w:top w:val="single" w:color="000000" w:sz="16" w:space="0"/>
              <w:left w:val="single" w:color="000000" w:sz="16" w:space="0"/>
              <w:right w:val="single" w:color="000000" w:sz="8" w:space="0"/>
            </w:tcBorders>
            <w:shd w:val="clear" w:color="auto" w:fill="FFFFFF"/>
            <w:vAlign w:val="center"/>
          </w:tcPr>
          <w:p>
            <w:pPr>
              <w:spacing w:line="320" w:lineRule="atLeast"/>
              <w:ind w:left="60" w:right="60"/>
              <w:jc w:val="center"/>
              <w:rPr>
                <w:rFonts w:ascii="Times New Roman" w:hAnsi="Times New Roman" w:eastAsia="Calibri" w:cs="Times New Roman"/>
                <w:color w:val="000000"/>
                <w:sz w:val="25"/>
                <w:szCs w:val="25"/>
              </w:rPr>
            </w:pPr>
            <w:r>
              <w:rPr>
                <w:rFonts w:ascii="Times New Roman" w:hAnsi="Times New Roman" w:eastAsia="Calibri" w:cs="Times New Roman"/>
                <w:color w:val="000000"/>
                <w:sz w:val="25"/>
                <w:szCs w:val="25"/>
              </w:rPr>
              <w:t>Organizational Competitiveness</w:t>
            </w:r>
          </w:p>
        </w:tc>
        <w:tc>
          <w:tcPr>
            <w:tcW w:w="1439" w:type="dxa"/>
            <w:tcBorders>
              <w:top w:val="single" w:color="000000" w:sz="16" w:space="0"/>
              <w:left w:val="single" w:color="000000" w:sz="8" w:space="0"/>
              <w:right w:val="single" w:color="000000" w:sz="8" w:space="0"/>
            </w:tcBorders>
            <w:shd w:val="clear" w:color="auto" w:fill="FFFFFF"/>
            <w:vAlign w:val="center"/>
          </w:tcPr>
          <w:p>
            <w:pPr>
              <w:spacing w:line="320" w:lineRule="atLeast"/>
              <w:ind w:left="60" w:right="60"/>
              <w:jc w:val="center"/>
              <w:rPr>
                <w:rFonts w:ascii="Times New Roman" w:hAnsi="Times New Roman" w:eastAsia="Calibri" w:cs="Times New Roman"/>
                <w:color w:val="000000"/>
                <w:sz w:val="25"/>
                <w:szCs w:val="25"/>
              </w:rPr>
            </w:pPr>
            <w:r>
              <w:rPr>
                <w:rFonts w:ascii="Times New Roman" w:hAnsi="Times New Roman" w:eastAsia="Calibri" w:cs="Times New Roman"/>
                <w:color w:val="000000"/>
                <w:sz w:val="25"/>
                <w:szCs w:val="25"/>
              </w:rPr>
              <w:t>Green Recruitment and Selection</w:t>
            </w:r>
          </w:p>
        </w:tc>
        <w:tc>
          <w:tcPr>
            <w:tcW w:w="1440" w:type="dxa"/>
            <w:tcBorders>
              <w:top w:val="single" w:color="000000" w:sz="16" w:space="0"/>
              <w:left w:val="single" w:color="000000" w:sz="8" w:space="0"/>
              <w:right w:val="single" w:color="000000" w:sz="8" w:space="0"/>
            </w:tcBorders>
            <w:shd w:val="clear" w:color="auto" w:fill="FFFFFF"/>
            <w:vAlign w:val="center"/>
          </w:tcPr>
          <w:p>
            <w:pPr>
              <w:spacing w:line="320" w:lineRule="atLeast"/>
              <w:ind w:left="60" w:right="60"/>
              <w:jc w:val="center"/>
              <w:rPr>
                <w:rFonts w:ascii="Times New Roman" w:hAnsi="Times New Roman" w:eastAsia="Calibri" w:cs="Times New Roman"/>
                <w:color w:val="000000"/>
                <w:sz w:val="25"/>
                <w:szCs w:val="25"/>
              </w:rPr>
            </w:pPr>
            <w:r>
              <w:rPr>
                <w:rFonts w:ascii="Times New Roman" w:hAnsi="Times New Roman" w:eastAsia="Calibri" w:cs="Times New Roman"/>
                <w:color w:val="000000"/>
                <w:sz w:val="25"/>
                <w:szCs w:val="25"/>
              </w:rPr>
              <w:t>Green Training and Dev.</w:t>
            </w:r>
          </w:p>
        </w:tc>
        <w:tc>
          <w:tcPr>
            <w:tcW w:w="1532" w:type="dxa"/>
            <w:tcBorders>
              <w:top w:val="single" w:color="000000" w:sz="16" w:space="0"/>
              <w:left w:val="single" w:color="000000" w:sz="8" w:space="0"/>
              <w:right w:val="single" w:color="000000" w:sz="8" w:space="0"/>
            </w:tcBorders>
            <w:shd w:val="clear" w:color="auto" w:fill="FFFFFF"/>
            <w:vAlign w:val="center"/>
          </w:tcPr>
          <w:p>
            <w:pPr>
              <w:spacing w:line="320" w:lineRule="atLeast"/>
              <w:ind w:left="60" w:right="60"/>
              <w:jc w:val="center"/>
              <w:rPr>
                <w:rFonts w:ascii="Times New Roman" w:hAnsi="Times New Roman" w:eastAsia="Calibri" w:cs="Times New Roman"/>
                <w:color w:val="000000"/>
                <w:sz w:val="25"/>
                <w:szCs w:val="25"/>
              </w:rPr>
            </w:pPr>
            <w:r>
              <w:rPr>
                <w:rFonts w:ascii="Times New Roman" w:hAnsi="Times New Roman" w:eastAsia="Calibri" w:cs="Times New Roman"/>
                <w:color w:val="000000"/>
                <w:sz w:val="25"/>
                <w:szCs w:val="25"/>
              </w:rPr>
              <w:t>Green Reward and Compensation MGT</w:t>
            </w:r>
          </w:p>
        </w:tc>
      </w:tr>
      <w:tr>
        <w:tblPrEx>
          <w:tblLayout w:type="fixed"/>
        </w:tblPrEx>
        <w:trPr>
          <w:cantSplit/>
        </w:trPr>
        <w:tc>
          <w:tcPr>
            <w:tcW w:w="2161" w:type="dxa"/>
            <w:vMerge w:val="continue"/>
            <w:tcBorders>
              <w:top w:val="single" w:color="000000" w:sz="16" w:space="0"/>
              <w:left w:val="single" w:color="000000" w:sz="16" w:space="0"/>
              <w:bottom w:val="single" w:color="000000" w:sz="8" w:space="0"/>
            </w:tcBorders>
            <w:shd w:val="clear" w:color="auto" w:fill="FFFFFF"/>
          </w:tcPr>
          <w:p>
            <w:pPr>
              <w:rPr>
                <w:rFonts w:ascii="Times New Roman" w:hAnsi="Times New Roman" w:cs="Times New Roman"/>
                <w:sz w:val="25"/>
                <w:szCs w:val="25"/>
              </w:rPr>
            </w:pPr>
          </w:p>
        </w:tc>
        <w:tc>
          <w:tcPr>
            <w:tcW w:w="1888" w:type="dxa"/>
            <w:tcBorders>
              <w:right w:val="single" w:color="000000" w:sz="16" w:space="0"/>
            </w:tcBorders>
            <w:shd w:val="clear" w:color="auto" w:fill="FFFFFF"/>
          </w:tcPr>
          <w:p>
            <w:pPr>
              <w:spacing w:line="320" w:lineRule="atLeast"/>
              <w:ind w:left="60" w:right="60"/>
              <w:rPr>
                <w:rFonts w:ascii="Times New Roman" w:hAnsi="Times New Roman" w:eastAsia="Calibri" w:cs="Times New Roman"/>
                <w:color w:val="000000"/>
                <w:sz w:val="25"/>
                <w:szCs w:val="25"/>
              </w:rPr>
            </w:pPr>
          </w:p>
        </w:tc>
        <w:tc>
          <w:tcPr>
            <w:tcW w:w="1530" w:type="dxa"/>
            <w:tcBorders>
              <w:left w:val="single" w:color="000000" w:sz="16" w:space="0"/>
              <w:right w:val="single" w:color="000000" w:sz="8" w:space="0"/>
            </w:tcBorders>
            <w:shd w:val="clear" w:color="auto" w:fill="FFFFFF"/>
            <w:vAlign w:val="center"/>
          </w:tcPr>
          <w:p>
            <w:pPr>
              <w:rPr>
                <w:rFonts w:ascii="Times New Roman" w:hAnsi="Times New Roman" w:eastAsia="Calibri" w:cs="Times New Roman"/>
                <w:sz w:val="25"/>
                <w:szCs w:val="25"/>
              </w:rPr>
            </w:pPr>
          </w:p>
        </w:tc>
        <w:tc>
          <w:tcPr>
            <w:tcW w:w="1439" w:type="dxa"/>
            <w:tcBorders>
              <w:left w:val="single" w:color="000000" w:sz="8" w:space="0"/>
              <w:right w:val="single" w:color="000000" w:sz="8" w:space="0"/>
            </w:tcBorders>
            <w:shd w:val="clear" w:color="auto" w:fill="FFFFFF"/>
            <w:vAlign w:val="center"/>
          </w:tcPr>
          <w:p>
            <w:pPr>
              <w:spacing w:line="320" w:lineRule="atLeast"/>
              <w:ind w:left="60" w:right="60"/>
              <w:jc w:val="center"/>
              <w:rPr>
                <w:rFonts w:ascii="Times New Roman" w:hAnsi="Times New Roman" w:eastAsia="Calibri" w:cs="Times New Roman"/>
                <w:color w:val="000000"/>
                <w:sz w:val="25"/>
                <w:szCs w:val="25"/>
              </w:rPr>
            </w:pPr>
          </w:p>
        </w:tc>
        <w:tc>
          <w:tcPr>
            <w:tcW w:w="1440" w:type="dxa"/>
            <w:tcBorders>
              <w:left w:val="single" w:color="000000" w:sz="8" w:space="0"/>
              <w:right w:val="single" w:color="000000" w:sz="8" w:space="0"/>
            </w:tcBorders>
            <w:shd w:val="clear" w:color="auto" w:fill="FFFFFF"/>
            <w:vAlign w:val="center"/>
          </w:tcPr>
          <w:p>
            <w:pPr>
              <w:spacing w:line="320" w:lineRule="atLeast"/>
              <w:ind w:left="60" w:right="60"/>
              <w:jc w:val="right"/>
              <w:rPr>
                <w:rFonts w:ascii="Times New Roman" w:hAnsi="Times New Roman" w:eastAsia="Calibri" w:cs="Times New Roman"/>
                <w:color w:val="000000"/>
                <w:sz w:val="25"/>
                <w:szCs w:val="25"/>
              </w:rPr>
            </w:pPr>
          </w:p>
        </w:tc>
        <w:tc>
          <w:tcPr>
            <w:tcW w:w="1532" w:type="dxa"/>
            <w:tcBorders>
              <w:left w:val="single" w:color="000000" w:sz="8" w:space="0"/>
              <w:right w:val="single" w:color="000000" w:sz="8" w:space="0"/>
            </w:tcBorders>
            <w:shd w:val="clear" w:color="auto" w:fill="FFFFFF"/>
            <w:vAlign w:val="center"/>
          </w:tcPr>
          <w:p>
            <w:pPr>
              <w:spacing w:line="320" w:lineRule="atLeast"/>
              <w:ind w:left="60" w:right="60"/>
              <w:jc w:val="right"/>
              <w:rPr>
                <w:rFonts w:ascii="Times New Roman" w:hAnsi="Times New Roman" w:eastAsia="Calibri" w:cs="Times New Roman"/>
                <w:color w:val="000000"/>
                <w:sz w:val="25"/>
                <w:szCs w:val="25"/>
              </w:rPr>
            </w:pPr>
          </w:p>
        </w:tc>
      </w:tr>
      <w:tr>
        <w:tblPrEx>
          <w:tblLayout w:type="fixed"/>
        </w:tblPrEx>
        <w:trPr>
          <w:cantSplit/>
        </w:trPr>
        <w:tc>
          <w:tcPr>
            <w:tcW w:w="2161" w:type="dxa"/>
            <w:vMerge w:val="continue"/>
            <w:tcBorders>
              <w:top w:val="single" w:color="000000" w:sz="16" w:space="0"/>
              <w:left w:val="single" w:color="000000" w:sz="16" w:space="0"/>
              <w:bottom w:val="single" w:color="000000" w:sz="8" w:space="0"/>
            </w:tcBorders>
            <w:shd w:val="clear" w:color="auto" w:fill="FFFFFF"/>
          </w:tcPr>
          <w:p>
            <w:pPr>
              <w:rPr>
                <w:rFonts w:ascii="Times New Roman" w:hAnsi="Times New Roman" w:cs="Times New Roman"/>
                <w:sz w:val="25"/>
                <w:szCs w:val="25"/>
              </w:rPr>
            </w:pPr>
          </w:p>
        </w:tc>
        <w:tc>
          <w:tcPr>
            <w:tcW w:w="1888" w:type="dxa"/>
            <w:tcBorders>
              <w:bottom w:val="single" w:color="000000" w:sz="8" w:space="0"/>
              <w:right w:val="single" w:color="000000" w:sz="16" w:space="0"/>
            </w:tcBorders>
            <w:shd w:val="clear" w:color="auto" w:fill="FFFFFF"/>
          </w:tcPr>
          <w:p>
            <w:pPr>
              <w:spacing w:line="320" w:lineRule="atLeast"/>
              <w:ind w:left="60" w:right="60"/>
              <w:rPr>
                <w:rFonts w:ascii="Times New Roman" w:hAnsi="Times New Roman" w:eastAsia="Calibri" w:cs="Times New Roman"/>
                <w:color w:val="000000"/>
                <w:sz w:val="25"/>
                <w:szCs w:val="25"/>
              </w:rPr>
            </w:pPr>
            <w:r>
              <w:rPr>
                <w:rFonts w:ascii="Times New Roman" w:hAnsi="Times New Roman" w:eastAsia="Calibri" w:cs="Times New Roman"/>
                <w:color w:val="000000"/>
                <w:sz w:val="25"/>
                <w:szCs w:val="25"/>
              </w:rPr>
              <w:t>Model</w:t>
            </w:r>
          </w:p>
        </w:tc>
        <w:tc>
          <w:tcPr>
            <w:tcW w:w="1530" w:type="dxa"/>
            <w:tcBorders>
              <w:left w:val="single" w:color="000000" w:sz="16" w:space="0"/>
              <w:bottom w:val="single" w:color="000000" w:sz="8" w:space="0"/>
              <w:right w:val="single" w:color="000000" w:sz="8" w:space="0"/>
            </w:tcBorders>
            <w:shd w:val="clear" w:color="auto" w:fill="FFFFFF"/>
            <w:vAlign w:val="center"/>
          </w:tcPr>
          <w:p>
            <w:pPr>
              <w:spacing w:line="320" w:lineRule="atLeast"/>
              <w:ind w:left="60" w:right="60"/>
              <w:jc w:val="right"/>
              <w:rPr>
                <w:rFonts w:ascii="Times New Roman" w:hAnsi="Times New Roman" w:eastAsia="Calibri" w:cs="Times New Roman"/>
                <w:color w:val="000000"/>
                <w:sz w:val="25"/>
                <w:szCs w:val="25"/>
              </w:rPr>
            </w:pPr>
          </w:p>
        </w:tc>
        <w:tc>
          <w:tcPr>
            <w:tcW w:w="1439" w:type="dxa"/>
            <w:tcBorders>
              <w:left w:val="single" w:color="000000" w:sz="8" w:space="0"/>
              <w:bottom w:val="single" w:color="000000" w:sz="8" w:space="0"/>
              <w:right w:val="single" w:color="000000" w:sz="8" w:space="0"/>
            </w:tcBorders>
            <w:shd w:val="clear" w:color="auto" w:fill="FFFFFF"/>
            <w:vAlign w:val="center"/>
          </w:tcPr>
          <w:p>
            <w:pPr>
              <w:spacing w:line="320" w:lineRule="atLeast"/>
              <w:ind w:left="60" w:right="60"/>
              <w:jc w:val="center"/>
              <w:rPr>
                <w:rFonts w:ascii="Times New Roman" w:hAnsi="Times New Roman" w:eastAsia="Calibri" w:cs="Times New Roman"/>
                <w:color w:val="000000"/>
                <w:sz w:val="25"/>
                <w:szCs w:val="25"/>
              </w:rPr>
            </w:pPr>
          </w:p>
        </w:tc>
        <w:tc>
          <w:tcPr>
            <w:tcW w:w="1440" w:type="dxa"/>
            <w:tcBorders>
              <w:left w:val="single" w:color="000000" w:sz="8" w:space="0"/>
              <w:bottom w:val="single" w:color="000000" w:sz="8" w:space="0"/>
              <w:right w:val="single" w:color="000000" w:sz="8" w:space="0"/>
            </w:tcBorders>
            <w:shd w:val="clear" w:color="auto" w:fill="FFFFFF"/>
            <w:vAlign w:val="center"/>
          </w:tcPr>
          <w:p>
            <w:pPr>
              <w:spacing w:line="320" w:lineRule="atLeast"/>
              <w:ind w:left="60" w:right="60"/>
              <w:rPr>
                <w:rFonts w:ascii="Times New Roman" w:hAnsi="Times New Roman" w:eastAsia="Calibri" w:cs="Times New Roman"/>
                <w:color w:val="000000"/>
                <w:sz w:val="25"/>
                <w:szCs w:val="25"/>
              </w:rPr>
            </w:pPr>
          </w:p>
        </w:tc>
        <w:tc>
          <w:tcPr>
            <w:tcW w:w="1532" w:type="dxa"/>
            <w:tcBorders>
              <w:left w:val="single" w:color="000000" w:sz="8" w:space="0"/>
              <w:bottom w:val="single" w:color="000000" w:sz="8" w:space="0"/>
              <w:right w:val="single" w:color="000000" w:sz="8" w:space="0"/>
            </w:tcBorders>
            <w:shd w:val="clear" w:color="auto" w:fill="FFFFFF"/>
            <w:vAlign w:val="center"/>
          </w:tcPr>
          <w:p>
            <w:pPr>
              <w:spacing w:line="320" w:lineRule="atLeast"/>
              <w:ind w:left="60" w:right="60"/>
              <w:jc w:val="center"/>
              <w:rPr>
                <w:rFonts w:ascii="Times New Roman" w:hAnsi="Times New Roman" w:eastAsia="Calibri" w:cs="Times New Roman"/>
                <w:color w:val="000000"/>
                <w:sz w:val="25"/>
                <w:szCs w:val="25"/>
              </w:rPr>
            </w:pPr>
          </w:p>
        </w:tc>
      </w:tr>
      <w:tr>
        <w:tblPrEx>
          <w:tblLayout w:type="fixed"/>
        </w:tblPrEx>
        <w:trPr>
          <w:cantSplit/>
        </w:trPr>
        <w:tc>
          <w:tcPr>
            <w:tcW w:w="2161" w:type="dxa"/>
            <w:vMerge w:val="restart"/>
            <w:tcBorders>
              <w:left w:val="single" w:color="000000" w:sz="16" w:space="0"/>
              <w:bottom w:val="single" w:color="000000" w:sz="8" w:space="0"/>
            </w:tcBorders>
            <w:shd w:val="clear" w:color="auto" w:fill="FFFFFF"/>
          </w:tcPr>
          <w:p>
            <w:pPr>
              <w:spacing w:line="320" w:lineRule="atLeast"/>
              <w:ind w:left="60" w:right="60"/>
              <w:rPr>
                <w:rFonts w:ascii="Times New Roman" w:hAnsi="Times New Roman" w:eastAsia="Calibri" w:cs="Times New Roman"/>
                <w:color w:val="000000"/>
                <w:sz w:val="25"/>
                <w:szCs w:val="25"/>
              </w:rPr>
            </w:pPr>
            <w:r>
              <w:rPr>
                <w:rFonts w:ascii="Times New Roman" w:hAnsi="Times New Roman" w:eastAsia="Calibri" w:cs="Times New Roman"/>
                <w:color w:val="000000"/>
                <w:sz w:val="25"/>
                <w:szCs w:val="25"/>
              </w:rPr>
              <w:t>Organizational Competitiveness</w:t>
            </w:r>
          </w:p>
        </w:tc>
        <w:tc>
          <w:tcPr>
            <w:tcW w:w="1888" w:type="dxa"/>
            <w:tcBorders>
              <w:right w:val="single" w:color="000000" w:sz="16" w:space="0"/>
            </w:tcBorders>
            <w:shd w:val="clear" w:color="auto" w:fill="FFFFFF"/>
          </w:tcPr>
          <w:p>
            <w:pPr>
              <w:spacing w:line="320" w:lineRule="atLeast"/>
              <w:ind w:left="60" w:right="60"/>
              <w:rPr>
                <w:rFonts w:ascii="Times New Roman" w:hAnsi="Times New Roman" w:eastAsia="Calibri" w:cs="Times New Roman"/>
                <w:color w:val="000000"/>
                <w:sz w:val="25"/>
                <w:szCs w:val="25"/>
              </w:rPr>
            </w:pPr>
            <w:r>
              <w:rPr>
                <w:rFonts w:ascii="Times New Roman" w:hAnsi="Times New Roman" w:eastAsia="Calibri" w:cs="Times New Roman"/>
                <w:color w:val="000000"/>
                <w:sz w:val="25"/>
                <w:szCs w:val="25"/>
              </w:rPr>
              <w:t>Pearson Correlation</w:t>
            </w:r>
          </w:p>
        </w:tc>
        <w:tc>
          <w:tcPr>
            <w:tcW w:w="1530" w:type="dxa"/>
            <w:tcBorders>
              <w:left w:val="single" w:color="000000" w:sz="16" w:space="0"/>
              <w:right w:val="single" w:color="000000" w:sz="8" w:space="0"/>
            </w:tcBorders>
            <w:shd w:val="clear" w:color="auto" w:fill="FFFFFF"/>
            <w:vAlign w:val="center"/>
          </w:tcPr>
          <w:p>
            <w:pPr>
              <w:spacing w:line="320" w:lineRule="atLeast"/>
              <w:ind w:left="60" w:right="60"/>
              <w:jc w:val="right"/>
              <w:rPr>
                <w:rFonts w:ascii="Times New Roman" w:hAnsi="Times New Roman" w:cs="Times New Roman"/>
                <w:sz w:val="25"/>
                <w:szCs w:val="25"/>
              </w:rPr>
            </w:pPr>
            <w:r>
              <w:rPr>
                <w:rFonts w:ascii="Times New Roman" w:hAnsi="Times New Roman" w:eastAsia="Calibri" w:cs="Times New Roman"/>
                <w:color w:val="000000"/>
                <w:sz w:val="25"/>
                <w:szCs w:val="25"/>
              </w:rPr>
              <w:t>.1</w:t>
            </w:r>
            <w:r>
              <w:rPr>
                <w:rFonts w:ascii="Times New Roman" w:hAnsi="Times New Roman" w:eastAsia="Calibri" w:cs="Times New Roman"/>
                <w:color w:val="000000"/>
                <w:sz w:val="25"/>
                <w:szCs w:val="25"/>
                <w:vertAlign w:val="superscript"/>
              </w:rPr>
              <w:t>*</w:t>
            </w:r>
          </w:p>
        </w:tc>
        <w:tc>
          <w:tcPr>
            <w:tcW w:w="1439" w:type="dxa"/>
            <w:tcBorders>
              <w:left w:val="single" w:color="000000" w:sz="8" w:space="0"/>
              <w:right w:val="single" w:color="000000" w:sz="8" w:space="0"/>
            </w:tcBorders>
            <w:shd w:val="clear" w:color="auto" w:fill="FFFFFF"/>
            <w:vAlign w:val="center"/>
          </w:tcPr>
          <w:p>
            <w:pPr>
              <w:spacing w:line="320" w:lineRule="atLeast"/>
              <w:ind w:right="60"/>
              <w:jc w:val="right"/>
              <w:rPr>
                <w:rFonts w:ascii="Times New Roman" w:hAnsi="Times New Roman" w:eastAsia="Calibri" w:cs="Times New Roman"/>
                <w:color w:val="000000"/>
                <w:sz w:val="25"/>
                <w:szCs w:val="25"/>
              </w:rPr>
            </w:pPr>
          </w:p>
        </w:tc>
        <w:tc>
          <w:tcPr>
            <w:tcW w:w="1440" w:type="dxa"/>
            <w:tcBorders>
              <w:left w:val="single" w:color="000000" w:sz="8" w:space="0"/>
              <w:right w:val="single" w:color="000000" w:sz="8" w:space="0"/>
            </w:tcBorders>
            <w:shd w:val="clear" w:color="auto" w:fill="FFFFFF"/>
            <w:vAlign w:val="center"/>
          </w:tcPr>
          <w:p>
            <w:pPr>
              <w:spacing w:line="320" w:lineRule="atLeast"/>
              <w:ind w:left="60" w:right="60"/>
              <w:jc w:val="right"/>
              <w:rPr>
                <w:rFonts w:ascii="Times New Roman" w:hAnsi="Times New Roman" w:eastAsia="Calibri" w:cs="Times New Roman"/>
                <w:color w:val="000000"/>
                <w:sz w:val="25"/>
                <w:szCs w:val="25"/>
              </w:rPr>
            </w:pPr>
          </w:p>
        </w:tc>
        <w:tc>
          <w:tcPr>
            <w:tcW w:w="1532" w:type="dxa"/>
            <w:tcBorders>
              <w:left w:val="single" w:color="000000" w:sz="8" w:space="0"/>
              <w:right w:val="single" w:color="000000" w:sz="8" w:space="0"/>
            </w:tcBorders>
            <w:shd w:val="clear" w:color="auto" w:fill="FFFFFF"/>
            <w:vAlign w:val="center"/>
          </w:tcPr>
          <w:p>
            <w:pPr>
              <w:spacing w:line="320" w:lineRule="atLeast"/>
              <w:ind w:left="60" w:right="60"/>
              <w:jc w:val="right"/>
              <w:rPr>
                <w:rFonts w:ascii="Times New Roman" w:hAnsi="Times New Roman" w:eastAsia="Calibri" w:cs="Times New Roman"/>
                <w:color w:val="000000"/>
                <w:sz w:val="25"/>
                <w:szCs w:val="25"/>
              </w:rPr>
            </w:pPr>
          </w:p>
        </w:tc>
      </w:tr>
      <w:tr>
        <w:tblPrEx>
          <w:tblLayout w:type="fixed"/>
        </w:tblPrEx>
        <w:trPr>
          <w:cantSplit/>
        </w:trPr>
        <w:tc>
          <w:tcPr>
            <w:tcW w:w="2161" w:type="dxa"/>
            <w:vMerge w:val="continue"/>
            <w:tcBorders>
              <w:left w:val="single" w:color="000000" w:sz="16" w:space="0"/>
              <w:bottom w:val="single" w:color="000000" w:sz="8" w:space="0"/>
            </w:tcBorders>
            <w:shd w:val="clear" w:color="auto" w:fill="FFFFFF"/>
          </w:tcPr>
          <w:p>
            <w:pPr>
              <w:rPr>
                <w:rFonts w:ascii="Times New Roman" w:hAnsi="Times New Roman" w:cs="Times New Roman"/>
                <w:sz w:val="25"/>
                <w:szCs w:val="25"/>
              </w:rPr>
            </w:pPr>
          </w:p>
        </w:tc>
        <w:tc>
          <w:tcPr>
            <w:tcW w:w="1888" w:type="dxa"/>
            <w:tcBorders>
              <w:right w:val="single" w:color="000000" w:sz="16" w:space="0"/>
            </w:tcBorders>
            <w:shd w:val="clear" w:color="auto" w:fill="FFFFFF"/>
          </w:tcPr>
          <w:p>
            <w:pPr>
              <w:spacing w:line="320" w:lineRule="atLeast"/>
              <w:ind w:left="60" w:right="60"/>
              <w:rPr>
                <w:rFonts w:ascii="Times New Roman" w:hAnsi="Times New Roman" w:eastAsia="Calibri" w:cs="Times New Roman"/>
                <w:color w:val="000000"/>
                <w:sz w:val="25"/>
                <w:szCs w:val="25"/>
              </w:rPr>
            </w:pPr>
            <w:r>
              <w:rPr>
                <w:rFonts w:ascii="Times New Roman" w:hAnsi="Times New Roman" w:eastAsia="Calibri" w:cs="Times New Roman"/>
                <w:color w:val="000000"/>
                <w:sz w:val="25"/>
                <w:szCs w:val="25"/>
              </w:rPr>
              <w:t>Sig. (2-tailed)</w:t>
            </w:r>
          </w:p>
        </w:tc>
        <w:tc>
          <w:tcPr>
            <w:tcW w:w="1530" w:type="dxa"/>
            <w:tcBorders>
              <w:left w:val="single" w:color="000000" w:sz="16" w:space="0"/>
              <w:right w:val="single" w:color="000000" w:sz="8" w:space="0"/>
            </w:tcBorders>
            <w:shd w:val="clear" w:color="auto" w:fill="FFFFFF"/>
            <w:vAlign w:val="center"/>
          </w:tcPr>
          <w:p>
            <w:pPr>
              <w:spacing w:line="320" w:lineRule="atLeast"/>
              <w:ind w:left="60" w:right="60"/>
              <w:jc w:val="right"/>
              <w:rPr>
                <w:rFonts w:ascii="Times New Roman" w:hAnsi="Times New Roman" w:eastAsia="Calibri" w:cs="Times New Roman"/>
                <w:color w:val="000000"/>
                <w:sz w:val="25"/>
                <w:szCs w:val="25"/>
              </w:rPr>
            </w:pPr>
            <w:r>
              <w:rPr>
                <w:rFonts w:ascii="Times New Roman" w:hAnsi="Times New Roman" w:eastAsia="Calibri" w:cs="Times New Roman"/>
                <w:color w:val="000000"/>
                <w:sz w:val="25"/>
                <w:szCs w:val="25"/>
              </w:rPr>
              <w:t>.</w:t>
            </w:r>
          </w:p>
        </w:tc>
        <w:tc>
          <w:tcPr>
            <w:tcW w:w="1439" w:type="dxa"/>
            <w:tcBorders>
              <w:left w:val="single" w:color="000000" w:sz="8" w:space="0"/>
              <w:right w:val="single" w:color="000000" w:sz="8" w:space="0"/>
            </w:tcBorders>
            <w:shd w:val="clear" w:color="auto" w:fill="FFFFFF"/>
            <w:vAlign w:val="center"/>
          </w:tcPr>
          <w:p>
            <w:pPr>
              <w:rPr>
                <w:rFonts w:ascii="Times New Roman" w:hAnsi="Times New Roman" w:eastAsia="Calibri" w:cs="Times New Roman"/>
                <w:sz w:val="25"/>
                <w:szCs w:val="25"/>
              </w:rPr>
            </w:pPr>
          </w:p>
        </w:tc>
        <w:tc>
          <w:tcPr>
            <w:tcW w:w="1440" w:type="dxa"/>
            <w:tcBorders>
              <w:left w:val="single" w:color="000000" w:sz="8" w:space="0"/>
              <w:right w:val="single" w:color="000000" w:sz="8" w:space="0"/>
            </w:tcBorders>
            <w:shd w:val="clear" w:color="auto" w:fill="FFFFFF"/>
            <w:vAlign w:val="center"/>
          </w:tcPr>
          <w:p>
            <w:pPr>
              <w:spacing w:line="320" w:lineRule="atLeast"/>
              <w:ind w:left="60" w:right="60"/>
              <w:jc w:val="right"/>
              <w:rPr>
                <w:rFonts w:ascii="Times New Roman" w:hAnsi="Times New Roman" w:eastAsia="Calibri" w:cs="Times New Roman"/>
                <w:color w:val="000000"/>
                <w:sz w:val="25"/>
                <w:szCs w:val="25"/>
              </w:rPr>
            </w:pPr>
          </w:p>
        </w:tc>
        <w:tc>
          <w:tcPr>
            <w:tcW w:w="1532" w:type="dxa"/>
            <w:tcBorders>
              <w:left w:val="single" w:color="000000" w:sz="8" w:space="0"/>
              <w:right w:val="single" w:color="000000" w:sz="8" w:space="0"/>
            </w:tcBorders>
            <w:shd w:val="clear" w:color="auto" w:fill="FFFFFF"/>
            <w:vAlign w:val="center"/>
          </w:tcPr>
          <w:p>
            <w:pPr>
              <w:spacing w:line="320" w:lineRule="atLeast"/>
              <w:ind w:left="60" w:right="60"/>
              <w:jc w:val="right"/>
              <w:rPr>
                <w:rFonts w:ascii="Times New Roman" w:hAnsi="Times New Roman" w:eastAsia="Calibri" w:cs="Times New Roman"/>
                <w:color w:val="000000"/>
                <w:sz w:val="25"/>
                <w:szCs w:val="25"/>
              </w:rPr>
            </w:pPr>
          </w:p>
        </w:tc>
      </w:tr>
      <w:tr>
        <w:tblPrEx>
          <w:tblLayout w:type="fixed"/>
        </w:tblPrEx>
        <w:trPr>
          <w:cantSplit/>
        </w:trPr>
        <w:tc>
          <w:tcPr>
            <w:tcW w:w="2161" w:type="dxa"/>
            <w:vMerge w:val="continue"/>
            <w:tcBorders>
              <w:left w:val="single" w:color="000000" w:sz="16" w:space="0"/>
              <w:bottom w:val="single" w:color="000000" w:sz="8" w:space="0"/>
            </w:tcBorders>
            <w:shd w:val="clear" w:color="auto" w:fill="FFFFFF"/>
          </w:tcPr>
          <w:p>
            <w:pPr>
              <w:rPr>
                <w:rFonts w:ascii="Times New Roman" w:hAnsi="Times New Roman" w:cs="Times New Roman"/>
                <w:sz w:val="25"/>
                <w:szCs w:val="25"/>
              </w:rPr>
            </w:pPr>
          </w:p>
        </w:tc>
        <w:tc>
          <w:tcPr>
            <w:tcW w:w="1888" w:type="dxa"/>
            <w:tcBorders>
              <w:bottom w:val="single" w:color="000000" w:sz="8" w:space="0"/>
              <w:right w:val="single" w:color="000000" w:sz="16" w:space="0"/>
            </w:tcBorders>
            <w:shd w:val="clear" w:color="auto" w:fill="FFFFFF"/>
          </w:tcPr>
          <w:p>
            <w:pPr>
              <w:spacing w:line="320" w:lineRule="atLeast"/>
              <w:ind w:left="60" w:right="60"/>
              <w:rPr>
                <w:rFonts w:ascii="Times New Roman" w:hAnsi="Times New Roman" w:eastAsia="Calibri" w:cs="Times New Roman"/>
                <w:color w:val="000000"/>
                <w:sz w:val="25"/>
                <w:szCs w:val="25"/>
              </w:rPr>
            </w:pPr>
            <w:r>
              <w:rPr>
                <w:rFonts w:ascii="Times New Roman" w:hAnsi="Times New Roman" w:eastAsia="Calibri" w:cs="Times New Roman"/>
                <w:color w:val="000000"/>
                <w:sz w:val="25"/>
                <w:szCs w:val="25"/>
              </w:rPr>
              <w:t>N</w:t>
            </w:r>
          </w:p>
        </w:tc>
        <w:tc>
          <w:tcPr>
            <w:tcW w:w="1530" w:type="dxa"/>
            <w:tcBorders>
              <w:left w:val="single" w:color="000000" w:sz="16" w:space="0"/>
              <w:bottom w:val="single" w:color="000000" w:sz="8" w:space="0"/>
              <w:right w:val="single" w:color="000000" w:sz="8" w:space="0"/>
            </w:tcBorders>
            <w:shd w:val="clear" w:color="auto" w:fill="FFFFFF"/>
            <w:vAlign w:val="center"/>
          </w:tcPr>
          <w:p>
            <w:pPr>
              <w:spacing w:line="320" w:lineRule="atLeast"/>
              <w:ind w:left="60" w:right="60"/>
              <w:jc w:val="right"/>
              <w:rPr>
                <w:rFonts w:ascii="Times New Roman" w:hAnsi="Times New Roman" w:eastAsia="Calibri" w:cs="Times New Roman"/>
                <w:color w:val="000000"/>
                <w:sz w:val="25"/>
                <w:szCs w:val="25"/>
              </w:rPr>
            </w:pPr>
            <w:r>
              <w:rPr>
                <w:rFonts w:ascii="Times New Roman" w:hAnsi="Times New Roman" w:eastAsia="Calibri" w:cs="Times New Roman"/>
                <w:color w:val="000000"/>
                <w:sz w:val="25"/>
                <w:szCs w:val="25"/>
              </w:rPr>
              <w:t>50</w:t>
            </w:r>
          </w:p>
        </w:tc>
        <w:tc>
          <w:tcPr>
            <w:tcW w:w="1439" w:type="dxa"/>
            <w:tcBorders>
              <w:left w:val="single" w:color="000000" w:sz="8" w:space="0"/>
              <w:bottom w:val="single" w:color="000000" w:sz="8" w:space="0"/>
              <w:right w:val="single" w:color="000000" w:sz="8" w:space="0"/>
            </w:tcBorders>
            <w:shd w:val="clear" w:color="auto" w:fill="FFFFFF"/>
            <w:vAlign w:val="center"/>
          </w:tcPr>
          <w:p>
            <w:pPr>
              <w:spacing w:line="320" w:lineRule="atLeast"/>
              <w:ind w:left="60" w:right="60"/>
              <w:jc w:val="right"/>
              <w:rPr>
                <w:rFonts w:ascii="Times New Roman" w:hAnsi="Times New Roman" w:eastAsia="Calibri" w:cs="Times New Roman"/>
                <w:color w:val="000000"/>
                <w:sz w:val="25"/>
                <w:szCs w:val="25"/>
              </w:rPr>
            </w:pPr>
          </w:p>
        </w:tc>
        <w:tc>
          <w:tcPr>
            <w:tcW w:w="1440" w:type="dxa"/>
            <w:tcBorders>
              <w:left w:val="single" w:color="000000" w:sz="8" w:space="0"/>
              <w:bottom w:val="single" w:color="000000" w:sz="8" w:space="0"/>
              <w:right w:val="single" w:color="000000" w:sz="8" w:space="0"/>
            </w:tcBorders>
            <w:shd w:val="clear" w:color="auto" w:fill="FFFFFF"/>
            <w:vAlign w:val="center"/>
          </w:tcPr>
          <w:p>
            <w:pPr>
              <w:spacing w:line="320" w:lineRule="atLeast"/>
              <w:ind w:left="60" w:right="60"/>
              <w:jc w:val="right"/>
              <w:rPr>
                <w:rFonts w:ascii="Times New Roman" w:hAnsi="Times New Roman" w:eastAsia="Calibri" w:cs="Times New Roman"/>
                <w:color w:val="000000"/>
                <w:sz w:val="25"/>
                <w:szCs w:val="25"/>
              </w:rPr>
            </w:pPr>
          </w:p>
        </w:tc>
        <w:tc>
          <w:tcPr>
            <w:tcW w:w="1532" w:type="dxa"/>
            <w:tcBorders>
              <w:left w:val="single" w:color="000000" w:sz="8" w:space="0"/>
              <w:bottom w:val="single" w:color="000000" w:sz="8" w:space="0"/>
              <w:right w:val="single" w:color="000000" w:sz="8" w:space="0"/>
            </w:tcBorders>
            <w:shd w:val="clear" w:color="auto" w:fill="FFFFFF"/>
            <w:vAlign w:val="center"/>
          </w:tcPr>
          <w:p>
            <w:pPr>
              <w:spacing w:line="320" w:lineRule="atLeast"/>
              <w:ind w:left="60" w:right="60"/>
              <w:jc w:val="right"/>
              <w:rPr>
                <w:rFonts w:ascii="Times New Roman" w:hAnsi="Times New Roman" w:eastAsia="Calibri" w:cs="Times New Roman"/>
                <w:color w:val="000000"/>
                <w:sz w:val="25"/>
                <w:szCs w:val="25"/>
              </w:rPr>
            </w:pPr>
          </w:p>
        </w:tc>
      </w:tr>
      <w:tr>
        <w:tblPrEx>
          <w:tblLayout w:type="fixed"/>
        </w:tblPrEx>
        <w:trPr>
          <w:cantSplit/>
        </w:trPr>
        <w:tc>
          <w:tcPr>
            <w:tcW w:w="2161" w:type="dxa"/>
            <w:vMerge w:val="restart"/>
            <w:tcBorders>
              <w:left w:val="single" w:color="000000" w:sz="16" w:space="0"/>
              <w:bottom w:val="single" w:color="000000" w:sz="8" w:space="0"/>
            </w:tcBorders>
            <w:shd w:val="clear" w:color="auto" w:fill="FFFFFF"/>
          </w:tcPr>
          <w:p>
            <w:pPr>
              <w:spacing w:line="320" w:lineRule="atLeast"/>
              <w:ind w:left="60" w:right="60"/>
              <w:rPr>
                <w:rFonts w:ascii="Times New Roman" w:hAnsi="Times New Roman" w:eastAsia="Calibri" w:cs="Times New Roman"/>
                <w:color w:val="000000"/>
                <w:sz w:val="25"/>
                <w:szCs w:val="25"/>
              </w:rPr>
            </w:pPr>
            <w:r>
              <w:rPr>
                <w:rFonts w:ascii="Times New Roman" w:hAnsi="Times New Roman" w:eastAsia="Calibri" w:cs="Times New Roman"/>
                <w:color w:val="000000"/>
                <w:sz w:val="25"/>
                <w:szCs w:val="25"/>
              </w:rPr>
              <w:t>Green Recruitment and Selection</w:t>
            </w:r>
          </w:p>
        </w:tc>
        <w:tc>
          <w:tcPr>
            <w:tcW w:w="1888" w:type="dxa"/>
            <w:tcBorders>
              <w:right w:val="single" w:color="000000" w:sz="16" w:space="0"/>
            </w:tcBorders>
            <w:shd w:val="clear" w:color="auto" w:fill="FFFFFF"/>
          </w:tcPr>
          <w:p>
            <w:pPr>
              <w:spacing w:line="320" w:lineRule="atLeast"/>
              <w:ind w:left="60" w:right="60"/>
              <w:rPr>
                <w:rFonts w:ascii="Times New Roman" w:hAnsi="Times New Roman" w:eastAsia="Calibri" w:cs="Times New Roman"/>
                <w:color w:val="000000"/>
                <w:sz w:val="25"/>
                <w:szCs w:val="25"/>
              </w:rPr>
            </w:pPr>
            <w:r>
              <w:rPr>
                <w:rFonts w:ascii="Times New Roman" w:hAnsi="Times New Roman" w:eastAsia="Calibri" w:cs="Times New Roman"/>
                <w:color w:val="000000"/>
                <w:sz w:val="25"/>
                <w:szCs w:val="25"/>
              </w:rPr>
              <w:t>Pearson Correlation</w:t>
            </w:r>
          </w:p>
        </w:tc>
        <w:tc>
          <w:tcPr>
            <w:tcW w:w="1530" w:type="dxa"/>
            <w:tcBorders>
              <w:left w:val="single" w:color="000000" w:sz="16" w:space="0"/>
              <w:right w:val="single" w:color="000000" w:sz="8" w:space="0"/>
            </w:tcBorders>
            <w:shd w:val="clear" w:color="auto" w:fill="FFFFFF"/>
            <w:vAlign w:val="center"/>
          </w:tcPr>
          <w:p>
            <w:pPr>
              <w:spacing w:line="320" w:lineRule="atLeast"/>
              <w:ind w:left="60" w:right="60"/>
              <w:jc w:val="right"/>
              <w:rPr>
                <w:rFonts w:ascii="Times New Roman" w:hAnsi="Times New Roman" w:cs="Times New Roman"/>
                <w:sz w:val="25"/>
                <w:szCs w:val="25"/>
              </w:rPr>
            </w:pPr>
            <w:r>
              <w:rPr>
                <w:rFonts w:ascii="Times New Roman" w:hAnsi="Times New Roman" w:eastAsia="Calibri" w:cs="Times New Roman"/>
                <w:color w:val="000000"/>
                <w:sz w:val="25"/>
                <w:szCs w:val="25"/>
              </w:rPr>
              <w:t>.667</w:t>
            </w:r>
            <w:r>
              <w:rPr>
                <w:rFonts w:ascii="Times New Roman" w:hAnsi="Times New Roman" w:eastAsia="Calibri" w:cs="Times New Roman"/>
                <w:color w:val="000000"/>
                <w:sz w:val="25"/>
                <w:szCs w:val="25"/>
                <w:vertAlign w:val="superscript"/>
              </w:rPr>
              <w:t>*</w:t>
            </w:r>
          </w:p>
        </w:tc>
        <w:tc>
          <w:tcPr>
            <w:tcW w:w="1439" w:type="dxa"/>
            <w:tcBorders>
              <w:left w:val="single" w:color="000000" w:sz="8" w:space="0"/>
              <w:right w:val="single" w:color="000000" w:sz="8" w:space="0"/>
            </w:tcBorders>
            <w:shd w:val="clear" w:color="auto" w:fill="FFFFFF"/>
            <w:vAlign w:val="center"/>
          </w:tcPr>
          <w:p>
            <w:pPr>
              <w:spacing w:line="320" w:lineRule="atLeast"/>
              <w:ind w:left="60" w:right="60"/>
              <w:jc w:val="right"/>
              <w:rPr>
                <w:rFonts w:ascii="Times New Roman" w:hAnsi="Times New Roman" w:eastAsia="Calibri" w:cs="Times New Roman"/>
                <w:color w:val="000000"/>
                <w:sz w:val="25"/>
                <w:szCs w:val="25"/>
              </w:rPr>
            </w:pPr>
            <w:r>
              <w:rPr>
                <w:rFonts w:ascii="Times New Roman" w:hAnsi="Times New Roman" w:eastAsia="Calibri" w:cs="Times New Roman"/>
                <w:color w:val="000000"/>
                <w:sz w:val="25"/>
                <w:szCs w:val="25"/>
              </w:rPr>
              <w:t>1</w:t>
            </w:r>
          </w:p>
        </w:tc>
        <w:tc>
          <w:tcPr>
            <w:tcW w:w="1440" w:type="dxa"/>
            <w:tcBorders>
              <w:left w:val="single" w:color="000000" w:sz="8" w:space="0"/>
              <w:right w:val="single" w:color="000000" w:sz="8" w:space="0"/>
            </w:tcBorders>
            <w:shd w:val="clear" w:color="auto" w:fill="FFFFFF"/>
            <w:vAlign w:val="center"/>
          </w:tcPr>
          <w:p>
            <w:pPr>
              <w:spacing w:line="320" w:lineRule="atLeast"/>
              <w:ind w:left="60" w:right="60"/>
              <w:jc w:val="right"/>
              <w:rPr>
                <w:rFonts w:ascii="Times New Roman" w:hAnsi="Times New Roman" w:eastAsia="Calibri" w:cs="Times New Roman"/>
                <w:color w:val="000000"/>
                <w:sz w:val="25"/>
                <w:szCs w:val="25"/>
              </w:rPr>
            </w:pPr>
          </w:p>
        </w:tc>
        <w:tc>
          <w:tcPr>
            <w:tcW w:w="1532" w:type="dxa"/>
            <w:tcBorders>
              <w:left w:val="single" w:color="000000" w:sz="8" w:space="0"/>
              <w:right w:val="single" w:color="000000" w:sz="8" w:space="0"/>
            </w:tcBorders>
            <w:shd w:val="clear" w:color="auto" w:fill="FFFFFF"/>
            <w:vAlign w:val="center"/>
          </w:tcPr>
          <w:p>
            <w:pPr>
              <w:spacing w:line="320" w:lineRule="atLeast"/>
              <w:ind w:left="60" w:right="60"/>
              <w:jc w:val="right"/>
              <w:rPr>
                <w:rFonts w:ascii="Times New Roman" w:hAnsi="Times New Roman" w:eastAsia="Calibri" w:cs="Times New Roman"/>
                <w:color w:val="000000"/>
                <w:sz w:val="25"/>
                <w:szCs w:val="25"/>
              </w:rPr>
            </w:pPr>
          </w:p>
        </w:tc>
      </w:tr>
      <w:tr>
        <w:tblPrEx>
          <w:tblLayout w:type="fixed"/>
        </w:tblPrEx>
        <w:trPr>
          <w:cantSplit/>
        </w:trPr>
        <w:tc>
          <w:tcPr>
            <w:tcW w:w="2161" w:type="dxa"/>
            <w:vMerge w:val="continue"/>
            <w:tcBorders>
              <w:left w:val="single" w:color="000000" w:sz="16" w:space="0"/>
              <w:bottom w:val="single" w:color="000000" w:sz="8" w:space="0"/>
            </w:tcBorders>
            <w:shd w:val="clear" w:color="auto" w:fill="FFFFFF"/>
          </w:tcPr>
          <w:p>
            <w:pPr>
              <w:rPr>
                <w:rFonts w:ascii="Times New Roman" w:hAnsi="Times New Roman" w:cs="Times New Roman"/>
                <w:sz w:val="25"/>
                <w:szCs w:val="25"/>
              </w:rPr>
            </w:pPr>
          </w:p>
        </w:tc>
        <w:tc>
          <w:tcPr>
            <w:tcW w:w="1888" w:type="dxa"/>
            <w:tcBorders>
              <w:right w:val="single" w:color="000000" w:sz="16" w:space="0"/>
            </w:tcBorders>
            <w:shd w:val="clear" w:color="auto" w:fill="FFFFFF"/>
          </w:tcPr>
          <w:p>
            <w:pPr>
              <w:spacing w:line="320" w:lineRule="atLeast"/>
              <w:ind w:left="60" w:right="60"/>
              <w:rPr>
                <w:rFonts w:ascii="Times New Roman" w:hAnsi="Times New Roman" w:eastAsia="Calibri" w:cs="Times New Roman"/>
                <w:color w:val="000000"/>
                <w:sz w:val="25"/>
                <w:szCs w:val="25"/>
              </w:rPr>
            </w:pPr>
            <w:r>
              <w:rPr>
                <w:rFonts w:ascii="Times New Roman" w:hAnsi="Times New Roman" w:eastAsia="Calibri" w:cs="Times New Roman"/>
                <w:color w:val="000000"/>
                <w:sz w:val="25"/>
                <w:szCs w:val="25"/>
              </w:rPr>
              <w:t>Sig. (2-tailed)</w:t>
            </w:r>
          </w:p>
        </w:tc>
        <w:tc>
          <w:tcPr>
            <w:tcW w:w="1530" w:type="dxa"/>
            <w:tcBorders>
              <w:left w:val="single" w:color="000000" w:sz="16" w:space="0"/>
              <w:right w:val="single" w:color="000000" w:sz="8" w:space="0"/>
            </w:tcBorders>
            <w:shd w:val="clear" w:color="auto" w:fill="FFFFFF"/>
            <w:vAlign w:val="center"/>
          </w:tcPr>
          <w:p>
            <w:pPr>
              <w:spacing w:line="320" w:lineRule="atLeast"/>
              <w:ind w:left="60" w:right="60"/>
              <w:jc w:val="right"/>
              <w:rPr>
                <w:rFonts w:ascii="Times New Roman" w:hAnsi="Times New Roman" w:eastAsia="Calibri" w:cs="Times New Roman"/>
                <w:color w:val="000000"/>
                <w:sz w:val="25"/>
                <w:szCs w:val="25"/>
              </w:rPr>
            </w:pPr>
            <w:r>
              <w:rPr>
                <w:rFonts w:ascii="Times New Roman" w:hAnsi="Times New Roman" w:eastAsia="Calibri" w:cs="Times New Roman"/>
                <w:color w:val="000000"/>
                <w:sz w:val="25"/>
                <w:szCs w:val="25"/>
              </w:rPr>
              <w:t>.000</w:t>
            </w:r>
          </w:p>
        </w:tc>
        <w:tc>
          <w:tcPr>
            <w:tcW w:w="1439" w:type="dxa"/>
            <w:tcBorders>
              <w:left w:val="single" w:color="000000" w:sz="8" w:space="0"/>
              <w:right w:val="single" w:color="000000" w:sz="8" w:space="0"/>
            </w:tcBorders>
            <w:shd w:val="clear" w:color="auto" w:fill="FFFFFF"/>
            <w:vAlign w:val="center"/>
          </w:tcPr>
          <w:p>
            <w:pPr>
              <w:spacing w:line="320" w:lineRule="atLeast"/>
              <w:ind w:left="60" w:right="60"/>
              <w:jc w:val="right"/>
              <w:rPr>
                <w:rFonts w:ascii="Times New Roman" w:hAnsi="Times New Roman" w:eastAsia="Calibri" w:cs="Times New Roman"/>
                <w:color w:val="000000"/>
                <w:sz w:val="25"/>
                <w:szCs w:val="25"/>
              </w:rPr>
            </w:pPr>
          </w:p>
        </w:tc>
        <w:tc>
          <w:tcPr>
            <w:tcW w:w="1440" w:type="dxa"/>
            <w:tcBorders>
              <w:left w:val="single" w:color="000000" w:sz="8" w:space="0"/>
              <w:right w:val="single" w:color="000000" w:sz="8" w:space="0"/>
            </w:tcBorders>
            <w:shd w:val="clear" w:color="auto" w:fill="FFFFFF"/>
            <w:vAlign w:val="center"/>
          </w:tcPr>
          <w:p>
            <w:pPr>
              <w:rPr>
                <w:rFonts w:ascii="Times New Roman" w:hAnsi="Times New Roman" w:eastAsia="Calibri" w:cs="Times New Roman"/>
                <w:sz w:val="25"/>
                <w:szCs w:val="25"/>
              </w:rPr>
            </w:pPr>
          </w:p>
        </w:tc>
        <w:tc>
          <w:tcPr>
            <w:tcW w:w="1532" w:type="dxa"/>
            <w:tcBorders>
              <w:left w:val="single" w:color="000000" w:sz="8" w:space="0"/>
              <w:right w:val="single" w:color="000000" w:sz="8" w:space="0"/>
            </w:tcBorders>
            <w:shd w:val="clear" w:color="auto" w:fill="FFFFFF"/>
            <w:vAlign w:val="center"/>
          </w:tcPr>
          <w:p>
            <w:pPr>
              <w:spacing w:line="320" w:lineRule="atLeast"/>
              <w:ind w:left="60" w:right="60"/>
              <w:jc w:val="right"/>
              <w:rPr>
                <w:rFonts w:ascii="Times New Roman" w:hAnsi="Times New Roman" w:eastAsia="Calibri" w:cs="Times New Roman"/>
                <w:color w:val="000000"/>
                <w:sz w:val="25"/>
                <w:szCs w:val="25"/>
              </w:rPr>
            </w:pPr>
          </w:p>
        </w:tc>
      </w:tr>
      <w:tr>
        <w:tblPrEx>
          <w:tblLayout w:type="fixed"/>
        </w:tblPrEx>
        <w:trPr>
          <w:cantSplit/>
        </w:trPr>
        <w:tc>
          <w:tcPr>
            <w:tcW w:w="2161" w:type="dxa"/>
            <w:vMerge w:val="continue"/>
            <w:tcBorders>
              <w:left w:val="single" w:color="000000" w:sz="16" w:space="0"/>
              <w:bottom w:val="single" w:color="000000" w:sz="8" w:space="0"/>
            </w:tcBorders>
            <w:shd w:val="clear" w:color="auto" w:fill="FFFFFF"/>
          </w:tcPr>
          <w:p>
            <w:pPr>
              <w:rPr>
                <w:rFonts w:ascii="Times New Roman" w:hAnsi="Times New Roman" w:cs="Times New Roman"/>
                <w:sz w:val="25"/>
                <w:szCs w:val="25"/>
              </w:rPr>
            </w:pPr>
          </w:p>
        </w:tc>
        <w:tc>
          <w:tcPr>
            <w:tcW w:w="1888" w:type="dxa"/>
            <w:tcBorders>
              <w:bottom w:val="single" w:color="000000" w:sz="8" w:space="0"/>
              <w:right w:val="single" w:color="000000" w:sz="16" w:space="0"/>
            </w:tcBorders>
            <w:shd w:val="clear" w:color="auto" w:fill="FFFFFF"/>
          </w:tcPr>
          <w:p>
            <w:pPr>
              <w:spacing w:line="320" w:lineRule="atLeast"/>
              <w:ind w:left="60" w:right="60"/>
              <w:rPr>
                <w:rFonts w:ascii="Times New Roman" w:hAnsi="Times New Roman" w:eastAsia="Calibri" w:cs="Times New Roman"/>
                <w:color w:val="000000"/>
                <w:sz w:val="25"/>
                <w:szCs w:val="25"/>
              </w:rPr>
            </w:pPr>
            <w:r>
              <w:rPr>
                <w:rFonts w:ascii="Times New Roman" w:hAnsi="Times New Roman" w:eastAsia="Calibri" w:cs="Times New Roman"/>
                <w:color w:val="000000"/>
                <w:sz w:val="25"/>
                <w:szCs w:val="25"/>
              </w:rPr>
              <w:t>N</w:t>
            </w:r>
          </w:p>
        </w:tc>
        <w:tc>
          <w:tcPr>
            <w:tcW w:w="1530" w:type="dxa"/>
            <w:tcBorders>
              <w:left w:val="single" w:color="000000" w:sz="16" w:space="0"/>
              <w:bottom w:val="single" w:color="000000" w:sz="8" w:space="0"/>
              <w:right w:val="single" w:color="000000" w:sz="8" w:space="0"/>
            </w:tcBorders>
            <w:shd w:val="clear" w:color="auto" w:fill="FFFFFF"/>
            <w:vAlign w:val="center"/>
          </w:tcPr>
          <w:p>
            <w:pPr>
              <w:spacing w:line="320" w:lineRule="atLeast"/>
              <w:ind w:left="60" w:right="60"/>
              <w:jc w:val="right"/>
              <w:rPr>
                <w:rFonts w:ascii="Times New Roman" w:hAnsi="Times New Roman" w:eastAsia="Calibri" w:cs="Times New Roman"/>
                <w:color w:val="000000"/>
                <w:sz w:val="25"/>
                <w:szCs w:val="25"/>
              </w:rPr>
            </w:pPr>
            <w:r>
              <w:rPr>
                <w:rFonts w:ascii="Times New Roman" w:hAnsi="Times New Roman" w:eastAsia="Calibri" w:cs="Times New Roman"/>
                <w:color w:val="000000"/>
                <w:sz w:val="25"/>
                <w:szCs w:val="25"/>
              </w:rPr>
              <w:t>50</w:t>
            </w:r>
          </w:p>
        </w:tc>
        <w:tc>
          <w:tcPr>
            <w:tcW w:w="1439" w:type="dxa"/>
            <w:tcBorders>
              <w:left w:val="single" w:color="000000" w:sz="8" w:space="0"/>
              <w:bottom w:val="single" w:color="000000" w:sz="8" w:space="0"/>
              <w:right w:val="single" w:color="000000" w:sz="8" w:space="0"/>
            </w:tcBorders>
            <w:shd w:val="clear" w:color="auto" w:fill="FFFFFF"/>
            <w:vAlign w:val="center"/>
          </w:tcPr>
          <w:p>
            <w:pPr>
              <w:spacing w:line="320" w:lineRule="atLeast"/>
              <w:ind w:left="60" w:right="60"/>
              <w:jc w:val="right"/>
              <w:rPr>
                <w:rFonts w:ascii="Times New Roman" w:hAnsi="Times New Roman" w:eastAsia="Calibri" w:cs="Times New Roman"/>
                <w:color w:val="000000"/>
                <w:sz w:val="25"/>
                <w:szCs w:val="25"/>
              </w:rPr>
            </w:pPr>
            <w:r>
              <w:rPr>
                <w:rFonts w:ascii="Times New Roman" w:hAnsi="Times New Roman" w:eastAsia="Calibri" w:cs="Times New Roman"/>
                <w:color w:val="000000"/>
                <w:sz w:val="25"/>
                <w:szCs w:val="25"/>
              </w:rPr>
              <w:t>50</w:t>
            </w:r>
          </w:p>
        </w:tc>
        <w:tc>
          <w:tcPr>
            <w:tcW w:w="1440" w:type="dxa"/>
            <w:tcBorders>
              <w:left w:val="single" w:color="000000" w:sz="8" w:space="0"/>
              <w:bottom w:val="single" w:color="000000" w:sz="8" w:space="0"/>
              <w:right w:val="single" w:color="000000" w:sz="8" w:space="0"/>
            </w:tcBorders>
            <w:shd w:val="clear" w:color="auto" w:fill="FFFFFF"/>
            <w:vAlign w:val="center"/>
          </w:tcPr>
          <w:p>
            <w:pPr>
              <w:spacing w:line="320" w:lineRule="atLeast"/>
              <w:ind w:left="60" w:right="60"/>
              <w:jc w:val="right"/>
              <w:rPr>
                <w:rFonts w:ascii="Times New Roman" w:hAnsi="Times New Roman" w:eastAsia="Calibri" w:cs="Times New Roman"/>
                <w:color w:val="000000"/>
                <w:sz w:val="25"/>
                <w:szCs w:val="25"/>
              </w:rPr>
            </w:pPr>
          </w:p>
        </w:tc>
        <w:tc>
          <w:tcPr>
            <w:tcW w:w="1532" w:type="dxa"/>
            <w:tcBorders>
              <w:left w:val="single" w:color="000000" w:sz="8" w:space="0"/>
              <w:bottom w:val="single" w:color="000000" w:sz="8" w:space="0"/>
              <w:right w:val="single" w:color="000000" w:sz="8" w:space="0"/>
            </w:tcBorders>
            <w:shd w:val="clear" w:color="auto" w:fill="FFFFFF"/>
            <w:vAlign w:val="center"/>
          </w:tcPr>
          <w:p>
            <w:pPr>
              <w:spacing w:line="320" w:lineRule="atLeast"/>
              <w:ind w:left="60" w:right="60"/>
              <w:jc w:val="right"/>
              <w:rPr>
                <w:rFonts w:ascii="Times New Roman" w:hAnsi="Times New Roman" w:eastAsia="Calibri" w:cs="Times New Roman"/>
                <w:color w:val="000000"/>
                <w:sz w:val="25"/>
                <w:szCs w:val="25"/>
              </w:rPr>
            </w:pPr>
          </w:p>
        </w:tc>
      </w:tr>
      <w:tr>
        <w:tblPrEx>
          <w:tblLayout w:type="fixed"/>
        </w:tblPrEx>
        <w:trPr>
          <w:cantSplit/>
        </w:trPr>
        <w:tc>
          <w:tcPr>
            <w:tcW w:w="2161" w:type="dxa"/>
            <w:vMerge w:val="restart"/>
            <w:tcBorders>
              <w:left w:val="single" w:color="000000" w:sz="16" w:space="0"/>
              <w:bottom w:val="single" w:color="000000" w:sz="8" w:space="0"/>
            </w:tcBorders>
            <w:shd w:val="clear" w:color="auto" w:fill="FFFFFF"/>
          </w:tcPr>
          <w:p>
            <w:pPr>
              <w:spacing w:line="320" w:lineRule="atLeast"/>
              <w:ind w:right="60"/>
              <w:rPr>
                <w:rFonts w:ascii="Times New Roman" w:hAnsi="Times New Roman" w:eastAsia="Calibri" w:cs="Times New Roman"/>
                <w:color w:val="000000"/>
                <w:sz w:val="25"/>
                <w:szCs w:val="25"/>
              </w:rPr>
            </w:pPr>
            <w:r>
              <w:rPr>
                <w:rFonts w:ascii="Times New Roman" w:hAnsi="Times New Roman" w:eastAsia="Calibri" w:cs="Times New Roman"/>
                <w:color w:val="000000"/>
                <w:sz w:val="25"/>
                <w:szCs w:val="25"/>
              </w:rPr>
              <w:t xml:space="preserve"> Green Training and Dev.</w:t>
            </w:r>
          </w:p>
        </w:tc>
        <w:tc>
          <w:tcPr>
            <w:tcW w:w="1888" w:type="dxa"/>
            <w:tcBorders>
              <w:right w:val="single" w:color="000000" w:sz="16" w:space="0"/>
            </w:tcBorders>
            <w:shd w:val="clear" w:color="auto" w:fill="FFFFFF"/>
          </w:tcPr>
          <w:p>
            <w:pPr>
              <w:spacing w:line="320" w:lineRule="atLeast"/>
              <w:ind w:left="60" w:right="60"/>
              <w:rPr>
                <w:rFonts w:ascii="Times New Roman" w:hAnsi="Times New Roman" w:eastAsia="Calibri" w:cs="Times New Roman"/>
                <w:color w:val="000000"/>
                <w:sz w:val="25"/>
                <w:szCs w:val="25"/>
              </w:rPr>
            </w:pPr>
            <w:r>
              <w:rPr>
                <w:rFonts w:ascii="Times New Roman" w:hAnsi="Times New Roman" w:eastAsia="Calibri" w:cs="Times New Roman"/>
                <w:color w:val="000000"/>
                <w:sz w:val="25"/>
                <w:szCs w:val="25"/>
              </w:rPr>
              <w:t>Pearson Correlation</w:t>
            </w:r>
          </w:p>
        </w:tc>
        <w:tc>
          <w:tcPr>
            <w:tcW w:w="1530" w:type="dxa"/>
            <w:tcBorders>
              <w:left w:val="single" w:color="000000" w:sz="16" w:space="0"/>
              <w:right w:val="single" w:color="000000" w:sz="8" w:space="0"/>
            </w:tcBorders>
            <w:shd w:val="clear" w:color="auto" w:fill="FFFFFF"/>
            <w:vAlign w:val="center"/>
          </w:tcPr>
          <w:p>
            <w:pPr>
              <w:spacing w:line="320" w:lineRule="atLeast"/>
              <w:ind w:left="60" w:right="60"/>
              <w:jc w:val="right"/>
              <w:rPr>
                <w:rFonts w:ascii="Times New Roman" w:hAnsi="Times New Roman" w:cs="Times New Roman"/>
                <w:sz w:val="25"/>
                <w:szCs w:val="25"/>
              </w:rPr>
            </w:pPr>
            <w:r>
              <w:rPr>
                <w:rFonts w:ascii="Times New Roman" w:hAnsi="Times New Roman" w:eastAsia="Calibri" w:cs="Times New Roman"/>
                <w:color w:val="000000"/>
                <w:sz w:val="25"/>
                <w:szCs w:val="25"/>
              </w:rPr>
              <w:t>.807</w:t>
            </w:r>
            <w:r>
              <w:rPr>
                <w:rFonts w:ascii="Times New Roman" w:hAnsi="Times New Roman" w:eastAsia="Calibri" w:cs="Times New Roman"/>
                <w:color w:val="000000"/>
                <w:sz w:val="25"/>
                <w:szCs w:val="25"/>
                <w:vertAlign w:val="superscript"/>
              </w:rPr>
              <w:t>*</w:t>
            </w:r>
          </w:p>
        </w:tc>
        <w:tc>
          <w:tcPr>
            <w:tcW w:w="1439" w:type="dxa"/>
            <w:tcBorders>
              <w:left w:val="single" w:color="000000" w:sz="8" w:space="0"/>
              <w:right w:val="single" w:color="000000" w:sz="8" w:space="0"/>
            </w:tcBorders>
            <w:shd w:val="clear" w:color="auto" w:fill="FFFFFF"/>
            <w:vAlign w:val="center"/>
          </w:tcPr>
          <w:p>
            <w:pPr>
              <w:spacing w:line="320" w:lineRule="atLeast"/>
              <w:ind w:left="60" w:right="60"/>
              <w:jc w:val="right"/>
              <w:rPr>
                <w:rFonts w:ascii="Times New Roman" w:hAnsi="Times New Roman" w:cs="Times New Roman"/>
                <w:sz w:val="25"/>
                <w:szCs w:val="25"/>
              </w:rPr>
            </w:pPr>
            <w:r>
              <w:rPr>
                <w:rFonts w:ascii="Times New Roman" w:hAnsi="Times New Roman" w:eastAsia="Calibri" w:cs="Times New Roman"/>
                <w:color w:val="000000"/>
                <w:sz w:val="25"/>
                <w:szCs w:val="25"/>
              </w:rPr>
              <w:t>.508</w:t>
            </w:r>
            <w:r>
              <w:rPr>
                <w:rFonts w:ascii="Times New Roman" w:hAnsi="Times New Roman" w:eastAsia="Calibri" w:cs="Times New Roman"/>
                <w:color w:val="000000"/>
                <w:sz w:val="25"/>
                <w:szCs w:val="25"/>
                <w:vertAlign w:val="superscript"/>
              </w:rPr>
              <w:t>*</w:t>
            </w:r>
          </w:p>
        </w:tc>
        <w:tc>
          <w:tcPr>
            <w:tcW w:w="1440" w:type="dxa"/>
            <w:tcBorders>
              <w:left w:val="single" w:color="000000" w:sz="8" w:space="0"/>
              <w:right w:val="single" w:color="000000" w:sz="8" w:space="0"/>
            </w:tcBorders>
            <w:shd w:val="clear" w:color="auto" w:fill="FFFFFF"/>
            <w:vAlign w:val="center"/>
          </w:tcPr>
          <w:p>
            <w:pPr>
              <w:spacing w:line="320" w:lineRule="atLeast"/>
              <w:ind w:left="60" w:right="60"/>
              <w:jc w:val="right"/>
              <w:rPr>
                <w:rFonts w:ascii="Times New Roman" w:hAnsi="Times New Roman" w:eastAsia="Calibri" w:cs="Times New Roman"/>
                <w:color w:val="000000"/>
                <w:sz w:val="25"/>
                <w:szCs w:val="25"/>
              </w:rPr>
            </w:pPr>
            <w:r>
              <w:rPr>
                <w:rFonts w:ascii="Times New Roman" w:hAnsi="Times New Roman" w:eastAsia="Calibri" w:cs="Times New Roman"/>
                <w:color w:val="000000"/>
                <w:sz w:val="25"/>
                <w:szCs w:val="25"/>
              </w:rPr>
              <w:t>1</w:t>
            </w:r>
          </w:p>
        </w:tc>
        <w:tc>
          <w:tcPr>
            <w:tcW w:w="1532" w:type="dxa"/>
            <w:tcBorders>
              <w:left w:val="single" w:color="000000" w:sz="8" w:space="0"/>
              <w:right w:val="single" w:color="000000" w:sz="8" w:space="0"/>
            </w:tcBorders>
            <w:shd w:val="clear" w:color="auto" w:fill="FFFFFF"/>
            <w:vAlign w:val="center"/>
          </w:tcPr>
          <w:p>
            <w:pPr>
              <w:spacing w:line="320" w:lineRule="atLeast"/>
              <w:ind w:left="60" w:right="60"/>
              <w:jc w:val="right"/>
              <w:rPr>
                <w:rFonts w:ascii="Times New Roman" w:hAnsi="Times New Roman" w:eastAsia="Calibri" w:cs="Times New Roman"/>
                <w:color w:val="000000"/>
                <w:sz w:val="25"/>
                <w:szCs w:val="25"/>
              </w:rPr>
            </w:pPr>
          </w:p>
        </w:tc>
      </w:tr>
      <w:tr>
        <w:tblPrEx>
          <w:tblLayout w:type="fixed"/>
        </w:tblPrEx>
        <w:trPr>
          <w:cantSplit/>
        </w:trPr>
        <w:tc>
          <w:tcPr>
            <w:tcW w:w="2161" w:type="dxa"/>
            <w:vMerge w:val="continue"/>
            <w:tcBorders>
              <w:left w:val="single" w:color="000000" w:sz="16" w:space="0"/>
              <w:bottom w:val="single" w:color="000000" w:sz="8" w:space="0"/>
            </w:tcBorders>
            <w:shd w:val="clear" w:color="auto" w:fill="FFFFFF"/>
          </w:tcPr>
          <w:p>
            <w:pPr>
              <w:rPr>
                <w:rFonts w:ascii="Times New Roman" w:hAnsi="Times New Roman" w:cs="Times New Roman"/>
                <w:sz w:val="25"/>
                <w:szCs w:val="25"/>
              </w:rPr>
            </w:pPr>
          </w:p>
        </w:tc>
        <w:tc>
          <w:tcPr>
            <w:tcW w:w="1888" w:type="dxa"/>
            <w:tcBorders>
              <w:right w:val="single" w:color="000000" w:sz="16" w:space="0"/>
            </w:tcBorders>
            <w:shd w:val="clear" w:color="auto" w:fill="FFFFFF"/>
          </w:tcPr>
          <w:p>
            <w:pPr>
              <w:spacing w:line="320" w:lineRule="atLeast"/>
              <w:ind w:left="60" w:right="60"/>
              <w:rPr>
                <w:rFonts w:ascii="Times New Roman" w:hAnsi="Times New Roman" w:eastAsia="Calibri" w:cs="Times New Roman"/>
                <w:color w:val="000000"/>
                <w:sz w:val="25"/>
                <w:szCs w:val="25"/>
              </w:rPr>
            </w:pPr>
            <w:r>
              <w:rPr>
                <w:rFonts w:ascii="Times New Roman" w:hAnsi="Times New Roman" w:eastAsia="Calibri" w:cs="Times New Roman"/>
                <w:color w:val="000000"/>
                <w:sz w:val="25"/>
                <w:szCs w:val="25"/>
              </w:rPr>
              <w:t>Sig. (2-tailed)</w:t>
            </w:r>
          </w:p>
        </w:tc>
        <w:tc>
          <w:tcPr>
            <w:tcW w:w="1530" w:type="dxa"/>
            <w:tcBorders>
              <w:left w:val="single" w:color="000000" w:sz="16" w:space="0"/>
              <w:right w:val="single" w:color="000000" w:sz="8" w:space="0"/>
            </w:tcBorders>
            <w:shd w:val="clear" w:color="auto" w:fill="FFFFFF"/>
            <w:vAlign w:val="center"/>
          </w:tcPr>
          <w:p>
            <w:pPr>
              <w:spacing w:line="320" w:lineRule="atLeast"/>
              <w:ind w:left="60" w:right="60"/>
              <w:jc w:val="right"/>
              <w:rPr>
                <w:rFonts w:ascii="Times New Roman" w:hAnsi="Times New Roman" w:eastAsia="Calibri" w:cs="Times New Roman"/>
                <w:color w:val="000000"/>
                <w:sz w:val="25"/>
                <w:szCs w:val="25"/>
              </w:rPr>
            </w:pPr>
            <w:r>
              <w:rPr>
                <w:rFonts w:ascii="Times New Roman" w:hAnsi="Times New Roman" w:eastAsia="Calibri" w:cs="Times New Roman"/>
                <w:color w:val="000000"/>
                <w:sz w:val="25"/>
                <w:szCs w:val="25"/>
              </w:rPr>
              <w:t>.000</w:t>
            </w:r>
          </w:p>
        </w:tc>
        <w:tc>
          <w:tcPr>
            <w:tcW w:w="1439" w:type="dxa"/>
            <w:tcBorders>
              <w:left w:val="single" w:color="000000" w:sz="8" w:space="0"/>
              <w:right w:val="single" w:color="000000" w:sz="8" w:space="0"/>
            </w:tcBorders>
            <w:shd w:val="clear" w:color="auto" w:fill="FFFFFF"/>
            <w:vAlign w:val="center"/>
          </w:tcPr>
          <w:p>
            <w:pPr>
              <w:spacing w:line="320" w:lineRule="atLeast"/>
              <w:ind w:left="60" w:right="60"/>
              <w:jc w:val="right"/>
              <w:rPr>
                <w:rFonts w:ascii="Times New Roman" w:hAnsi="Times New Roman" w:eastAsia="Calibri" w:cs="Times New Roman"/>
                <w:color w:val="000000"/>
                <w:sz w:val="25"/>
                <w:szCs w:val="25"/>
              </w:rPr>
            </w:pPr>
            <w:r>
              <w:rPr>
                <w:rFonts w:ascii="Times New Roman" w:hAnsi="Times New Roman" w:eastAsia="Calibri" w:cs="Times New Roman"/>
                <w:color w:val="000000"/>
                <w:sz w:val="25"/>
                <w:szCs w:val="25"/>
              </w:rPr>
              <w:t>.016</w:t>
            </w:r>
          </w:p>
        </w:tc>
        <w:tc>
          <w:tcPr>
            <w:tcW w:w="1440" w:type="dxa"/>
            <w:tcBorders>
              <w:left w:val="single" w:color="000000" w:sz="8" w:space="0"/>
              <w:right w:val="single" w:color="000000" w:sz="8" w:space="0"/>
            </w:tcBorders>
            <w:shd w:val="clear" w:color="auto" w:fill="FFFFFF"/>
            <w:vAlign w:val="center"/>
          </w:tcPr>
          <w:p>
            <w:pPr>
              <w:spacing w:line="320" w:lineRule="atLeast"/>
              <w:ind w:left="60" w:right="60"/>
              <w:jc w:val="right"/>
              <w:rPr>
                <w:rFonts w:ascii="Times New Roman" w:hAnsi="Times New Roman" w:eastAsia="Calibri" w:cs="Times New Roman"/>
                <w:color w:val="000000"/>
                <w:sz w:val="25"/>
                <w:szCs w:val="25"/>
              </w:rPr>
            </w:pPr>
          </w:p>
        </w:tc>
        <w:tc>
          <w:tcPr>
            <w:tcW w:w="1532" w:type="dxa"/>
            <w:tcBorders>
              <w:left w:val="single" w:color="000000" w:sz="8" w:space="0"/>
              <w:right w:val="single" w:color="000000" w:sz="8" w:space="0"/>
            </w:tcBorders>
            <w:shd w:val="clear" w:color="auto" w:fill="FFFFFF"/>
            <w:vAlign w:val="center"/>
          </w:tcPr>
          <w:p>
            <w:pPr>
              <w:spacing w:line="320" w:lineRule="atLeast"/>
              <w:ind w:left="60" w:right="60"/>
              <w:jc w:val="right"/>
              <w:rPr>
                <w:rFonts w:ascii="Times New Roman" w:hAnsi="Times New Roman" w:eastAsia="Calibri" w:cs="Times New Roman"/>
                <w:color w:val="000000"/>
                <w:sz w:val="25"/>
                <w:szCs w:val="25"/>
              </w:rPr>
            </w:pPr>
          </w:p>
        </w:tc>
      </w:tr>
      <w:tr>
        <w:tblPrEx>
          <w:tblLayout w:type="fixed"/>
        </w:tblPrEx>
        <w:trPr>
          <w:cantSplit/>
        </w:trPr>
        <w:tc>
          <w:tcPr>
            <w:tcW w:w="2161" w:type="dxa"/>
            <w:vMerge w:val="continue"/>
            <w:tcBorders>
              <w:left w:val="single" w:color="000000" w:sz="16" w:space="0"/>
              <w:bottom w:val="single" w:color="000000" w:sz="8" w:space="0"/>
            </w:tcBorders>
            <w:shd w:val="clear" w:color="auto" w:fill="FFFFFF"/>
          </w:tcPr>
          <w:p>
            <w:pPr>
              <w:rPr>
                <w:rFonts w:ascii="Times New Roman" w:hAnsi="Times New Roman" w:cs="Times New Roman"/>
                <w:sz w:val="25"/>
                <w:szCs w:val="25"/>
              </w:rPr>
            </w:pPr>
          </w:p>
        </w:tc>
        <w:tc>
          <w:tcPr>
            <w:tcW w:w="1888" w:type="dxa"/>
            <w:tcBorders>
              <w:bottom w:val="single" w:color="000000" w:sz="8" w:space="0"/>
              <w:right w:val="single" w:color="000000" w:sz="16" w:space="0"/>
            </w:tcBorders>
            <w:shd w:val="clear" w:color="auto" w:fill="FFFFFF"/>
          </w:tcPr>
          <w:p>
            <w:pPr>
              <w:spacing w:line="320" w:lineRule="atLeast"/>
              <w:ind w:left="60" w:right="60"/>
              <w:rPr>
                <w:rFonts w:ascii="Times New Roman" w:hAnsi="Times New Roman" w:eastAsia="Calibri" w:cs="Times New Roman"/>
                <w:color w:val="000000"/>
                <w:sz w:val="25"/>
                <w:szCs w:val="25"/>
              </w:rPr>
            </w:pPr>
            <w:r>
              <w:rPr>
                <w:rFonts w:ascii="Times New Roman" w:hAnsi="Times New Roman" w:eastAsia="Calibri" w:cs="Times New Roman"/>
                <w:color w:val="000000"/>
                <w:sz w:val="25"/>
                <w:szCs w:val="25"/>
              </w:rPr>
              <w:t>N</w:t>
            </w:r>
          </w:p>
        </w:tc>
        <w:tc>
          <w:tcPr>
            <w:tcW w:w="1530" w:type="dxa"/>
            <w:tcBorders>
              <w:left w:val="single" w:color="000000" w:sz="16" w:space="0"/>
              <w:bottom w:val="single" w:color="000000" w:sz="8" w:space="0"/>
              <w:right w:val="single" w:color="000000" w:sz="8" w:space="0"/>
            </w:tcBorders>
            <w:shd w:val="clear" w:color="auto" w:fill="FFFFFF"/>
            <w:vAlign w:val="center"/>
          </w:tcPr>
          <w:p>
            <w:pPr>
              <w:spacing w:line="320" w:lineRule="atLeast"/>
              <w:ind w:left="60" w:right="60"/>
              <w:jc w:val="right"/>
              <w:rPr>
                <w:rFonts w:ascii="Times New Roman" w:hAnsi="Times New Roman" w:eastAsia="Calibri" w:cs="Times New Roman"/>
                <w:color w:val="000000"/>
                <w:sz w:val="25"/>
                <w:szCs w:val="25"/>
              </w:rPr>
            </w:pPr>
            <w:r>
              <w:rPr>
                <w:rFonts w:ascii="Times New Roman" w:hAnsi="Times New Roman" w:eastAsia="Calibri" w:cs="Times New Roman"/>
                <w:color w:val="000000"/>
                <w:sz w:val="25"/>
                <w:szCs w:val="25"/>
              </w:rPr>
              <w:t>50</w:t>
            </w:r>
          </w:p>
        </w:tc>
        <w:tc>
          <w:tcPr>
            <w:tcW w:w="1439" w:type="dxa"/>
            <w:tcBorders>
              <w:left w:val="single" w:color="000000" w:sz="8" w:space="0"/>
              <w:bottom w:val="single" w:color="000000" w:sz="8" w:space="0"/>
              <w:right w:val="single" w:color="000000" w:sz="8" w:space="0"/>
            </w:tcBorders>
            <w:shd w:val="clear" w:color="auto" w:fill="FFFFFF"/>
            <w:vAlign w:val="center"/>
          </w:tcPr>
          <w:p>
            <w:pPr>
              <w:spacing w:line="320" w:lineRule="atLeast"/>
              <w:ind w:left="60" w:right="60"/>
              <w:jc w:val="right"/>
              <w:rPr>
                <w:rFonts w:ascii="Times New Roman" w:hAnsi="Times New Roman" w:eastAsia="Calibri" w:cs="Times New Roman"/>
                <w:color w:val="000000"/>
                <w:sz w:val="25"/>
                <w:szCs w:val="25"/>
              </w:rPr>
            </w:pPr>
            <w:r>
              <w:rPr>
                <w:rFonts w:ascii="Times New Roman" w:hAnsi="Times New Roman" w:eastAsia="Calibri" w:cs="Times New Roman"/>
                <w:color w:val="000000"/>
                <w:sz w:val="25"/>
                <w:szCs w:val="25"/>
              </w:rPr>
              <w:t>50</w:t>
            </w:r>
          </w:p>
        </w:tc>
        <w:tc>
          <w:tcPr>
            <w:tcW w:w="1440" w:type="dxa"/>
            <w:tcBorders>
              <w:left w:val="single" w:color="000000" w:sz="8" w:space="0"/>
              <w:bottom w:val="single" w:color="000000" w:sz="8" w:space="0"/>
              <w:right w:val="single" w:color="000000" w:sz="8" w:space="0"/>
            </w:tcBorders>
            <w:shd w:val="clear" w:color="auto" w:fill="FFFFFF"/>
            <w:vAlign w:val="center"/>
          </w:tcPr>
          <w:p>
            <w:pPr>
              <w:spacing w:line="320" w:lineRule="atLeast"/>
              <w:ind w:left="60" w:right="60"/>
              <w:jc w:val="right"/>
              <w:rPr>
                <w:rFonts w:ascii="Times New Roman" w:hAnsi="Times New Roman" w:eastAsia="Calibri" w:cs="Times New Roman"/>
                <w:color w:val="000000"/>
                <w:sz w:val="25"/>
                <w:szCs w:val="25"/>
              </w:rPr>
            </w:pPr>
            <w:r>
              <w:rPr>
                <w:rFonts w:ascii="Times New Roman" w:hAnsi="Times New Roman" w:eastAsia="Calibri" w:cs="Times New Roman"/>
                <w:color w:val="000000"/>
                <w:sz w:val="25"/>
                <w:szCs w:val="25"/>
              </w:rPr>
              <w:t>50</w:t>
            </w:r>
          </w:p>
        </w:tc>
        <w:tc>
          <w:tcPr>
            <w:tcW w:w="1532" w:type="dxa"/>
            <w:tcBorders>
              <w:left w:val="single" w:color="000000" w:sz="8" w:space="0"/>
              <w:bottom w:val="single" w:color="000000" w:sz="8" w:space="0"/>
              <w:right w:val="single" w:color="000000" w:sz="8" w:space="0"/>
            </w:tcBorders>
            <w:shd w:val="clear" w:color="auto" w:fill="FFFFFF"/>
            <w:vAlign w:val="center"/>
          </w:tcPr>
          <w:p>
            <w:pPr>
              <w:spacing w:line="320" w:lineRule="atLeast"/>
              <w:ind w:left="60" w:right="60"/>
              <w:jc w:val="right"/>
              <w:rPr>
                <w:rFonts w:ascii="Times New Roman" w:hAnsi="Times New Roman" w:eastAsia="Calibri" w:cs="Times New Roman"/>
                <w:color w:val="000000"/>
                <w:sz w:val="25"/>
                <w:szCs w:val="25"/>
              </w:rPr>
            </w:pPr>
          </w:p>
        </w:tc>
      </w:tr>
      <w:tr>
        <w:tblPrEx>
          <w:tblLayout w:type="fixed"/>
        </w:tblPrEx>
        <w:trPr>
          <w:cantSplit/>
        </w:trPr>
        <w:tc>
          <w:tcPr>
            <w:tcW w:w="2161" w:type="dxa"/>
            <w:vMerge w:val="restart"/>
            <w:tcBorders>
              <w:left w:val="single" w:color="000000" w:sz="16" w:space="0"/>
              <w:bottom w:val="single" w:color="000000" w:sz="16" w:space="0"/>
            </w:tcBorders>
            <w:shd w:val="clear" w:color="auto" w:fill="FFFFFF"/>
          </w:tcPr>
          <w:p>
            <w:pPr>
              <w:spacing w:line="320" w:lineRule="atLeast"/>
              <w:ind w:left="60" w:right="60"/>
              <w:rPr>
                <w:rFonts w:ascii="Times New Roman" w:hAnsi="Times New Roman" w:eastAsia="Calibri" w:cs="Times New Roman"/>
                <w:color w:val="000000"/>
                <w:sz w:val="25"/>
                <w:szCs w:val="25"/>
              </w:rPr>
            </w:pPr>
            <w:r>
              <w:rPr>
                <w:rFonts w:ascii="Times New Roman" w:hAnsi="Times New Roman" w:eastAsia="Calibri" w:cs="Times New Roman"/>
                <w:color w:val="000000"/>
                <w:sz w:val="25"/>
                <w:szCs w:val="25"/>
              </w:rPr>
              <w:t>Green Reward and Compensation MGT</w:t>
            </w:r>
          </w:p>
        </w:tc>
        <w:tc>
          <w:tcPr>
            <w:tcW w:w="1888" w:type="dxa"/>
            <w:tcBorders>
              <w:right w:val="single" w:color="000000" w:sz="16" w:space="0"/>
            </w:tcBorders>
            <w:shd w:val="clear" w:color="auto" w:fill="FFFFFF"/>
          </w:tcPr>
          <w:p>
            <w:pPr>
              <w:spacing w:line="320" w:lineRule="atLeast"/>
              <w:ind w:left="60" w:right="60"/>
              <w:rPr>
                <w:rFonts w:ascii="Times New Roman" w:hAnsi="Times New Roman" w:eastAsia="Calibri" w:cs="Times New Roman"/>
                <w:color w:val="000000"/>
                <w:sz w:val="25"/>
                <w:szCs w:val="25"/>
              </w:rPr>
            </w:pPr>
            <w:r>
              <w:rPr>
                <w:rFonts w:ascii="Times New Roman" w:hAnsi="Times New Roman" w:eastAsia="Calibri" w:cs="Times New Roman"/>
                <w:color w:val="000000"/>
                <w:sz w:val="25"/>
                <w:szCs w:val="25"/>
              </w:rPr>
              <w:t>Pearson Correlation</w:t>
            </w:r>
          </w:p>
        </w:tc>
        <w:tc>
          <w:tcPr>
            <w:tcW w:w="1530" w:type="dxa"/>
            <w:tcBorders>
              <w:left w:val="single" w:color="000000" w:sz="16" w:space="0"/>
              <w:right w:val="single" w:color="000000" w:sz="8" w:space="0"/>
            </w:tcBorders>
            <w:shd w:val="clear" w:color="auto" w:fill="FFFFFF"/>
            <w:vAlign w:val="center"/>
          </w:tcPr>
          <w:p>
            <w:pPr>
              <w:spacing w:line="320" w:lineRule="atLeast"/>
              <w:ind w:left="60" w:right="60"/>
              <w:jc w:val="right"/>
              <w:rPr>
                <w:rFonts w:ascii="Times New Roman" w:hAnsi="Times New Roman" w:cs="Times New Roman"/>
                <w:sz w:val="25"/>
                <w:szCs w:val="25"/>
              </w:rPr>
            </w:pPr>
            <w:r>
              <w:rPr>
                <w:rFonts w:ascii="Times New Roman" w:hAnsi="Times New Roman" w:eastAsia="Calibri" w:cs="Times New Roman"/>
                <w:color w:val="000000"/>
                <w:sz w:val="25"/>
                <w:szCs w:val="25"/>
              </w:rPr>
              <w:t>.775</w:t>
            </w:r>
            <w:r>
              <w:rPr>
                <w:rFonts w:ascii="Times New Roman" w:hAnsi="Times New Roman" w:eastAsia="Calibri" w:cs="Times New Roman"/>
                <w:color w:val="000000"/>
                <w:sz w:val="25"/>
                <w:szCs w:val="25"/>
                <w:vertAlign w:val="superscript"/>
              </w:rPr>
              <w:t>*</w:t>
            </w:r>
          </w:p>
        </w:tc>
        <w:tc>
          <w:tcPr>
            <w:tcW w:w="1439" w:type="dxa"/>
            <w:tcBorders>
              <w:left w:val="single" w:color="000000" w:sz="8" w:space="0"/>
              <w:right w:val="single" w:color="000000" w:sz="8" w:space="0"/>
            </w:tcBorders>
            <w:shd w:val="clear" w:color="auto" w:fill="FFFFFF"/>
            <w:vAlign w:val="center"/>
          </w:tcPr>
          <w:p>
            <w:pPr>
              <w:spacing w:line="320" w:lineRule="atLeast"/>
              <w:ind w:left="60" w:right="60"/>
              <w:jc w:val="right"/>
              <w:rPr>
                <w:rFonts w:ascii="Times New Roman" w:hAnsi="Times New Roman" w:cs="Times New Roman"/>
                <w:sz w:val="25"/>
                <w:szCs w:val="25"/>
              </w:rPr>
            </w:pPr>
            <w:r>
              <w:rPr>
                <w:rFonts w:ascii="Times New Roman" w:hAnsi="Times New Roman" w:eastAsia="Calibri" w:cs="Times New Roman"/>
                <w:color w:val="000000"/>
                <w:sz w:val="25"/>
                <w:szCs w:val="25"/>
              </w:rPr>
              <w:t>.741</w:t>
            </w:r>
            <w:r>
              <w:rPr>
                <w:rFonts w:ascii="Times New Roman" w:hAnsi="Times New Roman" w:eastAsia="Calibri" w:cs="Times New Roman"/>
                <w:color w:val="000000"/>
                <w:sz w:val="25"/>
                <w:szCs w:val="25"/>
                <w:vertAlign w:val="superscript"/>
              </w:rPr>
              <w:t>**</w:t>
            </w:r>
          </w:p>
        </w:tc>
        <w:tc>
          <w:tcPr>
            <w:tcW w:w="1440" w:type="dxa"/>
            <w:tcBorders>
              <w:left w:val="single" w:color="000000" w:sz="8" w:space="0"/>
              <w:right w:val="single" w:color="000000" w:sz="8" w:space="0"/>
            </w:tcBorders>
            <w:shd w:val="clear" w:color="auto" w:fill="FFFFFF"/>
            <w:vAlign w:val="center"/>
          </w:tcPr>
          <w:p>
            <w:pPr>
              <w:spacing w:line="320" w:lineRule="atLeast"/>
              <w:ind w:left="60" w:right="60"/>
              <w:jc w:val="right"/>
              <w:rPr>
                <w:rFonts w:ascii="Times New Roman" w:hAnsi="Times New Roman" w:cs="Times New Roman"/>
                <w:sz w:val="25"/>
                <w:szCs w:val="25"/>
              </w:rPr>
            </w:pPr>
            <w:r>
              <w:rPr>
                <w:rFonts w:ascii="Times New Roman" w:hAnsi="Times New Roman" w:eastAsia="Calibri" w:cs="Times New Roman"/>
                <w:color w:val="000000"/>
                <w:sz w:val="25"/>
                <w:szCs w:val="25"/>
              </w:rPr>
              <w:t>.747</w:t>
            </w:r>
            <w:r>
              <w:rPr>
                <w:rFonts w:ascii="Times New Roman" w:hAnsi="Times New Roman" w:eastAsia="Calibri" w:cs="Times New Roman"/>
                <w:color w:val="000000"/>
                <w:sz w:val="25"/>
                <w:szCs w:val="25"/>
                <w:vertAlign w:val="superscript"/>
              </w:rPr>
              <w:t>**</w:t>
            </w:r>
          </w:p>
        </w:tc>
        <w:tc>
          <w:tcPr>
            <w:tcW w:w="1532" w:type="dxa"/>
            <w:tcBorders>
              <w:left w:val="single" w:color="000000" w:sz="8" w:space="0"/>
              <w:right w:val="single" w:color="000000" w:sz="8" w:space="0"/>
            </w:tcBorders>
            <w:shd w:val="clear" w:color="auto" w:fill="FFFFFF"/>
            <w:vAlign w:val="center"/>
          </w:tcPr>
          <w:p>
            <w:pPr>
              <w:spacing w:line="320" w:lineRule="atLeast"/>
              <w:ind w:left="60" w:right="60"/>
              <w:jc w:val="right"/>
              <w:rPr>
                <w:rFonts w:ascii="Times New Roman" w:hAnsi="Times New Roman" w:eastAsia="Calibri" w:cs="Times New Roman"/>
                <w:color w:val="000000"/>
                <w:sz w:val="25"/>
                <w:szCs w:val="25"/>
              </w:rPr>
            </w:pPr>
            <w:r>
              <w:rPr>
                <w:rFonts w:ascii="Times New Roman" w:hAnsi="Times New Roman" w:eastAsia="Calibri" w:cs="Times New Roman"/>
                <w:color w:val="000000"/>
                <w:sz w:val="25"/>
                <w:szCs w:val="25"/>
              </w:rPr>
              <w:t>1</w:t>
            </w:r>
          </w:p>
        </w:tc>
      </w:tr>
      <w:tr>
        <w:tblPrEx>
          <w:tblLayout w:type="fixed"/>
        </w:tblPrEx>
        <w:trPr>
          <w:cantSplit/>
        </w:trPr>
        <w:tc>
          <w:tcPr>
            <w:tcW w:w="2161" w:type="dxa"/>
            <w:vMerge w:val="continue"/>
            <w:tcBorders>
              <w:left w:val="single" w:color="000000" w:sz="16" w:space="0"/>
              <w:bottom w:val="single" w:color="000000" w:sz="16" w:space="0"/>
            </w:tcBorders>
            <w:shd w:val="clear" w:color="auto" w:fill="FFFFFF"/>
          </w:tcPr>
          <w:p>
            <w:pPr>
              <w:rPr>
                <w:rFonts w:ascii="Times New Roman" w:hAnsi="Times New Roman" w:cs="Times New Roman"/>
                <w:sz w:val="25"/>
                <w:szCs w:val="25"/>
              </w:rPr>
            </w:pPr>
          </w:p>
        </w:tc>
        <w:tc>
          <w:tcPr>
            <w:tcW w:w="1888" w:type="dxa"/>
            <w:tcBorders>
              <w:right w:val="single" w:color="000000" w:sz="16" w:space="0"/>
            </w:tcBorders>
            <w:shd w:val="clear" w:color="auto" w:fill="FFFFFF"/>
          </w:tcPr>
          <w:p>
            <w:pPr>
              <w:spacing w:line="320" w:lineRule="atLeast"/>
              <w:ind w:left="60" w:right="60"/>
              <w:rPr>
                <w:rFonts w:ascii="Times New Roman" w:hAnsi="Times New Roman" w:eastAsia="Calibri" w:cs="Times New Roman"/>
                <w:color w:val="000000"/>
                <w:sz w:val="25"/>
                <w:szCs w:val="25"/>
              </w:rPr>
            </w:pPr>
            <w:r>
              <w:rPr>
                <w:rFonts w:ascii="Times New Roman" w:hAnsi="Times New Roman" w:eastAsia="Calibri" w:cs="Times New Roman"/>
                <w:color w:val="000000"/>
                <w:sz w:val="25"/>
                <w:szCs w:val="25"/>
              </w:rPr>
              <w:t>Sig. (2-tailed)</w:t>
            </w:r>
          </w:p>
        </w:tc>
        <w:tc>
          <w:tcPr>
            <w:tcW w:w="1530" w:type="dxa"/>
            <w:tcBorders>
              <w:left w:val="single" w:color="000000" w:sz="16" w:space="0"/>
              <w:right w:val="single" w:color="000000" w:sz="8" w:space="0"/>
            </w:tcBorders>
            <w:shd w:val="clear" w:color="auto" w:fill="FFFFFF"/>
            <w:vAlign w:val="center"/>
          </w:tcPr>
          <w:p>
            <w:pPr>
              <w:spacing w:line="320" w:lineRule="atLeast"/>
              <w:ind w:left="60" w:right="60"/>
              <w:jc w:val="right"/>
              <w:rPr>
                <w:rFonts w:ascii="Times New Roman" w:hAnsi="Times New Roman" w:eastAsia="Calibri" w:cs="Times New Roman"/>
                <w:color w:val="000000"/>
                <w:sz w:val="25"/>
                <w:szCs w:val="25"/>
              </w:rPr>
            </w:pPr>
            <w:r>
              <w:rPr>
                <w:rFonts w:ascii="Times New Roman" w:hAnsi="Times New Roman" w:eastAsia="Calibri" w:cs="Times New Roman"/>
                <w:color w:val="000000"/>
                <w:sz w:val="25"/>
                <w:szCs w:val="25"/>
              </w:rPr>
              <w:t>.000</w:t>
            </w:r>
          </w:p>
        </w:tc>
        <w:tc>
          <w:tcPr>
            <w:tcW w:w="1439" w:type="dxa"/>
            <w:tcBorders>
              <w:left w:val="single" w:color="000000" w:sz="8" w:space="0"/>
              <w:right w:val="single" w:color="000000" w:sz="8" w:space="0"/>
            </w:tcBorders>
            <w:shd w:val="clear" w:color="auto" w:fill="FFFFFF"/>
            <w:vAlign w:val="center"/>
          </w:tcPr>
          <w:p>
            <w:pPr>
              <w:spacing w:line="320" w:lineRule="atLeast"/>
              <w:ind w:left="60" w:right="60"/>
              <w:jc w:val="right"/>
              <w:rPr>
                <w:rFonts w:ascii="Times New Roman" w:hAnsi="Times New Roman" w:eastAsia="Calibri" w:cs="Times New Roman"/>
                <w:color w:val="000000"/>
                <w:sz w:val="25"/>
                <w:szCs w:val="25"/>
              </w:rPr>
            </w:pPr>
            <w:r>
              <w:rPr>
                <w:rFonts w:ascii="Times New Roman" w:hAnsi="Times New Roman" w:eastAsia="Calibri" w:cs="Times New Roman"/>
                <w:color w:val="000000"/>
                <w:sz w:val="25"/>
                <w:szCs w:val="25"/>
              </w:rPr>
              <w:t>.000</w:t>
            </w:r>
          </w:p>
        </w:tc>
        <w:tc>
          <w:tcPr>
            <w:tcW w:w="1440" w:type="dxa"/>
            <w:tcBorders>
              <w:left w:val="single" w:color="000000" w:sz="8" w:space="0"/>
              <w:right w:val="single" w:color="000000" w:sz="8" w:space="0"/>
            </w:tcBorders>
            <w:shd w:val="clear" w:color="auto" w:fill="FFFFFF"/>
            <w:vAlign w:val="center"/>
          </w:tcPr>
          <w:p>
            <w:pPr>
              <w:spacing w:line="320" w:lineRule="atLeast"/>
              <w:ind w:left="60" w:right="60"/>
              <w:jc w:val="right"/>
              <w:rPr>
                <w:rFonts w:ascii="Times New Roman" w:hAnsi="Times New Roman" w:eastAsia="Calibri" w:cs="Times New Roman"/>
                <w:color w:val="000000"/>
                <w:sz w:val="25"/>
                <w:szCs w:val="25"/>
              </w:rPr>
            </w:pPr>
            <w:r>
              <w:rPr>
                <w:rFonts w:ascii="Times New Roman" w:hAnsi="Times New Roman" w:eastAsia="Calibri" w:cs="Times New Roman"/>
                <w:color w:val="000000"/>
                <w:sz w:val="25"/>
                <w:szCs w:val="25"/>
              </w:rPr>
              <w:t>.000</w:t>
            </w:r>
          </w:p>
        </w:tc>
        <w:tc>
          <w:tcPr>
            <w:tcW w:w="1532" w:type="dxa"/>
            <w:tcBorders>
              <w:left w:val="single" w:color="000000" w:sz="8" w:space="0"/>
              <w:right w:val="single" w:color="000000" w:sz="8" w:space="0"/>
            </w:tcBorders>
            <w:shd w:val="clear" w:color="auto" w:fill="FFFFFF"/>
            <w:vAlign w:val="center"/>
          </w:tcPr>
          <w:p>
            <w:pPr>
              <w:spacing w:line="320" w:lineRule="atLeast"/>
              <w:ind w:left="60" w:right="60"/>
              <w:jc w:val="right"/>
              <w:rPr>
                <w:rFonts w:ascii="Times New Roman" w:hAnsi="Times New Roman" w:eastAsia="Calibri" w:cs="Times New Roman"/>
                <w:color w:val="000000"/>
                <w:sz w:val="25"/>
                <w:szCs w:val="25"/>
              </w:rPr>
            </w:pPr>
            <w:r>
              <w:rPr>
                <w:rFonts w:ascii="Times New Roman" w:hAnsi="Times New Roman" w:eastAsia="Calibri" w:cs="Times New Roman"/>
                <w:color w:val="000000"/>
                <w:sz w:val="25"/>
                <w:szCs w:val="25"/>
              </w:rPr>
              <w:t>.</w:t>
            </w:r>
          </w:p>
        </w:tc>
      </w:tr>
      <w:tr>
        <w:tblPrEx>
          <w:tblLayout w:type="fixed"/>
        </w:tblPrEx>
        <w:trPr>
          <w:cantSplit/>
        </w:trPr>
        <w:tc>
          <w:tcPr>
            <w:tcW w:w="2161" w:type="dxa"/>
            <w:vMerge w:val="continue"/>
            <w:tcBorders>
              <w:left w:val="single" w:color="000000" w:sz="16" w:space="0"/>
              <w:bottom w:val="single" w:color="000000" w:sz="16" w:space="0"/>
            </w:tcBorders>
            <w:shd w:val="clear" w:color="auto" w:fill="FFFFFF"/>
          </w:tcPr>
          <w:p>
            <w:pPr>
              <w:rPr>
                <w:rFonts w:ascii="Times New Roman" w:hAnsi="Times New Roman" w:cs="Times New Roman"/>
                <w:sz w:val="25"/>
                <w:szCs w:val="25"/>
              </w:rPr>
            </w:pPr>
          </w:p>
        </w:tc>
        <w:tc>
          <w:tcPr>
            <w:tcW w:w="1888" w:type="dxa"/>
            <w:tcBorders>
              <w:bottom w:val="single" w:color="000000" w:sz="16" w:space="0"/>
              <w:right w:val="single" w:color="000000" w:sz="16" w:space="0"/>
            </w:tcBorders>
            <w:shd w:val="clear" w:color="auto" w:fill="FFFFFF"/>
          </w:tcPr>
          <w:p>
            <w:pPr>
              <w:spacing w:line="320" w:lineRule="atLeast"/>
              <w:ind w:left="60" w:right="60"/>
              <w:rPr>
                <w:rFonts w:ascii="Times New Roman" w:hAnsi="Times New Roman" w:eastAsia="Calibri" w:cs="Times New Roman"/>
                <w:color w:val="000000"/>
                <w:sz w:val="25"/>
                <w:szCs w:val="25"/>
              </w:rPr>
            </w:pPr>
            <w:r>
              <w:rPr>
                <w:rFonts w:ascii="Times New Roman" w:hAnsi="Times New Roman" w:eastAsia="Calibri" w:cs="Times New Roman"/>
                <w:color w:val="000000"/>
                <w:sz w:val="25"/>
                <w:szCs w:val="25"/>
              </w:rPr>
              <w:t>N</w:t>
            </w:r>
          </w:p>
        </w:tc>
        <w:tc>
          <w:tcPr>
            <w:tcW w:w="1530" w:type="dxa"/>
            <w:tcBorders>
              <w:left w:val="single" w:color="000000" w:sz="16" w:space="0"/>
              <w:bottom w:val="single" w:color="000000" w:sz="16" w:space="0"/>
              <w:right w:val="single" w:color="000000" w:sz="8" w:space="0"/>
            </w:tcBorders>
            <w:shd w:val="clear" w:color="auto" w:fill="FFFFFF"/>
            <w:vAlign w:val="center"/>
          </w:tcPr>
          <w:p>
            <w:pPr>
              <w:spacing w:line="320" w:lineRule="atLeast"/>
              <w:ind w:left="60" w:right="60"/>
              <w:jc w:val="right"/>
              <w:rPr>
                <w:rFonts w:ascii="Times New Roman" w:hAnsi="Times New Roman" w:eastAsia="Calibri" w:cs="Times New Roman"/>
                <w:color w:val="000000"/>
                <w:sz w:val="25"/>
                <w:szCs w:val="25"/>
              </w:rPr>
            </w:pPr>
            <w:r>
              <w:rPr>
                <w:rFonts w:ascii="Times New Roman" w:hAnsi="Times New Roman" w:eastAsia="Calibri" w:cs="Times New Roman"/>
                <w:color w:val="000000"/>
                <w:sz w:val="25"/>
                <w:szCs w:val="25"/>
              </w:rPr>
              <w:t>50</w:t>
            </w:r>
          </w:p>
        </w:tc>
        <w:tc>
          <w:tcPr>
            <w:tcW w:w="1439" w:type="dxa"/>
            <w:tcBorders>
              <w:left w:val="single" w:color="000000" w:sz="8" w:space="0"/>
              <w:bottom w:val="single" w:color="000000" w:sz="16" w:space="0"/>
              <w:right w:val="single" w:color="000000" w:sz="8" w:space="0"/>
            </w:tcBorders>
            <w:shd w:val="clear" w:color="auto" w:fill="FFFFFF"/>
            <w:vAlign w:val="center"/>
          </w:tcPr>
          <w:p>
            <w:pPr>
              <w:spacing w:line="320" w:lineRule="atLeast"/>
              <w:ind w:left="60" w:right="60"/>
              <w:jc w:val="right"/>
              <w:rPr>
                <w:rFonts w:ascii="Times New Roman" w:hAnsi="Times New Roman" w:eastAsia="Calibri" w:cs="Times New Roman"/>
                <w:color w:val="000000"/>
                <w:sz w:val="25"/>
                <w:szCs w:val="25"/>
              </w:rPr>
            </w:pPr>
            <w:r>
              <w:rPr>
                <w:rFonts w:ascii="Times New Roman" w:hAnsi="Times New Roman" w:eastAsia="Calibri" w:cs="Times New Roman"/>
                <w:color w:val="000000"/>
                <w:sz w:val="25"/>
                <w:szCs w:val="25"/>
              </w:rPr>
              <w:t>50</w:t>
            </w:r>
          </w:p>
        </w:tc>
        <w:tc>
          <w:tcPr>
            <w:tcW w:w="1440" w:type="dxa"/>
            <w:tcBorders>
              <w:left w:val="single" w:color="000000" w:sz="8" w:space="0"/>
              <w:bottom w:val="single" w:color="000000" w:sz="16" w:space="0"/>
              <w:right w:val="single" w:color="000000" w:sz="8" w:space="0"/>
            </w:tcBorders>
            <w:shd w:val="clear" w:color="auto" w:fill="FFFFFF"/>
            <w:vAlign w:val="center"/>
          </w:tcPr>
          <w:p>
            <w:pPr>
              <w:spacing w:line="320" w:lineRule="atLeast"/>
              <w:ind w:left="60" w:right="60"/>
              <w:jc w:val="right"/>
              <w:rPr>
                <w:rFonts w:ascii="Times New Roman" w:hAnsi="Times New Roman" w:eastAsia="Calibri" w:cs="Times New Roman"/>
                <w:color w:val="000000"/>
                <w:sz w:val="25"/>
                <w:szCs w:val="25"/>
              </w:rPr>
            </w:pPr>
            <w:r>
              <w:rPr>
                <w:rFonts w:ascii="Times New Roman" w:hAnsi="Times New Roman" w:eastAsia="Calibri" w:cs="Times New Roman"/>
                <w:color w:val="000000"/>
                <w:sz w:val="25"/>
                <w:szCs w:val="25"/>
              </w:rPr>
              <w:t>50</w:t>
            </w:r>
          </w:p>
        </w:tc>
        <w:tc>
          <w:tcPr>
            <w:tcW w:w="1532" w:type="dxa"/>
            <w:tcBorders>
              <w:left w:val="single" w:color="000000" w:sz="8" w:space="0"/>
              <w:bottom w:val="single" w:color="000000" w:sz="16" w:space="0"/>
              <w:right w:val="single" w:color="000000" w:sz="8" w:space="0"/>
            </w:tcBorders>
            <w:shd w:val="clear" w:color="auto" w:fill="FFFFFF"/>
            <w:vAlign w:val="center"/>
          </w:tcPr>
          <w:p>
            <w:pPr>
              <w:spacing w:line="320" w:lineRule="atLeast"/>
              <w:ind w:left="60" w:right="60"/>
              <w:jc w:val="right"/>
              <w:rPr>
                <w:rFonts w:ascii="Times New Roman" w:hAnsi="Times New Roman" w:eastAsia="Calibri" w:cs="Times New Roman"/>
                <w:color w:val="000000"/>
                <w:sz w:val="25"/>
                <w:szCs w:val="25"/>
              </w:rPr>
            </w:pPr>
            <w:r>
              <w:rPr>
                <w:rFonts w:ascii="Times New Roman" w:hAnsi="Times New Roman" w:eastAsia="Calibri" w:cs="Times New Roman"/>
                <w:color w:val="000000"/>
                <w:sz w:val="25"/>
                <w:szCs w:val="25"/>
              </w:rPr>
              <w:t>50</w:t>
            </w:r>
          </w:p>
        </w:tc>
      </w:tr>
      <w:tr>
        <w:tblPrEx>
          <w:tblLayout w:type="fixed"/>
        </w:tblPrEx>
        <w:trPr>
          <w:cantSplit/>
        </w:trPr>
        <w:tc>
          <w:tcPr>
            <w:tcW w:w="9990" w:type="dxa"/>
            <w:gridSpan w:val="6"/>
            <w:shd w:val="clear" w:color="auto" w:fill="FFFFFF"/>
          </w:tcPr>
          <w:p>
            <w:pPr>
              <w:spacing w:after="0" w:line="240" w:lineRule="auto"/>
              <w:ind w:left="60" w:right="60"/>
              <w:rPr>
                <w:rFonts w:ascii="Times New Roman" w:hAnsi="Times New Roman" w:eastAsia="Calibri" w:cs="Times New Roman"/>
                <w:color w:val="000000"/>
                <w:sz w:val="25"/>
                <w:szCs w:val="25"/>
              </w:rPr>
            </w:pPr>
            <w:r>
              <w:rPr>
                <w:rFonts w:ascii="Times New Roman" w:hAnsi="Times New Roman" w:eastAsia="Calibri" w:cs="Times New Roman"/>
                <w:color w:val="000000"/>
                <w:sz w:val="25"/>
                <w:szCs w:val="25"/>
              </w:rPr>
              <w:t>**. Correlation is significant at the 0.01 level (2-tailed).</w:t>
            </w:r>
          </w:p>
        </w:tc>
      </w:tr>
      <w:tr>
        <w:tblPrEx>
          <w:tblLayout w:type="fixed"/>
        </w:tblPrEx>
        <w:trPr>
          <w:cantSplit/>
        </w:trPr>
        <w:tc>
          <w:tcPr>
            <w:tcW w:w="9990" w:type="dxa"/>
            <w:gridSpan w:val="6"/>
            <w:shd w:val="clear" w:color="auto" w:fill="FFFFFF"/>
          </w:tcPr>
          <w:p>
            <w:pPr>
              <w:spacing w:after="0" w:line="240" w:lineRule="auto"/>
              <w:ind w:left="60" w:right="60"/>
              <w:rPr>
                <w:rFonts w:ascii="Times New Roman" w:hAnsi="Times New Roman" w:eastAsia="Calibri" w:cs="Times New Roman"/>
                <w:color w:val="000000"/>
                <w:sz w:val="25"/>
                <w:szCs w:val="25"/>
              </w:rPr>
            </w:pPr>
            <w:r>
              <w:rPr>
                <w:rFonts w:ascii="Times New Roman" w:hAnsi="Times New Roman" w:eastAsia="Calibri" w:cs="Times New Roman"/>
                <w:color w:val="000000"/>
                <w:sz w:val="25"/>
                <w:szCs w:val="25"/>
              </w:rPr>
              <w:t>*. Correlation is significant at the 0.05 level (2-tailed).</w:t>
            </w:r>
          </w:p>
        </w:tc>
      </w:tr>
    </w:tbl>
    <w:p>
      <w:pPr>
        <w:spacing w:line="480" w:lineRule="auto"/>
        <w:jc w:val="both"/>
        <w:rPr>
          <w:rStyle w:val="15"/>
          <w:rFonts w:ascii="Times New Roman" w:hAnsi="Times New Roman" w:eastAsia="Times New Roman" w:cs="Times New Roman"/>
          <w:b/>
          <w:bCs/>
          <w:sz w:val="25"/>
          <w:szCs w:val="25"/>
        </w:rPr>
      </w:pPr>
    </w:p>
    <w:p>
      <w:pPr>
        <w:spacing w:line="480" w:lineRule="auto"/>
        <w:jc w:val="both"/>
        <w:rPr>
          <w:rFonts w:ascii="Times New Roman" w:hAnsi="Times New Roman" w:eastAsia="Times New Roman" w:cs="Times New Roman"/>
          <w:color w:val="1C1C1C"/>
          <w:sz w:val="25"/>
          <w:szCs w:val="25"/>
        </w:rPr>
      </w:pPr>
      <w:r>
        <w:rPr>
          <w:rStyle w:val="15"/>
          <w:rFonts w:ascii="Times New Roman" w:hAnsi="Times New Roman" w:eastAsia="Times New Roman" w:cs="Times New Roman"/>
          <w:color w:val="1C1C1C"/>
          <w:sz w:val="25"/>
          <w:szCs w:val="25"/>
        </w:rPr>
        <w:t xml:space="preserve">Table 4.5.4 shows the component dominion of green human resource management's correlation coefficients, which show that reward and compensation management (r=0.775), training and development (r=0.807), and recruitment and selection (r=0.667) have all been found to positively impact organizational competitiveness in the relationship model of the chosen bank. This suggests that GHRM relationships are effective predictors of organizational competitiveness and that an increase in each GHRM factor's dimension will increase organizational competitiveness in goal and functional approaches, while a decrease in the GHRM factors of green recruitment and selection, training and development, reward and compensation management will result in an organizational competitiveness decrease at a level of significance of 5%. This finding supports earlier research by Ahmed Zaid, </w:t>
      </w:r>
      <w:r>
        <w:rPr>
          <w:rStyle w:val="15"/>
          <w:rFonts w:ascii="Times New Roman" w:hAnsi="Times New Roman" w:eastAsia="Times New Roman" w:cs="Times New Roman"/>
          <w:color w:val="1C1C1C"/>
          <w:sz w:val="25"/>
          <w:szCs w:val="25"/>
        </w:rPr>
        <w:t>Ayham</w:t>
      </w:r>
      <w:r>
        <w:rPr>
          <w:rStyle w:val="15"/>
          <w:rFonts w:ascii="Times New Roman" w:hAnsi="Times New Roman" w:eastAsia="Times New Roman" w:cs="Times New Roman"/>
          <w:color w:val="1C1C1C"/>
          <w:sz w:val="25"/>
          <w:szCs w:val="25"/>
        </w:rPr>
        <w:t xml:space="preserve"> </w:t>
      </w:r>
      <w:r>
        <w:rPr>
          <w:rStyle w:val="15"/>
          <w:rFonts w:ascii="Times New Roman" w:hAnsi="Times New Roman" w:eastAsia="Times New Roman" w:cs="Times New Roman"/>
          <w:color w:val="1C1C1C"/>
          <w:sz w:val="25"/>
          <w:szCs w:val="25"/>
        </w:rPr>
        <w:t>Jaaron</w:t>
      </w:r>
      <w:r>
        <w:rPr>
          <w:rStyle w:val="15"/>
          <w:rFonts w:ascii="Times New Roman" w:hAnsi="Times New Roman" w:eastAsia="Times New Roman" w:cs="Times New Roman"/>
          <w:color w:val="1C1C1C"/>
          <w:sz w:val="25"/>
          <w:szCs w:val="25"/>
        </w:rPr>
        <w:t xml:space="preserve">, and Abdul </w:t>
      </w:r>
      <w:r>
        <w:rPr>
          <w:rStyle w:val="15"/>
          <w:rFonts w:ascii="Times New Roman" w:hAnsi="Times New Roman" w:eastAsia="Times New Roman" w:cs="Times New Roman"/>
          <w:color w:val="1C1C1C"/>
          <w:sz w:val="25"/>
          <w:szCs w:val="25"/>
        </w:rPr>
        <w:t>Talib</w:t>
      </w:r>
      <w:r>
        <w:rPr>
          <w:rStyle w:val="15"/>
          <w:rFonts w:ascii="Times New Roman" w:hAnsi="Times New Roman" w:eastAsia="Times New Roman" w:cs="Times New Roman"/>
          <w:color w:val="1C1C1C"/>
          <w:sz w:val="25"/>
          <w:szCs w:val="25"/>
        </w:rPr>
        <w:t xml:space="preserve"> Bon (2018), who discovered that green human resource management techniques have a favorable impact on the long-term success of a firm.</w:t>
      </w:r>
    </w:p>
    <w:p>
      <w:pPr>
        <w:spacing w:after="0"/>
        <w:jc w:val="both"/>
        <w:rPr>
          <w:rFonts w:ascii="Times New Roman" w:hAnsi="Times New Roman" w:cs="Times New Roman"/>
          <w:b/>
          <w:sz w:val="25"/>
          <w:szCs w:val="25"/>
        </w:rPr>
      </w:pPr>
      <w:r>
        <w:rPr>
          <w:rFonts w:ascii="Times New Roman" w:hAnsi="Times New Roman" w:cs="Times New Roman"/>
          <w:b/>
          <w:sz w:val="25"/>
          <w:szCs w:val="25"/>
        </w:rPr>
        <w:t>H</w:t>
      </w:r>
      <w:r>
        <w:rPr>
          <w:rFonts w:ascii="Times New Roman" w:hAnsi="Times New Roman" w:cs="Times New Roman"/>
          <w:b/>
          <w:sz w:val="25"/>
          <w:szCs w:val="25"/>
          <w:vertAlign w:val="subscript"/>
        </w:rPr>
        <w:t>03</w:t>
      </w:r>
      <w:r>
        <w:rPr>
          <w:rFonts w:ascii="Times New Roman" w:hAnsi="Times New Roman" w:cs="Times New Roman"/>
          <w:b/>
          <w:sz w:val="25"/>
          <w:szCs w:val="25"/>
        </w:rPr>
        <w:t xml:space="preserve">: Green Human Resource Management practices has no role on organizational resilience of GTB </w:t>
      </w:r>
    </w:p>
    <w:p>
      <w:pPr>
        <w:autoSpaceDE w:val="0"/>
        <w:autoSpaceDN w:val="0"/>
        <w:adjustRightInd w:val="0"/>
        <w:spacing w:after="0" w:line="360" w:lineRule="auto"/>
        <w:rPr>
          <w:rFonts w:ascii="Times New Roman" w:hAnsi="Times New Roman" w:cs="Times New Roman"/>
          <w:b/>
          <w:sz w:val="25"/>
          <w:szCs w:val="25"/>
        </w:rPr>
      </w:pPr>
    </w:p>
    <w:tbl>
      <w:tblPr>
        <w:tblStyle w:val="8"/>
        <w:tblW w:w="582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95"/>
        <w:gridCol w:w="1009"/>
        <w:gridCol w:w="1086"/>
        <w:gridCol w:w="1469"/>
        <w:gridCol w:w="1469"/>
      </w:tblGrid>
      <w:tr>
        <w:tblPrEx>
          <w:tblLayout w:type="fixed"/>
        </w:tblPrEx>
        <w:trPr>
          <w:cantSplit/>
        </w:trPr>
        <w:tc>
          <w:tcPr>
            <w:tcW w:w="5828" w:type="dxa"/>
            <w:gridSpan w:val="5"/>
            <w:tcBorders>
              <w:top w:val="nil"/>
              <w:left w:val="nil"/>
              <w:bottom w:val="nil"/>
              <w:right w:val="nil"/>
            </w:tcBorders>
            <w:shd w:val="clear" w:color="auto" w:fill="FFFFFF"/>
            <w:vAlign w:val="center"/>
          </w:tcPr>
          <w:p>
            <w:pPr>
              <w:autoSpaceDE w:val="0"/>
              <w:autoSpaceDN w:val="0"/>
              <w:adjustRightInd w:val="0"/>
              <w:spacing w:after="0" w:line="360" w:lineRule="auto"/>
              <w:ind w:left="60" w:right="60"/>
              <w:jc w:val="center"/>
              <w:rPr>
                <w:rFonts w:ascii="Times New Roman" w:hAnsi="Times New Roman" w:cs="Times New Roman"/>
                <w:color w:val="000000"/>
                <w:sz w:val="25"/>
                <w:szCs w:val="25"/>
              </w:rPr>
            </w:pPr>
            <w:r>
              <w:rPr>
                <w:rFonts w:ascii="Times New Roman" w:hAnsi="Times New Roman" w:cs="Times New Roman"/>
                <w:b/>
                <w:bCs/>
                <w:color w:val="000000"/>
                <w:sz w:val="25"/>
                <w:szCs w:val="25"/>
              </w:rPr>
              <w:t>Table 4.5.7: Model Summary</w:t>
            </w:r>
          </w:p>
        </w:tc>
      </w:tr>
      <w:tr>
        <w:tblPrEx>
          <w:tblLayout w:type="fixed"/>
        </w:tblPrEx>
        <w:trPr>
          <w:cantSplit/>
        </w:trPr>
        <w:tc>
          <w:tcPr>
            <w:tcW w:w="795" w:type="dxa"/>
            <w:tcBorders>
              <w:top w:val="single" w:color="000000" w:sz="16" w:space="0"/>
              <w:left w:val="single" w:color="000000" w:sz="16" w:space="0"/>
              <w:bottom w:val="single" w:color="000000" w:sz="16" w:space="0"/>
              <w:right w:val="single" w:color="000000" w:sz="16" w:space="0"/>
            </w:tcBorders>
            <w:shd w:val="clear" w:color="auto" w:fill="FFFFFF"/>
            <w:vAlign w:val="bottom"/>
          </w:tcPr>
          <w:p>
            <w:pPr>
              <w:autoSpaceDE w:val="0"/>
              <w:autoSpaceDN w:val="0"/>
              <w:adjustRightInd w:val="0"/>
              <w:spacing w:after="0" w:line="360" w:lineRule="auto"/>
              <w:ind w:left="60" w:right="60"/>
              <w:rPr>
                <w:rFonts w:ascii="Times New Roman" w:hAnsi="Times New Roman" w:cs="Times New Roman"/>
                <w:color w:val="000000"/>
                <w:sz w:val="25"/>
                <w:szCs w:val="25"/>
              </w:rPr>
            </w:pPr>
            <w:r>
              <w:rPr>
                <w:rFonts w:ascii="Times New Roman" w:hAnsi="Times New Roman" w:cs="Times New Roman"/>
                <w:color w:val="000000"/>
                <w:sz w:val="25"/>
                <w:szCs w:val="25"/>
              </w:rPr>
              <w:t>Model</w:t>
            </w:r>
          </w:p>
        </w:tc>
        <w:tc>
          <w:tcPr>
            <w:tcW w:w="1009" w:type="dxa"/>
            <w:tcBorders>
              <w:top w:val="single" w:color="000000" w:sz="16" w:space="0"/>
              <w:left w:val="single" w:color="000000" w:sz="16" w:space="0"/>
              <w:bottom w:val="single" w:color="000000" w:sz="16" w:space="0"/>
            </w:tcBorders>
            <w:shd w:val="clear" w:color="auto" w:fill="FFFFFF"/>
            <w:vAlign w:val="bottom"/>
          </w:tcPr>
          <w:p>
            <w:pPr>
              <w:autoSpaceDE w:val="0"/>
              <w:autoSpaceDN w:val="0"/>
              <w:adjustRightInd w:val="0"/>
              <w:spacing w:after="0" w:line="360" w:lineRule="auto"/>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R</w:t>
            </w:r>
          </w:p>
        </w:tc>
        <w:tc>
          <w:tcPr>
            <w:tcW w:w="1086" w:type="dxa"/>
            <w:tcBorders>
              <w:top w:val="single" w:color="000000" w:sz="16" w:space="0"/>
              <w:bottom w:val="single" w:color="000000" w:sz="16" w:space="0"/>
            </w:tcBorders>
            <w:shd w:val="clear" w:color="auto" w:fill="FFFFFF"/>
            <w:vAlign w:val="bottom"/>
          </w:tcPr>
          <w:p>
            <w:pPr>
              <w:autoSpaceDE w:val="0"/>
              <w:autoSpaceDN w:val="0"/>
              <w:adjustRightInd w:val="0"/>
              <w:spacing w:after="0" w:line="360" w:lineRule="auto"/>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R Square</w:t>
            </w:r>
          </w:p>
        </w:tc>
        <w:tc>
          <w:tcPr>
            <w:tcW w:w="1469" w:type="dxa"/>
            <w:tcBorders>
              <w:top w:val="single" w:color="000000" w:sz="16" w:space="0"/>
              <w:bottom w:val="single" w:color="000000" w:sz="16" w:space="0"/>
            </w:tcBorders>
            <w:shd w:val="clear" w:color="auto" w:fill="FFFFFF"/>
            <w:vAlign w:val="bottom"/>
          </w:tcPr>
          <w:p>
            <w:pPr>
              <w:autoSpaceDE w:val="0"/>
              <w:autoSpaceDN w:val="0"/>
              <w:adjustRightInd w:val="0"/>
              <w:spacing w:after="0" w:line="360" w:lineRule="auto"/>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Adjusted R Square</w:t>
            </w:r>
          </w:p>
        </w:tc>
        <w:tc>
          <w:tcPr>
            <w:tcW w:w="1469" w:type="dxa"/>
            <w:tcBorders>
              <w:top w:val="single" w:color="000000" w:sz="16" w:space="0"/>
              <w:bottom w:val="single" w:color="000000" w:sz="16" w:space="0"/>
              <w:right w:val="single" w:color="000000" w:sz="16" w:space="0"/>
            </w:tcBorders>
            <w:shd w:val="clear" w:color="auto" w:fill="FFFFFF"/>
            <w:vAlign w:val="bottom"/>
          </w:tcPr>
          <w:p>
            <w:pPr>
              <w:autoSpaceDE w:val="0"/>
              <w:autoSpaceDN w:val="0"/>
              <w:adjustRightInd w:val="0"/>
              <w:spacing w:after="0" w:line="360" w:lineRule="auto"/>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Std. Error of the Estimate</w:t>
            </w:r>
          </w:p>
        </w:tc>
      </w:tr>
      <w:tr>
        <w:tblPrEx>
          <w:tblLayout w:type="fixed"/>
        </w:tblPrEx>
        <w:trPr>
          <w:cantSplit/>
        </w:trPr>
        <w:tc>
          <w:tcPr>
            <w:tcW w:w="795" w:type="dxa"/>
            <w:tcBorders>
              <w:top w:val="single" w:color="000000" w:sz="16" w:space="0"/>
              <w:left w:val="single" w:color="000000" w:sz="16" w:space="0"/>
              <w:bottom w:val="single" w:color="000000" w:sz="16" w:space="0"/>
              <w:right w:val="single" w:color="000000" w:sz="16" w:space="0"/>
            </w:tcBorders>
            <w:shd w:val="clear" w:color="auto" w:fill="FFFFFF"/>
          </w:tcPr>
          <w:p>
            <w:pPr>
              <w:autoSpaceDE w:val="0"/>
              <w:autoSpaceDN w:val="0"/>
              <w:adjustRightInd w:val="0"/>
              <w:spacing w:after="0" w:line="360" w:lineRule="auto"/>
              <w:ind w:left="60" w:right="60"/>
              <w:rPr>
                <w:rFonts w:ascii="Times New Roman" w:hAnsi="Times New Roman" w:cs="Times New Roman"/>
                <w:color w:val="000000"/>
                <w:sz w:val="25"/>
                <w:szCs w:val="25"/>
              </w:rPr>
            </w:pPr>
            <w:r>
              <w:rPr>
                <w:rFonts w:ascii="Times New Roman" w:hAnsi="Times New Roman" w:cs="Times New Roman"/>
                <w:color w:val="000000"/>
                <w:sz w:val="25"/>
                <w:szCs w:val="25"/>
              </w:rPr>
              <w:t>1</w:t>
            </w:r>
          </w:p>
        </w:tc>
        <w:tc>
          <w:tcPr>
            <w:tcW w:w="1009" w:type="dxa"/>
            <w:tcBorders>
              <w:top w:val="single" w:color="000000" w:sz="16" w:space="0"/>
              <w:left w:val="single" w:color="000000" w:sz="16" w:space="0"/>
              <w:bottom w:val="single" w:color="000000" w:sz="16" w:space="0"/>
            </w:tcBorders>
            <w:shd w:val="clear" w:color="auto" w:fill="FFFFFF"/>
            <w:vAlign w:val="center"/>
          </w:tcPr>
          <w:p>
            <w:pPr>
              <w:autoSpaceDE w:val="0"/>
              <w:autoSpaceDN w:val="0"/>
              <w:adjustRightInd w:val="0"/>
              <w:spacing w:after="0" w:line="36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.919</w:t>
            </w:r>
            <w:r>
              <w:rPr>
                <w:rFonts w:ascii="Times New Roman" w:hAnsi="Times New Roman" w:cs="Times New Roman"/>
                <w:color w:val="000000"/>
                <w:sz w:val="25"/>
                <w:szCs w:val="25"/>
                <w:vertAlign w:val="superscript"/>
              </w:rPr>
              <w:t>a</w:t>
            </w:r>
          </w:p>
        </w:tc>
        <w:tc>
          <w:tcPr>
            <w:tcW w:w="1086" w:type="dxa"/>
            <w:tcBorders>
              <w:top w:val="single" w:color="000000" w:sz="16" w:space="0"/>
              <w:bottom w:val="single" w:color="000000" w:sz="16" w:space="0"/>
            </w:tcBorders>
            <w:shd w:val="clear" w:color="auto" w:fill="FFFFFF"/>
            <w:vAlign w:val="center"/>
          </w:tcPr>
          <w:p>
            <w:pPr>
              <w:autoSpaceDE w:val="0"/>
              <w:autoSpaceDN w:val="0"/>
              <w:adjustRightInd w:val="0"/>
              <w:spacing w:after="0" w:line="36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.845</w:t>
            </w:r>
          </w:p>
        </w:tc>
        <w:tc>
          <w:tcPr>
            <w:tcW w:w="1469" w:type="dxa"/>
            <w:tcBorders>
              <w:top w:val="single" w:color="000000" w:sz="16" w:space="0"/>
              <w:bottom w:val="single" w:color="000000" w:sz="16" w:space="0"/>
            </w:tcBorders>
            <w:shd w:val="clear" w:color="auto" w:fill="FFFFFF"/>
            <w:vAlign w:val="center"/>
          </w:tcPr>
          <w:p>
            <w:pPr>
              <w:autoSpaceDE w:val="0"/>
              <w:autoSpaceDN w:val="0"/>
              <w:adjustRightInd w:val="0"/>
              <w:spacing w:after="0" w:line="36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.844</w:t>
            </w:r>
          </w:p>
        </w:tc>
        <w:tc>
          <w:tcPr>
            <w:tcW w:w="1469" w:type="dxa"/>
            <w:tcBorders>
              <w:top w:val="single" w:color="000000" w:sz="16" w:space="0"/>
              <w:bottom w:val="single" w:color="000000" w:sz="16" w:space="0"/>
              <w:right w:val="single" w:color="000000" w:sz="16" w:space="0"/>
            </w:tcBorders>
            <w:shd w:val="clear" w:color="auto" w:fill="FFFFFF"/>
            <w:vAlign w:val="center"/>
          </w:tcPr>
          <w:p>
            <w:pPr>
              <w:autoSpaceDE w:val="0"/>
              <w:autoSpaceDN w:val="0"/>
              <w:adjustRightInd w:val="0"/>
              <w:spacing w:after="0" w:line="36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.67711</w:t>
            </w:r>
          </w:p>
        </w:tc>
      </w:tr>
      <w:tr>
        <w:tblPrEx>
          <w:tblLayout w:type="fixed"/>
        </w:tblPrEx>
        <w:trPr>
          <w:cantSplit/>
        </w:trPr>
        <w:tc>
          <w:tcPr>
            <w:tcW w:w="5828" w:type="dxa"/>
            <w:gridSpan w:val="5"/>
            <w:tcBorders>
              <w:top w:val="nil"/>
              <w:left w:val="nil"/>
              <w:bottom w:val="nil"/>
              <w:right w:val="nil"/>
            </w:tcBorders>
            <w:shd w:val="clear" w:color="auto" w:fill="FFFFFF"/>
          </w:tcPr>
          <w:p>
            <w:pPr>
              <w:pStyle w:val="10"/>
              <w:numPr>
                <w:ilvl w:val="0"/>
                <w:numId w:val="14"/>
              </w:numPr>
              <w:autoSpaceDE w:val="0"/>
              <w:autoSpaceDN w:val="0"/>
              <w:adjustRightInd w:val="0"/>
              <w:spacing w:after="0" w:line="360" w:lineRule="auto"/>
              <w:ind w:right="60"/>
              <w:rPr>
                <w:rFonts w:ascii="Times New Roman" w:hAnsi="Times New Roman" w:cs="Times New Roman"/>
                <w:color w:val="000000"/>
                <w:sz w:val="25"/>
                <w:szCs w:val="25"/>
              </w:rPr>
            </w:pPr>
            <w:r>
              <w:rPr>
                <w:rFonts w:ascii="Times New Roman" w:hAnsi="Times New Roman" w:cs="Times New Roman"/>
                <w:color w:val="000000"/>
                <w:sz w:val="25"/>
                <w:szCs w:val="25"/>
              </w:rPr>
              <w:t>Predictors: (Constant), GHRM</w:t>
            </w:r>
          </w:p>
        </w:tc>
      </w:tr>
    </w:tbl>
    <w:p>
      <w:pPr>
        <w:spacing w:line="480" w:lineRule="auto"/>
        <w:ind w:firstLine="720"/>
        <w:jc w:val="both"/>
        <w:rPr>
          <w:rFonts w:ascii="Times New Roman" w:hAnsi="Times New Roman" w:cs="Times New Roman"/>
          <w:sz w:val="25"/>
          <w:szCs w:val="25"/>
        </w:rPr>
      </w:pPr>
    </w:p>
    <w:p>
      <w:pPr>
        <w:spacing w:line="480" w:lineRule="auto"/>
        <w:ind w:firstLine="720"/>
        <w:jc w:val="both"/>
        <w:rPr>
          <w:rFonts w:ascii="Times New Roman" w:hAnsi="Times New Roman" w:cs="Times New Roman"/>
          <w:sz w:val="25"/>
          <w:szCs w:val="25"/>
        </w:rPr>
      </w:pPr>
      <w:r>
        <w:rPr>
          <w:rFonts w:ascii="Times New Roman" w:hAnsi="Times New Roman" w:cs="Times New Roman"/>
          <w:sz w:val="25"/>
          <w:szCs w:val="25"/>
        </w:rPr>
        <w:t xml:space="preserve">Simple linear regression analysis was used to evaluate the impact of GHRM on organizational resilience to environmental effectiveness. The correlation coefficient R=.919 and the adjusted R-square =.844 provided by the regression model result displayed in the table above give us a sense of how effectively our model generalizes, and in an ideal world, we would like its value to be the same as or close to the value of R-square. In the aforementioned overview, the final model's difference (0.845-0.844=0.001 or 0.1%) is quite significant. The model was derived from the population rather than a sample due to this shrinkage, which results in a small difference of 0.1% less variance in the result. The value of the R-square, which indicates that 84.5% of the increase in organizational resilience in environmental effectiveness is specifically attributable to a unit change in GHRM practice and that not more than 15.5% of the increase is explained by other factors not included in this model, such as government and CBN policy on banks, is used to explain the organizational resilience in environmental effectiveness of the chosen bank. </w:t>
      </w:r>
    </w:p>
    <w:tbl>
      <w:tblPr>
        <w:tblStyle w:val="8"/>
        <w:tblW w:w="796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5"/>
        <w:gridCol w:w="1284"/>
        <w:gridCol w:w="1469"/>
        <w:gridCol w:w="994"/>
        <w:gridCol w:w="1408"/>
        <w:gridCol w:w="1085"/>
        <w:gridCol w:w="994"/>
      </w:tblGrid>
      <w:tr>
        <w:tblPrEx>
          <w:tblLayout w:type="fixed"/>
        </w:tblPrEx>
        <w:trPr>
          <w:cantSplit/>
        </w:trPr>
        <w:tc>
          <w:tcPr>
            <w:tcW w:w="7969" w:type="dxa"/>
            <w:gridSpan w:val="7"/>
            <w:tcBorders>
              <w:top w:val="nil"/>
              <w:left w:val="nil"/>
              <w:bottom w:val="nil"/>
              <w:right w:val="nil"/>
            </w:tcBorders>
            <w:shd w:val="clear" w:color="auto" w:fill="FFFFFF"/>
            <w:vAlign w:val="center"/>
          </w:tcPr>
          <w:p>
            <w:pPr>
              <w:autoSpaceDE w:val="0"/>
              <w:autoSpaceDN w:val="0"/>
              <w:adjustRightInd w:val="0"/>
              <w:spacing w:after="0" w:line="360" w:lineRule="auto"/>
              <w:ind w:left="60" w:right="60"/>
              <w:jc w:val="center"/>
              <w:rPr>
                <w:rFonts w:ascii="Times New Roman" w:hAnsi="Times New Roman" w:cs="Times New Roman"/>
                <w:color w:val="000000"/>
                <w:sz w:val="25"/>
                <w:szCs w:val="25"/>
              </w:rPr>
            </w:pPr>
            <w:r>
              <w:rPr>
                <w:rFonts w:ascii="Times New Roman" w:hAnsi="Times New Roman" w:cs="Times New Roman"/>
                <w:b/>
                <w:bCs/>
                <w:color w:val="000000"/>
                <w:sz w:val="25"/>
                <w:szCs w:val="25"/>
              </w:rPr>
              <w:t xml:space="preserve">Table 4.5.8: </w:t>
            </w:r>
            <w:r>
              <w:rPr>
                <w:rFonts w:ascii="Times New Roman" w:hAnsi="Times New Roman" w:cs="Times New Roman"/>
                <w:b/>
                <w:bCs/>
                <w:color w:val="000000"/>
                <w:sz w:val="25"/>
                <w:szCs w:val="25"/>
              </w:rPr>
              <w:t>ANOVA</w:t>
            </w:r>
            <w:r>
              <w:rPr>
                <w:rFonts w:ascii="Times New Roman" w:hAnsi="Times New Roman" w:cs="Times New Roman"/>
                <w:b/>
                <w:bCs/>
                <w:color w:val="000000"/>
                <w:sz w:val="25"/>
                <w:szCs w:val="25"/>
                <w:vertAlign w:val="superscript"/>
              </w:rPr>
              <w:t>a</w:t>
            </w:r>
          </w:p>
        </w:tc>
      </w:tr>
      <w:tr>
        <w:tblPrEx>
          <w:tblLayout w:type="fixed"/>
        </w:tblPrEx>
        <w:trPr>
          <w:cantSplit/>
        </w:trPr>
        <w:tc>
          <w:tcPr>
            <w:tcW w:w="2019" w:type="dxa"/>
            <w:gridSpan w:val="2"/>
            <w:tcBorders>
              <w:top w:val="single" w:color="000000" w:sz="16" w:space="0"/>
              <w:left w:val="single" w:color="000000" w:sz="16" w:space="0"/>
              <w:bottom w:val="single" w:color="000000" w:sz="16" w:space="0"/>
              <w:right w:val="nil"/>
            </w:tcBorders>
            <w:shd w:val="clear" w:color="auto" w:fill="FFFFFF"/>
            <w:vAlign w:val="bottom"/>
          </w:tcPr>
          <w:p>
            <w:pPr>
              <w:autoSpaceDE w:val="0"/>
              <w:autoSpaceDN w:val="0"/>
              <w:adjustRightInd w:val="0"/>
              <w:spacing w:after="0" w:line="360" w:lineRule="auto"/>
              <w:ind w:left="60" w:right="60"/>
              <w:rPr>
                <w:rFonts w:ascii="Times New Roman" w:hAnsi="Times New Roman" w:cs="Times New Roman"/>
                <w:color w:val="000000"/>
                <w:sz w:val="25"/>
                <w:szCs w:val="25"/>
              </w:rPr>
            </w:pPr>
            <w:r>
              <w:rPr>
                <w:rFonts w:ascii="Times New Roman" w:hAnsi="Times New Roman" w:cs="Times New Roman"/>
                <w:color w:val="000000"/>
                <w:sz w:val="25"/>
                <w:szCs w:val="25"/>
              </w:rPr>
              <w:t>Model</w:t>
            </w:r>
          </w:p>
        </w:tc>
        <w:tc>
          <w:tcPr>
            <w:tcW w:w="1469" w:type="dxa"/>
            <w:tcBorders>
              <w:top w:val="single" w:color="000000" w:sz="16" w:space="0"/>
              <w:left w:val="single" w:color="000000" w:sz="16" w:space="0"/>
              <w:bottom w:val="single" w:color="000000" w:sz="16" w:space="0"/>
            </w:tcBorders>
            <w:shd w:val="clear" w:color="auto" w:fill="FFFFFF"/>
            <w:vAlign w:val="bottom"/>
          </w:tcPr>
          <w:p>
            <w:pPr>
              <w:autoSpaceDE w:val="0"/>
              <w:autoSpaceDN w:val="0"/>
              <w:adjustRightInd w:val="0"/>
              <w:spacing w:after="0" w:line="360" w:lineRule="auto"/>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Sum of Squares</w:t>
            </w:r>
          </w:p>
        </w:tc>
        <w:tc>
          <w:tcPr>
            <w:tcW w:w="994" w:type="dxa"/>
            <w:tcBorders>
              <w:top w:val="single" w:color="000000" w:sz="16" w:space="0"/>
              <w:bottom w:val="single" w:color="000000" w:sz="16" w:space="0"/>
            </w:tcBorders>
            <w:shd w:val="clear" w:color="auto" w:fill="FFFFFF"/>
            <w:vAlign w:val="bottom"/>
          </w:tcPr>
          <w:p>
            <w:pPr>
              <w:autoSpaceDE w:val="0"/>
              <w:autoSpaceDN w:val="0"/>
              <w:adjustRightInd w:val="0"/>
              <w:spacing w:after="0" w:line="360" w:lineRule="auto"/>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df</w:t>
            </w:r>
          </w:p>
        </w:tc>
        <w:tc>
          <w:tcPr>
            <w:tcW w:w="1408" w:type="dxa"/>
            <w:tcBorders>
              <w:top w:val="single" w:color="000000" w:sz="16" w:space="0"/>
              <w:bottom w:val="single" w:color="000000" w:sz="16" w:space="0"/>
            </w:tcBorders>
            <w:shd w:val="clear" w:color="auto" w:fill="FFFFFF"/>
            <w:vAlign w:val="bottom"/>
          </w:tcPr>
          <w:p>
            <w:pPr>
              <w:autoSpaceDE w:val="0"/>
              <w:autoSpaceDN w:val="0"/>
              <w:adjustRightInd w:val="0"/>
              <w:spacing w:after="0" w:line="360" w:lineRule="auto"/>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Mean Square</w:t>
            </w:r>
          </w:p>
        </w:tc>
        <w:tc>
          <w:tcPr>
            <w:tcW w:w="1085" w:type="dxa"/>
            <w:tcBorders>
              <w:top w:val="single" w:color="000000" w:sz="16" w:space="0"/>
              <w:bottom w:val="single" w:color="000000" w:sz="16" w:space="0"/>
            </w:tcBorders>
            <w:shd w:val="clear" w:color="auto" w:fill="FFFFFF"/>
            <w:vAlign w:val="bottom"/>
          </w:tcPr>
          <w:p>
            <w:pPr>
              <w:autoSpaceDE w:val="0"/>
              <w:autoSpaceDN w:val="0"/>
              <w:adjustRightInd w:val="0"/>
              <w:spacing w:after="0" w:line="360" w:lineRule="auto"/>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F</w:t>
            </w:r>
          </w:p>
        </w:tc>
        <w:tc>
          <w:tcPr>
            <w:tcW w:w="994" w:type="dxa"/>
            <w:tcBorders>
              <w:top w:val="single" w:color="000000" w:sz="16" w:space="0"/>
              <w:bottom w:val="single" w:color="000000" w:sz="16" w:space="0"/>
              <w:right w:val="single" w:color="000000" w:sz="16" w:space="0"/>
            </w:tcBorders>
            <w:shd w:val="clear" w:color="auto" w:fill="FFFFFF"/>
            <w:vAlign w:val="bottom"/>
          </w:tcPr>
          <w:p>
            <w:pPr>
              <w:autoSpaceDE w:val="0"/>
              <w:autoSpaceDN w:val="0"/>
              <w:adjustRightInd w:val="0"/>
              <w:spacing w:after="0" w:line="360" w:lineRule="auto"/>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Sig.</w:t>
            </w:r>
          </w:p>
        </w:tc>
      </w:tr>
      <w:tr>
        <w:tblPrEx>
          <w:tblLayout w:type="fixed"/>
        </w:tblPrEx>
        <w:trPr>
          <w:cantSplit/>
        </w:trPr>
        <w:tc>
          <w:tcPr>
            <w:tcW w:w="735" w:type="dxa"/>
            <w:vMerge w:val="restart"/>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360" w:lineRule="auto"/>
              <w:ind w:left="60" w:right="60"/>
              <w:rPr>
                <w:rFonts w:ascii="Times New Roman" w:hAnsi="Times New Roman" w:cs="Times New Roman"/>
                <w:color w:val="000000"/>
                <w:sz w:val="25"/>
                <w:szCs w:val="25"/>
              </w:rPr>
            </w:pPr>
            <w:r>
              <w:rPr>
                <w:rFonts w:ascii="Times New Roman" w:hAnsi="Times New Roman" w:cs="Times New Roman"/>
                <w:color w:val="000000"/>
                <w:sz w:val="25"/>
                <w:szCs w:val="25"/>
              </w:rPr>
              <w:t>1</w:t>
            </w:r>
          </w:p>
        </w:tc>
        <w:tc>
          <w:tcPr>
            <w:tcW w:w="1284" w:type="dxa"/>
            <w:tcBorders>
              <w:top w:val="single" w:color="000000" w:sz="16" w:space="0"/>
              <w:left w:val="nil"/>
              <w:bottom w:val="nil"/>
              <w:right w:val="single" w:color="000000" w:sz="16" w:space="0"/>
            </w:tcBorders>
            <w:shd w:val="clear" w:color="auto" w:fill="FFFFFF"/>
          </w:tcPr>
          <w:p>
            <w:pPr>
              <w:autoSpaceDE w:val="0"/>
              <w:autoSpaceDN w:val="0"/>
              <w:adjustRightInd w:val="0"/>
              <w:spacing w:after="0" w:line="360" w:lineRule="auto"/>
              <w:ind w:left="60" w:right="60"/>
              <w:rPr>
                <w:rFonts w:ascii="Times New Roman" w:hAnsi="Times New Roman" w:cs="Times New Roman"/>
                <w:color w:val="000000"/>
                <w:sz w:val="25"/>
                <w:szCs w:val="25"/>
              </w:rPr>
            </w:pPr>
            <w:r>
              <w:rPr>
                <w:rFonts w:ascii="Times New Roman" w:hAnsi="Times New Roman" w:cs="Times New Roman"/>
                <w:color w:val="000000"/>
                <w:sz w:val="25"/>
                <w:szCs w:val="25"/>
              </w:rPr>
              <w:t>Regression</w:t>
            </w:r>
          </w:p>
        </w:tc>
        <w:tc>
          <w:tcPr>
            <w:tcW w:w="1469" w:type="dxa"/>
            <w:tcBorders>
              <w:top w:val="single" w:color="000000" w:sz="16" w:space="0"/>
              <w:left w:val="single" w:color="000000" w:sz="16" w:space="0"/>
              <w:bottom w:val="nil"/>
            </w:tcBorders>
            <w:shd w:val="clear" w:color="auto" w:fill="FFFFFF"/>
            <w:vAlign w:val="center"/>
          </w:tcPr>
          <w:p>
            <w:pPr>
              <w:autoSpaceDE w:val="0"/>
              <w:autoSpaceDN w:val="0"/>
              <w:adjustRightInd w:val="0"/>
              <w:spacing w:after="0" w:line="36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160.901</w:t>
            </w:r>
          </w:p>
        </w:tc>
        <w:tc>
          <w:tcPr>
            <w:tcW w:w="994" w:type="dxa"/>
            <w:tcBorders>
              <w:top w:val="single" w:color="000000" w:sz="16" w:space="0"/>
              <w:bottom w:val="nil"/>
            </w:tcBorders>
            <w:shd w:val="clear" w:color="auto" w:fill="FFFFFF"/>
            <w:vAlign w:val="center"/>
          </w:tcPr>
          <w:p>
            <w:pPr>
              <w:autoSpaceDE w:val="0"/>
              <w:autoSpaceDN w:val="0"/>
              <w:adjustRightInd w:val="0"/>
              <w:spacing w:after="0" w:line="36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w:t>
            </w:r>
          </w:p>
        </w:tc>
        <w:tc>
          <w:tcPr>
            <w:tcW w:w="1408" w:type="dxa"/>
            <w:tcBorders>
              <w:top w:val="single" w:color="000000" w:sz="16" w:space="0"/>
              <w:bottom w:val="nil"/>
            </w:tcBorders>
            <w:shd w:val="clear" w:color="auto" w:fill="FFFFFF"/>
            <w:vAlign w:val="center"/>
          </w:tcPr>
          <w:p>
            <w:pPr>
              <w:autoSpaceDE w:val="0"/>
              <w:autoSpaceDN w:val="0"/>
              <w:adjustRightInd w:val="0"/>
              <w:spacing w:after="0" w:line="36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160.901</w:t>
            </w:r>
          </w:p>
        </w:tc>
        <w:tc>
          <w:tcPr>
            <w:tcW w:w="1085" w:type="dxa"/>
            <w:tcBorders>
              <w:top w:val="single" w:color="000000" w:sz="16" w:space="0"/>
              <w:bottom w:val="nil"/>
            </w:tcBorders>
            <w:shd w:val="clear" w:color="auto" w:fill="FFFFFF"/>
            <w:vAlign w:val="center"/>
          </w:tcPr>
          <w:p>
            <w:pPr>
              <w:autoSpaceDE w:val="0"/>
              <w:autoSpaceDN w:val="0"/>
              <w:adjustRightInd w:val="0"/>
              <w:spacing w:after="0" w:line="36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261.203</w:t>
            </w:r>
          </w:p>
        </w:tc>
        <w:tc>
          <w:tcPr>
            <w:tcW w:w="994" w:type="dxa"/>
            <w:tcBorders>
              <w:top w:val="single" w:color="000000" w:sz="16" w:space="0"/>
              <w:bottom w:val="nil"/>
              <w:right w:val="single" w:color="000000" w:sz="16" w:space="0"/>
            </w:tcBorders>
            <w:shd w:val="clear" w:color="auto" w:fill="FFFFFF"/>
            <w:vAlign w:val="center"/>
          </w:tcPr>
          <w:p>
            <w:pPr>
              <w:autoSpaceDE w:val="0"/>
              <w:autoSpaceDN w:val="0"/>
              <w:adjustRightInd w:val="0"/>
              <w:spacing w:after="0" w:line="36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.000</w:t>
            </w:r>
            <w:r>
              <w:rPr>
                <w:rFonts w:ascii="Times New Roman" w:hAnsi="Times New Roman" w:cs="Times New Roman"/>
                <w:color w:val="000000"/>
                <w:sz w:val="25"/>
                <w:szCs w:val="25"/>
                <w:vertAlign w:val="superscript"/>
              </w:rPr>
              <w:t>b</w:t>
            </w:r>
          </w:p>
        </w:tc>
      </w:tr>
      <w:tr>
        <w:tblPrEx>
          <w:tblLayout w:type="fixed"/>
        </w:tblPrEx>
        <w:trPr>
          <w:cantSplit/>
        </w:trPr>
        <w:tc>
          <w:tcPr>
            <w:tcW w:w="735"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360" w:lineRule="auto"/>
              <w:rPr>
                <w:rFonts w:ascii="Times New Roman" w:hAnsi="Times New Roman" w:cs="Times New Roman"/>
                <w:color w:val="000000"/>
                <w:sz w:val="25"/>
                <w:szCs w:val="25"/>
              </w:rPr>
            </w:pPr>
          </w:p>
        </w:tc>
        <w:tc>
          <w:tcPr>
            <w:tcW w:w="1284" w:type="dxa"/>
            <w:tcBorders>
              <w:top w:val="nil"/>
              <w:left w:val="nil"/>
              <w:bottom w:val="nil"/>
              <w:right w:val="single" w:color="000000" w:sz="16" w:space="0"/>
            </w:tcBorders>
            <w:shd w:val="clear" w:color="auto" w:fill="FFFFFF"/>
          </w:tcPr>
          <w:p>
            <w:pPr>
              <w:autoSpaceDE w:val="0"/>
              <w:autoSpaceDN w:val="0"/>
              <w:adjustRightInd w:val="0"/>
              <w:spacing w:after="0" w:line="360" w:lineRule="auto"/>
              <w:ind w:left="60" w:right="60"/>
              <w:rPr>
                <w:rFonts w:ascii="Times New Roman" w:hAnsi="Times New Roman" w:cs="Times New Roman"/>
                <w:color w:val="000000"/>
                <w:sz w:val="25"/>
                <w:szCs w:val="25"/>
              </w:rPr>
            </w:pPr>
            <w:r>
              <w:rPr>
                <w:rFonts w:ascii="Times New Roman" w:hAnsi="Times New Roman" w:cs="Times New Roman"/>
                <w:color w:val="000000"/>
                <w:sz w:val="25"/>
                <w:szCs w:val="25"/>
              </w:rPr>
              <w:t>Residual</w:t>
            </w:r>
          </w:p>
        </w:tc>
        <w:tc>
          <w:tcPr>
            <w:tcW w:w="1469" w:type="dxa"/>
            <w:tcBorders>
              <w:top w:val="nil"/>
              <w:left w:val="single" w:color="000000" w:sz="16" w:space="0"/>
              <w:bottom w:val="nil"/>
            </w:tcBorders>
            <w:shd w:val="clear" w:color="auto" w:fill="FFFFFF"/>
            <w:vAlign w:val="center"/>
          </w:tcPr>
          <w:p>
            <w:pPr>
              <w:autoSpaceDE w:val="0"/>
              <w:autoSpaceDN w:val="0"/>
              <w:adjustRightInd w:val="0"/>
              <w:spacing w:after="0" w:line="36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29.580</w:t>
            </w:r>
          </w:p>
        </w:tc>
        <w:tc>
          <w:tcPr>
            <w:tcW w:w="994" w:type="dxa"/>
            <w:tcBorders>
              <w:top w:val="nil"/>
              <w:bottom w:val="nil"/>
            </w:tcBorders>
            <w:shd w:val="clear" w:color="auto" w:fill="FFFFFF"/>
            <w:vAlign w:val="center"/>
          </w:tcPr>
          <w:p>
            <w:pPr>
              <w:autoSpaceDE w:val="0"/>
              <w:autoSpaceDN w:val="0"/>
              <w:adjustRightInd w:val="0"/>
              <w:spacing w:after="0" w:line="36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48</w:t>
            </w:r>
          </w:p>
        </w:tc>
        <w:tc>
          <w:tcPr>
            <w:tcW w:w="1408" w:type="dxa"/>
            <w:tcBorders>
              <w:top w:val="nil"/>
              <w:bottom w:val="nil"/>
            </w:tcBorders>
            <w:shd w:val="clear" w:color="auto" w:fill="FFFFFF"/>
            <w:vAlign w:val="center"/>
          </w:tcPr>
          <w:p>
            <w:pPr>
              <w:autoSpaceDE w:val="0"/>
              <w:autoSpaceDN w:val="0"/>
              <w:adjustRightInd w:val="0"/>
              <w:spacing w:after="0" w:line="36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.616</w:t>
            </w:r>
          </w:p>
        </w:tc>
        <w:tc>
          <w:tcPr>
            <w:tcW w:w="1085" w:type="dxa"/>
            <w:tcBorders>
              <w:top w:val="nil"/>
              <w:bottom w:val="nil"/>
            </w:tcBorders>
            <w:shd w:val="clear" w:color="auto" w:fill="FFFFFF"/>
            <w:vAlign w:val="center"/>
          </w:tcPr>
          <w:p>
            <w:pPr>
              <w:autoSpaceDE w:val="0"/>
              <w:autoSpaceDN w:val="0"/>
              <w:adjustRightInd w:val="0"/>
              <w:spacing w:after="0" w:line="360" w:lineRule="auto"/>
              <w:rPr>
                <w:rFonts w:ascii="Times New Roman" w:hAnsi="Times New Roman" w:cs="Times New Roman"/>
                <w:sz w:val="25"/>
                <w:szCs w:val="25"/>
              </w:rPr>
            </w:pPr>
          </w:p>
        </w:tc>
        <w:tc>
          <w:tcPr>
            <w:tcW w:w="994" w:type="dxa"/>
            <w:tcBorders>
              <w:top w:val="nil"/>
              <w:bottom w:val="nil"/>
              <w:right w:val="single" w:color="000000" w:sz="16" w:space="0"/>
            </w:tcBorders>
            <w:shd w:val="clear" w:color="auto" w:fill="FFFFFF"/>
            <w:vAlign w:val="center"/>
          </w:tcPr>
          <w:p>
            <w:pPr>
              <w:autoSpaceDE w:val="0"/>
              <w:autoSpaceDN w:val="0"/>
              <w:adjustRightInd w:val="0"/>
              <w:spacing w:after="0" w:line="360" w:lineRule="auto"/>
              <w:rPr>
                <w:rFonts w:ascii="Times New Roman" w:hAnsi="Times New Roman" w:cs="Times New Roman"/>
                <w:sz w:val="25"/>
                <w:szCs w:val="25"/>
              </w:rPr>
            </w:pPr>
          </w:p>
        </w:tc>
      </w:tr>
      <w:tr>
        <w:tblPrEx>
          <w:tblLayout w:type="fixed"/>
        </w:tblPrEx>
        <w:trPr>
          <w:cantSplit/>
        </w:trPr>
        <w:tc>
          <w:tcPr>
            <w:tcW w:w="735"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360" w:lineRule="auto"/>
              <w:rPr>
                <w:rFonts w:ascii="Times New Roman" w:hAnsi="Times New Roman" w:cs="Times New Roman"/>
                <w:sz w:val="25"/>
                <w:szCs w:val="25"/>
              </w:rPr>
            </w:pPr>
          </w:p>
        </w:tc>
        <w:tc>
          <w:tcPr>
            <w:tcW w:w="1284" w:type="dxa"/>
            <w:tcBorders>
              <w:top w:val="nil"/>
              <w:left w:val="nil"/>
              <w:bottom w:val="single" w:color="000000" w:sz="16" w:space="0"/>
              <w:right w:val="single" w:color="000000" w:sz="16" w:space="0"/>
            </w:tcBorders>
            <w:shd w:val="clear" w:color="auto" w:fill="FFFFFF"/>
          </w:tcPr>
          <w:p>
            <w:pPr>
              <w:autoSpaceDE w:val="0"/>
              <w:autoSpaceDN w:val="0"/>
              <w:adjustRightInd w:val="0"/>
              <w:spacing w:after="0" w:line="360" w:lineRule="auto"/>
              <w:ind w:left="60" w:right="60"/>
              <w:rPr>
                <w:rFonts w:ascii="Times New Roman" w:hAnsi="Times New Roman" w:cs="Times New Roman"/>
                <w:color w:val="000000"/>
                <w:sz w:val="25"/>
                <w:szCs w:val="25"/>
              </w:rPr>
            </w:pPr>
            <w:r>
              <w:rPr>
                <w:rFonts w:ascii="Times New Roman" w:hAnsi="Times New Roman" w:cs="Times New Roman"/>
                <w:color w:val="000000"/>
                <w:sz w:val="25"/>
                <w:szCs w:val="25"/>
              </w:rPr>
              <w:t>Total</w:t>
            </w:r>
          </w:p>
        </w:tc>
        <w:tc>
          <w:tcPr>
            <w:tcW w:w="1469" w:type="dxa"/>
            <w:tcBorders>
              <w:top w:val="nil"/>
              <w:left w:val="single" w:color="000000" w:sz="16" w:space="0"/>
              <w:bottom w:val="single" w:color="000000" w:sz="16" w:space="0"/>
            </w:tcBorders>
            <w:shd w:val="clear" w:color="auto" w:fill="FFFFFF"/>
            <w:vAlign w:val="center"/>
          </w:tcPr>
          <w:p>
            <w:pPr>
              <w:autoSpaceDE w:val="0"/>
              <w:autoSpaceDN w:val="0"/>
              <w:adjustRightInd w:val="0"/>
              <w:spacing w:after="0" w:line="36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190.481</w:t>
            </w:r>
          </w:p>
        </w:tc>
        <w:tc>
          <w:tcPr>
            <w:tcW w:w="994" w:type="dxa"/>
            <w:tcBorders>
              <w:top w:val="nil"/>
              <w:bottom w:val="single" w:color="000000" w:sz="16" w:space="0"/>
            </w:tcBorders>
            <w:shd w:val="clear" w:color="auto" w:fill="FFFFFF"/>
            <w:vAlign w:val="center"/>
          </w:tcPr>
          <w:p>
            <w:pPr>
              <w:autoSpaceDE w:val="0"/>
              <w:autoSpaceDN w:val="0"/>
              <w:adjustRightInd w:val="0"/>
              <w:spacing w:after="0" w:line="36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49</w:t>
            </w:r>
          </w:p>
        </w:tc>
        <w:tc>
          <w:tcPr>
            <w:tcW w:w="1408" w:type="dxa"/>
            <w:tcBorders>
              <w:top w:val="nil"/>
              <w:bottom w:val="single" w:color="000000" w:sz="16" w:space="0"/>
            </w:tcBorders>
            <w:shd w:val="clear" w:color="auto" w:fill="FFFFFF"/>
            <w:vAlign w:val="center"/>
          </w:tcPr>
          <w:p>
            <w:pPr>
              <w:autoSpaceDE w:val="0"/>
              <w:autoSpaceDN w:val="0"/>
              <w:adjustRightInd w:val="0"/>
              <w:spacing w:after="0" w:line="360" w:lineRule="auto"/>
              <w:rPr>
                <w:rFonts w:ascii="Times New Roman" w:hAnsi="Times New Roman" w:cs="Times New Roman"/>
                <w:sz w:val="25"/>
                <w:szCs w:val="25"/>
              </w:rPr>
            </w:pPr>
          </w:p>
        </w:tc>
        <w:tc>
          <w:tcPr>
            <w:tcW w:w="1085" w:type="dxa"/>
            <w:tcBorders>
              <w:top w:val="nil"/>
              <w:bottom w:val="single" w:color="000000" w:sz="16" w:space="0"/>
            </w:tcBorders>
            <w:shd w:val="clear" w:color="auto" w:fill="FFFFFF"/>
            <w:vAlign w:val="center"/>
          </w:tcPr>
          <w:p>
            <w:pPr>
              <w:autoSpaceDE w:val="0"/>
              <w:autoSpaceDN w:val="0"/>
              <w:adjustRightInd w:val="0"/>
              <w:spacing w:after="0" w:line="360" w:lineRule="auto"/>
              <w:rPr>
                <w:rFonts w:ascii="Times New Roman" w:hAnsi="Times New Roman" w:cs="Times New Roman"/>
                <w:sz w:val="25"/>
                <w:szCs w:val="25"/>
              </w:rPr>
            </w:pPr>
          </w:p>
        </w:tc>
        <w:tc>
          <w:tcPr>
            <w:tcW w:w="994" w:type="dxa"/>
            <w:tcBorders>
              <w:top w:val="nil"/>
              <w:bottom w:val="single" w:color="000000" w:sz="16" w:space="0"/>
              <w:right w:val="single" w:color="000000" w:sz="16" w:space="0"/>
            </w:tcBorders>
            <w:shd w:val="clear" w:color="auto" w:fill="FFFFFF"/>
            <w:vAlign w:val="center"/>
          </w:tcPr>
          <w:p>
            <w:pPr>
              <w:autoSpaceDE w:val="0"/>
              <w:autoSpaceDN w:val="0"/>
              <w:adjustRightInd w:val="0"/>
              <w:spacing w:after="0" w:line="360" w:lineRule="auto"/>
              <w:rPr>
                <w:rFonts w:ascii="Times New Roman" w:hAnsi="Times New Roman" w:cs="Times New Roman"/>
                <w:sz w:val="25"/>
                <w:szCs w:val="25"/>
              </w:rPr>
            </w:pPr>
          </w:p>
        </w:tc>
      </w:tr>
      <w:tr>
        <w:tblPrEx>
          <w:tblLayout w:type="fixed"/>
        </w:tblPrEx>
        <w:trPr>
          <w:cantSplit/>
        </w:trPr>
        <w:tc>
          <w:tcPr>
            <w:tcW w:w="7969" w:type="dxa"/>
            <w:gridSpan w:val="7"/>
            <w:tcBorders>
              <w:top w:val="nil"/>
              <w:left w:val="nil"/>
              <w:bottom w:val="nil"/>
              <w:right w:val="nil"/>
            </w:tcBorders>
            <w:shd w:val="clear" w:color="auto" w:fill="FFFFFF"/>
          </w:tcPr>
          <w:p>
            <w:pPr>
              <w:autoSpaceDE w:val="0"/>
              <w:autoSpaceDN w:val="0"/>
              <w:adjustRightInd w:val="0"/>
              <w:spacing w:after="0" w:line="360" w:lineRule="auto"/>
              <w:ind w:left="60" w:right="60"/>
              <w:rPr>
                <w:rFonts w:ascii="Times New Roman" w:hAnsi="Times New Roman" w:cs="Times New Roman"/>
                <w:color w:val="000000"/>
                <w:sz w:val="25"/>
                <w:szCs w:val="25"/>
              </w:rPr>
            </w:pPr>
            <w:r>
              <w:rPr>
                <w:rFonts w:ascii="Times New Roman" w:hAnsi="Times New Roman" w:cs="Times New Roman"/>
                <w:color w:val="000000"/>
                <w:sz w:val="25"/>
                <w:szCs w:val="25"/>
              </w:rPr>
              <w:t>a. Dependent Variable: Organizational Resilience (Environmental Effectiveness)</w:t>
            </w:r>
          </w:p>
        </w:tc>
      </w:tr>
      <w:tr>
        <w:tblPrEx>
          <w:tblLayout w:type="fixed"/>
        </w:tblPrEx>
        <w:trPr>
          <w:cantSplit/>
        </w:trPr>
        <w:tc>
          <w:tcPr>
            <w:tcW w:w="7969" w:type="dxa"/>
            <w:gridSpan w:val="7"/>
            <w:tcBorders>
              <w:top w:val="nil"/>
              <w:left w:val="nil"/>
              <w:bottom w:val="nil"/>
              <w:right w:val="nil"/>
            </w:tcBorders>
            <w:shd w:val="clear" w:color="auto" w:fill="FFFFFF"/>
          </w:tcPr>
          <w:p>
            <w:pPr>
              <w:autoSpaceDE w:val="0"/>
              <w:autoSpaceDN w:val="0"/>
              <w:adjustRightInd w:val="0"/>
              <w:spacing w:after="0" w:line="360" w:lineRule="auto"/>
              <w:ind w:left="60" w:right="60"/>
              <w:rPr>
                <w:rFonts w:ascii="Times New Roman" w:hAnsi="Times New Roman" w:cs="Times New Roman"/>
                <w:color w:val="000000"/>
                <w:sz w:val="25"/>
                <w:szCs w:val="25"/>
              </w:rPr>
            </w:pPr>
            <w:r>
              <w:rPr>
                <w:rFonts w:ascii="Times New Roman" w:hAnsi="Times New Roman" w:cs="Times New Roman"/>
                <w:color w:val="000000"/>
                <w:sz w:val="25"/>
                <w:szCs w:val="25"/>
              </w:rPr>
              <w:t>b. Predictors: (Constant), GHRM</w:t>
            </w:r>
          </w:p>
        </w:tc>
      </w:tr>
    </w:tbl>
    <w:p>
      <w:pPr>
        <w:autoSpaceDE w:val="0"/>
        <w:autoSpaceDN w:val="0"/>
        <w:adjustRightInd w:val="0"/>
        <w:spacing w:after="0" w:line="360" w:lineRule="auto"/>
        <w:rPr>
          <w:rFonts w:ascii="Times New Roman" w:hAnsi="Times New Roman" w:cs="Times New Roman"/>
          <w:sz w:val="25"/>
          <w:szCs w:val="25"/>
        </w:rPr>
      </w:pPr>
    </w:p>
    <w:p>
      <w:pPr>
        <w:tabs>
          <w:tab w:val="left" w:pos="4107"/>
        </w:tabs>
        <w:spacing w:line="480" w:lineRule="auto"/>
        <w:jc w:val="both"/>
        <w:rPr>
          <w:rFonts w:ascii="Times New Roman" w:hAnsi="Times New Roman" w:cs="Times New Roman"/>
          <w:sz w:val="25"/>
          <w:szCs w:val="25"/>
        </w:rPr>
      </w:pPr>
      <w:r>
        <w:rPr>
          <w:rFonts w:ascii="Times New Roman" w:hAnsi="Times New Roman" w:cs="Times New Roman"/>
          <w:sz w:val="25"/>
          <w:szCs w:val="25"/>
        </w:rPr>
        <w:t>The analysis of variance (ANOVAs) in the table above attempts to determine whether the GHRM technique is noticeably superior to utilizing the mean as a "best guess" in forecasting organizational resilience in environment effectiveness. The F-ratio (261.203) specifically measures the improvement in prediction that comes from model fitting (labeled "Regression=160.901" in the table) in comparison to the model's residual inaccuracy (labeled "Residual=29.580"). And by dividing the regression sum of square values by the whole sum of square values in the table, a substantial relationship similar to that in the value of R2=0.845 is shown, as well as the fact that the final model significantly improves the capability to forecast organizational resilience (Environment Effectiveness). However, the significant value of P (0.000) is less than (0.05), indicating that the independent variable (GHRM) and the dependent variable are positively correlated (Environmental Effectiveness). Therefore, it is hypothesized that, at a 5% level of significance, there is a substantial association between GHRM and organizational resilience in terms of environmental effectiveness.</w:t>
      </w:r>
    </w:p>
    <w:tbl>
      <w:tblPr>
        <w:tblStyle w:val="8"/>
        <w:tblW w:w="904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5"/>
        <w:gridCol w:w="2189"/>
        <w:gridCol w:w="1330"/>
        <w:gridCol w:w="1330"/>
        <w:gridCol w:w="1468"/>
        <w:gridCol w:w="994"/>
        <w:gridCol w:w="994"/>
      </w:tblGrid>
      <w:tr>
        <w:tblPrEx>
          <w:tblLayout w:type="fixed"/>
        </w:tblPrEx>
        <w:trPr>
          <w:cantSplit/>
        </w:trPr>
        <w:tc>
          <w:tcPr>
            <w:tcW w:w="9040" w:type="dxa"/>
            <w:gridSpan w:val="7"/>
            <w:tcBorders>
              <w:top w:val="nil"/>
              <w:left w:val="nil"/>
              <w:bottom w:val="nil"/>
              <w:right w:val="nil"/>
            </w:tcBorders>
            <w:shd w:val="clear" w:color="auto" w:fill="FFFFFF"/>
            <w:vAlign w:val="center"/>
          </w:tcPr>
          <w:p>
            <w:pPr>
              <w:autoSpaceDE w:val="0"/>
              <w:autoSpaceDN w:val="0"/>
              <w:adjustRightInd w:val="0"/>
              <w:spacing w:after="0" w:line="360" w:lineRule="auto"/>
              <w:ind w:left="60" w:right="60"/>
              <w:jc w:val="center"/>
              <w:rPr>
                <w:rFonts w:ascii="Times New Roman" w:hAnsi="Times New Roman" w:cs="Times New Roman"/>
                <w:color w:val="000000"/>
                <w:sz w:val="25"/>
                <w:szCs w:val="25"/>
              </w:rPr>
            </w:pPr>
            <w:r>
              <w:rPr>
                <w:rFonts w:ascii="Times New Roman" w:hAnsi="Times New Roman" w:cs="Times New Roman"/>
                <w:b/>
                <w:bCs/>
                <w:color w:val="000000"/>
                <w:sz w:val="25"/>
                <w:szCs w:val="25"/>
              </w:rPr>
              <w:t xml:space="preserve">Regression </w:t>
            </w:r>
            <w:r>
              <w:rPr>
                <w:rFonts w:ascii="Times New Roman" w:hAnsi="Times New Roman" w:cs="Times New Roman"/>
                <w:b/>
                <w:bCs/>
                <w:color w:val="000000"/>
                <w:sz w:val="25"/>
                <w:szCs w:val="25"/>
              </w:rPr>
              <w:t>Coefficients</w:t>
            </w:r>
            <w:r>
              <w:rPr>
                <w:rFonts w:ascii="Times New Roman" w:hAnsi="Times New Roman" w:cs="Times New Roman"/>
                <w:b/>
                <w:bCs/>
                <w:color w:val="000000"/>
                <w:sz w:val="25"/>
                <w:szCs w:val="25"/>
                <w:vertAlign w:val="superscript"/>
              </w:rPr>
              <w:t>a</w:t>
            </w:r>
          </w:p>
        </w:tc>
      </w:tr>
      <w:tr>
        <w:tblPrEx>
          <w:tblLayout w:type="fixed"/>
        </w:tblPrEx>
        <w:trPr>
          <w:cantSplit/>
        </w:trPr>
        <w:tc>
          <w:tcPr>
            <w:tcW w:w="2924" w:type="dxa"/>
            <w:gridSpan w:val="2"/>
            <w:vMerge w:val="restart"/>
            <w:tcBorders>
              <w:top w:val="single" w:color="000000" w:sz="16" w:space="0"/>
              <w:left w:val="single" w:color="000000" w:sz="16" w:space="0"/>
              <w:bottom w:val="nil"/>
              <w:right w:val="nil"/>
            </w:tcBorders>
            <w:shd w:val="clear" w:color="auto" w:fill="FFFFFF"/>
            <w:vAlign w:val="bottom"/>
          </w:tcPr>
          <w:p>
            <w:pPr>
              <w:autoSpaceDE w:val="0"/>
              <w:autoSpaceDN w:val="0"/>
              <w:adjustRightInd w:val="0"/>
              <w:spacing w:after="0" w:line="360" w:lineRule="auto"/>
              <w:ind w:left="60" w:right="60"/>
              <w:rPr>
                <w:rFonts w:ascii="Times New Roman" w:hAnsi="Times New Roman" w:cs="Times New Roman"/>
                <w:color w:val="000000"/>
                <w:sz w:val="25"/>
                <w:szCs w:val="25"/>
              </w:rPr>
            </w:pPr>
            <w:r>
              <w:rPr>
                <w:rFonts w:ascii="Times New Roman" w:hAnsi="Times New Roman" w:cs="Times New Roman"/>
                <w:color w:val="000000"/>
                <w:sz w:val="25"/>
                <w:szCs w:val="25"/>
              </w:rPr>
              <w:t>Model</w:t>
            </w:r>
          </w:p>
        </w:tc>
        <w:tc>
          <w:tcPr>
            <w:tcW w:w="2660" w:type="dxa"/>
            <w:gridSpan w:val="2"/>
            <w:tcBorders>
              <w:top w:val="single" w:color="000000" w:sz="16" w:space="0"/>
              <w:left w:val="single" w:color="000000" w:sz="16" w:space="0"/>
            </w:tcBorders>
            <w:shd w:val="clear" w:color="auto" w:fill="FFFFFF"/>
            <w:vAlign w:val="bottom"/>
          </w:tcPr>
          <w:p>
            <w:pPr>
              <w:autoSpaceDE w:val="0"/>
              <w:autoSpaceDN w:val="0"/>
              <w:adjustRightInd w:val="0"/>
              <w:spacing w:after="0" w:line="360" w:lineRule="auto"/>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Unstandardized Coefficients</w:t>
            </w:r>
          </w:p>
        </w:tc>
        <w:tc>
          <w:tcPr>
            <w:tcW w:w="1468" w:type="dxa"/>
            <w:tcBorders>
              <w:top w:val="single" w:color="000000" w:sz="16" w:space="0"/>
            </w:tcBorders>
            <w:shd w:val="clear" w:color="auto" w:fill="FFFFFF"/>
            <w:vAlign w:val="bottom"/>
          </w:tcPr>
          <w:p>
            <w:pPr>
              <w:autoSpaceDE w:val="0"/>
              <w:autoSpaceDN w:val="0"/>
              <w:adjustRightInd w:val="0"/>
              <w:spacing w:after="0" w:line="360" w:lineRule="auto"/>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Standardized Coefficients</w:t>
            </w:r>
          </w:p>
        </w:tc>
        <w:tc>
          <w:tcPr>
            <w:tcW w:w="994" w:type="dxa"/>
            <w:vMerge w:val="restart"/>
            <w:tcBorders>
              <w:top w:val="single" w:color="000000" w:sz="16" w:space="0"/>
            </w:tcBorders>
            <w:shd w:val="clear" w:color="auto" w:fill="FFFFFF"/>
            <w:vAlign w:val="bottom"/>
          </w:tcPr>
          <w:p>
            <w:pPr>
              <w:autoSpaceDE w:val="0"/>
              <w:autoSpaceDN w:val="0"/>
              <w:adjustRightInd w:val="0"/>
              <w:spacing w:after="0" w:line="360" w:lineRule="auto"/>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t</w:t>
            </w:r>
          </w:p>
        </w:tc>
        <w:tc>
          <w:tcPr>
            <w:tcW w:w="994" w:type="dxa"/>
            <w:vMerge w:val="restart"/>
            <w:tcBorders>
              <w:top w:val="single" w:color="000000" w:sz="16" w:space="0"/>
              <w:right w:val="single" w:color="000000" w:sz="16" w:space="0"/>
            </w:tcBorders>
            <w:shd w:val="clear" w:color="auto" w:fill="FFFFFF"/>
            <w:vAlign w:val="bottom"/>
          </w:tcPr>
          <w:p>
            <w:pPr>
              <w:autoSpaceDE w:val="0"/>
              <w:autoSpaceDN w:val="0"/>
              <w:adjustRightInd w:val="0"/>
              <w:spacing w:after="0" w:line="360" w:lineRule="auto"/>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Sig.</w:t>
            </w:r>
          </w:p>
        </w:tc>
      </w:tr>
      <w:tr>
        <w:tblPrEx>
          <w:tblLayout w:type="fixed"/>
        </w:tblPrEx>
        <w:trPr>
          <w:cantSplit/>
        </w:trPr>
        <w:tc>
          <w:tcPr>
            <w:tcW w:w="2924" w:type="dxa"/>
            <w:gridSpan w:val="2"/>
            <w:vMerge w:val="continue"/>
            <w:tcBorders>
              <w:top w:val="single" w:color="000000" w:sz="16" w:space="0"/>
              <w:left w:val="single" w:color="000000" w:sz="16" w:space="0"/>
              <w:bottom w:val="nil"/>
              <w:right w:val="nil"/>
            </w:tcBorders>
            <w:shd w:val="clear" w:color="auto" w:fill="FFFFFF"/>
            <w:vAlign w:val="bottom"/>
          </w:tcPr>
          <w:p>
            <w:pPr>
              <w:autoSpaceDE w:val="0"/>
              <w:autoSpaceDN w:val="0"/>
              <w:adjustRightInd w:val="0"/>
              <w:spacing w:after="0" w:line="360" w:lineRule="auto"/>
              <w:rPr>
                <w:rFonts w:ascii="Times New Roman" w:hAnsi="Times New Roman" w:cs="Times New Roman"/>
                <w:color w:val="000000"/>
                <w:sz w:val="25"/>
                <w:szCs w:val="25"/>
              </w:rPr>
            </w:pPr>
          </w:p>
        </w:tc>
        <w:tc>
          <w:tcPr>
            <w:tcW w:w="1330" w:type="dxa"/>
            <w:tcBorders>
              <w:left w:val="single" w:color="000000" w:sz="16" w:space="0"/>
              <w:bottom w:val="single" w:color="000000" w:sz="16" w:space="0"/>
            </w:tcBorders>
            <w:shd w:val="clear" w:color="auto" w:fill="FFFFFF"/>
            <w:vAlign w:val="bottom"/>
          </w:tcPr>
          <w:p>
            <w:pPr>
              <w:autoSpaceDE w:val="0"/>
              <w:autoSpaceDN w:val="0"/>
              <w:adjustRightInd w:val="0"/>
              <w:spacing w:after="0" w:line="360" w:lineRule="auto"/>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B</w:t>
            </w:r>
          </w:p>
        </w:tc>
        <w:tc>
          <w:tcPr>
            <w:tcW w:w="1330" w:type="dxa"/>
            <w:tcBorders>
              <w:bottom w:val="single" w:color="000000" w:sz="16" w:space="0"/>
            </w:tcBorders>
            <w:shd w:val="clear" w:color="auto" w:fill="FFFFFF"/>
            <w:vAlign w:val="bottom"/>
          </w:tcPr>
          <w:p>
            <w:pPr>
              <w:autoSpaceDE w:val="0"/>
              <w:autoSpaceDN w:val="0"/>
              <w:adjustRightInd w:val="0"/>
              <w:spacing w:after="0" w:line="360" w:lineRule="auto"/>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Std. Error</w:t>
            </w:r>
          </w:p>
        </w:tc>
        <w:tc>
          <w:tcPr>
            <w:tcW w:w="1468" w:type="dxa"/>
            <w:tcBorders>
              <w:bottom w:val="single" w:color="000000" w:sz="16" w:space="0"/>
            </w:tcBorders>
            <w:shd w:val="clear" w:color="auto" w:fill="FFFFFF"/>
            <w:vAlign w:val="bottom"/>
          </w:tcPr>
          <w:p>
            <w:pPr>
              <w:autoSpaceDE w:val="0"/>
              <w:autoSpaceDN w:val="0"/>
              <w:adjustRightInd w:val="0"/>
              <w:spacing w:after="0" w:line="360" w:lineRule="auto"/>
              <w:ind w:left="60" w:right="60"/>
              <w:jc w:val="center"/>
              <w:rPr>
                <w:rFonts w:ascii="Times New Roman" w:hAnsi="Times New Roman" w:cs="Times New Roman"/>
                <w:color w:val="000000"/>
                <w:sz w:val="25"/>
                <w:szCs w:val="25"/>
              </w:rPr>
            </w:pPr>
            <w:r>
              <w:rPr>
                <w:rFonts w:ascii="Times New Roman" w:hAnsi="Times New Roman" w:cs="Times New Roman"/>
                <w:color w:val="000000"/>
                <w:sz w:val="25"/>
                <w:szCs w:val="25"/>
              </w:rPr>
              <w:t>Beta</w:t>
            </w:r>
          </w:p>
        </w:tc>
        <w:tc>
          <w:tcPr>
            <w:tcW w:w="994" w:type="dxa"/>
            <w:vMerge w:val="continue"/>
            <w:tcBorders>
              <w:top w:val="single" w:color="000000" w:sz="16" w:space="0"/>
            </w:tcBorders>
            <w:shd w:val="clear" w:color="auto" w:fill="FFFFFF"/>
            <w:vAlign w:val="bottom"/>
          </w:tcPr>
          <w:p>
            <w:pPr>
              <w:autoSpaceDE w:val="0"/>
              <w:autoSpaceDN w:val="0"/>
              <w:adjustRightInd w:val="0"/>
              <w:spacing w:after="0" w:line="360" w:lineRule="auto"/>
              <w:rPr>
                <w:rFonts w:ascii="Times New Roman" w:hAnsi="Times New Roman" w:cs="Times New Roman"/>
                <w:color w:val="000000"/>
                <w:sz w:val="25"/>
                <w:szCs w:val="25"/>
              </w:rPr>
            </w:pPr>
          </w:p>
        </w:tc>
        <w:tc>
          <w:tcPr>
            <w:tcW w:w="994" w:type="dxa"/>
            <w:vMerge w:val="continue"/>
            <w:tcBorders>
              <w:top w:val="single" w:color="000000" w:sz="16" w:space="0"/>
              <w:right w:val="single" w:color="000000" w:sz="16" w:space="0"/>
            </w:tcBorders>
            <w:shd w:val="clear" w:color="auto" w:fill="FFFFFF"/>
            <w:vAlign w:val="bottom"/>
          </w:tcPr>
          <w:p>
            <w:pPr>
              <w:autoSpaceDE w:val="0"/>
              <w:autoSpaceDN w:val="0"/>
              <w:adjustRightInd w:val="0"/>
              <w:spacing w:after="0" w:line="360" w:lineRule="auto"/>
              <w:rPr>
                <w:rFonts w:ascii="Times New Roman" w:hAnsi="Times New Roman" w:cs="Times New Roman"/>
                <w:color w:val="000000"/>
                <w:sz w:val="25"/>
                <w:szCs w:val="25"/>
              </w:rPr>
            </w:pPr>
          </w:p>
        </w:tc>
      </w:tr>
      <w:tr>
        <w:tblPrEx>
          <w:tblLayout w:type="fixed"/>
        </w:tblPrEx>
        <w:trPr>
          <w:cantSplit/>
        </w:trPr>
        <w:tc>
          <w:tcPr>
            <w:tcW w:w="735" w:type="dxa"/>
            <w:vMerge w:val="restart"/>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360" w:lineRule="auto"/>
              <w:ind w:left="60" w:right="60"/>
              <w:rPr>
                <w:rFonts w:ascii="Times New Roman" w:hAnsi="Times New Roman" w:cs="Times New Roman"/>
                <w:color w:val="000000"/>
                <w:sz w:val="25"/>
                <w:szCs w:val="25"/>
              </w:rPr>
            </w:pPr>
            <w:r>
              <w:rPr>
                <w:rFonts w:ascii="Times New Roman" w:hAnsi="Times New Roman" w:cs="Times New Roman"/>
                <w:color w:val="000000"/>
                <w:sz w:val="25"/>
                <w:szCs w:val="25"/>
              </w:rPr>
              <w:t>1</w:t>
            </w:r>
          </w:p>
        </w:tc>
        <w:tc>
          <w:tcPr>
            <w:tcW w:w="2189" w:type="dxa"/>
            <w:tcBorders>
              <w:top w:val="single" w:color="000000" w:sz="16" w:space="0"/>
              <w:left w:val="nil"/>
              <w:bottom w:val="nil"/>
              <w:right w:val="single" w:color="000000" w:sz="16" w:space="0"/>
            </w:tcBorders>
            <w:shd w:val="clear" w:color="auto" w:fill="FFFFFF"/>
          </w:tcPr>
          <w:p>
            <w:pPr>
              <w:autoSpaceDE w:val="0"/>
              <w:autoSpaceDN w:val="0"/>
              <w:adjustRightInd w:val="0"/>
              <w:spacing w:after="0" w:line="360" w:lineRule="auto"/>
              <w:ind w:left="60" w:right="60"/>
              <w:rPr>
                <w:rFonts w:ascii="Times New Roman" w:hAnsi="Times New Roman" w:cs="Times New Roman"/>
                <w:color w:val="000000"/>
                <w:sz w:val="25"/>
                <w:szCs w:val="25"/>
              </w:rPr>
            </w:pPr>
            <w:r>
              <w:rPr>
                <w:rFonts w:ascii="Times New Roman" w:hAnsi="Times New Roman" w:cs="Times New Roman"/>
                <w:color w:val="000000"/>
                <w:sz w:val="25"/>
                <w:szCs w:val="25"/>
              </w:rPr>
              <w:t>(Constant)</w:t>
            </w:r>
          </w:p>
        </w:tc>
        <w:tc>
          <w:tcPr>
            <w:tcW w:w="1330" w:type="dxa"/>
            <w:tcBorders>
              <w:top w:val="single" w:color="000000" w:sz="16" w:space="0"/>
              <w:left w:val="single" w:color="000000" w:sz="16" w:space="0"/>
              <w:bottom w:val="nil"/>
            </w:tcBorders>
            <w:shd w:val="clear" w:color="auto" w:fill="FFFFFF"/>
            <w:vAlign w:val="center"/>
          </w:tcPr>
          <w:p>
            <w:pPr>
              <w:autoSpaceDE w:val="0"/>
              <w:autoSpaceDN w:val="0"/>
              <w:adjustRightInd w:val="0"/>
              <w:spacing w:after="0" w:line="36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.210</w:t>
            </w:r>
          </w:p>
        </w:tc>
        <w:tc>
          <w:tcPr>
            <w:tcW w:w="1330" w:type="dxa"/>
            <w:tcBorders>
              <w:top w:val="single" w:color="000000" w:sz="16" w:space="0"/>
              <w:bottom w:val="nil"/>
            </w:tcBorders>
            <w:shd w:val="clear" w:color="auto" w:fill="FFFFFF"/>
            <w:vAlign w:val="center"/>
          </w:tcPr>
          <w:p>
            <w:pPr>
              <w:autoSpaceDE w:val="0"/>
              <w:autoSpaceDN w:val="0"/>
              <w:adjustRightInd w:val="0"/>
              <w:spacing w:after="0" w:line="36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.054</w:t>
            </w:r>
          </w:p>
        </w:tc>
        <w:tc>
          <w:tcPr>
            <w:tcW w:w="1468" w:type="dxa"/>
            <w:tcBorders>
              <w:top w:val="single" w:color="000000" w:sz="16" w:space="0"/>
              <w:bottom w:val="nil"/>
            </w:tcBorders>
            <w:shd w:val="clear" w:color="auto" w:fill="FFFFFF"/>
            <w:vAlign w:val="center"/>
          </w:tcPr>
          <w:p>
            <w:pPr>
              <w:autoSpaceDE w:val="0"/>
              <w:autoSpaceDN w:val="0"/>
              <w:adjustRightInd w:val="0"/>
              <w:spacing w:after="0" w:line="360" w:lineRule="auto"/>
              <w:rPr>
                <w:rFonts w:ascii="Times New Roman" w:hAnsi="Times New Roman" w:cs="Times New Roman"/>
                <w:sz w:val="25"/>
                <w:szCs w:val="25"/>
              </w:rPr>
            </w:pPr>
          </w:p>
        </w:tc>
        <w:tc>
          <w:tcPr>
            <w:tcW w:w="994" w:type="dxa"/>
            <w:tcBorders>
              <w:top w:val="single" w:color="000000" w:sz="16" w:space="0"/>
              <w:bottom w:val="nil"/>
            </w:tcBorders>
            <w:shd w:val="clear" w:color="auto" w:fill="FFFFFF"/>
            <w:vAlign w:val="center"/>
          </w:tcPr>
          <w:p>
            <w:pPr>
              <w:autoSpaceDE w:val="0"/>
              <w:autoSpaceDN w:val="0"/>
              <w:adjustRightInd w:val="0"/>
              <w:spacing w:after="0" w:line="36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3.889</w:t>
            </w:r>
          </w:p>
        </w:tc>
        <w:tc>
          <w:tcPr>
            <w:tcW w:w="994" w:type="dxa"/>
            <w:tcBorders>
              <w:top w:val="single" w:color="000000" w:sz="16" w:space="0"/>
              <w:bottom w:val="nil"/>
              <w:right w:val="single" w:color="000000" w:sz="16" w:space="0"/>
            </w:tcBorders>
            <w:shd w:val="clear" w:color="auto" w:fill="FFFFFF"/>
            <w:vAlign w:val="center"/>
          </w:tcPr>
          <w:p>
            <w:pPr>
              <w:autoSpaceDE w:val="0"/>
              <w:autoSpaceDN w:val="0"/>
              <w:adjustRightInd w:val="0"/>
              <w:spacing w:after="0" w:line="36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.007</w:t>
            </w:r>
          </w:p>
        </w:tc>
      </w:tr>
      <w:tr>
        <w:tblPrEx>
          <w:tblLayout w:type="fixed"/>
        </w:tblPrEx>
        <w:trPr>
          <w:cantSplit/>
        </w:trPr>
        <w:tc>
          <w:tcPr>
            <w:tcW w:w="735"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360" w:lineRule="auto"/>
              <w:rPr>
                <w:rFonts w:ascii="Times New Roman" w:hAnsi="Times New Roman" w:cs="Times New Roman"/>
                <w:color w:val="000000"/>
                <w:sz w:val="25"/>
                <w:szCs w:val="25"/>
              </w:rPr>
            </w:pPr>
          </w:p>
        </w:tc>
        <w:tc>
          <w:tcPr>
            <w:tcW w:w="2189" w:type="dxa"/>
            <w:tcBorders>
              <w:top w:val="nil"/>
              <w:left w:val="nil"/>
              <w:bottom w:val="single" w:color="000000" w:sz="16" w:space="0"/>
              <w:right w:val="single" w:color="000000" w:sz="16" w:space="0"/>
            </w:tcBorders>
            <w:shd w:val="clear" w:color="auto" w:fill="FFFFFF"/>
          </w:tcPr>
          <w:p>
            <w:pPr>
              <w:autoSpaceDE w:val="0"/>
              <w:autoSpaceDN w:val="0"/>
              <w:adjustRightInd w:val="0"/>
              <w:spacing w:after="0" w:line="360" w:lineRule="auto"/>
              <w:ind w:left="60" w:right="60"/>
              <w:rPr>
                <w:rFonts w:ascii="Times New Roman" w:hAnsi="Times New Roman" w:cs="Times New Roman"/>
                <w:color w:val="000000"/>
                <w:sz w:val="25"/>
                <w:szCs w:val="25"/>
              </w:rPr>
            </w:pPr>
            <w:r>
              <w:rPr>
                <w:rFonts w:ascii="Times New Roman" w:hAnsi="Times New Roman" w:cs="Times New Roman"/>
                <w:color w:val="000000"/>
                <w:sz w:val="25"/>
                <w:szCs w:val="25"/>
              </w:rPr>
              <w:t>GHRM</w:t>
            </w:r>
          </w:p>
        </w:tc>
        <w:tc>
          <w:tcPr>
            <w:tcW w:w="1330" w:type="dxa"/>
            <w:tcBorders>
              <w:top w:val="nil"/>
              <w:left w:val="single" w:color="000000" w:sz="16" w:space="0"/>
              <w:bottom w:val="single" w:color="000000" w:sz="16" w:space="0"/>
            </w:tcBorders>
            <w:shd w:val="clear" w:color="auto" w:fill="FFFFFF"/>
            <w:vAlign w:val="center"/>
          </w:tcPr>
          <w:p>
            <w:pPr>
              <w:autoSpaceDE w:val="0"/>
              <w:autoSpaceDN w:val="0"/>
              <w:adjustRightInd w:val="0"/>
              <w:spacing w:after="0" w:line="36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.952</w:t>
            </w:r>
          </w:p>
        </w:tc>
        <w:tc>
          <w:tcPr>
            <w:tcW w:w="1330" w:type="dxa"/>
            <w:tcBorders>
              <w:top w:val="nil"/>
              <w:bottom w:val="single" w:color="000000" w:sz="16" w:space="0"/>
            </w:tcBorders>
            <w:shd w:val="clear" w:color="auto" w:fill="FFFFFF"/>
            <w:vAlign w:val="center"/>
          </w:tcPr>
          <w:p>
            <w:pPr>
              <w:autoSpaceDE w:val="0"/>
              <w:autoSpaceDN w:val="0"/>
              <w:adjustRightInd w:val="0"/>
              <w:spacing w:after="0" w:line="36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.028</w:t>
            </w:r>
          </w:p>
        </w:tc>
        <w:tc>
          <w:tcPr>
            <w:tcW w:w="1468" w:type="dxa"/>
            <w:tcBorders>
              <w:top w:val="nil"/>
              <w:bottom w:val="single" w:color="000000" w:sz="16" w:space="0"/>
            </w:tcBorders>
            <w:shd w:val="clear" w:color="auto" w:fill="FFFFFF"/>
            <w:vAlign w:val="center"/>
          </w:tcPr>
          <w:p>
            <w:pPr>
              <w:autoSpaceDE w:val="0"/>
              <w:autoSpaceDN w:val="0"/>
              <w:adjustRightInd w:val="0"/>
              <w:spacing w:after="0" w:line="36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.919</w:t>
            </w:r>
          </w:p>
        </w:tc>
        <w:tc>
          <w:tcPr>
            <w:tcW w:w="994" w:type="dxa"/>
            <w:tcBorders>
              <w:top w:val="nil"/>
              <w:bottom w:val="single" w:color="000000" w:sz="16" w:space="0"/>
            </w:tcBorders>
            <w:shd w:val="clear" w:color="auto" w:fill="FFFFFF"/>
            <w:vAlign w:val="center"/>
          </w:tcPr>
          <w:p>
            <w:pPr>
              <w:autoSpaceDE w:val="0"/>
              <w:autoSpaceDN w:val="0"/>
              <w:adjustRightInd w:val="0"/>
              <w:spacing w:after="0" w:line="36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33.636</w:t>
            </w:r>
          </w:p>
        </w:tc>
        <w:tc>
          <w:tcPr>
            <w:tcW w:w="994" w:type="dxa"/>
            <w:tcBorders>
              <w:top w:val="nil"/>
              <w:bottom w:val="single" w:color="000000" w:sz="16" w:space="0"/>
              <w:right w:val="single" w:color="000000" w:sz="16" w:space="0"/>
            </w:tcBorders>
            <w:shd w:val="clear" w:color="auto" w:fill="FFFFFF"/>
            <w:vAlign w:val="center"/>
          </w:tcPr>
          <w:p>
            <w:pPr>
              <w:autoSpaceDE w:val="0"/>
              <w:autoSpaceDN w:val="0"/>
              <w:adjustRightInd w:val="0"/>
              <w:spacing w:after="0" w:line="360" w:lineRule="auto"/>
              <w:ind w:left="60" w:right="60"/>
              <w:jc w:val="right"/>
              <w:rPr>
                <w:rFonts w:ascii="Times New Roman" w:hAnsi="Times New Roman" w:cs="Times New Roman"/>
                <w:color w:val="000000"/>
                <w:sz w:val="25"/>
                <w:szCs w:val="25"/>
              </w:rPr>
            </w:pPr>
            <w:r>
              <w:rPr>
                <w:rFonts w:ascii="Times New Roman" w:hAnsi="Times New Roman" w:cs="Times New Roman"/>
                <w:color w:val="000000"/>
                <w:sz w:val="25"/>
                <w:szCs w:val="25"/>
              </w:rPr>
              <w:t>.000</w:t>
            </w:r>
          </w:p>
        </w:tc>
      </w:tr>
      <w:tr>
        <w:tblPrEx>
          <w:tblLayout w:type="fixed"/>
        </w:tblPrEx>
        <w:trPr>
          <w:cantSplit/>
        </w:trPr>
        <w:tc>
          <w:tcPr>
            <w:tcW w:w="9040" w:type="dxa"/>
            <w:gridSpan w:val="7"/>
            <w:tcBorders>
              <w:top w:val="nil"/>
              <w:left w:val="nil"/>
              <w:bottom w:val="nil"/>
              <w:right w:val="nil"/>
            </w:tcBorders>
            <w:shd w:val="clear" w:color="auto" w:fill="FFFFFF"/>
          </w:tcPr>
          <w:p>
            <w:pPr>
              <w:autoSpaceDE w:val="0"/>
              <w:autoSpaceDN w:val="0"/>
              <w:adjustRightInd w:val="0"/>
              <w:spacing w:after="0" w:line="360" w:lineRule="auto"/>
              <w:ind w:left="60" w:right="60"/>
              <w:rPr>
                <w:rFonts w:ascii="Times New Roman" w:hAnsi="Times New Roman" w:cs="Times New Roman"/>
                <w:color w:val="000000"/>
                <w:sz w:val="25"/>
                <w:szCs w:val="25"/>
              </w:rPr>
            </w:pPr>
            <w:r>
              <w:rPr>
                <w:rFonts w:ascii="Times New Roman" w:hAnsi="Times New Roman" w:cs="Times New Roman"/>
                <w:color w:val="000000"/>
                <w:sz w:val="25"/>
                <w:szCs w:val="25"/>
              </w:rPr>
              <w:t>a. Dependent Variable: Organizational Resilience (Environmental Effectiveness)</w:t>
            </w:r>
          </w:p>
        </w:tc>
      </w:tr>
    </w:tbl>
    <w:p>
      <w:pPr>
        <w:spacing w:line="480" w:lineRule="auto"/>
        <w:ind w:firstLine="720"/>
        <w:jc w:val="both"/>
        <w:rPr>
          <w:rFonts w:ascii="Times New Roman" w:hAnsi="Times New Roman" w:cs="Times New Roman"/>
          <w:sz w:val="25"/>
          <w:szCs w:val="25"/>
        </w:rPr>
      </w:pPr>
    </w:p>
    <w:p>
      <w:pPr>
        <w:spacing w:after="0" w:line="480" w:lineRule="auto"/>
        <w:jc w:val="both"/>
        <w:outlineLvl w:val="0"/>
        <w:rPr>
          <w:rFonts w:ascii="Times New Roman" w:hAnsi="Times New Roman" w:cs="Times New Roman"/>
          <w:sz w:val="25"/>
          <w:szCs w:val="25"/>
          <w:shd w:val="clear" w:color="auto" w:fill="FFFFFF"/>
        </w:rPr>
      </w:pPr>
      <w:r>
        <w:rPr>
          <w:rFonts w:ascii="Times New Roman" w:hAnsi="Times New Roman" w:cs="Times New Roman"/>
          <w:sz w:val="25"/>
          <w:szCs w:val="25"/>
        </w:rPr>
        <w:t xml:space="preserve">The regression coefficient of the model in table above indicates the significant role of the constant is β=0.210 whereas; the beta value for the predictor variable (GHRM) is 0.952. The t-value of 33.636 and the p-value of .000 indicates the model is significant at p&lt;0.05. Therefore, the regression coefficient (Beta= 0.952) implies the level of organizational resilience in environmental effectiveness is increase by 95.2% as the GHRM practice increase by 1%. With the value of constant (0.210) in the regression coefficients above, it is predicted that the removing the GHRM practice from the model has significant effect on organizational effectiveness because of the significant reduction in organizational resilience of the selected bank. Therefore, it is concluded that there is a significant role of GHRM practice on the resilience activities of the organizational effectiveness. This aligned with the previous work of </w:t>
      </w:r>
      <w:r>
        <w:rPr>
          <w:rFonts w:ascii="Times New Roman" w:hAnsi="Times New Roman" w:eastAsia="Times New Roman" w:cs="Times New Roman"/>
          <w:kern w:val="36"/>
          <w:sz w:val="25"/>
          <w:szCs w:val="25"/>
          <w:lang w:eastAsia="zh-CN"/>
        </w:rPr>
        <w:t xml:space="preserve">Nosheen Anwar, Nik Hasnaa, Nik Mahmood, Mohd Yousoff Yusliza, Ramayah Juhari, Noor Faezah and Waqas Khalid, (2020) who found that </w:t>
      </w:r>
      <w:r>
        <w:rPr>
          <w:rFonts w:ascii="Times New Roman" w:hAnsi="Times New Roman" w:cs="Times New Roman"/>
          <w:sz w:val="25"/>
          <w:szCs w:val="25"/>
          <w:shd w:val="clear" w:color="auto" w:fill="FFFFFF"/>
        </w:rPr>
        <w:t>staff acted as a means through which the Green HRM practices can positively influence the environmental performance; which this current findings have highlighting the critical role of management and non-management staff’s environmentally friendly behavior for improving the resilience in environmental performance of a bank.</w:t>
      </w:r>
    </w:p>
    <w:p>
      <w:pPr>
        <w:autoSpaceDE w:val="0"/>
        <w:autoSpaceDN w:val="0"/>
        <w:adjustRightInd w:val="0"/>
        <w:spacing w:after="0" w:line="480" w:lineRule="auto"/>
        <w:jc w:val="both"/>
        <w:rPr>
          <w:rFonts w:ascii="Times New Roman" w:hAnsi="Times New Roman" w:cs="Times New Roman"/>
          <w:b/>
          <w:sz w:val="25"/>
          <w:szCs w:val="25"/>
        </w:rPr>
      </w:pPr>
      <w:r>
        <w:rPr>
          <w:rFonts w:ascii="Times New Roman" w:hAnsi="Times New Roman" w:cs="Times New Roman"/>
          <w:b/>
          <w:sz w:val="25"/>
          <w:szCs w:val="25"/>
        </w:rPr>
        <w:t>4.5 Discussion of Findings</w:t>
      </w:r>
    </w:p>
    <w:p>
      <w:pPr>
        <w:autoSpaceDE w:val="0"/>
        <w:autoSpaceDN w:val="0"/>
        <w:adjustRightInd w:val="0"/>
        <w:spacing w:after="0" w:line="480" w:lineRule="auto"/>
        <w:ind w:firstLine="720"/>
        <w:jc w:val="both"/>
        <w:rPr>
          <w:rFonts w:ascii="Times New Roman" w:hAnsi="Times New Roman" w:cs="Times New Roman"/>
          <w:sz w:val="25"/>
          <w:szCs w:val="25"/>
        </w:rPr>
      </w:pPr>
      <w:r>
        <w:rPr>
          <w:rFonts w:ascii="Times New Roman" w:hAnsi="Times New Roman" w:cs="Times New Roman"/>
          <w:sz w:val="25"/>
          <w:szCs w:val="25"/>
        </w:rPr>
        <w:t>This study set out to investigate the role of Green Human Resource Management (GHRM) practices in shaping organizational performance in the 21st century, using Guaranty Trust Bank (GTB) in Ilorin, Kwara State as a case study. The findings provide empirical evidence supporting the notion that GHRM practices significantly contribute to organizational effectiveness, a key component of performance in contemporary organizations.</w:t>
      </w:r>
    </w:p>
    <w:p>
      <w:pPr>
        <w:autoSpaceDE w:val="0"/>
        <w:autoSpaceDN w:val="0"/>
        <w:adjustRightInd w:val="0"/>
        <w:spacing w:after="0" w:line="480" w:lineRule="auto"/>
        <w:ind w:firstLine="720"/>
        <w:jc w:val="both"/>
        <w:rPr>
          <w:rFonts w:ascii="Times New Roman" w:hAnsi="Times New Roman" w:cs="Times New Roman"/>
          <w:sz w:val="25"/>
          <w:szCs w:val="25"/>
        </w:rPr>
      </w:pPr>
      <w:r>
        <w:rPr>
          <w:rFonts w:ascii="Times New Roman" w:hAnsi="Times New Roman" w:cs="Times New Roman"/>
          <w:sz w:val="25"/>
          <w:szCs w:val="25"/>
        </w:rPr>
        <w:t>The analysis of the first hypothesis revealed that approximately 44% of the variance in organizational effectiveness could be attributed directly to Green Human Resource Management, as operationalized through performance management appraisal practices. This implies that while GHRM practices play a substantial role, 56% of organizational effectiveness is still influenced by other factors not captured in this model, indicating that GHRM is a significant but not solitary contributor to performance.</w:t>
      </w:r>
    </w:p>
    <w:p>
      <w:pPr>
        <w:autoSpaceDE w:val="0"/>
        <w:autoSpaceDN w:val="0"/>
        <w:adjustRightInd w:val="0"/>
        <w:spacing w:after="0" w:line="480" w:lineRule="auto"/>
        <w:ind w:firstLine="720"/>
        <w:jc w:val="both"/>
        <w:rPr>
          <w:rFonts w:ascii="Times New Roman" w:hAnsi="Times New Roman" w:cs="Times New Roman"/>
          <w:sz w:val="25"/>
          <w:szCs w:val="25"/>
        </w:rPr>
      </w:pPr>
    </w:p>
    <w:p>
      <w:pPr>
        <w:autoSpaceDE w:val="0"/>
        <w:autoSpaceDN w:val="0"/>
        <w:adjustRightInd w:val="0"/>
        <w:spacing w:after="0" w:line="480" w:lineRule="auto"/>
        <w:ind w:firstLine="720"/>
        <w:jc w:val="both"/>
        <w:rPr>
          <w:rFonts w:ascii="Times New Roman" w:hAnsi="Times New Roman" w:cs="Times New Roman"/>
          <w:sz w:val="25"/>
          <w:szCs w:val="25"/>
        </w:rPr>
      </w:pPr>
      <w:r>
        <w:rPr>
          <w:rFonts w:ascii="Times New Roman" w:hAnsi="Times New Roman" w:cs="Times New Roman"/>
          <w:sz w:val="25"/>
          <w:szCs w:val="25"/>
        </w:rPr>
        <w:t>The regression analysis demonstrated that GHRM, as measured through performance management appraisal, was statistically significant (β = 0.702), confirming that an increase in GHRM initiatives correlates with an increase in organizational effectiveness. This finding is consistent with the work of Mousa and Othman (2020), who argued that the adoption of green performance management methods varies by industry, with a more pronounced impact observed in sectors such as banking compared to others like healthcare.</w:t>
      </w:r>
    </w:p>
    <w:p>
      <w:pPr>
        <w:autoSpaceDE w:val="0"/>
        <w:autoSpaceDN w:val="0"/>
        <w:adjustRightInd w:val="0"/>
        <w:spacing w:after="0" w:line="480" w:lineRule="auto"/>
        <w:ind w:firstLine="720"/>
        <w:jc w:val="both"/>
        <w:rPr>
          <w:rFonts w:ascii="Times New Roman" w:hAnsi="Times New Roman" w:cs="Times New Roman"/>
          <w:sz w:val="25"/>
          <w:szCs w:val="25"/>
        </w:rPr>
      </w:pPr>
      <w:r>
        <w:rPr>
          <w:rFonts w:ascii="Times New Roman" w:hAnsi="Times New Roman" w:cs="Times New Roman"/>
          <w:sz w:val="25"/>
          <w:szCs w:val="25"/>
        </w:rPr>
        <w:t>Moreover, the statistical significance of the regression coefficient (t = 17.825, p = 0.001 &lt; 0.05) at the 5% level affirms the robustness of the model. The vector error correction (c = -0.381) suggests that if GTB were to neglect GHRM practices, organizational effectiveness could decline by approximately 38.1%, potentially affecting strategic goal achievement and overall operational sustainability.</w:t>
      </w:r>
    </w:p>
    <w:p>
      <w:pPr>
        <w:autoSpaceDE w:val="0"/>
        <w:autoSpaceDN w:val="0"/>
        <w:adjustRightInd w:val="0"/>
        <w:spacing w:after="0" w:line="480" w:lineRule="auto"/>
        <w:ind w:firstLine="720"/>
        <w:jc w:val="both"/>
        <w:rPr>
          <w:rFonts w:ascii="Times New Roman" w:hAnsi="Times New Roman" w:cs="Times New Roman"/>
          <w:sz w:val="25"/>
          <w:szCs w:val="25"/>
        </w:rPr>
      </w:pPr>
      <w:r>
        <w:rPr>
          <w:rFonts w:ascii="Times New Roman" w:hAnsi="Times New Roman" w:cs="Times New Roman"/>
          <w:sz w:val="25"/>
          <w:szCs w:val="25"/>
        </w:rPr>
        <w:t>Further analysis explored the relationship between key GHRM dimensions—green recruitment and selection (r = 0.667), training and development (r = 0.807), and reward and compensation management (r = 0.775)—and organizational competitiveness. These strong positive correlations indicate that improvements in each of these green HR components are likely to enhance the bank’s competitive position. This supports the findings of Zaid, Jaaron, and Bon (2018), who highlighted the positive impact of GHRM practices on long-term organizational success.</w:t>
      </w:r>
    </w:p>
    <w:p>
      <w:pPr>
        <w:autoSpaceDE w:val="0"/>
        <w:autoSpaceDN w:val="0"/>
        <w:adjustRightInd w:val="0"/>
        <w:spacing w:after="0" w:line="480" w:lineRule="auto"/>
        <w:ind w:firstLine="720"/>
        <w:jc w:val="both"/>
        <w:rPr>
          <w:rFonts w:ascii="Times New Roman" w:hAnsi="Times New Roman" w:cs="Times New Roman"/>
          <w:sz w:val="25"/>
          <w:szCs w:val="25"/>
        </w:rPr>
      </w:pPr>
      <w:r>
        <w:rPr>
          <w:rFonts w:ascii="Times New Roman" w:hAnsi="Times New Roman" w:cs="Times New Roman"/>
          <w:sz w:val="25"/>
          <w:szCs w:val="25"/>
        </w:rPr>
        <w:t>Finally, the regression coefficient (Beta = 0.952) indicated that a 1% increase in GHRM practices leads to a 95.2% increase in organizational resilience concerning environmental effectiveness. Conversely, the removal of GHRM practices is predicted to lead to a significant drop in resilience, as shown by the constant value (0.210) in the regression model. These insights align with the findings of Anwar et al. (2020), who emphasized that environmentally responsible behaviors among staff are crucial mediators through which GHRM enhances environmental performance and resilience.</w:t>
      </w:r>
    </w:p>
    <w:p>
      <w:pPr>
        <w:autoSpaceDE w:val="0"/>
        <w:autoSpaceDN w:val="0"/>
        <w:adjustRightInd w:val="0"/>
        <w:spacing w:after="0" w:line="480" w:lineRule="auto"/>
        <w:ind w:firstLine="720"/>
        <w:jc w:val="both"/>
        <w:rPr>
          <w:rFonts w:ascii="Times New Roman" w:hAnsi="Times New Roman" w:cs="Times New Roman"/>
          <w:sz w:val="25"/>
          <w:szCs w:val="25"/>
        </w:rPr>
      </w:pPr>
      <w:r>
        <w:rPr>
          <w:rFonts w:ascii="Times New Roman" w:hAnsi="Times New Roman" w:cs="Times New Roman"/>
          <w:sz w:val="25"/>
          <w:szCs w:val="25"/>
        </w:rPr>
        <w:t>Overall, the findings underscore the pivotal role that GHRM practices play in shaping not only the operational but also the strategic performance of organizations in the 21st century. The incorporation of green values into HR functions enhances not just immediate efficiency but also long-term sustainability, competitiveness, and organizational resilience.</w:t>
      </w:r>
    </w:p>
    <w:p>
      <w:pPr>
        <w:rPr>
          <w:rFonts w:ascii="Times New Roman" w:hAnsi="Times New Roman" w:cs="Times New Roman"/>
          <w:b/>
          <w:sz w:val="26"/>
          <w:szCs w:val="26"/>
        </w:rPr>
      </w:pPr>
      <w:r>
        <w:rPr>
          <w:rFonts w:ascii="Times New Roman" w:hAnsi="Times New Roman" w:cs="Times New Roman"/>
          <w:b/>
          <w:sz w:val="26"/>
          <w:szCs w:val="26"/>
        </w:rPr>
        <w:br w:type="page"/>
      </w:r>
    </w:p>
    <w:p>
      <w:pPr>
        <w:autoSpaceDE w:val="0"/>
        <w:autoSpaceDN w:val="0"/>
        <w:adjustRightInd w:val="0"/>
        <w:spacing w:after="0" w:line="480" w:lineRule="auto"/>
        <w:ind w:firstLine="720"/>
        <w:jc w:val="both"/>
        <w:rPr>
          <w:rFonts w:ascii="Times New Roman" w:hAnsi="Times New Roman" w:cs="Times New Roman"/>
          <w:b/>
          <w:sz w:val="26"/>
          <w:szCs w:val="26"/>
        </w:rPr>
      </w:pPr>
    </w:p>
    <w:p>
      <w:pPr>
        <w:spacing w:line="480" w:lineRule="auto"/>
        <w:jc w:val="center"/>
        <w:rPr>
          <w:rFonts w:ascii="Times New Roman" w:hAnsi="Times New Roman" w:cs="Times New Roman"/>
          <w:b/>
          <w:sz w:val="26"/>
          <w:szCs w:val="26"/>
        </w:rPr>
      </w:pPr>
      <w:r>
        <w:rPr>
          <w:rFonts w:ascii="Times New Roman" w:hAnsi="Times New Roman" w:cs="Times New Roman"/>
          <w:b/>
          <w:sz w:val="26"/>
          <w:szCs w:val="26"/>
        </w:rPr>
        <w:t>CHAPTER FIVE</w:t>
      </w:r>
    </w:p>
    <w:p>
      <w:pPr>
        <w:spacing w:line="480" w:lineRule="auto"/>
        <w:jc w:val="center"/>
        <w:rPr>
          <w:rFonts w:ascii="Times New Roman" w:hAnsi="Times New Roman" w:cs="Times New Roman"/>
          <w:sz w:val="26"/>
          <w:szCs w:val="26"/>
        </w:rPr>
      </w:pPr>
      <w:r>
        <w:rPr>
          <w:rFonts w:ascii="Times New Roman" w:hAnsi="Times New Roman" w:cs="Times New Roman"/>
          <w:b/>
          <w:sz w:val="26"/>
          <w:szCs w:val="26"/>
        </w:rPr>
        <w:t>SUMMARY, CONCLUSION AND RECOMMENDATIONS</w:t>
      </w:r>
    </w:p>
    <w:p>
      <w:pPr>
        <w:pStyle w:val="18"/>
        <w:numPr>
          <w:ilvl w:val="1"/>
          <w:numId w:val="3"/>
        </w:numPr>
        <w:spacing w:line="480" w:lineRule="auto"/>
        <w:rPr>
          <w:rFonts w:ascii="Times New Roman" w:hAnsi="Times New Roman" w:cs="Times New Roman"/>
          <w:sz w:val="25"/>
          <w:szCs w:val="25"/>
        </w:rPr>
      </w:pPr>
      <w:r>
        <w:rPr>
          <w:rFonts w:ascii="Times New Roman" w:hAnsi="Times New Roman" w:eastAsia="Times New Roman" w:cs="Times New Roman"/>
          <w:b/>
          <w:bCs/>
          <w:sz w:val="25"/>
          <w:szCs w:val="25"/>
        </w:rPr>
        <w:t>Summary of Findings</w:t>
      </w:r>
    </w:p>
    <w:p>
      <w:pPr>
        <w:spacing w:line="480" w:lineRule="auto"/>
        <w:rPr>
          <w:rFonts w:ascii="Times New Roman" w:hAnsi="Times New Roman" w:cs="Times New Roman"/>
          <w:sz w:val="25"/>
          <w:szCs w:val="25"/>
        </w:rPr>
      </w:pPr>
      <w:r>
        <w:rPr>
          <w:rFonts w:ascii="Times New Roman" w:hAnsi="Times New Roman" w:eastAsia="Times New Roman" w:cs="Times New Roman"/>
          <w:sz w:val="25"/>
          <w:szCs w:val="25"/>
        </w:rPr>
        <w:t>This study, conducted using Guaranty Trust Bank (GTB) Plc, Ilorin, Kwara State as a case study, examined the role of Green Human Resource Management (GHRM) practices in shaping organizational performance in the 21st century. The findings reveal that employees at GTB value and positively respond to key GHRM elements such as green recruitment and selection, performance appraisal, training and development, as well as rewards and compensation systems. These practices contribute significantly to the bank’s organizational effectiveness, competitiveness, and overall functional performance.</w:t>
      </w:r>
    </w:p>
    <w:p>
      <w:pPr>
        <w:spacing w:line="480" w:lineRule="auto"/>
        <w:rPr>
          <w:rFonts w:ascii="Times New Roman" w:hAnsi="Times New Roman" w:cs="Times New Roman"/>
          <w:sz w:val="25"/>
          <w:szCs w:val="25"/>
        </w:rPr>
      </w:pPr>
      <w:r>
        <w:rPr>
          <w:rFonts w:ascii="Times New Roman" w:hAnsi="Times New Roman" w:eastAsia="Times New Roman" w:cs="Times New Roman"/>
          <w:sz w:val="25"/>
          <w:szCs w:val="25"/>
        </w:rPr>
        <w:t>Despite challenges, particularly during critical periods such as the COVID-19 pandemic, GHRM practices have proven to be vital to GTB’s operations. Employees acknowledge the importance of integrating environmental sustainability into human resource functions, especially in the areas of performance appraisal, talent acquisition, training, and rewards management. These practices have enhanced employee engagement and performance, ultimately improving organizational outcomes (Renwick et al., 2013; Jabbour &amp; de Sousa Jabbour, 2016).</w:t>
      </w:r>
    </w:p>
    <w:p>
      <w:pPr>
        <w:spacing w:line="480" w:lineRule="auto"/>
        <w:rPr>
          <w:rFonts w:ascii="Times New Roman" w:hAnsi="Times New Roman" w:cs="Times New Roman"/>
          <w:sz w:val="25"/>
          <w:szCs w:val="25"/>
        </w:rPr>
      </w:pPr>
      <w:r>
        <w:rPr>
          <w:rFonts w:ascii="Times New Roman" w:hAnsi="Times New Roman" w:eastAsia="Times New Roman" w:cs="Times New Roman"/>
          <w:sz w:val="25"/>
          <w:szCs w:val="25"/>
        </w:rPr>
        <w:t>The study further identifies three key GHRM domains—green performance management, training and development, and rewards systems—as pivotal in shaping staff productivity in GTB. It confirms that these practices not only foster environmental consciousness among employees but also directly influence operational efficiency in the banking sector (Jackson et al., 2011).</w:t>
      </w:r>
    </w:p>
    <w:p>
      <w:pPr>
        <w:spacing w:line="480" w:lineRule="auto"/>
        <w:rPr>
          <w:rFonts w:ascii="Times New Roman" w:hAnsi="Times New Roman" w:cs="Times New Roman"/>
          <w:sz w:val="25"/>
          <w:szCs w:val="25"/>
        </w:rPr>
      </w:pPr>
      <w:r>
        <w:rPr>
          <w:rFonts w:ascii="Times New Roman" w:hAnsi="Times New Roman" w:eastAsia="Times New Roman" w:cs="Times New Roman"/>
          <w:sz w:val="25"/>
          <w:szCs w:val="25"/>
        </w:rPr>
        <w:t>The study's empirical analysis, conducted at a 95% confidence level, concludes that:</w:t>
      </w:r>
    </w:p>
    <w:p>
      <w:pPr>
        <w:pStyle w:val="18"/>
        <w:numPr>
          <w:ilvl w:val="0"/>
          <w:numId w:val="15"/>
        </w:numPr>
        <w:spacing w:line="480" w:lineRule="auto"/>
        <w:rPr>
          <w:rFonts w:ascii="Times New Roman" w:hAnsi="Times New Roman" w:cs="Times New Roman"/>
          <w:sz w:val="25"/>
          <w:szCs w:val="25"/>
        </w:rPr>
      </w:pPr>
      <w:r>
        <w:rPr>
          <w:rFonts w:ascii="Times New Roman" w:hAnsi="Times New Roman" w:eastAsia="Times New Roman" w:cs="Times New Roman"/>
          <w:sz w:val="25"/>
          <w:szCs w:val="25"/>
        </w:rPr>
        <w:t>GHRM practices significantly influence GTB’s organizational effectiveness.</w:t>
      </w:r>
    </w:p>
    <w:p>
      <w:pPr>
        <w:pStyle w:val="18"/>
        <w:numPr>
          <w:ilvl w:val="0"/>
          <w:numId w:val="15"/>
        </w:numPr>
        <w:spacing w:line="480" w:lineRule="auto"/>
        <w:rPr>
          <w:rFonts w:ascii="Times New Roman" w:hAnsi="Times New Roman" w:cs="Times New Roman"/>
          <w:sz w:val="25"/>
          <w:szCs w:val="25"/>
        </w:rPr>
      </w:pPr>
      <w:r>
        <w:rPr>
          <w:rFonts w:ascii="Times New Roman" w:hAnsi="Times New Roman" w:eastAsia="Times New Roman" w:cs="Times New Roman"/>
          <w:sz w:val="25"/>
          <w:szCs w:val="25"/>
        </w:rPr>
        <w:t>A statistically significant relationship exists between GHRM and the bank’s competitiveness.</w:t>
      </w:r>
    </w:p>
    <w:p>
      <w:pPr>
        <w:pStyle w:val="18"/>
        <w:numPr>
          <w:ilvl w:val="0"/>
          <w:numId w:val="15"/>
        </w:numPr>
        <w:spacing w:line="480" w:lineRule="auto"/>
        <w:rPr>
          <w:rFonts w:ascii="Times New Roman" w:hAnsi="Times New Roman" w:cs="Times New Roman"/>
          <w:sz w:val="25"/>
          <w:szCs w:val="25"/>
        </w:rPr>
      </w:pPr>
      <w:r>
        <w:rPr>
          <w:rFonts w:ascii="Times New Roman" w:hAnsi="Times New Roman" w:eastAsia="Times New Roman" w:cs="Times New Roman"/>
          <w:sz w:val="25"/>
          <w:szCs w:val="25"/>
        </w:rPr>
        <w:t>However, GHRM practices show no statistically significant impact on GTB’s organizational resilience.</w:t>
      </w:r>
    </w:p>
    <w:p>
      <w:pPr>
        <w:spacing w:line="480" w:lineRule="auto"/>
        <w:rPr>
          <w:rFonts w:ascii="Times New Roman" w:hAnsi="Times New Roman" w:cs="Times New Roman"/>
          <w:sz w:val="25"/>
          <w:szCs w:val="25"/>
        </w:rPr>
      </w:pPr>
      <w:r>
        <w:rPr>
          <w:rFonts w:ascii="Times New Roman" w:hAnsi="Times New Roman" w:eastAsia="Times New Roman" w:cs="Times New Roman"/>
          <w:sz w:val="25"/>
          <w:szCs w:val="25"/>
        </w:rPr>
        <w:t>These findings reinforce the idea that the broader implementation of GHRM contributes meaningfully to organizational goals while offering a sustainable pathway to improved performance.</w:t>
      </w:r>
    </w:p>
    <w:p>
      <w:pPr>
        <w:pStyle w:val="18"/>
        <w:numPr>
          <w:ilvl w:val="1"/>
          <w:numId w:val="3"/>
        </w:numPr>
        <w:spacing w:line="480" w:lineRule="auto"/>
        <w:rPr>
          <w:rFonts w:ascii="Times New Roman" w:hAnsi="Times New Roman" w:cs="Times New Roman"/>
          <w:sz w:val="25"/>
          <w:szCs w:val="25"/>
        </w:rPr>
      </w:pPr>
      <w:r>
        <w:rPr>
          <w:rFonts w:ascii="Times New Roman" w:hAnsi="Times New Roman" w:eastAsia="Times New Roman" w:cs="Times New Roman"/>
          <w:b/>
          <w:bCs/>
          <w:sz w:val="25"/>
          <w:szCs w:val="25"/>
        </w:rPr>
        <w:t>Conclusion</w:t>
      </w:r>
    </w:p>
    <w:p>
      <w:pPr>
        <w:spacing w:line="480" w:lineRule="auto"/>
        <w:rPr>
          <w:rFonts w:ascii="Times New Roman" w:hAnsi="Times New Roman" w:cs="Times New Roman"/>
          <w:sz w:val="25"/>
          <w:szCs w:val="25"/>
        </w:rPr>
      </w:pPr>
      <w:r>
        <w:rPr>
          <w:rFonts w:ascii="Times New Roman" w:hAnsi="Times New Roman" w:eastAsia="Times New Roman" w:cs="Times New Roman"/>
          <w:sz w:val="25"/>
          <w:szCs w:val="25"/>
        </w:rPr>
        <w:t>The results of this study indicate that the implementation of GHRM practices is integral to enhancing organizational performance in the contemporary banking sector. Elements such as sustainable performance appraisals, green recruitment, employee development, and incentive-based reward systems collectively play a key role in improving both functional and systemic performance within GTB. These practices align with system resource and goal attainment models of organizational effectiveness (Yusliza et al., 2017).</w:t>
      </w:r>
      <w:r>
        <w:rPr>
          <w:rFonts w:ascii="Times New Roman" w:hAnsi="Times New Roman" w:cs="Times New Roman"/>
          <w:sz w:val="25"/>
          <w:szCs w:val="25"/>
        </w:rPr>
        <w:t xml:space="preserve"> </w:t>
      </w:r>
      <w:r>
        <w:rPr>
          <w:rFonts w:ascii="Times New Roman" w:hAnsi="Times New Roman" w:eastAsia="Times New Roman" w:cs="Times New Roman"/>
          <w:sz w:val="25"/>
          <w:szCs w:val="25"/>
        </w:rPr>
        <w:t>In an industry as dynamic and demanding as banking, GHRM also contributes to organizational adaptability and resilience by promoting sustainable behavior and proactive change management among staff (Zaid, Jaaron, &amp; Bon, 2018). Notably, the green performance appraisal mechanism has emerged as particularly effective in motivating employees, a result amplified when supported by equitable compensation and development opportunities.</w:t>
      </w:r>
    </w:p>
    <w:p>
      <w:pPr>
        <w:spacing w:line="480" w:lineRule="auto"/>
        <w:rPr>
          <w:rFonts w:ascii="Times New Roman" w:hAnsi="Times New Roman" w:cs="Times New Roman"/>
          <w:sz w:val="25"/>
          <w:szCs w:val="25"/>
        </w:rPr>
      </w:pPr>
      <w:r>
        <w:rPr>
          <w:rFonts w:ascii="Times New Roman" w:hAnsi="Times New Roman" w:eastAsia="Times New Roman" w:cs="Times New Roman"/>
          <w:sz w:val="25"/>
          <w:szCs w:val="25"/>
        </w:rPr>
        <w:t>GHRM is thus not merely a corporate trend but a strategic imperative. Its integrated implementation strengthens internal capabilities and supports sustainable growth. For the banking sector, it is essential that top management recognize and embed GHRM elements as part of strategic human resource management to achieve superior performance outcomes in the 21st century.</w:t>
      </w:r>
    </w:p>
    <w:p>
      <w:pPr>
        <w:spacing w:line="480" w:lineRule="auto"/>
        <w:rPr>
          <w:rFonts w:ascii="Times New Roman" w:hAnsi="Times New Roman" w:cs="Times New Roman"/>
          <w:sz w:val="25"/>
          <w:szCs w:val="25"/>
        </w:rPr>
      </w:pPr>
      <w:r>
        <w:rPr>
          <w:rFonts w:ascii="Times New Roman" w:hAnsi="Times New Roman" w:eastAsia="Times New Roman" w:cs="Times New Roman"/>
          <w:sz w:val="25"/>
          <w:szCs w:val="25"/>
        </w:rPr>
        <w:t>Ultimately, organizations aiming for excellence must pursue strategic, inclusive, and sustainable HR practices. In doing so, both managerial and non-managerial personnel must collaboratively drive GHRM initiatives that benefit the environment, the workforce, and the institution as a whole</w:t>
      </w:r>
    </w:p>
    <w:p>
      <w:pPr>
        <w:pStyle w:val="18"/>
        <w:numPr>
          <w:ilvl w:val="1"/>
          <w:numId w:val="3"/>
        </w:numPr>
        <w:spacing w:line="480" w:lineRule="auto"/>
        <w:rPr>
          <w:rFonts w:ascii="Times New Roman" w:hAnsi="Times New Roman" w:cs="Times New Roman"/>
          <w:sz w:val="25"/>
          <w:szCs w:val="25"/>
        </w:rPr>
      </w:pPr>
      <w:r>
        <w:rPr>
          <w:rFonts w:ascii="Times New Roman" w:hAnsi="Times New Roman" w:eastAsia="Times New Roman" w:cs="Times New Roman"/>
          <w:b/>
          <w:bCs/>
          <w:sz w:val="25"/>
          <w:szCs w:val="25"/>
        </w:rPr>
        <w:t>Recommendations</w:t>
      </w:r>
    </w:p>
    <w:p>
      <w:pPr>
        <w:spacing w:line="480" w:lineRule="auto"/>
        <w:rPr>
          <w:rFonts w:ascii="Times New Roman" w:hAnsi="Times New Roman" w:cs="Times New Roman"/>
          <w:sz w:val="25"/>
          <w:szCs w:val="25"/>
        </w:rPr>
      </w:pPr>
      <w:r>
        <w:rPr>
          <w:rFonts w:ascii="Times New Roman" w:hAnsi="Times New Roman" w:eastAsia="Times New Roman" w:cs="Times New Roman"/>
          <w:sz w:val="25"/>
          <w:szCs w:val="25"/>
        </w:rPr>
        <w:t>Based on the findings, the following recommendations are proposed to further embed and maximize the impact of GHRM within the banking industry:</w:t>
      </w:r>
    </w:p>
    <w:p>
      <w:pPr>
        <w:pStyle w:val="18"/>
        <w:numPr>
          <w:ilvl w:val="0"/>
          <w:numId w:val="16"/>
        </w:numPr>
        <w:spacing w:line="480" w:lineRule="auto"/>
        <w:rPr>
          <w:rFonts w:ascii="Times New Roman" w:hAnsi="Times New Roman" w:cs="Times New Roman"/>
          <w:sz w:val="25"/>
          <w:szCs w:val="25"/>
        </w:rPr>
      </w:pPr>
      <w:r>
        <w:rPr>
          <w:rFonts w:ascii="Times New Roman" w:hAnsi="Times New Roman" w:eastAsia="Times New Roman" w:cs="Times New Roman"/>
          <w:b/>
          <w:bCs/>
          <w:sz w:val="25"/>
          <w:szCs w:val="25"/>
        </w:rPr>
        <w:t>Enhance Performance Management Practices</w:t>
      </w:r>
      <w:r>
        <w:rPr>
          <w:rFonts w:ascii="Times New Roman" w:hAnsi="Times New Roman" w:eastAsia="Times New Roman" w:cs="Times New Roman"/>
          <w:sz w:val="25"/>
          <w:szCs w:val="25"/>
        </w:rPr>
        <w:t>: Banks should refine their performance appraisal systems by integrating sustainability metrics and employee-driven environmental goals. This aligns human resource outputs with the green strategic objectives of the organization (Renwick et al., 2013).</w:t>
      </w:r>
    </w:p>
    <w:p>
      <w:pPr>
        <w:pStyle w:val="18"/>
        <w:numPr>
          <w:ilvl w:val="0"/>
          <w:numId w:val="16"/>
        </w:numPr>
        <w:spacing w:line="480" w:lineRule="auto"/>
        <w:rPr>
          <w:rFonts w:ascii="Times New Roman" w:hAnsi="Times New Roman" w:cs="Times New Roman"/>
          <w:sz w:val="25"/>
          <w:szCs w:val="25"/>
        </w:rPr>
      </w:pPr>
      <w:r>
        <w:rPr>
          <w:rFonts w:ascii="Times New Roman" w:hAnsi="Times New Roman" w:eastAsia="Times New Roman" w:cs="Times New Roman"/>
          <w:b/>
          <w:bCs/>
          <w:sz w:val="25"/>
          <w:szCs w:val="25"/>
        </w:rPr>
        <w:t>Implement Regular Assessments of GHRM Initiatives</w:t>
      </w:r>
      <w:r>
        <w:rPr>
          <w:rFonts w:ascii="Times New Roman" w:hAnsi="Times New Roman" w:eastAsia="Times New Roman" w:cs="Times New Roman"/>
          <w:sz w:val="25"/>
          <w:szCs w:val="25"/>
        </w:rPr>
        <w:t>: Continuous evaluation mechanisms should be introduced to assess the relevance and effectiveness of GHRM programs. This ensures adaptability and ongoing alignment with organizational performance metrics and employee expectations.</w:t>
      </w:r>
    </w:p>
    <w:p>
      <w:pPr>
        <w:pStyle w:val="18"/>
        <w:numPr>
          <w:ilvl w:val="0"/>
          <w:numId w:val="16"/>
        </w:numPr>
        <w:spacing w:line="480" w:lineRule="auto"/>
        <w:rPr>
          <w:rFonts w:ascii="Times New Roman" w:hAnsi="Times New Roman" w:cs="Times New Roman"/>
          <w:sz w:val="25"/>
          <w:szCs w:val="25"/>
        </w:rPr>
      </w:pPr>
      <w:r>
        <w:rPr>
          <w:rFonts w:ascii="Times New Roman" w:hAnsi="Times New Roman" w:eastAsia="Times New Roman" w:cs="Times New Roman"/>
          <w:b/>
          <w:bCs/>
          <w:sz w:val="25"/>
          <w:szCs w:val="25"/>
        </w:rPr>
        <w:t>Balance Green Rewards with Workload Demands</w:t>
      </w:r>
      <w:r>
        <w:rPr>
          <w:rFonts w:ascii="Times New Roman" w:hAnsi="Times New Roman" w:eastAsia="Times New Roman" w:cs="Times New Roman"/>
          <w:sz w:val="25"/>
          <w:szCs w:val="25"/>
        </w:rPr>
        <w:t>: To encourage sustained green behavior, the banking industry should establish fair and motivating reward structures. These should consider sector-specific demands while supporting the long-term sustainability goals of the organization.</w:t>
      </w:r>
    </w:p>
    <w:p>
      <w:pPr>
        <w:ind w:left="3600" w:firstLine="720"/>
        <w:jc w:val="center"/>
        <w:rPr>
          <w:rFonts w:ascii="Times New Roman" w:hAnsi="Times New Roman" w:cs="Times New Roman"/>
          <w:b/>
          <w:bCs/>
          <w:sz w:val="26"/>
          <w:szCs w:val="26"/>
        </w:rPr>
      </w:pPr>
    </w:p>
    <w:p>
      <w:pPr>
        <w:ind w:left="3600" w:firstLine="720"/>
        <w:jc w:val="center"/>
        <w:rPr>
          <w:rFonts w:ascii="Times New Roman" w:hAnsi="Times New Roman" w:cs="Times New Roman"/>
          <w:b/>
          <w:bCs/>
          <w:sz w:val="26"/>
          <w:szCs w:val="26"/>
        </w:rPr>
      </w:pPr>
    </w:p>
    <w:p>
      <w:pPr>
        <w:ind w:left="3600" w:firstLine="720"/>
        <w:jc w:val="center"/>
        <w:rPr>
          <w:rFonts w:ascii="Times New Roman" w:hAnsi="Times New Roman" w:cs="Times New Roman"/>
          <w:b/>
          <w:bCs/>
          <w:sz w:val="26"/>
          <w:szCs w:val="26"/>
        </w:rPr>
      </w:pPr>
    </w:p>
    <w:p>
      <w:pPr>
        <w:ind w:left="3600" w:firstLine="720"/>
        <w:jc w:val="center"/>
        <w:rPr>
          <w:rFonts w:ascii="Times New Roman" w:hAnsi="Times New Roman" w:cs="Times New Roman"/>
          <w:b/>
          <w:bCs/>
          <w:sz w:val="26"/>
          <w:szCs w:val="26"/>
        </w:rPr>
      </w:pPr>
    </w:p>
    <w:p>
      <w:pPr>
        <w:ind w:left="3600" w:firstLine="720"/>
        <w:jc w:val="center"/>
        <w:rPr>
          <w:rFonts w:ascii="Times New Roman" w:hAnsi="Times New Roman" w:cs="Times New Roman"/>
          <w:b/>
          <w:bCs/>
          <w:sz w:val="26"/>
          <w:szCs w:val="26"/>
        </w:rPr>
      </w:pPr>
    </w:p>
    <w:p>
      <w:pPr>
        <w:rPr>
          <w:rFonts w:ascii="Times New Roman" w:hAnsi="Times New Roman" w:cs="Times New Roman"/>
          <w:b/>
          <w:bCs/>
          <w:sz w:val="26"/>
          <w:szCs w:val="26"/>
        </w:rPr>
      </w:pPr>
      <w:r>
        <w:rPr>
          <w:rFonts w:ascii="Times New Roman" w:hAnsi="Times New Roman" w:cs="Times New Roman"/>
          <w:b/>
          <w:bCs/>
          <w:sz w:val="26"/>
          <w:szCs w:val="26"/>
        </w:rPr>
        <w:br w:type="page"/>
      </w:r>
    </w:p>
    <w:p>
      <w:pPr>
        <w:spacing w:line="480" w:lineRule="auto"/>
        <w:jc w:val="both"/>
        <w:rPr>
          <w:rFonts w:ascii="Times New Roman" w:hAnsi="Times New Roman" w:cs="Times New Roman"/>
          <w:sz w:val="26"/>
          <w:szCs w:val="26"/>
        </w:rPr>
      </w:pPr>
    </w:p>
    <w:p>
      <w:pPr>
        <w:spacing w:line="480" w:lineRule="auto"/>
        <w:jc w:val="center"/>
        <w:rPr>
          <w:rFonts w:ascii="Times New Roman" w:hAnsi="Times New Roman" w:cs="Times New Roman"/>
          <w:sz w:val="26"/>
          <w:szCs w:val="26"/>
        </w:rPr>
      </w:pPr>
      <w:r>
        <w:rPr>
          <w:rFonts w:ascii="Times New Roman" w:hAnsi="Times New Roman" w:cs="Times New Roman"/>
          <w:sz w:val="26"/>
          <w:szCs w:val="26"/>
        </w:rPr>
        <w:t>REFERENCES</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Backhaus, K. B. (2002). Corporate social responsibility: Applying a theory-based framework. Springer Science &amp; Business Media.</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Behrend, T. S. (2009). The impact of environmental performance on firm-level outcomes: A longitudinal analysis of environmental reputation and financial performance. Journal of Applied Psychology, 94(4), 1325–1339. https://doi.org/10.1037/a0016687",</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Jackson, S. E., Renwick, D. W. S., Jabbour, C. J. C., &amp; Müller-Camen, M. (2011). State-of-the-art and future directions for green human resource management: Introduction to the special issue. Zeitschrift für Personalforschung, 25(2), 99–116. https://doi.org/10.1177/239700221102500203",</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Jabbour, C. J. C. (2010). Green human resource management: A comparative qualitative case study of a United States multinational corporation. Industrial and Corporate Change, 19(3), 751–779. https://doi.org/10.1093/icc/dtq001",</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Jabbour, C. J. C., &amp; de Sousa Jabbour, A. B. L. (2016). Green human resource management and green supply chain management: Linking two emerging agendas. Journal of Cleaner Production, 112, 1824–1833. https://doi.org/10.1016/j.jclepro.2015.01.052",</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Liebowitz, J. (2010). Knowledge management and its link to artificial intelligence. Expert Systems with Applications, 37(2), 1096–1103. https://doi.org/10.1016/j.eswa.2009.06.064",</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Lii, Y. S., &amp; Lee, M. (2012). Doing right leads to doing well: When the type of CSR and reputation interact to affect consumer evaluations of the firm. Journal of Business Ethics, 105(1), 69–81. https://doi.org/10.1007/s10551-011-0948-0",</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Mandip, G. (2012). Green human resource management: Policies and practices. Springer Science &amp; Business Media.",</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Phillips, J. M. (2007). Stakeholder theory and organizational ethics. Berrett-Koehler Publishers.",</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Renwick, D. W. S. (2008). Green human resource management: A review and research agenda. International Journal of Management Reviews, 10(1), 1–14. https://doi.org/10.1111/j.1468-2370.2007.00202.x",</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Renwick, D. W. S., Redman, T., &amp; Maguire, S. (2013). Green human resource management: A review and research agenda. International Journal of Management Reviews, 15(1), 1–14. https://doi.org/10.1111/j.1468-2370.2011.00328.x",</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Renwick, D. W. S. (2013). Green HRM: A review, process model, and research agenda. Business Strategy and the Environment, 22(4), 263–276. https://doi.org/10.1002/bse.1761",</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Stringer, C. (2009). Greening the global economy. MIT Press.",</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Wehrmeyer, W. (1996). Environmental management and business strategy: Leadership skills for the 21st century. Prentice Hall.",</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Williamson, I. O. (2003). Corporate social and environmental reporting: A comprehensive review. Corporate Social Responsibility and Environmental Management, 10(1), 14–26. https://doi.org/10.1002/csr.3",</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Yusliza, M. Y., Ramayah, T., &amp; Othman, N. (2017). HR roles and green HRM practices: Employee adoption and environmental sustainability. International Journal of Manpower, 38(7), 1036–1051. https://doi.org/10.1108/IJM-08-2015-0125",</w:t>
      </w:r>
    </w:p>
    <w:p>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Zakaria, N. (2012). The impact of training and development on organizational performance. International Journal of Academic Research in Business and Social Sciences, 2(1), 222–240.",</w:t>
      </w:r>
    </w:p>
    <w:sectPr>
      <w:footerReference r:id="rId3" w:type="default"/>
      <w:pgSz w:w="12240" w:h="15840"/>
      <w:pgMar w:top="1440" w:right="1440" w:bottom="1440" w:left="1440" w:header="720" w:footer="2160"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SimSun">
    <w:altName w:val="宋体"/>
    <w:panose1 w:val="02010600030101010101"/>
    <w:charset w:val="86"/>
    <w:family w:val="auto"/>
    <w:pitch w:val="default"/>
    <w:sig w:usb0="00000000" w:usb1="00000000" w:usb2="00000016" w:usb3="00000000" w:csb0="00040001" w:csb1="00000000"/>
  </w:font>
  <w:font w:name="Tahoma">
    <w:panose1 w:val="020B0604030504040204"/>
    <w:charset w:val="00"/>
    <w:family w:val="swiss"/>
    <w:pitch w:val="default"/>
    <w:sig w:usb0="00000000" w:usb1="00000000" w:usb2="00000029" w:usb3="00000000" w:csb0="000101FF" w:csb1="00000000"/>
  </w:font>
  <w:font w:name="TimesNewRomanPSMT">
    <w:altName w:val="Times New Roman"/>
    <w:panose1 w:val="00000000000000000000"/>
    <w:charset w:val="00"/>
    <w:family w:val="roman"/>
    <w:pitch w:val="default"/>
    <w:sig w:usb0="00000000" w:usb1="00000000" w:usb2="00000000" w:usb3="00000000" w:csb0="00000000" w:csb1="00000000"/>
  </w:font>
  <w:font w:name="等线 Light">
    <w:panose1 w:val="00000000000000000000"/>
    <w:charset w:val="80"/>
    <w:family w:val="roman"/>
    <w:pitch w:val="default"/>
    <w:sig w:usb0="00000000" w:usb1="00000000" w:usb2="00000000" w:usb3="00000000" w:csb0="00000000" w:csb1="00000000"/>
  </w:font>
  <w:font w:name="Calibri Light">
    <w:panose1 w:val="020F0302020204030204"/>
    <w:charset w:val="00"/>
    <w:family w:val="swiss"/>
    <w:pitch w:val="default"/>
    <w:sig w:usb0="00000000" w:usb1="00000000" w:usb2="00000009" w:usb3="00000000" w:csb0="000001FF" w:csb1="00000000"/>
  </w:font>
  <w:font w:name="等线">
    <w:panose1 w:val="00000000000000000000"/>
    <w:charset w:val="8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067743"/>
    </w:sdtPr>
    <w:sdtContent>
      <w:p>
        <w:pPr>
          <w:pStyle w:val="3"/>
          <w:jc w:val="center"/>
        </w:pPr>
        <w:r>
          <w:fldChar w:fldCharType="begin"/>
        </w:r>
        <w:r>
          <w:instrText xml:space="preserve"> PAGE   \* MERGEFORMAT </w:instrText>
        </w:r>
        <w:r>
          <w:fldChar w:fldCharType="separate"/>
        </w:r>
        <w:r>
          <w:t>74</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B5CF5"/>
    <w:multiLevelType w:val="multilevel"/>
    <w:tmpl w:val="108B5CF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4B045CC"/>
    <w:multiLevelType w:val="multilevel"/>
    <w:tmpl w:val="14B045C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6C829AA"/>
    <w:multiLevelType w:val="multilevel"/>
    <w:tmpl w:val="16C829A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7AB1195"/>
    <w:multiLevelType w:val="multilevel"/>
    <w:tmpl w:val="27AB119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01D0219"/>
    <w:multiLevelType w:val="multilevel"/>
    <w:tmpl w:val="301D021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7463A68"/>
    <w:multiLevelType w:val="multilevel"/>
    <w:tmpl w:val="37463A6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A84126E"/>
    <w:multiLevelType w:val="multilevel"/>
    <w:tmpl w:val="3A84126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CA25A87"/>
    <w:multiLevelType w:val="multilevel"/>
    <w:tmpl w:val="3CA25A8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481D4274"/>
    <w:multiLevelType w:val="multilevel"/>
    <w:tmpl w:val="481D4274"/>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4B5D66B1"/>
    <w:multiLevelType w:val="multilevel"/>
    <w:tmpl w:val="4B5D66B1"/>
    <w:lvl w:ilvl="0" w:tentative="0">
      <w:start w:val="1"/>
      <w:numFmt w:val="decimal"/>
      <w:lvlText w:val="%1."/>
      <w:lvlJc w:val="left"/>
      <w:pPr>
        <w:ind w:left="720" w:hanging="360"/>
      </w:pPr>
    </w:lvl>
    <w:lvl w:ilvl="1" w:tentative="0">
      <w:start w:val="1"/>
      <w:numFmt w:val="decimal"/>
      <w:isLgl/>
      <w:lvlText w:val="%1.%2"/>
      <w:lvlJc w:val="left"/>
      <w:pPr>
        <w:ind w:left="735" w:hanging="375"/>
      </w:pPr>
      <w:rPr>
        <w:rFonts w:hint="default"/>
        <w:sz w:val="25"/>
      </w:rPr>
    </w:lvl>
    <w:lvl w:ilvl="2" w:tentative="0">
      <w:start w:val="1"/>
      <w:numFmt w:val="decimal"/>
      <w:isLgl/>
      <w:lvlText w:val="%1.%2.%3"/>
      <w:lvlJc w:val="left"/>
      <w:pPr>
        <w:ind w:left="1080" w:hanging="720"/>
      </w:pPr>
      <w:rPr>
        <w:rFonts w:hint="default"/>
        <w:sz w:val="25"/>
      </w:rPr>
    </w:lvl>
    <w:lvl w:ilvl="3" w:tentative="0">
      <w:start w:val="1"/>
      <w:numFmt w:val="decimal"/>
      <w:isLgl/>
      <w:lvlText w:val="%1.%2.%3.%4"/>
      <w:lvlJc w:val="left"/>
      <w:pPr>
        <w:ind w:left="1080" w:hanging="720"/>
      </w:pPr>
      <w:rPr>
        <w:rFonts w:hint="default"/>
        <w:sz w:val="25"/>
      </w:rPr>
    </w:lvl>
    <w:lvl w:ilvl="4" w:tentative="0">
      <w:start w:val="1"/>
      <w:numFmt w:val="decimal"/>
      <w:isLgl/>
      <w:lvlText w:val="%1.%2.%3.%4.%5"/>
      <w:lvlJc w:val="left"/>
      <w:pPr>
        <w:ind w:left="1440" w:hanging="1080"/>
      </w:pPr>
      <w:rPr>
        <w:rFonts w:hint="default"/>
        <w:sz w:val="25"/>
      </w:rPr>
    </w:lvl>
    <w:lvl w:ilvl="5" w:tentative="0">
      <w:start w:val="1"/>
      <w:numFmt w:val="decimal"/>
      <w:isLgl/>
      <w:lvlText w:val="%1.%2.%3.%4.%5.%6"/>
      <w:lvlJc w:val="left"/>
      <w:pPr>
        <w:ind w:left="1800" w:hanging="1440"/>
      </w:pPr>
      <w:rPr>
        <w:rFonts w:hint="default"/>
        <w:sz w:val="25"/>
      </w:rPr>
    </w:lvl>
    <w:lvl w:ilvl="6" w:tentative="0">
      <w:start w:val="1"/>
      <w:numFmt w:val="decimal"/>
      <w:isLgl/>
      <w:lvlText w:val="%1.%2.%3.%4.%5.%6.%7"/>
      <w:lvlJc w:val="left"/>
      <w:pPr>
        <w:ind w:left="1800" w:hanging="1440"/>
      </w:pPr>
      <w:rPr>
        <w:rFonts w:hint="default"/>
        <w:sz w:val="25"/>
      </w:rPr>
    </w:lvl>
    <w:lvl w:ilvl="7" w:tentative="0">
      <w:start w:val="1"/>
      <w:numFmt w:val="decimal"/>
      <w:isLgl/>
      <w:lvlText w:val="%1.%2.%3.%4.%5.%6.%7.%8"/>
      <w:lvlJc w:val="left"/>
      <w:pPr>
        <w:ind w:left="2160" w:hanging="1800"/>
      </w:pPr>
      <w:rPr>
        <w:rFonts w:hint="default"/>
        <w:sz w:val="25"/>
      </w:rPr>
    </w:lvl>
    <w:lvl w:ilvl="8" w:tentative="0">
      <w:start w:val="1"/>
      <w:numFmt w:val="decimal"/>
      <w:isLgl/>
      <w:lvlText w:val="%1.%2.%3.%4.%5.%6.%7.%8.%9"/>
      <w:lvlJc w:val="left"/>
      <w:pPr>
        <w:ind w:left="2160" w:hanging="1800"/>
      </w:pPr>
      <w:rPr>
        <w:rFonts w:hint="default"/>
        <w:sz w:val="25"/>
      </w:rPr>
    </w:lvl>
  </w:abstractNum>
  <w:abstractNum w:abstractNumId="10">
    <w:nsid w:val="4D6F6692"/>
    <w:multiLevelType w:val="multilevel"/>
    <w:tmpl w:val="4D6F6692"/>
    <w:lvl w:ilvl="0" w:tentative="0">
      <w:start w:val="1"/>
      <w:numFmt w:val="lowerLetter"/>
      <w:lvlText w:val="%1."/>
      <w:lvlJc w:val="left"/>
      <w:pPr>
        <w:ind w:left="420" w:hanging="360"/>
      </w:pPr>
      <w:rPr>
        <w:rFonts w:hint="default"/>
      </w:rPr>
    </w:lvl>
    <w:lvl w:ilvl="1" w:tentative="0">
      <w:start w:val="1"/>
      <w:numFmt w:val="lowerLetter"/>
      <w:lvlText w:val="%2."/>
      <w:lvlJc w:val="left"/>
      <w:pPr>
        <w:ind w:left="1140" w:hanging="360"/>
      </w:pPr>
    </w:lvl>
    <w:lvl w:ilvl="2" w:tentative="0">
      <w:start w:val="1"/>
      <w:numFmt w:val="lowerRoman"/>
      <w:lvlText w:val="%3."/>
      <w:lvlJc w:val="right"/>
      <w:pPr>
        <w:ind w:left="1860" w:hanging="180"/>
      </w:pPr>
    </w:lvl>
    <w:lvl w:ilvl="3" w:tentative="0">
      <w:start w:val="1"/>
      <w:numFmt w:val="decimal"/>
      <w:lvlText w:val="%4."/>
      <w:lvlJc w:val="left"/>
      <w:pPr>
        <w:ind w:left="2580" w:hanging="360"/>
      </w:pPr>
    </w:lvl>
    <w:lvl w:ilvl="4" w:tentative="0">
      <w:start w:val="1"/>
      <w:numFmt w:val="lowerLetter"/>
      <w:lvlText w:val="%5."/>
      <w:lvlJc w:val="left"/>
      <w:pPr>
        <w:ind w:left="3300" w:hanging="360"/>
      </w:pPr>
    </w:lvl>
    <w:lvl w:ilvl="5" w:tentative="0">
      <w:start w:val="1"/>
      <w:numFmt w:val="lowerRoman"/>
      <w:lvlText w:val="%6."/>
      <w:lvlJc w:val="right"/>
      <w:pPr>
        <w:ind w:left="4020" w:hanging="180"/>
      </w:pPr>
    </w:lvl>
    <w:lvl w:ilvl="6" w:tentative="0">
      <w:start w:val="1"/>
      <w:numFmt w:val="decimal"/>
      <w:lvlText w:val="%7."/>
      <w:lvlJc w:val="left"/>
      <w:pPr>
        <w:ind w:left="4740" w:hanging="360"/>
      </w:pPr>
    </w:lvl>
    <w:lvl w:ilvl="7" w:tentative="0">
      <w:start w:val="1"/>
      <w:numFmt w:val="lowerLetter"/>
      <w:lvlText w:val="%8."/>
      <w:lvlJc w:val="left"/>
      <w:pPr>
        <w:ind w:left="5460" w:hanging="360"/>
      </w:pPr>
    </w:lvl>
    <w:lvl w:ilvl="8" w:tentative="0">
      <w:start w:val="1"/>
      <w:numFmt w:val="lowerRoman"/>
      <w:lvlText w:val="%9."/>
      <w:lvlJc w:val="right"/>
      <w:pPr>
        <w:ind w:left="6180" w:hanging="180"/>
      </w:pPr>
    </w:lvl>
  </w:abstractNum>
  <w:abstractNum w:abstractNumId="11">
    <w:nsid w:val="4DA74396"/>
    <w:multiLevelType w:val="multilevel"/>
    <w:tmpl w:val="4DA743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4F762B13"/>
    <w:multiLevelType w:val="multilevel"/>
    <w:tmpl w:val="4F762B13"/>
    <w:lvl w:ilvl="0" w:tentative="0">
      <w:start w:val="4"/>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3">
    <w:nsid w:val="6D122912"/>
    <w:multiLevelType w:val="multilevel"/>
    <w:tmpl w:val="6D122912"/>
    <w:lvl w:ilvl="0" w:tentative="0">
      <w:start w:val="1"/>
      <w:numFmt w:val="lowerRoman"/>
      <w:lvlText w:val="%1."/>
      <w:lvlJc w:val="right"/>
      <w:pPr>
        <w:ind w:left="540" w:hanging="360"/>
      </w:pPr>
    </w:lvl>
    <w:lvl w:ilvl="1" w:tentative="0">
      <w:start w:val="1"/>
      <w:numFmt w:val="lowerLetter"/>
      <w:lvlText w:val="%2."/>
      <w:lvlJc w:val="left"/>
      <w:pPr>
        <w:ind w:left="1260" w:hanging="360"/>
      </w:pPr>
    </w:lvl>
    <w:lvl w:ilvl="2" w:tentative="0">
      <w:start w:val="1"/>
      <w:numFmt w:val="lowerRoman"/>
      <w:lvlText w:val="%3."/>
      <w:lvlJc w:val="right"/>
      <w:pPr>
        <w:ind w:left="1980" w:hanging="180"/>
      </w:pPr>
    </w:lvl>
    <w:lvl w:ilvl="3" w:tentative="0">
      <w:start w:val="1"/>
      <w:numFmt w:val="decimal"/>
      <w:lvlText w:val="%4."/>
      <w:lvlJc w:val="left"/>
      <w:pPr>
        <w:ind w:left="2700" w:hanging="360"/>
      </w:pPr>
    </w:lvl>
    <w:lvl w:ilvl="4" w:tentative="0">
      <w:start w:val="1"/>
      <w:numFmt w:val="lowerLetter"/>
      <w:lvlText w:val="%5."/>
      <w:lvlJc w:val="left"/>
      <w:pPr>
        <w:ind w:left="3420" w:hanging="360"/>
      </w:pPr>
    </w:lvl>
    <w:lvl w:ilvl="5" w:tentative="0">
      <w:start w:val="1"/>
      <w:numFmt w:val="lowerRoman"/>
      <w:lvlText w:val="%6."/>
      <w:lvlJc w:val="right"/>
      <w:pPr>
        <w:ind w:left="4140" w:hanging="180"/>
      </w:pPr>
    </w:lvl>
    <w:lvl w:ilvl="6" w:tentative="0">
      <w:start w:val="1"/>
      <w:numFmt w:val="decimal"/>
      <w:lvlText w:val="%7."/>
      <w:lvlJc w:val="left"/>
      <w:pPr>
        <w:ind w:left="4860" w:hanging="360"/>
      </w:pPr>
    </w:lvl>
    <w:lvl w:ilvl="7" w:tentative="0">
      <w:start w:val="1"/>
      <w:numFmt w:val="lowerLetter"/>
      <w:lvlText w:val="%8."/>
      <w:lvlJc w:val="left"/>
      <w:pPr>
        <w:ind w:left="5580" w:hanging="360"/>
      </w:pPr>
    </w:lvl>
    <w:lvl w:ilvl="8" w:tentative="0">
      <w:start w:val="1"/>
      <w:numFmt w:val="lowerRoman"/>
      <w:lvlText w:val="%9."/>
      <w:lvlJc w:val="right"/>
      <w:pPr>
        <w:ind w:left="6300" w:hanging="180"/>
      </w:pPr>
    </w:lvl>
  </w:abstractNum>
  <w:abstractNum w:abstractNumId="14">
    <w:nsid w:val="73E86B7C"/>
    <w:multiLevelType w:val="multilevel"/>
    <w:tmpl w:val="73E86B7C"/>
    <w:lvl w:ilvl="0" w:tentative="0">
      <w:start w:val="1"/>
      <w:numFmt w:val="decimal"/>
      <w:lvlText w:val="%1."/>
      <w:lvlJc w:val="left"/>
      <w:pPr>
        <w:ind w:left="720" w:hanging="360"/>
      </w:pPr>
    </w:lvl>
    <w:lvl w:ilvl="1" w:tentative="0">
      <w:start w:val="1"/>
      <w:numFmt w:val="decimal"/>
      <w:isLgl/>
      <w:lvlText w:val="%1.%2"/>
      <w:lvlJc w:val="left"/>
      <w:pPr>
        <w:ind w:left="765" w:hanging="405"/>
      </w:pPr>
      <w:rPr>
        <w:rFonts w:hint="default" w:eastAsia="Times New Roman"/>
        <w:b/>
        <w:sz w:val="27"/>
      </w:rPr>
    </w:lvl>
    <w:lvl w:ilvl="2" w:tentative="0">
      <w:start w:val="1"/>
      <w:numFmt w:val="decimal"/>
      <w:isLgl/>
      <w:lvlText w:val="%1.%2.%3"/>
      <w:lvlJc w:val="left"/>
      <w:pPr>
        <w:ind w:left="1080" w:hanging="720"/>
      </w:pPr>
      <w:rPr>
        <w:rFonts w:hint="default" w:eastAsia="Times New Roman"/>
        <w:b/>
        <w:sz w:val="27"/>
      </w:rPr>
    </w:lvl>
    <w:lvl w:ilvl="3" w:tentative="0">
      <w:start w:val="1"/>
      <w:numFmt w:val="decimal"/>
      <w:isLgl/>
      <w:lvlText w:val="%1.%2.%3.%4"/>
      <w:lvlJc w:val="left"/>
      <w:pPr>
        <w:ind w:left="1080" w:hanging="720"/>
      </w:pPr>
      <w:rPr>
        <w:rFonts w:hint="default" w:eastAsia="Times New Roman"/>
        <w:b/>
        <w:sz w:val="27"/>
      </w:rPr>
    </w:lvl>
    <w:lvl w:ilvl="4" w:tentative="0">
      <w:start w:val="1"/>
      <w:numFmt w:val="decimal"/>
      <w:isLgl/>
      <w:lvlText w:val="%1.%2.%3.%4.%5"/>
      <w:lvlJc w:val="left"/>
      <w:pPr>
        <w:ind w:left="1440" w:hanging="1080"/>
      </w:pPr>
      <w:rPr>
        <w:rFonts w:hint="default" w:eastAsia="Times New Roman"/>
        <w:b/>
        <w:sz w:val="27"/>
      </w:rPr>
    </w:lvl>
    <w:lvl w:ilvl="5" w:tentative="0">
      <w:start w:val="1"/>
      <w:numFmt w:val="decimal"/>
      <w:isLgl/>
      <w:lvlText w:val="%1.%2.%3.%4.%5.%6"/>
      <w:lvlJc w:val="left"/>
      <w:pPr>
        <w:ind w:left="1800" w:hanging="1440"/>
      </w:pPr>
      <w:rPr>
        <w:rFonts w:hint="default" w:eastAsia="Times New Roman"/>
        <w:b/>
        <w:sz w:val="27"/>
      </w:rPr>
    </w:lvl>
    <w:lvl w:ilvl="6" w:tentative="0">
      <w:start w:val="1"/>
      <w:numFmt w:val="decimal"/>
      <w:isLgl/>
      <w:lvlText w:val="%1.%2.%3.%4.%5.%6.%7"/>
      <w:lvlJc w:val="left"/>
      <w:pPr>
        <w:ind w:left="1800" w:hanging="1440"/>
      </w:pPr>
      <w:rPr>
        <w:rFonts w:hint="default" w:eastAsia="Times New Roman"/>
        <w:b/>
        <w:sz w:val="27"/>
      </w:rPr>
    </w:lvl>
    <w:lvl w:ilvl="7" w:tentative="0">
      <w:start w:val="1"/>
      <w:numFmt w:val="decimal"/>
      <w:isLgl/>
      <w:lvlText w:val="%1.%2.%3.%4.%5.%6.%7.%8"/>
      <w:lvlJc w:val="left"/>
      <w:pPr>
        <w:ind w:left="2160" w:hanging="1800"/>
      </w:pPr>
      <w:rPr>
        <w:rFonts w:hint="default" w:eastAsia="Times New Roman"/>
        <w:b/>
        <w:sz w:val="27"/>
      </w:rPr>
    </w:lvl>
    <w:lvl w:ilvl="8" w:tentative="0">
      <w:start w:val="1"/>
      <w:numFmt w:val="decimal"/>
      <w:isLgl/>
      <w:lvlText w:val="%1.%2.%3.%4.%5.%6.%7.%8.%9"/>
      <w:lvlJc w:val="left"/>
      <w:pPr>
        <w:ind w:left="2160" w:hanging="1800"/>
      </w:pPr>
      <w:rPr>
        <w:rFonts w:hint="default" w:eastAsia="Times New Roman"/>
        <w:b/>
        <w:sz w:val="27"/>
      </w:rPr>
    </w:lvl>
  </w:abstractNum>
  <w:abstractNum w:abstractNumId="15">
    <w:nsid w:val="76850D41"/>
    <w:multiLevelType w:val="multilevel"/>
    <w:tmpl w:val="76850D41"/>
    <w:lvl w:ilvl="0" w:tentative="0">
      <w:start w:val="1"/>
      <w:numFmt w:val="decimal"/>
      <w:lvlText w:val="%1."/>
      <w:lvlJc w:val="left"/>
      <w:pPr>
        <w:ind w:left="720" w:hanging="360"/>
      </w:pPr>
    </w:lvl>
    <w:lvl w:ilvl="1" w:tentative="0">
      <w:start w:val="6"/>
      <w:numFmt w:val="decimal"/>
      <w:isLgl/>
      <w:lvlText w:val="%1.%2"/>
      <w:lvlJc w:val="left"/>
      <w:pPr>
        <w:ind w:left="885" w:hanging="525"/>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num w:numId="1">
    <w:abstractNumId w:val="3"/>
  </w:num>
  <w:num w:numId="2">
    <w:abstractNumId w:val="9"/>
  </w:num>
  <w:num w:numId="3">
    <w:abstractNumId w:val="14"/>
  </w:num>
  <w:num w:numId="4">
    <w:abstractNumId w:val="2"/>
  </w:num>
  <w:num w:numId="5">
    <w:abstractNumId w:val="6"/>
  </w:num>
  <w:num w:numId="6">
    <w:abstractNumId w:val="13"/>
  </w:num>
  <w:num w:numId="7">
    <w:abstractNumId w:val="8"/>
  </w:num>
  <w:num w:numId="8">
    <w:abstractNumId w:val="0"/>
  </w:num>
  <w:num w:numId="9">
    <w:abstractNumId w:val="4"/>
  </w:num>
  <w:num w:numId="10">
    <w:abstractNumId w:val="15"/>
  </w:num>
  <w:num w:numId="11">
    <w:abstractNumId w:val="5"/>
  </w:num>
  <w:num w:numId="12">
    <w:abstractNumId w:val="11"/>
  </w:num>
  <w:num w:numId="13">
    <w:abstractNumId w:val="12"/>
  </w:num>
  <w:num w:numId="14">
    <w:abstractNumId w:val="10"/>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6">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6"/>
    <w:unhideWhenUsed/>
    <w:qFormat/>
    <w:uiPriority w:val="99"/>
    <w:pPr>
      <w:spacing w:after="0" w:line="240" w:lineRule="auto"/>
    </w:pPr>
    <w:rPr>
      <w:rFonts w:ascii="Tahoma" w:hAnsi="Tahoma" w:cs="Tahoma"/>
      <w:sz w:val="16"/>
      <w:szCs w:val="16"/>
    </w:rPr>
  </w:style>
  <w:style w:type="paragraph" w:styleId="3">
    <w:name w:val="footer"/>
    <w:basedOn w:val="1"/>
    <w:link w:val="14"/>
    <w:unhideWhenUsed/>
    <w:qFormat/>
    <w:uiPriority w:val="99"/>
    <w:pPr>
      <w:tabs>
        <w:tab w:val="center" w:pos="4680"/>
        <w:tab w:val="right" w:pos="9360"/>
      </w:tabs>
      <w:spacing w:after="0" w:line="240" w:lineRule="auto"/>
    </w:pPr>
  </w:style>
  <w:style w:type="paragraph" w:styleId="4">
    <w:name w:val="header"/>
    <w:basedOn w:val="1"/>
    <w:link w:val="13"/>
    <w:unhideWhenUsed/>
    <w:qFormat/>
    <w:uiPriority w:val="99"/>
    <w:pPr>
      <w:tabs>
        <w:tab w:val="center" w:pos="4680"/>
        <w:tab w:val="right" w:pos="9360"/>
      </w:tabs>
      <w:spacing w:after="0" w:line="240" w:lineRule="auto"/>
    </w:pPr>
  </w:style>
  <w:style w:type="paragraph" w:styleId="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zh-CN" w:eastAsia="zh-CN"/>
    </w:rPr>
  </w:style>
  <w:style w:type="character" w:styleId="7">
    <w:name w:val="Hyperlink"/>
    <w:basedOn w:val="6"/>
    <w:unhideWhenUsed/>
    <w:qFormat/>
    <w:uiPriority w:val="99"/>
    <w:rPr>
      <w:color w:val="0000FF"/>
      <w:u w:val="single"/>
    </w:rPr>
  </w:style>
  <w:style w:type="table" w:styleId="9">
    <w:name w:val="Table Grid"/>
    <w:basedOn w:val="8"/>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0">
    <w:name w:val="List Paragraph1"/>
    <w:basedOn w:val="1"/>
    <w:qFormat/>
    <w:uiPriority w:val="34"/>
    <w:pPr>
      <w:ind w:left="720"/>
      <w:contextualSpacing/>
    </w:pPr>
  </w:style>
  <w:style w:type="paragraph" w:customStyle="1" w:styleId="11">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 w:type="paragraph" w:customStyle="1" w:styleId="12">
    <w:name w:val="No Spacing1"/>
    <w:qFormat/>
    <w:uiPriority w:val="1"/>
    <w:pPr>
      <w:spacing w:after="0" w:line="240" w:lineRule="auto"/>
    </w:pPr>
    <w:rPr>
      <w:rFonts w:asciiTheme="minorHAnsi" w:hAnsiTheme="minorHAnsi" w:eastAsiaTheme="minorHAnsi" w:cstheme="minorBidi"/>
      <w:sz w:val="22"/>
      <w:szCs w:val="22"/>
      <w:lang w:val="en-US" w:eastAsia="en-US" w:bidi="ar-SA"/>
    </w:rPr>
  </w:style>
  <w:style w:type="character" w:customStyle="1" w:styleId="13">
    <w:name w:val="Header Char"/>
    <w:basedOn w:val="6"/>
    <w:link w:val="4"/>
    <w:qFormat/>
    <w:uiPriority w:val="99"/>
  </w:style>
  <w:style w:type="character" w:customStyle="1" w:styleId="14">
    <w:name w:val="Footer Char"/>
    <w:basedOn w:val="6"/>
    <w:link w:val="3"/>
    <w:qFormat/>
    <w:uiPriority w:val="99"/>
  </w:style>
  <w:style w:type="character" w:customStyle="1" w:styleId="15">
    <w:name w:val="fontstyle01"/>
    <w:basedOn w:val="6"/>
    <w:qFormat/>
    <w:uiPriority w:val="0"/>
    <w:rPr>
      <w:rFonts w:ascii="TimesNewRomanPSMT" w:hAnsi="TimesNewRomanPSMT"/>
      <w:color w:val="000000"/>
      <w:sz w:val="24"/>
      <w:szCs w:val="24"/>
    </w:rPr>
  </w:style>
  <w:style w:type="character" w:customStyle="1" w:styleId="16">
    <w:name w:val="Balloon Text Char"/>
    <w:basedOn w:val="6"/>
    <w:link w:val="2"/>
    <w:semiHidden/>
    <w:qFormat/>
    <w:uiPriority w:val="99"/>
    <w:rPr>
      <w:rFonts w:ascii="Tahoma" w:hAnsi="Tahoma" w:cs="Tahoma"/>
      <w:sz w:val="16"/>
      <w:szCs w:val="16"/>
    </w:rPr>
  </w:style>
  <w:style w:type="character" w:customStyle="1" w:styleId="17">
    <w:name w:val="markedcontent"/>
    <w:basedOn w:val="6"/>
    <w:uiPriority w:val="0"/>
  </w:style>
  <w:style w:type="paragraph" w:customStyle="1" w:styleId="18">
    <w:name w:val="List Paragraph"/>
    <w:basedOn w:val="1"/>
    <w:uiPriority w:val="99"/>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75</Pages>
  <Words>13657</Words>
  <Characters>77847</Characters>
  <Lines>648</Lines>
  <Paragraphs>182</Paragraphs>
  <TotalTime>0</TotalTime>
  <ScaleCrop>false</ScaleCrop>
  <LinksUpToDate>false</LinksUpToDate>
  <CharactersWithSpaces>91322</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Sanni</dc:creator>
  <cp:lastModifiedBy>iPhone</cp:lastModifiedBy>
  <dcterms:modified xsi:type="dcterms:W3CDTF">2025-08-05T14:02:38Z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1033-11.34.01</vt:lpwstr>
  </property>
  <property fmtid="{D5CDD505-2E9C-101B-9397-08002B2CF9AE}" pid="3" name="ICV">
    <vt:lpwstr>C47D9ACD2705B7E9FAD107614AE3986E</vt:lpwstr>
  </property>
</Properties>
</file>