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cs="Times New Roman"/>
          <w:b/>
          <w:sz w:val="24"/>
        </w:rPr>
      </w:pPr>
      <w:r>
        <w:rPr>
          <w:rFonts w:ascii="Times New Roman" w:hAnsi="Times New Roman" w:cs="Times New Roman"/>
          <w:b/>
          <w:sz w:val="24"/>
        </w:rPr>
        <w:t>COMPARATIVE ANALYSIS OF INFRASTRUCTURAL FACILITIES OF ADEWOLE  AND HARMONY ESTATES,ILORIN KWARA STATE.</w:t>
      </w: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r>
        <w:rPr>
          <w:rFonts w:ascii="Times New Roman" w:hAnsi="Times New Roman" w:cs="Times New Roman"/>
          <w:b/>
          <w:sz w:val="24"/>
        </w:rPr>
        <w:t>PREPARED BY</w:t>
      </w: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r>
        <w:rPr>
          <w:rFonts w:ascii="Times New Roman" w:hAnsi="Times New Roman" w:cs="Times New Roman"/>
          <w:b/>
          <w:sz w:val="24"/>
        </w:rPr>
        <w:t>ODETAYO ELIZABETH OYENIKE</w:t>
      </w:r>
    </w:p>
    <w:p>
      <w:pPr>
        <w:spacing w:line="360" w:lineRule="auto"/>
        <w:jc w:val="center"/>
        <w:rPr>
          <w:rFonts w:ascii="Times New Roman" w:hAnsi="Times New Roman" w:cs="Times New Roman"/>
          <w:b/>
          <w:sz w:val="24"/>
        </w:rPr>
      </w:pPr>
      <w:r>
        <w:rPr>
          <w:rFonts w:ascii="Times New Roman" w:hAnsi="Times New Roman" w:cs="Times New Roman"/>
          <w:b/>
          <w:sz w:val="24"/>
        </w:rPr>
        <w:t>HND/23/URP/FT/0015</w:t>
      </w: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r>
        <w:rPr>
          <w:rFonts w:ascii="Times New Roman" w:hAnsi="Times New Roman" w:cs="Times New Roman"/>
          <w:b/>
          <w:sz w:val="24"/>
        </w:rPr>
        <w:t xml:space="preserve">A PROJECT SUBMITTED TO THE </w:t>
      </w:r>
    </w:p>
    <w:p>
      <w:pPr>
        <w:spacing w:line="360" w:lineRule="auto"/>
        <w:jc w:val="center"/>
        <w:rPr>
          <w:rFonts w:ascii="Times New Roman" w:hAnsi="Times New Roman" w:cs="Times New Roman"/>
          <w:b/>
          <w:sz w:val="24"/>
        </w:rPr>
      </w:pPr>
      <w:r>
        <w:rPr>
          <w:rFonts w:ascii="Times New Roman" w:hAnsi="Times New Roman" w:cs="Times New Roman"/>
          <w:b/>
          <w:sz w:val="24"/>
        </w:rPr>
        <w:t>DEPARTMENT OF URBAN AND REGIONAL PLANING,</w:t>
      </w:r>
    </w:p>
    <w:p>
      <w:pPr>
        <w:spacing w:line="360" w:lineRule="auto"/>
        <w:jc w:val="center"/>
        <w:rPr>
          <w:rFonts w:ascii="Times New Roman" w:hAnsi="Times New Roman" w:cs="Times New Roman"/>
          <w:b/>
          <w:sz w:val="24"/>
        </w:rPr>
      </w:pPr>
      <w:r>
        <w:rPr>
          <w:rFonts w:ascii="Times New Roman" w:hAnsi="Times New Roman" w:cs="Times New Roman"/>
          <w:b/>
          <w:sz w:val="24"/>
        </w:rPr>
        <w:t>INSTITUTE OF ENVIRONMENTAL STUDIES(IES)</w:t>
      </w:r>
    </w:p>
    <w:p>
      <w:pPr>
        <w:spacing w:line="360" w:lineRule="auto"/>
        <w:jc w:val="center"/>
        <w:rPr>
          <w:rFonts w:ascii="Times New Roman" w:hAnsi="Times New Roman" w:cs="Times New Roman"/>
          <w:b/>
          <w:sz w:val="24"/>
        </w:rPr>
      </w:pPr>
      <w:r>
        <w:rPr>
          <w:rFonts w:ascii="Times New Roman" w:hAnsi="Times New Roman" w:cs="Times New Roman"/>
          <w:b/>
          <w:sz w:val="24"/>
        </w:rPr>
        <w:t>KWARA STATE POLYTECHNIC,ILORIN.</w:t>
      </w: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r>
        <w:rPr>
          <w:rFonts w:ascii="Times New Roman" w:hAnsi="Times New Roman" w:cs="Times New Roman"/>
          <w:b/>
          <w:sz w:val="24"/>
        </w:rPr>
        <w:t xml:space="preserve">IN PARTIAL FULFILLMENT OF THE REQUIREMENTS FOR </w:t>
      </w:r>
    </w:p>
    <w:p>
      <w:pPr>
        <w:spacing w:line="360" w:lineRule="auto"/>
        <w:jc w:val="center"/>
        <w:rPr>
          <w:rFonts w:ascii="Times New Roman" w:hAnsi="Times New Roman" w:cs="Times New Roman"/>
          <w:b/>
          <w:sz w:val="24"/>
        </w:rPr>
      </w:pPr>
      <w:r>
        <w:rPr>
          <w:rFonts w:ascii="Times New Roman" w:hAnsi="Times New Roman" w:cs="Times New Roman"/>
          <w:b/>
          <w:sz w:val="24"/>
        </w:rPr>
        <w:t>THE AWARD OF HIGHER NATIONAL DIPLOMA(HND) IN URBAN AND REGIONAL PLANNING</w:t>
      </w:r>
    </w:p>
    <w:p>
      <w:pPr>
        <w:spacing w:line="360" w:lineRule="auto"/>
        <w:jc w:val="center"/>
        <w:rPr>
          <w:rFonts w:ascii="Times New Roman" w:hAnsi="Times New Roman" w:cs="Times New Roman"/>
          <w:b/>
          <w:sz w:val="28"/>
          <w:szCs w:val="28"/>
        </w:rPr>
      </w:pPr>
      <w:r>
        <w:rPr>
          <w:rFonts w:ascii="Times New Roman" w:hAnsi="Times New Roman" w:cs="Times New Roman"/>
          <w:b/>
          <w:sz w:val="24"/>
        </w:rPr>
        <w:t xml:space="preserve">                                                                                                              </w:t>
      </w:r>
      <w:r>
        <w:rPr>
          <w:rFonts w:ascii="Times New Roman" w:hAnsi="Times New Roman" w:cs="Times New Roman"/>
          <w:b/>
          <w:sz w:val="28"/>
          <w:szCs w:val="28"/>
        </w:rPr>
        <w:t>JULY,2025</w:t>
      </w: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b/>
          <w:sz w:val="24"/>
        </w:rPr>
        <w:drawing>
          <wp:inline distT="0" distB="0" distL="114300" distR="114300">
            <wp:extent cx="5504815" cy="7694930"/>
            <wp:effectExtent l="0" t="0" r="635" b="1270"/>
            <wp:docPr id="3" name="Picture 3" descr="2025-08-05 12:16:57.395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8-05 12:16:57.395000 PM"/>
                    <pic:cNvPicPr>
                      <a:picLocks noChangeAspect="1"/>
                    </pic:cNvPicPr>
                  </pic:nvPicPr>
                  <pic:blipFill>
                    <a:blip r:embed="rId5"/>
                    <a:stretch>
                      <a:fillRect/>
                    </a:stretch>
                  </pic:blipFill>
                  <pic:spPr>
                    <a:xfrm>
                      <a:off x="0" y="0"/>
                      <a:ext cx="5504815" cy="7694930"/>
                    </a:xfrm>
                    <a:prstGeom prst="rect">
                      <a:avLst/>
                    </a:prstGeom>
                  </pic:spPr>
                </pic:pic>
              </a:graphicData>
            </a:graphic>
          </wp:inline>
        </w:drawing>
      </w:r>
      <w:r>
        <w:rPr>
          <w:rFonts w:ascii="Times New Roman" w:hAnsi="Times New Roman" w:cs="Times New Roman"/>
          <w:b/>
          <w:sz w:val="24"/>
        </w:rPr>
        <w:t xml:space="preserve">                     </w:t>
      </w:r>
    </w:p>
    <w:p>
      <w:pPr>
        <w:jc w:val="center"/>
        <w:rPr>
          <w:rFonts w:ascii="Times New Roman" w:hAnsi="Times New Roman" w:cs="Times New Roman"/>
          <w:b/>
          <w:sz w:val="24"/>
        </w:rPr>
      </w:pPr>
    </w:p>
    <w:p>
      <w:pPr>
        <w:jc w:val="center"/>
        <w:rPr>
          <w:rFonts w:ascii="Times New Roman" w:hAnsi="Times New Roman" w:cs="Times New Roman"/>
          <w:b/>
          <w:sz w:val="24"/>
        </w:rPr>
      </w:pPr>
      <w:r>
        <w:rPr>
          <w:rFonts w:ascii="Times New Roman" w:hAnsi="Times New Roman" w:cs="Times New Roman"/>
          <w:b/>
          <w:sz w:val="24"/>
        </w:rPr>
        <w:t>ACKNOWLEDGEMENTS</w:t>
      </w:r>
    </w:p>
    <w:p>
      <w:pPr>
        <w:rPr>
          <w:rFonts w:ascii="Times New Roman" w:hAnsi="Times New Roman" w:cs="Times New Roman"/>
          <w:sz w:val="24"/>
        </w:rPr>
      </w:pPr>
      <w:r>
        <w:rPr>
          <w:rFonts w:ascii="Times New Roman" w:hAnsi="Times New Roman" w:cs="Times New Roman"/>
          <w:sz w:val="24"/>
        </w:rPr>
        <w:t>I give all glory, honor, adoration and praise to Almighty God. The God of all creation, the Alpha and Omega, for His mercy, protection, grace upon me throughout the period of this programme, May His name be praised forever and ever Amen.</w:t>
      </w:r>
    </w:p>
    <w:p>
      <w:pPr>
        <w:rPr>
          <w:rFonts w:ascii="Times New Roman" w:hAnsi="Times New Roman" w:cs="Times New Roman"/>
          <w:sz w:val="24"/>
        </w:rPr>
      </w:pPr>
      <w:r>
        <w:rPr>
          <w:rFonts w:ascii="Times New Roman" w:hAnsi="Times New Roman" w:cs="Times New Roman"/>
          <w:sz w:val="24"/>
        </w:rPr>
        <w:t xml:space="preserve">I will like to acknowledge my able, dynamic indispensable and ever dependable supervisor, in person of TPL. A.H Muhammed for the sacrificial of his time to read through the entire work and offered valuable correction at every stage of this project, may you live long to enjoy the fruit of your labor. Amen </w:t>
      </w:r>
    </w:p>
    <w:p>
      <w:pPr>
        <w:rPr>
          <w:rFonts w:ascii="Times New Roman" w:hAnsi="Times New Roman" w:cs="Times New Roman"/>
          <w:sz w:val="24"/>
        </w:rPr>
      </w:pPr>
      <w:r>
        <w:rPr>
          <w:rFonts w:ascii="Times New Roman" w:hAnsi="Times New Roman" w:cs="Times New Roman"/>
          <w:sz w:val="24"/>
        </w:rPr>
        <w:t>My profound gratitude goes to the capable Head of Department (H.O.D) on person of TPL E.S ADEKANYE for his fatherly care and support. Also, MR. YAKUB and all the lecturers of great and noble department</w:t>
      </w:r>
    </w:p>
    <w:p>
      <w:pPr>
        <w:rPr>
          <w:rFonts w:ascii="Times New Roman" w:hAnsi="Times New Roman" w:cs="Times New Roman"/>
          <w:sz w:val="24"/>
        </w:rPr>
      </w:pPr>
      <w:r>
        <w:rPr>
          <w:rFonts w:ascii="Times New Roman" w:hAnsi="Times New Roman" w:cs="Times New Roman"/>
          <w:sz w:val="24"/>
        </w:rPr>
        <w:t>for their impact in my life academically.</w:t>
      </w:r>
    </w:p>
    <w:p>
      <w:pPr>
        <w:rPr>
          <w:rFonts w:ascii="Times New Roman" w:hAnsi="Times New Roman" w:cs="Times New Roman"/>
          <w:sz w:val="24"/>
        </w:rPr>
      </w:pPr>
      <w:r>
        <w:rPr>
          <w:rFonts w:ascii="Times New Roman" w:hAnsi="Times New Roman" w:cs="Times New Roman"/>
          <w:sz w:val="24"/>
        </w:rPr>
        <w:t>I want to specially thank my parent Mr. &amp; Mrs. ODETAYO for their financial support, ceaseless prayers and advice throughout the period of my programme. May you live to eat the fruit of your labor. Amen</w:t>
      </w:r>
    </w:p>
    <w:p>
      <w:pPr>
        <w:rPr>
          <w:rFonts w:ascii="Times New Roman" w:hAnsi="Times New Roman" w:cs="Times New Roman"/>
          <w:sz w:val="24"/>
        </w:rPr>
      </w:pPr>
      <w:r>
        <w:rPr>
          <w:rFonts w:ascii="Times New Roman" w:hAnsi="Times New Roman" w:cs="Times New Roman"/>
          <w:sz w:val="24"/>
        </w:rPr>
        <w:t>I also want to appreciate my siblings Samuel, Micheal, Dorcas and Joshua for all their encouragement, prayer, and contribution in one way or other.</w:t>
      </w: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spacing w:line="240" w:lineRule="auto"/>
        <w:jc w:val="left"/>
        <w:rPr>
          <w:rFonts w:ascii="Times New Roman" w:hAnsi="Times New Roman" w:cs="Times New Roman"/>
          <w:sz w:val="24"/>
        </w:rPr>
      </w:pPr>
      <w:r>
        <w:rPr>
          <w:rFonts w:ascii="Times New Roman" w:hAnsi="Times New Roman" w:cs="Times New Roman"/>
          <w:sz w:val="24"/>
        </w:rPr>
        <w:t>TABLE OF CONTENTS                                      PAGES</w:t>
      </w:r>
      <w:r>
        <w:rPr>
          <w:rFonts w:ascii="Times New Roman" w:hAnsi="Times New Roman" w:cs="Times New Roman"/>
          <w:sz w:val="24"/>
        </w:rPr>
        <w:tab/>
      </w:r>
      <w:r>
        <w:rPr>
          <w:rFonts w:ascii="Times New Roman" w:hAnsi="Times New Roman" w:cs="Times New Roman"/>
          <w:sz w:val="24"/>
        </w:rPr>
        <w:t>Title Page                                                     i</w:t>
      </w:r>
    </w:p>
    <w:p>
      <w:pPr>
        <w:spacing w:line="240" w:lineRule="auto"/>
        <w:jc w:val="left"/>
        <w:rPr>
          <w:rFonts w:ascii="Times New Roman" w:hAnsi="Times New Roman" w:cs="Times New Roman"/>
          <w:sz w:val="24"/>
        </w:rPr>
      </w:pPr>
      <w:r>
        <w:rPr>
          <w:rFonts w:ascii="Times New Roman" w:hAnsi="Times New Roman" w:cs="Times New Roman"/>
          <w:sz w:val="24"/>
        </w:rPr>
        <w:t>Certification                                                     ii</w:t>
      </w:r>
    </w:p>
    <w:p>
      <w:pPr>
        <w:spacing w:line="240" w:lineRule="auto"/>
        <w:jc w:val="left"/>
        <w:rPr>
          <w:rFonts w:ascii="Times New Roman" w:hAnsi="Times New Roman" w:cs="Times New Roman"/>
          <w:sz w:val="24"/>
        </w:rPr>
      </w:pPr>
      <w:r>
        <w:rPr>
          <w:rFonts w:ascii="Times New Roman" w:hAnsi="Times New Roman" w:cs="Times New Roman"/>
          <w:sz w:val="24"/>
        </w:rPr>
        <w:t>Dedication                                                      iii</w:t>
      </w:r>
    </w:p>
    <w:p>
      <w:pPr>
        <w:spacing w:line="240" w:lineRule="auto"/>
        <w:jc w:val="left"/>
        <w:rPr>
          <w:rFonts w:ascii="Times New Roman" w:hAnsi="Times New Roman" w:cs="Times New Roman"/>
          <w:sz w:val="24"/>
        </w:rPr>
      </w:pPr>
      <w:r>
        <w:rPr>
          <w:rFonts w:ascii="Times New Roman" w:hAnsi="Times New Roman" w:cs="Times New Roman"/>
          <w:sz w:val="24"/>
        </w:rPr>
        <w:t>Acknowledgements                                                iv</w:t>
      </w:r>
    </w:p>
    <w:p>
      <w:pPr>
        <w:spacing w:line="240" w:lineRule="auto"/>
        <w:jc w:val="left"/>
        <w:rPr>
          <w:rFonts w:ascii="Times New Roman" w:hAnsi="Times New Roman" w:cs="Times New Roman"/>
          <w:sz w:val="24"/>
        </w:rPr>
      </w:pPr>
      <w:r>
        <w:rPr>
          <w:rFonts w:ascii="Times New Roman" w:hAnsi="Times New Roman" w:cs="Times New Roman"/>
          <w:sz w:val="24"/>
        </w:rPr>
        <w:t>Abstract                                                          v</w:t>
      </w:r>
    </w:p>
    <w:p>
      <w:pPr>
        <w:spacing w:line="240" w:lineRule="auto"/>
        <w:jc w:val="left"/>
        <w:rPr>
          <w:rFonts w:ascii="Times New Roman" w:hAnsi="Times New Roman" w:cs="Times New Roman"/>
          <w:sz w:val="24"/>
        </w:rPr>
      </w:pPr>
      <w:r>
        <w:rPr>
          <w:rFonts w:ascii="Times New Roman" w:hAnsi="Times New Roman" w:cs="Times New Roman"/>
          <w:sz w:val="24"/>
        </w:rPr>
        <w:t>Table of Contents                                                  vi</w:t>
      </w:r>
    </w:p>
    <w:p>
      <w:pPr>
        <w:spacing w:line="240" w:lineRule="auto"/>
        <w:jc w:val="left"/>
        <w:rPr>
          <w:rFonts w:ascii="Times New Roman" w:hAnsi="Times New Roman" w:cs="Times New Roman"/>
          <w:sz w:val="24"/>
        </w:rPr>
      </w:pPr>
      <w:r>
        <w:rPr>
          <w:rFonts w:ascii="Times New Roman" w:hAnsi="Times New Roman" w:cs="Times New Roman"/>
          <w:sz w:val="24"/>
        </w:rPr>
        <w:t>CHAPTER ONE</w:t>
      </w:r>
    </w:p>
    <w:p>
      <w:pPr>
        <w:spacing w:line="240" w:lineRule="auto"/>
        <w:jc w:val="left"/>
        <w:rPr>
          <w:rFonts w:ascii="Times New Roman" w:hAnsi="Times New Roman" w:cs="Times New Roman"/>
          <w:sz w:val="24"/>
        </w:rPr>
      </w:pPr>
      <w:r>
        <w:rPr>
          <w:rFonts w:ascii="Times New Roman" w:hAnsi="Times New Roman" w:cs="Times New Roman"/>
          <w:sz w:val="24"/>
        </w:rPr>
        <w:t>Introduction                                                    1.0</w:t>
      </w:r>
    </w:p>
    <w:p>
      <w:pPr>
        <w:spacing w:line="240" w:lineRule="auto"/>
        <w:jc w:val="left"/>
        <w:rPr>
          <w:rFonts w:ascii="Times New Roman" w:hAnsi="Times New Roman" w:cs="Times New Roman"/>
          <w:sz w:val="24"/>
        </w:rPr>
      </w:pPr>
      <w:r>
        <w:rPr>
          <w:rFonts w:ascii="Times New Roman" w:hAnsi="Times New Roman" w:cs="Times New Roman"/>
          <w:sz w:val="24"/>
        </w:rPr>
        <w:t>Statement of Problem                                             1.1</w:t>
      </w:r>
    </w:p>
    <w:p>
      <w:pPr>
        <w:spacing w:line="240" w:lineRule="auto"/>
        <w:jc w:val="left"/>
        <w:rPr>
          <w:rFonts w:ascii="Times New Roman" w:hAnsi="Times New Roman" w:cs="Times New Roman"/>
          <w:sz w:val="24"/>
        </w:rPr>
      </w:pPr>
      <w:r>
        <w:rPr>
          <w:rFonts w:ascii="Times New Roman" w:hAnsi="Times New Roman" w:cs="Times New Roman"/>
          <w:sz w:val="24"/>
        </w:rPr>
        <w:t>Research question                                                1.2</w:t>
      </w:r>
    </w:p>
    <w:p>
      <w:pPr>
        <w:spacing w:line="240" w:lineRule="auto"/>
        <w:jc w:val="left"/>
        <w:rPr>
          <w:rFonts w:ascii="Times New Roman" w:hAnsi="Times New Roman" w:cs="Times New Roman"/>
          <w:sz w:val="24"/>
        </w:rPr>
      </w:pPr>
      <w:r>
        <w:rPr>
          <w:rFonts w:ascii="Times New Roman" w:hAnsi="Times New Roman" w:cs="Times New Roman"/>
          <w:sz w:val="24"/>
        </w:rPr>
        <w:t>Aim.                                                          1.3</w:t>
      </w:r>
    </w:p>
    <w:p>
      <w:pPr>
        <w:spacing w:line="240" w:lineRule="auto"/>
        <w:jc w:val="left"/>
        <w:rPr>
          <w:rFonts w:ascii="Times New Roman" w:hAnsi="Times New Roman" w:cs="Times New Roman"/>
          <w:sz w:val="24"/>
        </w:rPr>
      </w:pPr>
      <w:r>
        <w:rPr>
          <w:rFonts w:ascii="Times New Roman" w:hAnsi="Times New Roman" w:cs="Times New Roman"/>
          <w:sz w:val="24"/>
        </w:rPr>
        <w:t>Objectives of the Study.                                           1.4</w:t>
      </w:r>
    </w:p>
    <w:p>
      <w:pPr>
        <w:spacing w:line="240" w:lineRule="auto"/>
        <w:jc w:val="left"/>
        <w:rPr>
          <w:rFonts w:ascii="Times New Roman" w:hAnsi="Times New Roman" w:cs="Times New Roman"/>
          <w:sz w:val="24"/>
        </w:rPr>
      </w:pPr>
      <w:r>
        <w:rPr>
          <w:rFonts w:ascii="Times New Roman" w:hAnsi="Times New Roman" w:cs="Times New Roman"/>
          <w:sz w:val="24"/>
        </w:rPr>
        <w:t>Scope of the Study                                               1.5</w:t>
      </w:r>
    </w:p>
    <w:p>
      <w:pPr>
        <w:spacing w:line="240" w:lineRule="auto"/>
        <w:jc w:val="left"/>
        <w:rPr>
          <w:rFonts w:ascii="Times New Roman" w:hAnsi="Times New Roman" w:cs="Times New Roman"/>
          <w:sz w:val="24"/>
        </w:rPr>
      </w:pPr>
      <w:r>
        <w:rPr>
          <w:rFonts w:ascii="Times New Roman" w:hAnsi="Times New Roman" w:cs="Times New Roman"/>
          <w:sz w:val="24"/>
        </w:rPr>
        <w:t>Justification of the study                                          1.6</w:t>
      </w:r>
    </w:p>
    <w:p>
      <w:pPr>
        <w:spacing w:line="240" w:lineRule="auto"/>
        <w:jc w:val="left"/>
        <w:rPr>
          <w:rFonts w:ascii="Times New Roman" w:hAnsi="Times New Roman" w:cs="Times New Roman"/>
          <w:sz w:val="24"/>
        </w:rPr>
      </w:pPr>
      <w:r>
        <w:rPr>
          <w:rFonts w:ascii="Times New Roman" w:hAnsi="Times New Roman" w:cs="Times New Roman"/>
          <w:sz w:val="24"/>
        </w:rPr>
        <w:t>Significance of the Study                                          1.7</w:t>
      </w:r>
    </w:p>
    <w:p>
      <w:pPr>
        <w:spacing w:line="240" w:lineRule="auto"/>
        <w:jc w:val="left"/>
        <w:rPr>
          <w:rFonts w:ascii="Times New Roman" w:hAnsi="Times New Roman" w:cs="Times New Roman"/>
          <w:sz w:val="24"/>
        </w:rPr>
      </w:pPr>
      <w:r>
        <w:rPr>
          <w:rFonts w:ascii="Times New Roman" w:hAnsi="Times New Roman" w:cs="Times New Roman"/>
          <w:sz w:val="24"/>
        </w:rPr>
        <w:t>The study Area.                                                  1.8</w:t>
      </w:r>
    </w:p>
    <w:p>
      <w:pPr>
        <w:spacing w:line="240" w:lineRule="auto"/>
        <w:jc w:val="left"/>
        <w:rPr>
          <w:rFonts w:ascii="Times New Roman" w:hAnsi="Times New Roman" w:cs="Times New Roman"/>
          <w:sz w:val="24"/>
        </w:rPr>
      </w:pPr>
      <w:r>
        <w:rPr>
          <w:rFonts w:ascii="Times New Roman" w:hAnsi="Times New Roman" w:cs="Times New Roman"/>
          <w:sz w:val="24"/>
        </w:rPr>
        <w:t>Geographical location                                             1.9</w:t>
      </w: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r>
        <w:rPr>
          <w:rFonts w:ascii="Times New Roman" w:hAnsi="Times New Roman" w:cs="Times New Roman"/>
          <w:sz w:val="24"/>
        </w:rPr>
        <w:t>CHAPTER TWO</w:t>
      </w:r>
    </w:p>
    <w:p>
      <w:pPr>
        <w:spacing w:line="240" w:lineRule="auto"/>
        <w:jc w:val="left"/>
        <w:rPr>
          <w:rFonts w:ascii="Times New Roman" w:hAnsi="Times New Roman" w:cs="Times New Roman"/>
          <w:sz w:val="24"/>
        </w:rPr>
      </w:pPr>
      <w:r>
        <w:rPr>
          <w:rFonts w:ascii="Times New Roman" w:hAnsi="Times New Roman" w:cs="Times New Roman"/>
          <w:sz w:val="24"/>
        </w:rPr>
        <w:t xml:space="preserve">Conceptual Framework                                            2.0          </w:t>
      </w:r>
    </w:p>
    <w:p>
      <w:pPr>
        <w:spacing w:line="240" w:lineRule="auto"/>
        <w:jc w:val="left"/>
        <w:rPr>
          <w:rFonts w:ascii="Times New Roman" w:hAnsi="Times New Roman" w:cs="Times New Roman"/>
          <w:sz w:val="24"/>
        </w:rPr>
      </w:pPr>
      <w:r>
        <w:rPr>
          <w:rFonts w:ascii="Times New Roman" w:hAnsi="Times New Roman" w:cs="Times New Roman"/>
          <w:sz w:val="24"/>
        </w:rPr>
        <w:t>Theoretical Framework                                            2.1</w:t>
      </w:r>
    </w:p>
    <w:p>
      <w:pPr>
        <w:spacing w:line="240" w:lineRule="auto"/>
        <w:jc w:val="left"/>
        <w:rPr>
          <w:rFonts w:ascii="Times New Roman" w:hAnsi="Times New Roman" w:cs="Times New Roman"/>
          <w:sz w:val="24"/>
        </w:rPr>
      </w:pPr>
      <w:r>
        <w:rPr>
          <w:rFonts w:ascii="Times New Roman" w:hAnsi="Times New Roman" w:cs="Times New Roman"/>
          <w:sz w:val="24"/>
        </w:rPr>
        <w:t>Literature Review                                                2.2</w:t>
      </w:r>
    </w:p>
    <w:p>
      <w:pPr>
        <w:spacing w:line="240" w:lineRule="auto"/>
        <w:jc w:val="left"/>
        <w:rPr>
          <w:rFonts w:ascii="Times New Roman" w:hAnsi="Times New Roman" w:cs="Times New Roman"/>
          <w:sz w:val="24"/>
        </w:rPr>
      </w:pPr>
      <w:r>
        <w:rPr>
          <w:rFonts w:ascii="Times New Roman" w:hAnsi="Times New Roman" w:cs="Times New Roman"/>
          <w:sz w:val="24"/>
        </w:rPr>
        <w:t>Conclusion                                                     2.3</w:t>
      </w: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r>
        <w:rPr>
          <w:rFonts w:ascii="Times New Roman" w:hAnsi="Times New Roman" w:cs="Times New Roman"/>
          <w:sz w:val="24"/>
        </w:rPr>
        <w:t>CHAPTER THREE</w:t>
      </w:r>
    </w:p>
    <w:p>
      <w:pPr>
        <w:spacing w:line="240" w:lineRule="auto"/>
        <w:jc w:val="left"/>
        <w:rPr>
          <w:rFonts w:ascii="Times New Roman" w:hAnsi="Times New Roman" w:cs="Times New Roman"/>
          <w:sz w:val="24"/>
        </w:rPr>
      </w:pPr>
      <w:r>
        <w:rPr>
          <w:rFonts w:ascii="Times New Roman" w:hAnsi="Times New Roman" w:cs="Times New Roman"/>
          <w:sz w:val="24"/>
        </w:rPr>
        <w:t xml:space="preserve">Research Methodology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3.0</w:t>
      </w:r>
    </w:p>
    <w:p>
      <w:pPr>
        <w:spacing w:line="240" w:lineRule="auto"/>
        <w:jc w:val="left"/>
        <w:rPr>
          <w:rFonts w:ascii="Times New Roman" w:hAnsi="Times New Roman" w:cs="Times New Roman"/>
          <w:sz w:val="24"/>
        </w:rPr>
      </w:pPr>
      <w:r>
        <w:rPr>
          <w:rFonts w:ascii="Times New Roman" w:hAnsi="Times New Roman" w:cs="Times New Roman"/>
          <w:sz w:val="24"/>
        </w:rPr>
        <w:t xml:space="preserve">Research Design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3.1</w:t>
      </w:r>
    </w:p>
    <w:p>
      <w:pPr>
        <w:spacing w:line="240" w:lineRule="auto"/>
        <w:jc w:val="left"/>
        <w:rPr>
          <w:rFonts w:ascii="Times New Roman" w:hAnsi="Times New Roman" w:cs="Times New Roman"/>
          <w:sz w:val="24"/>
        </w:rPr>
      </w:pPr>
      <w:r>
        <w:rPr>
          <w:rFonts w:ascii="Times New Roman" w:hAnsi="Times New Roman" w:cs="Times New Roman"/>
          <w:sz w:val="24"/>
        </w:rPr>
        <w:t xml:space="preserve">Type of data collection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3.2</w:t>
      </w:r>
    </w:p>
    <w:p>
      <w:pPr>
        <w:spacing w:line="240" w:lineRule="auto"/>
        <w:jc w:val="left"/>
        <w:rPr>
          <w:rFonts w:ascii="Times New Roman" w:hAnsi="Times New Roman" w:cs="Times New Roman"/>
          <w:sz w:val="24"/>
        </w:rPr>
      </w:pPr>
      <w:r>
        <w:rPr>
          <w:rFonts w:ascii="Times New Roman" w:hAnsi="Times New Roman" w:cs="Times New Roman"/>
          <w:sz w:val="24"/>
        </w:rPr>
        <w:t xml:space="preserve">Sources of data collection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3.3</w:t>
      </w:r>
    </w:p>
    <w:p>
      <w:pPr>
        <w:spacing w:line="240" w:lineRule="auto"/>
        <w:jc w:val="left"/>
        <w:rPr>
          <w:rFonts w:ascii="Times New Roman" w:hAnsi="Times New Roman" w:cs="Times New Roman"/>
          <w:sz w:val="24"/>
        </w:rPr>
      </w:pPr>
      <w:r>
        <w:rPr>
          <w:rFonts w:ascii="Times New Roman" w:hAnsi="Times New Roman" w:cs="Times New Roman"/>
          <w:sz w:val="24"/>
        </w:rPr>
        <w:t xml:space="preserve">Sample Frame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3.4</w:t>
      </w:r>
    </w:p>
    <w:p>
      <w:pPr>
        <w:spacing w:line="240" w:lineRule="auto"/>
        <w:jc w:val="left"/>
        <w:rPr>
          <w:rFonts w:ascii="Times New Roman" w:hAnsi="Times New Roman" w:cs="Times New Roman"/>
          <w:sz w:val="24"/>
        </w:rPr>
      </w:pPr>
      <w:r>
        <w:rPr>
          <w:rFonts w:ascii="Times New Roman" w:hAnsi="Times New Roman" w:cs="Times New Roman"/>
          <w:sz w:val="24"/>
        </w:rPr>
        <w:t xml:space="preserve">Sample size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3.5</w:t>
      </w:r>
    </w:p>
    <w:p>
      <w:pPr>
        <w:spacing w:line="240" w:lineRule="auto"/>
        <w:jc w:val="left"/>
        <w:rPr>
          <w:rFonts w:ascii="Times New Roman" w:hAnsi="Times New Roman" w:cs="Times New Roman"/>
          <w:sz w:val="24"/>
        </w:rPr>
      </w:pPr>
      <w:r>
        <w:rPr>
          <w:rFonts w:ascii="Times New Roman" w:hAnsi="Times New Roman" w:cs="Times New Roman"/>
          <w:sz w:val="24"/>
        </w:rPr>
        <w:t xml:space="preserve">Sample and sampling Techniques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3.6</w:t>
      </w:r>
    </w:p>
    <w:p>
      <w:pPr>
        <w:spacing w:line="240" w:lineRule="auto"/>
        <w:jc w:val="left"/>
        <w:rPr>
          <w:rFonts w:ascii="Times New Roman" w:hAnsi="Times New Roman" w:cs="Times New Roman"/>
          <w:sz w:val="24"/>
        </w:rPr>
      </w:pPr>
      <w:r>
        <w:rPr>
          <w:rFonts w:ascii="Times New Roman" w:hAnsi="Times New Roman" w:cs="Times New Roman"/>
          <w:sz w:val="24"/>
        </w:rPr>
        <w:t xml:space="preserve">Instruments for data collection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3.7</w:t>
      </w:r>
    </w:p>
    <w:p>
      <w:pPr>
        <w:spacing w:line="240" w:lineRule="auto"/>
        <w:jc w:val="left"/>
        <w:rPr>
          <w:rFonts w:ascii="Times New Roman" w:hAnsi="Times New Roman" w:cs="Times New Roman"/>
          <w:sz w:val="24"/>
        </w:rPr>
      </w:pPr>
      <w:r>
        <w:rPr>
          <w:rFonts w:ascii="Times New Roman" w:hAnsi="Times New Roman" w:cs="Times New Roman"/>
          <w:sz w:val="24"/>
        </w:rPr>
        <w:t xml:space="preserve">Methods of data analysis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3.8</w:t>
      </w: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b/>
          <w:sz w:val="24"/>
        </w:rPr>
      </w:pPr>
      <w:r>
        <w:rPr>
          <w:rFonts w:ascii="Times New Roman" w:hAnsi="Times New Roman" w:cs="Times New Roman"/>
          <w:b/>
          <w:sz w:val="24"/>
        </w:rPr>
        <w:t xml:space="preserve">CHAPTER FOUR:DATA ANALYSIS AND PRESENTATION OF RESULTS </w:t>
      </w:r>
    </w:p>
    <w:p>
      <w:pPr>
        <w:spacing w:line="240" w:lineRule="auto"/>
        <w:jc w:val="left"/>
        <w:rPr>
          <w:rFonts w:ascii="Times New Roman" w:hAnsi="Times New Roman" w:cs="Times New Roman"/>
          <w:sz w:val="24"/>
        </w:rPr>
      </w:pPr>
      <w:r>
        <w:rPr>
          <w:rFonts w:ascii="Times New Roman" w:hAnsi="Times New Roman" w:cs="Times New Roman"/>
          <w:sz w:val="24"/>
        </w:rPr>
        <w:t xml:space="preserve">Introduction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4.1</w:t>
      </w:r>
    </w:p>
    <w:p>
      <w:pPr>
        <w:spacing w:line="240" w:lineRule="auto"/>
        <w:jc w:val="left"/>
        <w:rPr>
          <w:rFonts w:ascii="Times New Roman" w:hAnsi="Times New Roman" w:cs="Times New Roman"/>
          <w:sz w:val="24"/>
        </w:rPr>
      </w:pPr>
      <w:r>
        <w:rPr>
          <w:rFonts w:ascii="Times New Roman" w:hAnsi="Times New Roman" w:cs="Times New Roman"/>
          <w:sz w:val="24"/>
        </w:rPr>
        <w:t xml:space="preserve">Socio-Economic Characteristics of the Respondents             </w:t>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4.1</w:t>
      </w:r>
    </w:p>
    <w:p>
      <w:pPr>
        <w:spacing w:line="240" w:lineRule="auto"/>
        <w:jc w:val="left"/>
        <w:rPr>
          <w:rFonts w:ascii="Times New Roman" w:hAnsi="Times New Roman" w:cs="Times New Roman"/>
          <w:sz w:val="24"/>
        </w:rPr>
      </w:pPr>
      <w:r>
        <w:rPr>
          <w:rFonts w:ascii="Times New Roman" w:hAnsi="Times New Roman" w:cs="Times New Roman"/>
          <w:sz w:val="24"/>
        </w:rPr>
        <w:t xml:space="preserve">Gender of Respondent.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4.1</w:t>
      </w:r>
    </w:p>
    <w:p>
      <w:pPr>
        <w:spacing w:line="240" w:lineRule="auto"/>
        <w:jc w:val="left"/>
        <w:rPr>
          <w:rFonts w:ascii="Times New Roman" w:hAnsi="Times New Roman" w:cs="Times New Roman"/>
          <w:sz w:val="24"/>
        </w:rPr>
      </w:pPr>
      <w:r>
        <w:rPr>
          <w:rFonts w:ascii="Times New Roman" w:hAnsi="Times New Roman" w:cs="Times New Roman"/>
          <w:sz w:val="24"/>
        </w:rPr>
        <w:t xml:space="preserve">Marital Status of Respondent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4.2</w:t>
      </w:r>
    </w:p>
    <w:p>
      <w:pPr>
        <w:spacing w:line="240" w:lineRule="auto"/>
        <w:jc w:val="left"/>
        <w:rPr>
          <w:rFonts w:ascii="Times New Roman" w:hAnsi="Times New Roman" w:cs="Times New Roman"/>
          <w:sz w:val="24"/>
        </w:rPr>
      </w:pPr>
      <w:r>
        <w:rPr>
          <w:rFonts w:ascii="Times New Roman" w:hAnsi="Times New Roman" w:cs="Times New Roman"/>
          <w:sz w:val="24"/>
        </w:rPr>
        <w:t xml:space="preserve">Ethnicity of Respondent.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4.3</w:t>
      </w:r>
    </w:p>
    <w:p>
      <w:pPr>
        <w:spacing w:line="240" w:lineRule="auto"/>
        <w:jc w:val="left"/>
        <w:rPr>
          <w:rFonts w:ascii="Times New Roman" w:hAnsi="Times New Roman" w:cs="Times New Roman"/>
          <w:sz w:val="24"/>
        </w:rPr>
      </w:pPr>
      <w:r>
        <w:rPr>
          <w:rFonts w:ascii="Times New Roman" w:hAnsi="Times New Roman" w:cs="Times New Roman"/>
          <w:sz w:val="24"/>
        </w:rPr>
        <w:t xml:space="preserve">Nativity of the respondent.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4.4</w:t>
      </w:r>
    </w:p>
    <w:p>
      <w:pPr>
        <w:spacing w:line="240" w:lineRule="auto"/>
        <w:jc w:val="left"/>
        <w:rPr>
          <w:rFonts w:ascii="Times New Roman" w:hAnsi="Times New Roman" w:cs="Times New Roman"/>
          <w:sz w:val="24"/>
        </w:rPr>
      </w:pPr>
      <w:r>
        <w:rPr>
          <w:rFonts w:ascii="Times New Roman" w:hAnsi="Times New Roman" w:cs="Times New Roman"/>
          <w:sz w:val="24"/>
        </w:rPr>
        <w:t xml:space="preserve">Religion of Respondent.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4.5</w:t>
      </w:r>
    </w:p>
    <w:p>
      <w:pPr>
        <w:spacing w:line="240" w:lineRule="auto"/>
        <w:jc w:val="left"/>
        <w:rPr>
          <w:rFonts w:ascii="Times New Roman" w:hAnsi="Times New Roman" w:cs="Times New Roman"/>
          <w:sz w:val="24"/>
        </w:rPr>
      </w:pPr>
      <w:r>
        <w:rPr>
          <w:rFonts w:ascii="Times New Roman" w:hAnsi="Times New Roman" w:cs="Times New Roman"/>
          <w:sz w:val="24"/>
        </w:rPr>
        <w:t xml:space="preserve">Tenure of occupancy.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4.6</w:t>
      </w:r>
    </w:p>
    <w:p>
      <w:pPr>
        <w:spacing w:line="240" w:lineRule="auto"/>
        <w:jc w:val="left"/>
        <w:rPr>
          <w:rFonts w:ascii="Times New Roman" w:hAnsi="Times New Roman" w:cs="Times New Roman"/>
          <w:sz w:val="24"/>
        </w:rPr>
      </w:pPr>
      <w:r>
        <w:rPr>
          <w:rFonts w:ascii="Times New Roman" w:hAnsi="Times New Roman" w:cs="Times New Roman"/>
          <w:sz w:val="24"/>
        </w:rPr>
        <w:t xml:space="preserve">Respondents of the Household size.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4.7</w:t>
      </w:r>
    </w:p>
    <w:p>
      <w:pPr>
        <w:spacing w:line="240" w:lineRule="auto"/>
        <w:jc w:val="left"/>
        <w:rPr>
          <w:rFonts w:ascii="Times New Roman" w:hAnsi="Times New Roman" w:cs="Times New Roman"/>
          <w:sz w:val="24"/>
        </w:rPr>
      </w:pPr>
      <w:r>
        <w:rPr>
          <w:rFonts w:ascii="Times New Roman" w:hAnsi="Times New Roman" w:cs="Times New Roman"/>
          <w:sz w:val="24"/>
        </w:rPr>
        <w:t xml:space="preserve">Occupation of the respondent.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4.8</w:t>
      </w:r>
    </w:p>
    <w:p>
      <w:pPr>
        <w:spacing w:line="240" w:lineRule="auto"/>
        <w:jc w:val="left"/>
        <w:rPr>
          <w:rFonts w:ascii="Times New Roman" w:hAnsi="Times New Roman" w:cs="Times New Roman"/>
          <w:sz w:val="24"/>
        </w:rPr>
      </w:pPr>
      <w:r>
        <w:rPr>
          <w:rFonts w:ascii="Times New Roman" w:hAnsi="Times New Roman" w:cs="Times New Roman"/>
          <w:sz w:val="24"/>
        </w:rPr>
        <w:t xml:space="preserve">Education of Respondent.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4.9</w:t>
      </w:r>
    </w:p>
    <w:p>
      <w:pPr>
        <w:spacing w:line="240" w:lineRule="auto"/>
        <w:jc w:val="left"/>
        <w:rPr>
          <w:rFonts w:ascii="Times New Roman" w:hAnsi="Times New Roman" w:cs="Times New Roman"/>
          <w:sz w:val="24"/>
        </w:rPr>
      </w:pPr>
      <w:r>
        <w:rPr>
          <w:rFonts w:ascii="Times New Roman" w:hAnsi="Times New Roman" w:cs="Times New Roman"/>
          <w:sz w:val="24"/>
        </w:rPr>
        <w:t xml:space="preserve">Income of the respondent.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4.10         </w:t>
      </w:r>
    </w:p>
    <w:p>
      <w:pPr>
        <w:spacing w:line="240" w:lineRule="auto"/>
        <w:jc w:val="left"/>
        <w:rPr>
          <w:rFonts w:ascii="Times New Roman" w:hAnsi="Times New Roman" w:cs="Times New Roman"/>
          <w:sz w:val="24"/>
        </w:rPr>
      </w:pPr>
      <w:r>
        <w:rPr>
          <w:rFonts w:ascii="Times New Roman" w:hAnsi="Times New Roman" w:cs="Times New Roman"/>
          <w:sz w:val="24"/>
        </w:rPr>
        <w:t xml:space="preserve">Respondent’s Building.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 xml:space="preserve">      4.11</w:t>
      </w:r>
    </w:p>
    <w:p>
      <w:pPr>
        <w:spacing w:line="240" w:lineRule="auto"/>
        <w:jc w:val="left"/>
        <w:rPr>
          <w:rFonts w:ascii="Times New Roman" w:hAnsi="Times New Roman" w:cs="Times New Roman"/>
          <w:sz w:val="24"/>
        </w:rPr>
      </w:pPr>
      <w:r>
        <w:rPr>
          <w:rFonts w:ascii="Times New Roman" w:hAnsi="Times New Roman" w:cs="Times New Roman"/>
          <w:sz w:val="24"/>
        </w:rPr>
        <w:t xml:space="preserve">Road infrastructure of the respondents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4.12</w:t>
      </w:r>
    </w:p>
    <w:p>
      <w:pPr>
        <w:spacing w:line="240" w:lineRule="auto"/>
        <w:jc w:val="left"/>
        <w:rPr>
          <w:rFonts w:ascii="Times New Roman" w:hAnsi="Times New Roman" w:cs="Times New Roman"/>
          <w:sz w:val="24"/>
        </w:rPr>
      </w:pPr>
      <w:r>
        <w:rPr>
          <w:rFonts w:ascii="Times New Roman" w:hAnsi="Times New Roman" w:cs="Times New Roman"/>
          <w:sz w:val="24"/>
        </w:rPr>
        <w:t xml:space="preserve">Drainage system.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4.13</w:t>
      </w:r>
    </w:p>
    <w:p>
      <w:pPr>
        <w:spacing w:line="240" w:lineRule="auto"/>
        <w:jc w:val="left"/>
        <w:rPr>
          <w:rFonts w:ascii="Times New Roman" w:hAnsi="Times New Roman" w:cs="Times New Roman"/>
          <w:sz w:val="24"/>
        </w:rPr>
      </w:pPr>
      <w:r>
        <w:rPr>
          <w:rFonts w:ascii="Times New Roman" w:hAnsi="Times New Roman" w:cs="Times New Roman"/>
          <w:sz w:val="24"/>
        </w:rPr>
        <w:t xml:space="preserve">Water supply.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4.14</w:t>
      </w:r>
    </w:p>
    <w:p>
      <w:pPr>
        <w:spacing w:line="240" w:lineRule="auto"/>
        <w:jc w:val="left"/>
        <w:rPr>
          <w:rFonts w:ascii="Times New Roman" w:hAnsi="Times New Roman" w:cs="Times New Roman"/>
          <w:sz w:val="24"/>
        </w:rPr>
      </w:pPr>
      <w:r>
        <w:rPr>
          <w:rFonts w:ascii="Times New Roman" w:hAnsi="Times New Roman" w:cs="Times New Roman"/>
          <w:sz w:val="24"/>
        </w:rPr>
        <w:t xml:space="preserve">Electricity.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4.15</w:t>
      </w:r>
    </w:p>
    <w:p>
      <w:pPr>
        <w:spacing w:line="240" w:lineRule="auto"/>
        <w:jc w:val="left"/>
        <w:rPr>
          <w:rFonts w:ascii="Times New Roman" w:hAnsi="Times New Roman" w:cs="Times New Roman"/>
          <w:sz w:val="24"/>
        </w:rPr>
      </w:pPr>
      <w:r>
        <w:rPr>
          <w:rFonts w:ascii="Times New Roman" w:hAnsi="Times New Roman" w:cs="Times New Roman"/>
          <w:sz w:val="24"/>
        </w:rPr>
        <w:t xml:space="preserve">Waste management.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4.16</w:t>
      </w:r>
    </w:p>
    <w:p>
      <w:pPr>
        <w:spacing w:line="240" w:lineRule="auto"/>
        <w:jc w:val="left"/>
        <w:rPr>
          <w:rFonts w:ascii="Times New Roman" w:hAnsi="Times New Roman" w:cs="Times New Roman"/>
          <w:sz w:val="24"/>
        </w:rPr>
      </w:pPr>
      <w:r>
        <w:rPr>
          <w:rFonts w:ascii="Times New Roman" w:hAnsi="Times New Roman" w:cs="Times New Roman"/>
          <w:sz w:val="24"/>
        </w:rPr>
        <w:t xml:space="preserve">Recreational facilities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4.17</w:t>
      </w:r>
    </w:p>
    <w:p>
      <w:pPr>
        <w:spacing w:line="240" w:lineRule="auto"/>
        <w:jc w:val="left"/>
        <w:rPr>
          <w:rFonts w:ascii="Times New Roman" w:hAnsi="Times New Roman" w:cs="Times New Roman"/>
          <w:sz w:val="24"/>
        </w:rPr>
      </w:pPr>
      <w:r>
        <w:rPr>
          <w:rFonts w:ascii="Times New Roman" w:hAnsi="Times New Roman" w:cs="Times New Roman"/>
          <w:sz w:val="24"/>
        </w:rPr>
        <w:t xml:space="preserve">Residents satisfaction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4.18     </w:t>
      </w:r>
    </w:p>
    <w:p>
      <w:pPr>
        <w:spacing w:line="240" w:lineRule="auto"/>
        <w:jc w:val="left"/>
        <w:rPr>
          <w:rFonts w:ascii="Times New Roman" w:hAnsi="Times New Roman" w:cs="Times New Roman"/>
          <w:b/>
          <w:sz w:val="24"/>
        </w:rPr>
      </w:pPr>
    </w:p>
    <w:p>
      <w:pPr>
        <w:spacing w:line="240" w:lineRule="auto"/>
        <w:jc w:val="left"/>
        <w:rPr>
          <w:rFonts w:ascii="Times New Roman" w:hAnsi="Times New Roman" w:cs="Times New Roman"/>
          <w:b/>
          <w:sz w:val="24"/>
        </w:rPr>
      </w:pPr>
      <w:r>
        <w:rPr>
          <w:rFonts w:ascii="Times New Roman" w:hAnsi="Times New Roman" w:cs="Times New Roman"/>
          <w:b/>
          <w:sz w:val="24"/>
        </w:rPr>
        <w:t xml:space="preserve">CHAPTER FIVE:SUMMARY OF FINDINGS, CONCLUSION AND RECOMMENDATION </w:t>
      </w:r>
    </w:p>
    <w:p>
      <w:pPr>
        <w:spacing w:line="240" w:lineRule="auto"/>
        <w:jc w:val="left"/>
        <w:rPr>
          <w:rFonts w:ascii="Times New Roman" w:hAnsi="Times New Roman" w:cs="Times New Roman"/>
          <w:sz w:val="24"/>
        </w:rPr>
      </w:pPr>
      <w:r>
        <w:rPr>
          <w:rFonts w:ascii="Times New Roman" w:hAnsi="Times New Roman" w:cs="Times New Roman"/>
          <w:sz w:val="24"/>
        </w:rPr>
        <w:t xml:space="preserve">Summary of Findings.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5.1</w:t>
      </w:r>
    </w:p>
    <w:p>
      <w:pPr>
        <w:spacing w:line="240" w:lineRule="auto"/>
        <w:jc w:val="left"/>
        <w:rPr>
          <w:rFonts w:ascii="Times New Roman" w:hAnsi="Times New Roman" w:cs="Times New Roman"/>
          <w:sz w:val="24"/>
        </w:rPr>
      </w:pPr>
      <w:r>
        <w:rPr>
          <w:rFonts w:ascii="Times New Roman" w:hAnsi="Times New Roman" w:cs="Times New Roman"/>
          <w:sz w:val="24"/>
        </w:rPr>
        <w:t xml:space="preserve">Conclusion.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5.2</w:t>
      </w:r>
    </w:p>
    <w:p>
      <w:pPr>
        <w:spacing w:line="240" w:lineRule="auto"/>
        <w:jc w:val="left"/>
        <w:rPr>
          <w:rFonts w:ascii="Times New Roman" w:hAnsi="Times New Roman" w:cs="Times New Roman"/>
          <w:sz w:val="24"/>
        </w:rPr>
      </w:pPr>
      <w:r>
        <w:rPr>
          <w:rFonts w:ascii="Times New Roman" w:hAnsi="Times New Roman" w:cs="Times New Roman"/>
          <w:sz w:val="24"/>
        </w:rPr>
        <w:t xml:space="preserve">Recommendation.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5.3</w:t>
      </w:r>
    </w:p>
    <w:p>
      <w:pPr>
        <w:spacing w:line="240" w:lineRule="auto"/>
        <w:jc w:val="left"/>
        <w:rPr>
          <w:rFonts w:ascii="Times New Roman" w:hAnsi="Times New Roman" w:cs="Times New Roman"/>
          <w:sz w:val="24"/>
        </w:rPr>
      </w:pPr>
      <w:r>
        <w:rPr>
          <w:rFonts w:ascii="Times New Roman" w:hAnsi="Times New Roman" w:cs="Times New Roman"/>
          <w:sz w:val="24"/>
        </w:rPr>
        <w:t xml:space="preserve">Reference.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5.4</w:t>
      </w: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left"/>
        <w:rPr>
          <w:rFonts w:ascii="Times New Roman" w:hAnsi="Times New Roman" w:cs="Times New Roman"/>
          <w:sz w:val="24"/>
        </w:rPr>
      </w:pPr>
    </w:p>
    <w:p>
      <w:pPr>
        <w:spacing w:line="240" w:lineRule="auto"/>
        <w:jc w:val="center"/>
        <w:rPr>
          <w:b/>
          <w:i/>
          <w:sz w:val="24"/>
        </w:rPr>
      </w:pPr>
      <w:r>
        <w:rPr>
          <w:rFonts w:hint="eastAsia"/>
          <w:b/>
          <w:i/>
          <w:sz w:val="24"/>
        </w:rPr>
        <w:t>Abstract</w:t>
      </w:r>
    </w:p>
    <w:p>
      <w:pPr>
        <w:spacing w:line="240" w:lineRule="auto"/>
        <w:rPr>
          <w:rFonts w:ascii="Constantia" w:hAnsi="Constantia" w:cs="Times New Roman"/>
          <w:i/>
          <w:sz w:val="24"/>
        </w:rPr>
      </w:pPr>
      <w:r>
        <w:rPr>
          <w:rFonts w:ascii="Constantia" w:hAnsi="Constantia" w:cs="Times New Roman"/>
          <w:i/>
          <w:sz w:val="24"/>
        </w:rPr>
        <w:t xml:space="preserve">This research undertakes a comprehensive comparative analysis of infrastructural facilities in Adewole and Harmony Housing Estates, two prominent residential neighborhoods in Ilorin, Kwara State, Nigeria. The study focuses on assessing the nature, adequacy, quality, accessibility, and maintenance of key infrastructure components such as road networks, drainage systems, water supply, electricity, waste management, security, healthcare, educational facilities, and recreational amenities.The objective of the study is to Examine the Socio-economic characteristics of the resident in the study areas.The findings of the study reveal that Adewole Estate benefits from a relatively established public infrastructure, with consistent water and electricity supply, functional road networks, and public schools and clinics. </w:t>
      </w:r>
      <w:r>
        <w:rPr>
          <w:rFonts w:ascii="Constantia" w:hAnsi="Constantia" w:cs="Times New Roman"/>
          <w:i/>
          <w:sz w:val="24"/>
        </w:rPr>
        <w:tab/>
      </w:r>
      <w:r>
        <w:rPr>
          <w:rFonts w:ascii="Constantia" w:hAnsi="Constantia" w:cs="Times New Roman"/>
          <w:i/>
          <w:sz w:val="24"/>
        </w:rPr>
        <w:t>The study concludes that while both estates serve as important residential hubs within Ilorin, their infrastructural strengths and weaknesses reflect broader challenges in urban development and housing delivery in Nigeria.This study contributes to the body of knowledge in urban and regional planning by offering insights that can guide future estate development, urban infrastructure management, and sustainable city planning initiatives.</w:t>
      </w:r>
    </w:p>
    <w:p>
      <w:pPr>
        <w:spacing w:line="240" w:lineRule="auto"/>
        <w:rPr>
          <w:rFonts w:ascii="Constantia" w:hAnsi="Constantia"/>
          <w:i/>
        </w:rPr>
      </w:pPr>
    </w:p>
    <w:p>
      <w:pPr>
        <w:spacing w:line="480" w:lineRule="auto"/>
        <w:jc w:val="center"/>
        <w:rPr>
          <w:rFonts w:ascii="Times New Roman" w:hAnsi="Times New Roman" w:cs="Times New Roman"/>
          <w:b/>
          <w:bCs/>
          <w:sz w:val="28"/>
          <w:szCs w:val="28"/>
        </w:rPr>
      </w:pPr>
    </w:p>
    <w:p>
      <w:pPr>
        <w:spacing w:line="480" w:lineRule="auto"/>
        <w:jc w:val="center"/>
        <w:rPr>
          <w:rFonts w:ascii="Times New Roman" w:hAnsi="Times New Roman" w:cs="Times New Roman"/>
          <w:b/>
          <w:bCs/>
          <w:sz w:val="28"/>
          <w:szCs w:val="28"/>
        </w:rPr>
      </w:pPr>
    </w:p>
    <w:p>
      <w:pPr>
        <w:spacing w:line="480" w:lineRule="auto"/>
        <w:jc w:val="center"/>
        <w:rPr>
          <w:rFonts w:ascii="Times New Roman" w:hAnsi="Times New Roman" w:cs="Times New Roman"/>
          <w:b/>
          <w:bCs/>
          <w:sz w:val="28"/>
          <w:szCs w:val="28"/>
        </w:rPr>
      </w:pPr>
    </w:p>
    <w:p>
      <w:pPr>
        <w:spacing w:line="480" w:lineRule="auto"/>
        <w:jc w:val="center"/>
        <w:rPr>
          <w:rFonts w:ascii="Times New Roman" w:hAnsi="Times New Roman" w:cs="Times New Roman"/>
          <w:b/>
          <w:bCs/>
          <w:sz w:val="28"/>
          <w:szCs w:val="28"/>
        </w:rPr>
      </w:pPr>
    </w:p>
    <w:p>
      <w:pPr>
        <w:spacing w:line="480" w:lineRule="auto"/>
        <w:jc w:val="center"/>
        <w:rPr>
          <w:rFonts w:ascii="Times New Roman" w:hAnsi="Times New Roman" w:cs="Times New Roman"/>
          <w:b/>
          <w:bCs/>
          <w:sz w:val="28"/>
          <w:szCs w:val="28"/>
        </w:rPr>
      </w:pPr>
    </w:p>
    <w:p>
      <w:pPr>
        <w:spacing w:line="480" w:lineRule="auto"/>
        <w:jc w:val="center"/>
        <w:rPr>
          <w:rFonts w:ascii="Times New Roman" w:hAnsi="Times New Roman" w:cs="Times New Roman"/>
          <w:b/>
          <w:bCs/>
          <w:sz w:val="28"/>
          <w:szCs w:val="28"/>
        </w:rPr>
      </w:pPr>
    </w:p>
    <w:p>
      <w:pPr>
        <w:spacing w:line="480" w:lineRule="auto"/>
        <w:jc w:val="center"/>
        <w:rPr>
          <w:rFonts w:ascii="Times New Roman" w:hAnsi="Times New Roman" w:cs="Times New Roman"/>
          <w:b/>
          <w:bCs/>
          <w:sz w:val="28"/>
          <w:szCs w:val="28"/>
        </w:rPr>
      </w:pPr>
    </w:p>
    <w:p>
      <w:pPr>
        <w:spacing w:line="480" w:lineRule="auto"/>
        <w:jc w:val="center"/>
        <w:rPr>
          <w:rFonts w:ascii="Times New Roman" w:hAnsi="Times New Roman" w:cs="Times New Roman"/>
          <w:b/>
          <w:bCs/>
          <w:sz w:val="28"/>
          <w:szCs w:val="28"/>
        </w:rPr>
        <w:sectPr>
          <w:footerReference r:id="rId3" w:type="default"/>
          <w:pgSz w:w="11906" w:h="16838"/>
          <w:pgMar w:top="1440" w:right="1556" w:bottom="1440" w:left="1800" w:header="851" w:footer="992" w:gutter="0"/>
          <w:pgNumType w:fmt="lowerRoman"/>
          <w:cols w:space="425" w:num="1"/>
          <w:docGrid w:type="lines" w:linePitch="312" w:charSpace="0"/>
        </w:sectPr>
      </w:pPr>
    </w:p>
    <w:p>
      <w:pPr>
        <w:spacing w:line="480" w:lineRule="auto"/>
        <w:jc w:val="center"/>
        <w:rPr>
          <w:rFonts w:ascii="Times New Roman" w:hAnsi="Times New Roman" w:cs="Times New Roman"/>
          <w:b/>
          <w:bCs/>
          <w:sz w:val="28"/>
          <w:szCs w:val="28"/>
        </w:rPr>
      </w:pPr>
    </w:p>
    <w:p>
      <w:pPr>
        <w:spacing w:line="480" w:lineRule="auto"/>
        <w:jc w:val="center"/>
        <w:rPr>
          <w:rFonts w:ascii="Times New Roman" w:hAnsi="Times New Roman" w:cs="Times New Roman"/>
          <w:sz w:val="28"/>
          <w:szCs w:val="28"/>
        </w:rPr>
      </w:pPr>
      <w:r>
        <w:rPr>
          <w:rFonts w:ascii="Times New Roman" w:hAnsi="Times New Roman" w:cs="Times New Roman"/>
          <w:b/>
          <w:bCs/>
          <w:sz w:val="28"/>
          <w:szCs w:val="28"/>
        </w:rPr>
        <w:t>CHAPTER ONE</w:t>
      </w:r>
    </w:p>
    <w:p>
      <w:pPr>
        <w:spacing w:line="480" w:lineRule="auto"/>
        <w:rPr>
          <w:rFonts w:ascii="Times New Roman" w:hAnsi="Times New Roman" w:cs="Times New Roman"/>
          <w:sz w:val="24"/>
        </w:rPr>
      </w:pPr>
      <w:r>
        <w:rPr>
          <w:rFonts w:ascii="Times New Roman" w:hAnsi="Times New Roman" w:cs="Times New Roman"/>
          <w:b/>
          <w:bCs/>
          <w:sz w:val="24"/>
        </w:rPr>
        <w:t>1.0 Introduction</w:t>
      </w:r>
    </w:p>
    <w:p>
      <w:pPr>
        <w:spacing w:line="480" w:lineRule="auto"/>
        <w:rPr>
          <w:rFonts w:ascii="Times New Roman" w:hAnsi="Times New Roman" w:cs="Times New Roman"/>
          <w:sz w:val="24"/>
        </w:rPr>
      </w:pPr>
      <w:r>
        <w:rPr>
          <w:rFonts w:ascii="Times New Roman" w:hAnsi="Times New Roman" w:cs="Times New Roman"/>
          <w:sz w:val="24"/>
        </w:rPr>
        <w:t xml:space="preserve">     Infrastructure as fundamental facilities refer to the basic physical and organizational structure and facilities needed for the operation of a society or enterprise. It includes essential service and systems that support economic activities and improve the qualities life.( Oxford dictionary of economics 2024) ( World bank 1994) The infrastructure that is essential to the efficient working of a modern city is extensive. It includes provision for water and sewerage facilities, surface water drainage, highways, transport facilities, energy distribution networks, telecommunications facilities and other networked' services.</w:t>
      </w:r>
    </w:p>
    <w:p>
      <w:pPr>
        <w:spacing w:line="480" w:lineRule="auto"/>
        <w:rPr>
          <w:rFonts w:ascii="Times New Roman" w:hAnsi="Times New Roman" w:cs="Times New Roman"/>
          <w:sz w:val="24"/>
        </w:rPr>
      </w:pPr>
      <w:r>
        <w:rPr>
          <w:rFonts w:ascii="Times New Roman" w:hAnsi="Times New Roman" w:cs="Times New Roman"/>
          <w:sz w:val="24"/>
        </w:rPr>
        <w:t xml:space="preserve">      Infrastructure also includes the provision of the types of social facilities regarded as essential to the maintenance of a tolerable standard of living for residents and workers, educational and healthcare facilities, leisure facilities and open space and the infrastructure associated with the maintenance of public health and welfare, law and order and public administration".(Urban Infrastructure Management Plan - Vol 2 Planned Urban Infrastructure Investment for 1999/2004,Ministry of Urban Infrastructure Management) This closely aligns to the definition of infrastructure adopted for the purposes of Council's brief: "infrastructure includes the buildings or physical elements, usually permanent in that area, necessary to support the effective, efficient and cohesive functioning of the communities. This includes; roads, bus stops, Foot-paths, traffic facilities, drainage, Landscape, playground equipment, libraries, community centers and the like. "Infrastructural facilities has remain the most and essential facilities required by the people for the purpose of improving the standard of living and the quality of life of the people in a given environment. The level of infrastructural facilities available to the people in any nation is a fairly accurate reflection of the quality of life in that country according to Ajayi M.A. and Omole F.K.[2012].One major aspect of urban problem with respect to housing is the poor state of infrastructural facilities.</w:t>
      </w:r>
    </w:p>
    <w:p>
      <w:pPr>
        <w:spacing w:line="480" w:lineRule="auto"/>
        <w:rPr>
          <w:rFonts w:ascii="Times New Roman" w:hAnsi="Times New Roman" w:cs="Times New Roman"/>
          <w:sz w:val="24"/>
        </w:rPr>
      </w:pPr>
      <w:r>
        <w:rPr>
          <w:rFonts w:ascii="Times New Roman" w:hAnsi="Times New Roman" w:cs="Times New Roman"/>
          <w:sz w:val="24"/>
        </w:rPr>
        <w:t xml:space="preserve">       Obateru[2003]distinguishes between physical infrastructure comprising transportation facilities and public utilities and social infrastructure comprising social community facilities and services. Examples of public utilities include electricity, water, roads, gas, supply sewerage, storm water drainage and telephone services; while examples of social or community facilities include educational, health, recreational and cultural facilities. Examples of social services include police and fire protection. Dr. Jeffrey Delmon, senior infrastructure specialist of The World Bank, begins his book indicating that, "Poor infrastructure impedes a nation's economic growth and international competitiveness (The World Bank 2006) Insufficient infrastructure also represents a major cause of loss of quality of life, illness and death(Willoughby 2004) This raises infrastructure services from good investment to a moral and economic imperative. In order to stimulate growth and reduce poverty, it is essential to improve the supply, quality and affordability of infrastructure services. The unmet demands are huge, and investments have not matched demand (The World Bank 2008)."</w:t>
      </w:r>
    </w:p>
    <w:p>
      <w:pPr>
        <w:spacing w:line="480" w:lineRule="auto"/>
        <w:rPr>
          <w:rFonts w:ascii="Times New Roman" w:hAnsi="Times New Roman" w:cs="Times New Roman"/>
          <w:sz w:val="24"/>
        </w:rPr>
      </w:pPr>
      <w:r>
        <w:rPr>
          <w:rFonts w:ascii="Times New Roman" w:hAnsi="Times New Roman" w:cs="Times New Roman"/>
          <w:sz w:val="24"/>
        </w:rPr>
        <w:t xml:space="preserve">The condition of Nigeria infrastructure is generally poor. For example, World Bank [1996] reports that Nigeria's urban infrastructure is crumbling because water supply, sewerage, sanitation, drainage, roads, electricity, waste disposal all suffer from years of serious neglect. Similarly, Federal Republic of Nigeria [1997] reports that the rate at which community infrastructure and social services are provided in Nigeria has not been commensurate with the pace of population growth and expansion. As a result, infrastructure problems now plaque all the urban centers in Nigeria and these included irregular water supply, unreliable energy supply, poor drainage, inefficient waste disposal system, grossly outstretched intra-city, inter-city and inter-state transportation system. </w:t>
      </w:r>
    </w:p>
    <w:p>
      <w:pPr>
        <w:spacing w:line="480" w:lineRule="auto"/>
        <w:rPr>
          <w:rFonts w:ascii="Times New Roman" w:hAnsi="Times New Roman" w:cs="Times New Roman"/>
          <w:sz w:val="24"/>
        </w:rPr>
      </w:pPr>
      <w:r>
        <w:rPr>
          <w:rFonts w:ascii="Times New Roman" w:hAnsi="Times New Roman" w:cs="Times New Roman"/>
          <w:sz w:val="24"/>
        </w:rPr>
        <w:t xml:space="preserve">     At the global level, infrastructures facilities facilitates international connectivity, cooperation and economic activities. These includes transportation network, communication systems, energy infrastructures, trades and logistic and environmental infrastructure.( World bank 2022) Infrastructure facilities are the backbone of functional housing estates and are crucial for ensuring the quality of life for residents. Housing infrastructure encompasses physical systems such as roads, drainage, water supply, electricity, waste management, and recreational facilities. These facilities collectively support the everyday activities of residents and contribute to the livability, sustainability, and value of housing estates (Muller, 2004) Adequate infrastructure fosters economic growth, enhances property values, and ensures environmental sustainability within urban areas (UN-Habitat, 2016). </w:t>
      </w:r>
    </w:p>
    <w:p>
      <w:pPr>
        <w:spacing w:line="480" w:lineRule="auto"/>
        <w:rPr>
          <w:rFonts w:ascii="Times New Roman" w:hAnsi="Times New Roman" w:cs="Times New Roman"/>
          <w:sz w:val="24"/>
        </w:rPr>
      </w:pPr>
      <w:r>
        <w:rPr>
          <w:rFonts w:ascii="Times New Roman" w:hAnsi="Times New Roman" w:cs="Times New Roman"/>
          <w:sz w:val="24"/>
        </w:rPr>
        <w:t xml:space="preserve">     At the national level infrastructure facilities support a country’s economics growth ,social development and governance. These includes transportation infrastructure, water and sanitation, health infrastructure, communication networks and educational facilities.( National planning commission 2021). At the state or regional level, infrastructural facilities focus on localize development and governance. These includes energy distribution, water resources, urban development, social infrastructure and technology hubs.( National institute of urban affairs 2020).</w:t>
      </w:r>
    </w:p>
    <w:p>
      <w:pPr>
        <w:spacing w:line="480" w:lineRule="auto"/>
        <w:rPr>
          <w:rFonts w:ascii="Times New Roman" w:hAnsi="Times New Roman" w:cs="Times New Roman"/>
          <w:sz w:val="24"/>
        </w:rPr>
      </w:pPr>
      <w:r>
        <w:rPr>
          <w:rFonts w:ascii="Times New Roman" w:hAnsi="Times New Roman" w:cs="Times New Roman"/>
          <w:sz w:val="24"/>
        </w:rPr>
        <w:t xml:space="preserve">    While global level infrastructure aim s at international integration and cooperation, national level focuses on cohesive development within a country, and state level infrastructure emphasizes localized growth and efficient resources utilization. All these levels interconnect to build a robust and sustainable system . Infrastructure facilities play a vital role in ensuring the sustainability and livability of housing estates. According to the United Nations Human Settlements Programed (UN-Habitat), well-planned and efficiently maintained infrastructure— such as roads, drainage systems, water supply, electricity, waste management, and recreational facilities—contributes significantly to the desirability and functionality of urban housing developments (UN-Habitat, 2016). These facilities not only enhance the quality of life for residents but also support urban growth by creating conducive environments for social and economic activities.</w:t>
      </w:r>
    </w:p>
    <w:p>
      <w:pPr>
        <w:spacing w:line="480" w:lineRule="auto"/>
        <w:rPr>
          <w:rFonts w:ascii="Times New Roman" w:hAnsi="Times New Roman" w:cs="Times New Roman"/>
          <w:sz w:val="24"/>
        </w:rPr>
      </w:pPr>
      <w:r>
        <w:rPr>
          <w:rFonts w:ascii="Times New Roman" w:hAnsi="Times New Roman" w:cs="Times New Roman"/>
          <w:sz w:val="24"/>
        </w:rPr>
        <w:t xml:space="preserve">     In recent decades, Ilorin, the capital city of Kwara State, Nigeria, has experienced rapid urbanization, leading to increased pressure on housing infrastructure (Kwara State Government, 2017). To address the growing demand for housing, numerous estates have been developed in the city, among which are Adewole Housing Estate and Harmony Estate. These estates were designed to provide decent and affordable housing to the city’s growing population. However, like many urban housing developments in Nigeria, they face significant challenges related to the provision and maintenance of infrastructure facilities (Akinpelu, 2015).</w:t>
      </w:r>
    </w:p>
    <w:p>
      <w:pPr>
        <w:spacing w:line="480" w:lineRule="auto"/>
        <w:rPr>
          <w:rFonts w:ascii="Times New Roman" w:hAnsi="Times New Roman" w:cs="Times New Roman"/>
          <w:sz w:val="24"/>
        </w:rPr>
      </w:pPr>
      <w:r>
        <w:rPr>
          <w:rFonts w:ascii="Times New Roman" w:hAnsi="Times New Roman" w:cs="Times New Roman"/>
          <w:sz w:val="24"/>
        </w:rPr>
        <w:t xml:space="preserve">    Despite the importance of these facilities, Adewole Housing Estate and Harmony Estate exhibit varying levels of infrastructural adequacy and efficiency. Challenges such as poorly maintained roads, inadequate drainage systems, unreliable electricity supply, and inefficient waste management have been reported in many housing estates across Ilorin (Ogunbode, 2016). These challenges negatively impact residents’ satisfaction and the overall livability of the estates.</w:t>
      </w:r>
    </w:p>
    <w:p>
      <w:pPr>
        <w:spacing w:line="480" w:lineRule="auto"/>
        <w:rPr>
          <w:rFonts w:ascii="Times New Roman" w:hAnsi="Times New Roman" w:cs="Times New Roman"/>
          <w:sz w:val="24"/>
        </w:rPr>
      </w:pPr>
      <w:r>
        <w:rPr>
          <w:rFonts w:ascii="Times New Roman" w:hAnsi="Times New Roman" w:cs="Times New Roman"/>
          <w:sz w:val="24"/>
        </w:rPr>
        <w:t xml:space="preserve">     Given the critical role of infrastructure in urban housing, it is essential to conduct a comparative analysis of these two estates to evaluate the strengths and weaknesses of their infrastructure facilities. This study aims to provide insights into the conditions and adequacy of the infrastructure in both estates, identify existing challenges, and propose recommendations for improvement. By addressing these issues, this research contributes to the broader goal of enhancing urban planning and housing development in Ilorin.</w:t>
      </w:r>
    </w:p>
    <w:p>
      <w:pPr>
        <w:spacing w:line="480" w:lineRule="auto"/>
        <w:rPr>
          <w:rFonts w:ascii="Times New Roman" w:hAnsi="Times New Roman" w:cs="Times New Roman"/>
          <w:sz w:val="24"/>
        </w:rPr>
      </w:pPr>
      <w:r>
        <w:rPr>
          <w:rFonts w:ascii="Times New Roman" w:hAnsi="Times New Roman" w:cs="Times New Roman"/>
          <w:sz w:val="24"/>
        </w:rPr>
        <w:t xml:space="preserve"> This introduction is tailored to set the stage for your study, providing relevant context, highlighting the research gap, and specifying the study’s objectives. Kwara State Government. (2017). Kwara State Development Plan 2017-2030. Muller, M. (2004). Housing and Urban Development in Nigeria. Journal of Housing and the Built Environment, 19(2), 147-164. Despite their importance, many housing estates in Ilorin, including Adewole Housing Estate and Harmony Estate, face challenges related to the provision and maintenance of infrastructure facilities.</w:t>
      </w:r>
    </w:p>
    <w:p>
      <w:pPr>
        <w:spacing w:line="480" w:lineRule="auto"/>
        <w:rPr>
          <w:rFonts w:ascii="Times New Roman" w:hAnsi="Times New Roman" w:cs="Times New Roman"/>
          <w:sz w:val="24"/>
        </w:rPr>
      </w:pPr>
      <w:r>
        <w:rPr>
          <w:rFonts w:ascii="Times New Roman" w:hAnsi="Times New Roman" w:cs="Times New Roman"/>
          <w:sz w:val="24"/>
        </w:rPr>
        <w:t xml:space="preserve"> Ilorin, the capital of Kwara State in North-Central Nigeria, has experienced significant urban expansion in recent decades. This urban growth is driven by population increases, migration, and economic activities, leading to a surge in housing demand (Kwara State Government, 2017). In response, several public and private housing estates have been developed to address the need for affordable and sustainable housing. Both estates face challenges typical of many Nigerian housing developments, such as poor road networks, unreliable electricity, insufficient water supply, and inadequate waste management systems. These issues not only hinder the functionality of the estates but also affect the residents’ satisfaction and overall quality of life (Adebayo, 2012). Comparing the infrastructure facilities of Adewole Housing Estate and Harmony Estate is critical to identifying the strengths, weaknesses, and opportunities for improvement in both contexts.</w:t>
      </w:r>
    </w:p>
    <w:p>
      <w:pPr>
        <w:spacing w:line="480" w:lineRule="auto"/>
        <w:rPr>
          <w:rFonts w:ascii="Times New Roman" w:hAnsi="Times New Roman" w:cs="Times New Roman"/>
          <w:sz w:val="24"/>
        </w:rPr>
      </w:pPr>
      <w:r>
        <w:rPr>
          <w:rFonts w:ascii="Times New Roman" w:hAnsi="Times New Roman" w:cs="Times New Roman"/>
          <w:b/>
          <w:bCs/>
          <w:sz w:val="24"/>
        </w:rPr>
        <w:t xml:space="preserve">1.1 Statement of the problem </w:t>
      </w:r>
    </w:p>
    <w:p>
      <w:pPr>
        <w:spacing w:line="480" w:lineRule="auto"/>
        <w:rPr>
          <w:rFonts w:ascii="Times New Roman" w:hAnsi="Times New Roman" w:cs="Times New Roman"/>
          <w:sz w:val="24"/>
        </w:rPr>
      </w:pPr>
      <w:r>
        <w:rPr>
          <w:rFonts w:ascii="Times New Roman" w:hAnsi="Times New Roman" w:cs="Times New Roman"/>
          <w:sz w:val="24"/>
        </w:rPr>
        <w:t>Estate Infrastructural refers to the essential physical and organizational facilities and system within a housing estate that enable its effective functioning and improve the quality of life for resident. These includes basic physical facilities, social and community facilities, environmental management system, economic infrastructure.</w:t>
      </w:r>
    </w:p>
    <w:p>
      <w:pPr>
        <w:spacing w:line="480" w:lineRule="auto"/>
        <w:rPr>
          <w:rFonts w:ascii="Times New Roman" w:hAnsi="Times New Roman" w:cs="Times New Roman"/>
          <w:sz w:val="24"/>
        </w:rPr>
      </w:pPr>
      <w:r>
        <w:rPr>
          <w:rFonts w:ascii="Times New Roman" w:hAnsi="Times New Roman" w:cs="Times New Roman"/>
          <w:sz w:val="24"/>
        </w:rPr>
        <w:t>In these context of Adewole Housing estate and Harmony estate ,Ilorin ,estate infrastructure is critical to the resident’s well being and the estates overall functionality. The research problem may focus on identifying gaps, inefficiencies ,or inadequacies in the provision, maintenance, or accessibility of these infrastructural components and their impact on resident’s quality of life and satisfaction.</w:t>
      </w:r>
    </w:p>
    <w:p>
      <w:pPr>
        <w:spacing w:line="480" w:lineRule="auto"/>
        <w:rPr>
          <w:rFonts w:ascii="Times New Roman" w:hAnsi="Times New Roman" w:cs="Times New Roman"/>
          <w:sz w:val="24"/>
        </w:rPr>
      </w:pPr>
      <w:r>
        <w:rPr>
          <w:rFonts w:ascii="Times New Roman" w:hAnsi="Times New Roman" w:cs="Times New Roman"/>
          <w:sz w:val="24"/>
        </w:rPr>
        <w:t>Here are some potential authors that have contribute and made their research on these particular topic and here are their recommendations:</w:t>
      </w:r>
    </w:p>
    <w:p>
      <w:pPr>
        <w:spacing w:line="480" w:lineRule="auto"/>
        <w:rPr>
          <w:rFonts w:ascii="Times New Roman" w:hAnsi="Times New Roman" w:cs="Times New Roman"/>
          <w:sz w:val="24"/>
        </w:rPr>
      </w:pPr>
      <w:r>
        <w:rPr>
          <w:rFonts w:ascii="Times New Roman" w:hAnsi="Times New Roman" w:cs="Times New Roman"/>
          <w:sz w:val="24"/>
        </w:rPr>
        <w:t xml:space="preserve"> Adewale S.A. (2020) : Emphasized on equitable access to basic infrastructure, with suggestion for improve water systems and road maintenance. Mohammed T. O:(2018): Advocate for updated policies to support sustainable urban growth and equitable infrastructure distribution. Ogundele O.k.(2019): proposed public private partnership and strategic government intervention for bridging infrastructure gaps. E-project Guides (2022): advocate for redesigning recreational spaces ,improving maintenance , and promoting resident participation. Educational consults(2022): focused on the functionality of recreational facilities, suggesting better management and integration into urban planning.</w:t>
      </w:r>
    </w:p>
    <w:p>
      <w:pPr>
        <w:spacing w:line="480" w:lineRule="auto"/>
        <w:rPr>
          <w:rFonts w:ascii="Times New Roman" w:hAnsi="Times New Roman" w:cs="Times New Roman"/>
          <w:sz w:val="24"/>
        </w:rPr>
      </w:pPr>
      <w:r>
        <w:rPr>
          <w:rFonts w:ascii="Times New Roman" w:hAnsi="Times New Roman" w:cs="Times New Roman"/>
          <w:sz w:val="24"/>
        </w:rPr>
        <w:t xml:space="preserve">  Despite their findings on Adewole and Harmony estate Ilorin. They were unable to compare the infrastructural availability at residential neighborhood level. By conducting a comparative analysis of these estates, this study aims to address a gap in the existing literature, where little attention has been paid to the comparative evaluation of housing infrastructural availability at residential neighborhood level in. The findings will provide valuable insights for urban planners, policymakers, and housing developers in improving the infrastructure of existing and future housing estates in Kwara State and beyond.</w:t>
      </w:r>
    </w:p>
    <w:p>
      <w:pPr>
        <w:spacing w:line="480" w:lineRule="auto"/>
        <w:rPr>
          <w:rFonts w:ascii="Times New Roman" w:hAnsi="Times New Roman" w:cs="Times New Roman"/>
          <w:b/>
          <w:bCs/>
          <w:sz w:val="24"/>
        </w:rPr>
      </w:pPr>
      <w:r>
        <w:rPr>
          <w:rFonts w:ascii="Times New Roman" w:hAnsi="Times New Roman" w:cs="Times New Roman"/>
          <w:b/>
          <w:bCs/>
          <w:sz w:val="24"/>
        </w:rPr>
        <w:t>1.2 Research question</w:t>
      </w:r>
    </w:p>
    <w:p>
      <w:pPr>
        <w:spacing w:line="480" w:lineRule="auto"/>
        <w:rPr>
          <w:rFonts w:ascii="Times New Roman" w:hAnsi="Times New Roman" w:cs="Times New Roman"/>
          <w:b/>
          <w:bCs/>
          <w:sz w:val="24"/>
        </w:rPr>
      </w:pPr>
      <w:r>
        <w:rPr>
          <w:rFonts w:ascii="Times New Roman" w:hAnsi="Times New Roman" w:cs="Times New Roman"/>
          <w:sz w:val="24"/>
        </w:rPr>
        <w:t>The study seeks to answer the following questions.</w:t>
      </w:r>
    </w:p>
    <w:p>
      <w:pPr>
        <w:spacing w:line="480" w:lineRule="auto"/>
        <w:rPr>
          <w:rFonts w:ascii="Times New Roman" w:hAnsi="Times New Roman" w:cs="Times New Roman"/>
          <w:sz w:val="24"/>
        </w:rPr>
      </w:pPr>
      <w:r>
        <w:rPr>
          <w:rFonts w:ascii="Times New Roman" w:hAnsi="Times New Roman" w:cs="Times New Roman"/>
          <w:sz w:val="24"/>
        </w:rPr>
        <w:t>1. What infrastructural facilities available in Adewole Housing estate and Harmony estate?</w:t>
      </w:r>
    </w:p>
    <w:p>
      <w:pPr>
        <w:spacing w:line="480" w:lineRule="auto"/>
        <w:rPr>
          <w:rFonts w:ascii="Times New Roman" w:hAnsi="Times New Roman" w:cs="Times New Roman"/>
          <w:sz w:val="24"/>
        </w:rPr>
      </w:pPr>
      <w:r>
        <w:rPr>
          <w:rFonts w:ascii="Times New Roman" w:hAnsi="Times New Roman" w:cs="Times New Roman"/>
          <w:sz w:val="24"/>
        </w:rPr>
        <w:t>2. What is the condition and functionality of these facilities in both estate?</w:t>
      </w:r>
    </w:p>
    <w:p>
      <w:pPr>
        <w:spacing w:line="480" w:lineRule="auto"/>
        <w:rPr>
          <w:rFonts w:ascii="Times New Roman" w:hAnsi="Times New Roman" w:cs="Times New Roman"/>
          <w:sz w:val="24"/>
        </w:rPr>
      </w:pPr>
      <w:r>
        <w:rPr>
          <w:rFonts w:ascii="Times New Roman" w:hAnsi="Times New Roman" w:cs="Times New Roman"/>
          <w:sz w:val="24"/>
        </w:rPr>
        <w:t>3. What are the impacts of infrastructural facilities to the quality life ?</w:t>
      </w:r>
    </w:p>
    <w:p>
      <w:pPr>
        <w:spacing w:line="480" w:lineRule="auto"/>
        <w:rPr>
          <w:rFonts w:ascii="Times New Roman" w:hAnsi="Times New Roman" w:cs="Times New Roman"/>
          <w:sz w:val="24"/>
        </w:rPr>
      </w:pPr>
      <w:r>
        <w:rPr>
          <w:rFonts w:ascii="Times New Roman" w:hAnsi="Times New Roman" w:cs="Times New Roman"/>
          <w:sz w:val="24"/>
        </w:rPr>
        <w:t>4. What are the possible improvement needed for sustainable infrastructure in the two estates.</w:t>
      </w:r>
    </w:p>
    <w:p>
      <w:pPr>
        <w:spacing w:line="480" w:lineRule="auto"/>
        <w:rPr>
          <w:rFonts w:ascii="Times New Roman" w:hAnsi="Times New Roman" w:cs="Times New Roman"/>
          <w:sz w:val="24"/>
        </w:rPr>
      </w:pPr>
      <w:r>
        <w:rPr>
          <w:rFonts w:ascii="Times New Roman" w:hAnsi="Times New Roman" w:cs="Times New Roman"/>
          <w:b/>
          <w:bCs/>
          <w:sz w:val="24"/>
        </w:rPr>
        <w:t xml:space="preserve"> 1.3 Aim</w:t>
      </w:r>
    </w:p>
    <w:p>
      <w:pPr>
        <w:spacing w:line="480" w:lineRule="auto"/>
        <w:rPr>
          <w:rFonts w:ascii="Times New Roman" w:hAnsi="Times New Roman" w:cs="Times New Roman"/>
          <w:sz w:val="24"/>
        </w:rPr>
      </w:pPr>
      <w:r>
        <w:rPr>
          <w:rFonts w:ascii="Times New Roman" w:hAnsi="Times New Roman" w:cs="Times New Roman"/>
          <w:sz w:val="24"/>
        </w:rPr>
        <w:t>The aim of this study is to conduct a comparative analysis of the infrastructure facilities at Adewole and Harmony Estate in Ilorin, Kwara State. With a view to improve the quality life in the estate.</w:t>
      </w:r>
    </w:p>
    <w:p>
      <w:pPr>
        <w:spacing w:line="480" w:lineRule="auto"/>
        <w:rPr>
          <w:rFonts w:ascii="Times New Roman" w:hAnsi="Times New Roman" w:cs="Times New Roman"/>
          <w:sz w:val="24"/>
        </w:rPr>
      </w:pPr>
      <w:r>
        <w:rPr>
          <w:rFonts w:ascii="Times New Roman" w:hAnsi="Times New Roman" w:cs="Times New Roman"/>
          <w:b/>
          <w:bCs/>
          <w:sz w:val="24"/>
        </w:rPr>
        <w:t>1.4 Objectives</w:t>
      </w:r>
    </w:p>
    <w:p>
      <w:pPr>
        <w:numPr>
          <w:ilvl w:val="0"/>
          <w:numId w:val="1"/>
        </w:numPr>
        <w:spacing w:line="480" w:lineRule="auto"/>
        <w:rPr>
          <w:rFonts w:ascii="Times New Roman" w:hAnsi="Times New Roman" w:cs="Times New Roman"/>
          <w:sz w:val="24"/>
        </w:rPr>
      </w:pPr>
      <w:r>
        <w:rPr>
          <w:rFonts w:ascii="Times New Roman" w:hAnsi="Times New Roman" w:cs="Times New Roman"/>
          <w:sz w:val="24"/>
        </w:rPr>
        <w:t>To examine the socio economic characteristics of the resident in the study areas.</w:t>
      </w:r>
    </w:p>
    <w:p>
      <w:pPr>
        <w:numPr>
          <w:ilvl w:val="0"/>
          <w:numId w:val="1"/>
        </w:numPr>
        <w:spacing w:line="480" w:lineRule="auto"/>
        <w:rPr>
          <w:rFonts w:ascii="Times New Roman" w:hAnsi="Times New Roman" w:cs="Times New Roman"/>
          <w:sz w:val="24"/>
        </w:rPr>
      </w:pPr>
      <w:r>
        <w:rPr>
          <w:rFonts w:ascii="Times New Roman" w:hAnsi="Times New Roman" w:cs="Times New Roman"/>
          <w:sz w:val="24"/>
        </w:rPr>
        <w:t>To Identify the existing infrastructural facilities in both estates.</w:t>
      </w:r>
    </w:p>
    <w:p>
      <w:pPr>
        <w:spacing w:line="480" w:lineRule="auto"/>
        <w:rPr>
          <w:rFonts w:ascii="Times New Roman" w:hAnsi="Times New Roman" w:cs="Times New Roman"/>
          <w:sz w:val="24"/>
        </w:rPr>
      </w:pPr>
      <w:r>
        <w:rPr>
          <w:rFonts w:ascii="Times New Roman" w:hAnsi="Times New Roman" w:cs="Times New Roman"/>
          <w:sz w:val="24"/>
        </w:rPr>
        <w:t>3. To examine the functionality of the existing infrastructural facilities in both Estates</w:t>
      </w:r>
    </w:p>
    <w:p>
      <w:pPr>
        <w:spacing w:line="480" w:lineRule="auto"/>
        <w:rPr>
          <w:rFonts w:ascii="Times New Roman" w:hAnsi="Times New Roman" w:cs="Times New Roman"/>
          <w:sz w:val="24"/>
        </w:rPr>
      </w:pPr>
      <w:r>
        <w:rPr>
          <w:rFonts w:ascii="Times New Roman" w:hAnsi="Times New Roman" w:cs="Times New Roman"/>
          <w:sz w:val="24"/>
        </w:rPr>
        <w:t>4.To access the impact of infrastructural facilities to the quality of life of the residents.</w:t>
      </w:r>
    </w:p>
    <w:p>
      <w:pPr>
        <w:spacing w:line="480" w:lineRule="auto"/>
        <w:rPr>
          <w:rFonts w:ascii="Times New Roman" w:hAnsi="Times New Roman" w:cs="Times New Roman"/>
          <w:sz w:val="24"/>
        </w:rPr>
      </w:pPr>
      <w:r>
        <w:rPr>
          <w:rFonts w:ascii="Times New Roman" w:hAnsi="Times New Roman" w:cs="Times New Roman"/>
          <w:sz w:val="24"/>
        </w:rPr>
        <w:t>5. To make recommendation for improving the infrastructural facilities at Adewole and Harmony Housing estates.</w:t>
      </w:r>
    </w:p>
    <w:p>
      <w:pPr>
        <w:spacing w:line="480" w:lineRule="auto"/>
        <w:rPr>
          <w:rFonts w:ascii="Times New Roman" w:hAnsi="Times New Roman" w:cs="Times New Roman"/>
          <w:sz w:val="24"/>
        </w:rPr>
      </w:pPr>
      <w:r>
        <w:rPr>
          <w:rFonts w:ascii="Times New Roman" w:hAnsi="Times New Roman" w:cs="Times New Roman"/>
          <w:b/>
          <w:bCs/>
          <w:sz w:val="24"/>
        </w:rPr>
        <w:t>1.5 Scope of the study</w:t>
      </w:r>
    </w:p>
    <w:p>
      <w:pPr>
        <w:spacing w:line="480" w:lineRule="auto"/>
        <w:rPr>
          <w:rFonts w:ascii="Times New Roman" w:hAnsi="Times New Roman" w:cs="Times New Roman"/>
          <w:sz w:val="24"/>
        </w:rPr>
      </w:pPr>
      <w:r>
        <w:rPr>
          <w:rFonts w:ascii="Times New Roman" w:hAnsi="Times New Roman" w:cs="Times New Roman"/>
          <w:sz w:val="24"/>
        </w:rPr>
        <w:t>This study focuses on the comparative analysis of infrastructure facilities at Adewole Housing Estate and Harmony Estate in Ilorin, Kwara State. The scope is limited to the key infrastructural components such as road, water supply, electricity, security, waste management, and recreational facilities. The study does not cover other aspect of urban development such as economic activities or social dynamics, beyond their relationship with infrastructure.</w:t>
      </w:r>
    </w:p>
    <w:p>
      <w:pPr>
        <w:spacing w:line="480" w:lineRule="auto"/>
        <w:rPr>
          <w:rFonts w:ascii="Times New Roman" w:hAnsi="Times New Roman" w:cs="Times New Roman"/>
          <w:sz w:val="24"/>
        </w:rPr>
      </w:pPr>
      <w:r>
        <w:rPr>
          <w:rFonts w:ascii="Times New Roman" w:hAnsi="Times New Roman" w:cs="Times New Roman"/>
          <w:b/>
          <w:bCs/>
          <w:sz w:val="24"/>
        </w:rPr>
        <w:t>1.6 Justification of the Study</w:t>
      </w:r>
    </w:p>
    <w:p>
      <w:pPr>
        <w:spacing w:line="480" w:lineRule="auto"/>
        <w:rPr>
          <w:rFonts w:ascii="Times New Roman" w:hAnsi="Times New Roman" w:cs="Times New Roman"/>
          <w:sz w:val="24"/>
        </w:rPr>
      </w:pPr>
      <w:r>
        <w:rPr>
          <w:rFonts w:ascii="Times New Roman" w:hAnsi="Times New Roman" w:cs="Times New Roman"/>
          <w:sz w:val="24"/>
        </w:rPr>
        <w:t>This study is significant for several reasons. Firstly , it will provides insight into the state of infrastructure in Ilorin, contributing to the broader discourse on urban development in Nigeria. Secondly, the findings will be beneficial to policy makers, urban planners, and estate developers in identifying best practices and addressing infrastructural challenges. Lastly, the study will serve as a reference for future research on comparative urban studies.</w:t>
      </w:r>
    </w:p>
    <w:p>
      <w:pPr>
        <w:spacing w:line="480" w:lineRule="auto"/>
        <w:rPr>
          <w:rFonts w:ascii="Times New Roman" w:hAnsi="Times New Roman" w:cs="Times New Roman"/>
          <w:sz w:val="24"/>
        </w:rPr>
      </w:pPr>
      <w:r>
        <w:rPr>
          <w:rFonts w:ascii="Times New Roman" w:hAnsi="Times New Roman" w:cs="Times New Roman"/>
          <w:b/>
          <w:bCs/>
          <w:sz w:val="24"/>
        </w:rPr>
        <w:t>1.7 Significance of the Study</w:t>
      </w:r>
    </w:p>
    <w:p>
      <w:pPr>
        <w:spacing w:line="480" w:lineRule="auto"/>
        <w:rPr>
          <w:rFonts w:ascii="Times New Roman" w:hAnsi="Times New Roman" w:cs="Times New Roman"/>
          <w:sz w:val="24"/>
        </w:rPr>
      </w:pPr>
      <w:r>
        <w:rPr>
          <w:rFonts w:ascii="Times New Roman" w:hAnsi="Times New Roman" w:cs="Times New Roman"/>
          <w:sz w:val="24"/>
        </w:rPr>
        <w:t>This study will provide valuable information on the infrastructure facilities at Adewole Housing Estate and Harmony Estate, which can be used to inform policy decisions and development initiatives aimed at improving the quality of life and the overall sustainability of housing estates.</w:t>
      </w: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r>
        <w:rPr>
          <w:rFonts w:ascii="Times New Roman" w:hAnsi="Times New Roman" w:cs="Times New Roman"/>
          <w:b/>
          <w:bCs/>
          <w:sz w:val="24"/>
        </w:rPr>
        <w:t>1.8 The Study Area</w:t>
      </w:r>
    </w:p>
    <w:p>
      <w:pPr>
        <w:spacing w:line="480" w:lineRule="auto"/>
        <w:rPr>
          <w:rFonts w:ascii="Times New Roman" w:hAnsi="Times New Roman" w:cs="Times New Roman"/>
          <w:sz w:val="24"/>
        </w:rPr>
      </w:pPr>
      <w:r>
        <w:rPr>
          <w:rFonts w:ascii="Times New Roman" w:hAnsi="Times New Roman" w:cs="Times New Roman"/>
          <w:sz w:val="24"/>
        </w:rPr>
        <w:t>The study area for this research is Adewole Housing Estate and Harmony Estate, both located in Ilorin, Kwara State, Nigeria.</w:t>
      </w:r>
    </w:p>
    <w:p>
      <w:pPr>
        <w:spacing w:line="480" w:lineRule="auto"/>
        <w:rPr>
          <w:rFonts w:ascii="Times New Roman" w:hAnsi="Times New Roman" w:cs="Times New Roman"/>
          <w:sz w:val="24"/>
        </w:rPr>
      </w:pPr>
      <w:r>
        <w:rPr>
          <w:rFonts w:ascii="Times New Roman" w:hAnsi="Times New Roman" w:cs="Times New Roman"/>
          <w:sz w:val="24"/>
        </w:rPr>
        <w:t>Ilorin is the capital city of Kwara State, located in the North-Central geopolitical zone of Nigeria. It is situated approximately 330 kilometers southwest of Abuja, the federal capital territory.</w:t>
      </w:r>
    </w:p>
    <w:p>
      <w:pPr>
        <w:spacing w:line="480" w:lineRule="auto"/>
        <w:rPr>
          <w:rFonts w:ascii="Times New Roman" w:hAnsi="Times New Roman" w:cs="Times New Roman"/>
          <w:b/>
          <w:bCs/>
          <w:sz w:val="24"/>
        </w:rPr>
      </w:pPr>
      <w:r>
        <w:rPr>
          <w:rFonts w:ascii="Times New Roman" w:hAnsi="Times New Roman" w:cs="Times New Roman"/>
          <w:sz w:val="24"/>
        </w:rPr>
        <w:t>Adewole Housing Estate, established in the early 1990s, is one of the oldest planned housing estates in Ilorin. The estate is characterized by its structured layout and a mix of residential, commercial, and recreational land uses. However, over the years, the estate has faced challenges such as aging infrastructure, inadequate maintenance, and insufficient expansion to accommodate population growth. On the other hand, Harmony Estate, a relatively newer development established in the 2000s, was planned to address some of these deficiencies, incorporating modern infrastructure and design. Despite these intentions, it has also struggled with infrastructural shortcomings due to rapid urbanization and limited resource.</w:t>
      </w:r>
    </w:p>
    <w:p>
      <w:pPr>
        <w:spacing w:line="480" w:lineRule="auto"/>
        <w:rPr>
          <w:rFonts w:ascii="Times New Roman" w:hAnsi="Times New Roman" w:cs="Times New Roman"/>
          <w:sz w:val="24"/>
        </w:rPr>
      </w:pPr>
      <w:r>
        <w:rPr>
          <w:rFonts w:ascii="Times New Roman" w:hAnsi="Times New Roman" w:cs="Times New Roman"/>
          <w:b/>
          <w:bCs/>
          <w:sz w:val="24"/>
        </w:rPr>
        <w:t xml:space="preserve"> Adewole Housing Estate</w:t>
      </w:r>
    </w:p>
    <w:p>
      <w:pPr>
        <w:spacing w:line="480" w:lineRule="auto"/>
        <w:rPr>
          <w:rFonts w:ascii="Times New Roman" w:hAnsi="Times New Roman" w:cs="Times New Roman"/>
          <w:sz w:val="24"/>
        </w:rPr>
      </w:pPr>
      <w:r>
        <w:rPr>
          <w:rFonts w:ascii="Times New Roman" w:hAnsi="Times New Roman" w:cs="Times New Roman"/>
          <w:sz w:val="24"/>
        </w:rPr>
        <w:t>Adewole Housing Estate is located along Adewole Road, Ilorin. The estate covers an area of approximately 10 hectares and comprises 200 residential buildings.</w:t>
      </w:r>
    </w:p>
    <w:p>
      <w:pPr>
        <w:spacing w:line="480" w:lineRule="auto"/>
        <w:rPr>
          <w:rFonts w:ascii="Times New Roman" w:hAnsi="Times New Roman" w:cs="Times New Roman"/>
          <w:sz w:val="24"/>
        </w:rPr>
      </w:pPr>
      <w:r>
        <w:rPr>
          <w:rFonts w:ascii="Times New Roman" w:hAnsi="Times New Roman" w:cs="Times New Roman"/>
          <w:b/>
          <w:bCs/>
          <w:sz w:val="24"/>
        </w:rPr>
        <w:t>Harmony Estate</w:t>
      </w:r>
    </w:p>
    <w:p>
      <w:pPr>
        <w:spacing w:line="480" w:lineRule="auto"/>
        <w:rPr>
          <w:rFonts w:ascii="Times New Roman" w:hAnsi="Times New Roman" w:cs="Times New Roman"/>
          <w:sz w:val="24"/>
        </w:rPr>
      </w:pPr>
      <w:r>
        <w:rPr>
          <w:rFonts w:ascii="Times New Roman" w:hAnsi="Times New Roman" w:cs="Times New Roman"/>
          <w:sz w:val="24"/>
        </w:rPr>
        <w:t>Harmony Estate is located along Harmony Road, Ilorin. The estate covers an area of approximately 15 hectares and comprises 300 residential buildings.</w:t>
      </w:r>
    </w:p>
    <w:p>
      <w:pPr>
        <w:spacing w:line="480" w:lineRule="auto"/>
        <w:rPr>
          <w:rFonts w:ascii="Times New Roman" w:hAnsi="Times New Roman" w:cs="Times New Roman"/>
          <w:b/>
          <w:bCs/>
          <w:sz w:val="24"/>
        </w:rPr>
      </w:pPr>
      <w:r>
        <w:rPr>
          <w:rFonts w:ascii="Times New Roman" w:hAnsi="Times New Roman" w:cs="Times New Roman"/>
          <w:b/>
          <w:bCs/>
          <w:sz w:val="24"/>
        </w:rPr>
        <w:t>Geographic Location</w:t>
      </w:r>
    </w:p>
    <w:p>
      <w:pPr>
        <w:spacing w:line="480" w:lineRule="auto"/>
        <w:rPr>
          <w:rFonts w:ascii="Times New Roman" w:hAnsi="Times New Roman" w:cs="Times New Roman"/>
          <w:sz w:val="24"/>
        </w:rPr>
      </w:pPr>
      <w:r>
        <w:rPr>
          <w:rFonts w:ascii="Times New Roman" w:hAnsi="Times New Roman" w:cs="Times New Roman"/>
          <w:sz w:val="24"/>
        </w:rPr>
        <w:t xml:space="preserve"> For research, they are used to pinpoint the exact position of study areas (such as Adewole and Harmony Estates) for mapping, spatial analysis, and environmental assessment.</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Adewole Housing Estate is lo.cated approximately at:Latitude: 8.5070° N, Longitude: 4.5384° E</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Harmony Estate is located approximately at:</w:t>
      </w:r>
    </w:p>
    <w:p>
      <w:pPr>
        <w:spacing w:line="480" w:lineRule="auto"/>
        <w:rPr>
          <w:rFonts w:ascii="Times New Roman" w:hAnsi="Times New Roman" w:cs="Times New Roman"/>
          <w:sz w:val="24"/>
        </w:rPr>
      </w:pPr>
      <w:r>
        <w:rPr>
          <w:rFonts w:ascii="Times New Roman" w:hAnsi="Times New Roman" w:cs="Times New Roman"/>
          <w:sz w:val="24"/>
        </w:rPr>
        <w:t>Latitude: 8.4681° N, Longitude: 4.5515° E</w:t>
      </w:r>
    </w:p>
    <w:p>
      <w:pPr>
        <w:spacing w:line="480" w:lineRule="auto"/>
        <w:rPr>
          <w:rFonts w:ascii="Times New Roman" w:hAnsi="Times New Roman" w:cs="Times New Roman"/>
          <w:sz w:val="24"/>
        </w:rPr>
      </w:pPr>
      <w:r>
        <w:rPr>
          <w:rFonts w:ascii="Times New Roman" w:hAnsi="Times New Roman" w:cs="Times New Roman"/>
          <w:sz w:val="24"/>
        </w:rPr>
        <w:t>Adewole Housing Estate and Harmony Estate are located within Ilorin West Local Government Area. They are accessible via major roads and serve as residential centers for civil servants, business owners, and professionals.</w:t>
      </w:r>
    </w:p>
    <w:p>
      <w:pPr>
        <w:spacing w:line="480" w:lineRule="auto"/>
        <w:rPr>
          <w:rFonts w:ascii="Times New Roman" w:hAnsi="Times New Roman" w:cs="Times New Roman"/>
          <w:sz w:val="24"/>
        </w:rPr>
      </w:pPr>
    </w:p>
    <w:p>
      <w:pPr>
        <w:spacing w:line="480" w:lineRule="auto"/>
        <w:rPr>
          <w:rFonts w:ascii="Times New Roman" w:hAnsi="Times New Roman" w:cs="Times New Roman"/>
          <w:b/>
          <w:bCs/>
          <w:sz w:val="24"/>
        </w:rPr>
      </w:pPr>
      <w:r>
        <w:rPr>
          <w:rFonts w:ascii="Times New Roman" w:hAnsi="Times New Roman" w:cs="Times New Roman"/>
          <w:sz w:val="24"/>
        </w:rPr>
        <w:t xml:space="preserve"> </w:t>
      </w:r>
      <w:r>
        <w:rPr>
          <w:rFonts w:ascii="Times New Roman" w:hAnsi="Times New Roman" w:cs="Times New Roman"/>
          <w:b/>
          <w:bCs/>
          <w:sz w:val="24"/>
        </w:rPr>
        <w:t>Climate</w:t>
      </w:r>
    </w:p>
    <w:p>
      <w:pPr>
        <w:spacing w:line="480" w:lineRule="auto"/>
        <w:rPr>
          <w:rFonts w:ascii="Times New Roman" w:hAnsi="Times New Roman" w:cs="Times New Roman"/>
          <w:sz w:val="24"/>
        </w:rPr>
      </w:pPr>
      <w:r>
        <w:rPr>
          <w:rFonts w:ascii="Times New Roman" w:hAnsi="Times New Roman" w:cs="Times New Roman"/>
          <w:sz w:val="24"/>
        </w:rPr>
        <w:t>Climate is the average weather conditions (temperature, humidity, rainfall, wind, etc.) in a particular area over a long period of time. It determines the types of infrastructure needed, such as drainage systems to manage rainfall or building materials that resist heat and moisture. The climate of Ilorin, where both estates are located, is classified as tropical wet and dry (Aw) under the Köppen climate classification. The region experiences two major seasons: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Rainy season (April–October)</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Dry season (November–March)</w:t>
      </w:r>
    </w:p>
    <w:p>
      <w:pPr>
        <w:spacing w:line="480" w:lineRule="auto"/>
        <w:rPr>
          <w:rFonts w:ascii="Times New Roman" w:hAnsi="Times New Roman" w:cs="Times New Roman"/>
          <w:b/>
          <w:bCs/>
          <w:sz w:val="24"/>
        </w:rPr>
      </w:pPr>
      <w:r>
        <w:rPr>
          <w:rFonts w:ascii="Times New Roman" w:hAnsi="Times New Roman" w:cs="Times New Roman"/>
          <w:sz w:val="24"/>
        </w:rPr>
        <w:t>This climate influences drainage d.esign, housing orientation, and infrastructure resilience.</w:t>
      </w:r>
    </w:p>
    <w:p>
      <w:pPr>
        <w:spacing w:line="480" w:lineRule="auto"/>
        <w:rPr>
          <w:rFonts w:ascii="Times New Roman" w:hAnsi="Times New Roman" w:cs="Times New Roman"/>
          <w:sz w:val="24"/>
        </w:rPr>
      </w:pPr>
      <w:r>
        <w:rPr>
          <w:rFonts w:ascii="Times New Roman" w:hAnsi="Times New Roman" w:cs="Times New Roman"/>
          <w:sz w:val="24"/>
        </w:rPr>
        <w:t>Ilorin experiences a Tropical Savanna Climate (Aw) with:</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Rainy Season: April to October</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Dry Season: November to March (Harmattan in Dec–Feb)</w:t>
      </w: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r>
        <w:rPr>
          <w:rFonts w:ascii="Times New Roman" w:hAnsi="Times New Roman" w:cs="Times New Roman"/>
          <w:b/>
          <w:bCs/>
          <w:sz w:val="24"/>
        </w:rPr>
        <w:t>Temperature</w:t>
      </w:r>
    </w:p>
    <w:p>
      <w:pPr>
        <w:spacing w:line="480" w:lineRule="auto"/>
        <w:rPr>
          <w:rFonts w:ascii="Times New Roman" w:hAnsi="Times New Roman" w:cs="Times New Roman"/>
          <w:b/>
          <w:bCs/>
          <w:sz w:val="24"/>
        </w:rPr>
      </w:pPr>
      <w:r>
        <w:rPr>
          <w:rFonts w:ascii="Times New Roman" w:hAnsi="Times New Roman" w:cs="Times New Roman"/>
          <w:sz w:val="24"/>
        </w:rPr>
        <w:t xml:space="preserve">In Adewole and Harmony Estates, average daily temperatures typically range from 23°C to 35°C throughout the year. These temperature levels influence building materials, ventilation systems, and residents energy consumption for cooling </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Annual Average Temperature: 27°C to 34°C</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Peak Temperatures: Up to 38°C (March/April)</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Coolest Period: 25°C–27°C (July–September)</w:t>
      </w:r>
    </w:p>
    <w:p>
      <w:pPr>
        <w:spacing w:line="480" w:lineRule="auto"/>
        <w:rPr>
          <w:rFonts w:ascii="Times New Roman" w:hAnsi="Times New Roman" w:cs="Times New Roman"/>
          <w:sz w:val="24"/>
        </w:rPr>
      </w:pPr>
      <w:r>
        <w:rPr>
          <w:rFonts w:ascii="Times New Roman" w:hAnsi="Times New Roman" w:cs="Times New Roman"/>
          <w:b/>
          <w:bCs/>
          <w:sz w:val="24"/>
        </w:rPr>
        <w:t xml:space="preserve"> Humidity</w:t>
      </w:r>
    </w:p>
    <w:p>
      <w:pPr>
        <w:spacing w:line="480" w:lineRule="auto"/>
        <w:rPr>
          <w:rFonts w:ascii="Times New Roman" w:hAnsi="Times New Roman" w:cs="Times New Roman"/>
          <w:sz w:val="24"/>
        </w:rPr>
      </w:pPr>
      <w:r>
        <w:rPr>
          <w:rFonts w:ascii="Times New Roman" w:hAnsi="Times New Roman" w:cs="Times New Roman"/>
          <w:sz w:val="24"/>
        </w:rPr>
        <w:t>Adewole Housing Estate Located in the central area of Ilorin, Adewole experiences moderate to high humidity levels throughout the year.</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Average Relative Humidity:</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Wet Season (April–October): 70% – 90%</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Dry Season (November–March): 40% – 60%</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Humidity is typically higher in the early morning and lower in the afternoon.</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High humidity during the wet season can affect building materials, indoor air quality, and the condition of roads and drainage systems.</w:t>
      </w:r>
    </w:p>
    <w:p>
      <w:pPr>
        <w:spacing w:line="480" w:lineRule="auto"/>
        <w:rPr>
          <w:rFonts w:ascii="Times New Roman" w:hAnsi="Times New Roman" w:cs="Times New Roman"/>
          <w:sz w:val="24"/>
        </w:rPr>
      </w:pPr>
      <w:r>
        <w:rPr>
          <w:rFonts w:ascii="Times New Roman" w:hAnsi="Times New Roman" w:cs="Times New Roman"/>
          <w:sz w:val="24"/>
        </w:rPr>
        <w:t xml:space="preserve"> Harmony Estate:</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Located on the outskirts of Ilorin, Harmony Estate has similar humidity patterns to Adewole due to their proximity.</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Average Relative Humidity:</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Wet Season: 75% – 95%</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Dry Season: 45% – 60%</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The estate’s more open landscape and greenery may cause slightly higher humidity retention during the rainy season.</w:t>
      </w:r>
    </w:p>
    <w:p>
      <w:pPr>
        <w:spacing w:line="480" w:lineRule="auto"/>
        <w:rPr>
          <w:rFonts w:ascii="Times New Roman" w:hAnsi="Times New Roman" w:cs="Times New Roman"/>
          <w:sz w:val="24"/>
        </w:rPr>
      </w:pPr>
      <w:r>
        <w:rPr>
          <w:rFonts w:ascii="Times New Roman" w:hAnsi="Times New Roman" w:cs="Times New Roman"/>
          <w:sz w:val="24"/>
        </w:rPr>
        <w:t>These climatic factors affect infrastructure durability and design needs, especially for roads, drainage, and water supply systems.</w:t>
      </w:r>
      <w:r>
        <w:rPr>
          <w:rFonts w:ascii="Times New Roman" w:hAnsi="Times New Roman" w:cs="Times New Roman"/>
          <w:color w:val="000000"/>
          <w:sz w:val="24"/>
        </w:rPr>
        <w:t> </w:t>
      </w: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val="0"/>
          <w:sz w:val="24"/>
          <w:szCs w:val="24"/>
        </w:rPr>
      </w:pPr>
    </w:p>
    <w:p>
      <w:pPr>
        <w:pStyle w:val="2"/>
        <w:spacing w:before="0" w:beforeAutospacing="0" w:after="0" w:afterAutospacing="0" w:line="480" w:lineRule="auto"/>
        <w:rPr>
          <w:rStyle w:val="10"/>
          <w:b w:val="0"/>
          <w:bCs/>
          <w:sz w:val="24"/>
          <w:szCs w:val="24"/>
        </w:rPr>
      </w:pPr>
      <w:r>
        <w:rPr>
          <w:rStyle w:val="10"/>
          <w:b w:val="0"/>
          <w:bCs w:val="0"/>
          <w:sz w:val="24"/>
          <w:szCs w:val="24"/>
        </w:rPr>
        <w:t>Figure 1.1:</w:t>
      </w:r>
      <w:r>
        <w:rPr>
          <w:rStyle w:val="10"/>
          <w:b w:val="0"/>
          <w:bCs w:val="0"/>
          <w:sz w:val="24"/>
          <w:szCs w:val="24"/>
        </w:rPr>
        <w:tab/>
      </w:r>
      <w:r>
        <w:rPr>
          <w:rStyle w:val="10"/>
          <w:b w:val="0"/>
          <w:bCs w:val="0"/>
          <w:sz w:val="24"/>
          <w:szCs w:val="24"/>
        </w:rPr>
        <w:t>Kwara State within the National Context</w:t>
      </w:r>
    </w:p>
    <w:p>
      <w:pPr>
        <w:pStyle w:val="2"/>
        <w:spacing w:before="0" w:beforeAutospacing="0" w:after="0" w:afterAutospacing="0" w:line="480" w:lineRule="auto"/>
        <w:rPr>
          <w:rStyle w:val="10"/>
          <w:b/>
          <w:bCs/>
          <w:sz w:val="24"/>
          <w:szCs w:val="24"/>
        </w:rPr>
      </w:pPr>
      <w:r>
        <w:rPr>
          <w:color w:val="000000"/>
          <w:sz w:val="24"/>
          <w:szCs w:val="24"/>
          <w:lang w:eastAsia="en-US"/>
        </w:rPr>
        <w:drawing>
          <wp:inline distT="0" distB="0" distL="114300" distR="114300">
            <wp:extent cx="5991225" cy="5410200"/>
            <wp:effectExtent l="0" t="0" r="1905"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6" r:link="rId7"/>
                    <a:stretch>
                      <a:fillRect/>
                    </a:stretch>
                  </pic:blipFill>
                  <pic:spPr>
                    <a:xfrm>
                      <a:off x="0" y="0"/>
                      <a:ext cx="5991225" cy="5410200"/>
                    </a:xfrm>
                    <a:prstGeom prst="rect">
                      <a:avLst/>
                    </a:prstGeom>
                    <a:noFill/>
                    <a:ln w="9525">
                      <a:noFill/>
                    </a:ln>
                  </pic:spPr>
                </pic:pic>
              </a:graphicData>
            </a:graphic>
          </wp:inline>
        </w:drawing>
      </w:r>
    </w:p>
    <w:p>
      <w:pPr>
        <w:pStyle w:val="7"/>
        <w:widowControl/>
        <w:spacing w:after="75" w:line="480" w:lineRule="auto"/>
        <w:rPr>
          <w:rFonts w:ascii="Times New Roman" w:hAnsi="Times New Roman" w:cs="Times New Roman"/>
          <w:color w:val="000000"/>
        </w:rPr>
      </w:pPr>
      <w:r>
        <w:rPr>
          <w:rStyle w:val="10"/>
          <w:rFonts w:ascii="Times New Roman" w:hAnsi="Times New Roman" w:cs="Times New Roman"/>
          <w:b w:val="0"/>
          <w:bCs w:val="0"/>
        </w:rPr>
        <w:t xml:space="preserve"> State Geographical Board, 2025</w:t>
      </w:r>
      <w:r>
        <w:rPr>
          <w:rFonts w:ascii="Times New Roman" w:hAnsi="Times New Roman" w:cs="Times New Roman"/>
          <w:bCs/>
          <w:color w:val="000000"/>
        </w:rPr>
        <w:t xml:space="preserve"> </w:t>
      </w:r>
    </w:p>
    <w:p>
      <w:pPr>
        <w:pStyle w:val="7"/>
        <w:widowControl/>
        <w:spacing w:after="75" w:line="480" w:lineRule="auto"/>
        <w:rPr>
          <w:rFonts w:ascii="Times New Roman" w:hAnsi="Times New Roman" w:cs="Times New Roman"/>
          <w:color w:val="000000"/>
        </w:rPr>
      </w:pPr>
      <w:r>
        <w:rPr>
          <w:rStyle w:val="10"/>
          <w:rFonts w:ascii="Times New Roman" w:hAnsi="Times New Roman" w:cs="Times New Roman"/>
          <w:b w:val="0"/>
          <w:bCs w:val="0"/>
        </w:rPr>
        <w:t>Source: Kwara State Geographical Information Source (KWAGIS)</w:t>
      </w:r>
    </w:p>
    <w:p>
      <w:pPr>
        <w:spacing w:line="480" w:lineRule="auto"/>
        <w:rPr>
          <w:rFonts w:ascii="Times New Roman" w:hAnsi="Times New Roman" w:cs="Times New Roman"/>
          <w:bCs/>
          <w:color w:val="000000"/>
          <w:sz w:val="24"/>
        </w:rPr>
      </w:pPr>
      <w:bookmarkStart w:id="0" w:name="_Hlk197959537"/>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r>
        <w:rPr>
          <w:rFonts w:ascii="Times New Roman" w:hAnsi="Times New Roman" w:cs="Times New Roman"/>
          <w:bCs/>
          <w:color w:val="000000"/>
          <w:sz w:val="24"/>
        </w:rPr>
        <w:t xml:space="preserve"> </w:t>
      </w:r>
      <w:r>
        <w:rPr>
          <w:rFonts w:ascii="Times New Roman" w:hAnsi="Times New Roman" w:cs="Times New Roman"/>
          <w:bCs/>
          <w:color w:val="000000"/>
          <w:sz w:val="24"/>
        </w:rPr>
        <w:t xml:space="preserve">Fig. 1.2: Map of </w:t>
      </w:r>
      <w:r>
        <w:rPr>
          <w:rFonts w:ascii="Times New Roman" w:hAnsi="Times New Roman" w:cs="Times New Roman"/>
          <w:bCs/>
          <w:color w:val="000000"/>
          <w:sz w:val="24"/>
        </w:rPr>
        <w:t>Kwara</w:t>
      </w:r>
      <w:r>
        <w:rPr>
          <w:rFonts w:ascii="Times New Roman" w:hAnsi="Times New Roman" w:cs="Times New Roman"/>
          <w:bCs/>
          <w:color w:val="000000"/>
          <w:sz w:val="24"/>
        </w:rPr>
        <w:t xml:space="preserve"> showing </w:t>
      </w:r>
      <w:bookmarkEnd w:id="0"/>
      <w:r>
        <w:rPr>
          <w:rFonts w:ascii="Times New Roman" w:hAnsi="Times New Roman" w:cs="Times New Roman"/>
          <w:bCs/>
          <w:color w:val="000000"/>
          <w:sz w:val="24"/>
        </w:rPr>
        <w:t>Ilorin East local government Area.</w:t>
      </w:r>
    </w:p>
    <w:p>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889500" cy="2781300"/>
            <wp:effectExtent l="247015" t="239395" r="247015" b="248285"/>
            <wp:docPr id="707793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9313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36859" cy="2808268"/>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pPr>
        <w:spacing w:line="480" w:lineRule="auto"/>
        <w:rPr>
          <w:rFonts w:ascii="Times New Roman" w:hAnsi="Times New Roman" w:cs="Times New Roman"/>
          <w:bCs/>
          <w:sz w:val="24"/>
        </w:rPr>
      </w:pPr>
      <w:r>
        <w:rPr>
          <w:rFonts w:ascii="Times New Roman" w:hAnsi="Times New Roman" w:cs="Times New Roman"/>
          <w:bCs/>
          <w:color w:val="000000"/>
          <w:sz w:val="24"/>
        </w:rPr>
        <w:t>Source :</w:t>
      </w:r>
      <w:r>
        <w:rPr>
          <w:rFonts w:ascii="Times New Roman" w:hAnsi="Times New Roman" w:cs="Times New Roman"/>
          <w:bCs/>
          <w:color w:val="000000"/>
          <w:sz w:val="24"/>
        </w:rPr>
        <w:t xml:space="preserve">  Land and Survey department(2025)</w:t>
      </w:r>
    </w:p>
    <w:p>
      <w:pPr>
        <w:spacing w:line="480" w:lineRule="auto"/>
        <w:rPr>
          <w:rFonts w:ascii="Times New Roman" w:hAnsi="Times New Roman" w:cs="Times New Roman"/>
          <w:bCs/>
          <w:sz w:val="24"/>
        </w:rPr>
      </w:pPr>
    </w:p>
    <w:p>
      <w:pPr>
        <w:spacing w:line="480" w:lineRule="auto"/>
        <w:rPr>
          <w:rFonts w:ascii="Times New Roman" w:hAnsi="Times New Roman" w:cs="Times New Roman"/>
          <w:bCs/>
          <w:sz w:val="24"/>
        </w:rPr>
      </w:pPr>
    </w:p>
    <w:p>
      <w:pPr>
        <w:spacing w:line="480" w:lineRule="auto"/>
        <w:rPr>
          <w:rFonts w:ascii="Times New Roman" w:hAnsi="Times New Roman" w:cs="Times New Roman"/>
          <w:bCs/>
          <w:sz w:val="24"/>
        </w:rPr>
      </w:pPr>
    </w:p>
    <w:p>
      <w:pPr>
        <w:spacing w:line="480" w:lineRule="auto"/>
        <w:rPr>
          <w:rFonts w:ascii="Times New Roman" w:hAnsi="Times New Roman" w:cs="Times New Roman"/>
          <w:bCs/>
          <w:sz w:val="24"/>
        </w:rPr>
      </w:pPr>
    </w:p>
    <w:p>
      <w:pPr>
        <w:spacing w:line="480" w:lineRule="auto"/>
        <w:rPr>
          <w:rFonts w:ascii="Times New Roman" w:hAnsi="Times New Roman" w:cs="Times New Roman"/>
          <w:bCs/>
          <w:sz w:val="24"/>
        </w:rPr>
      </w:pPr>
    </w:p>
    <w:p>
      <w:pPr>
        <w:spacing w:line="480" w:lineRule="auto"/>
        <w:rPr>
          <w:rFonts w:ascii="Times New Roman" w:hAnsi="Times New Roman" w:cs="Times New Roman"/>
          <w:bCs/>
          <w:sz w:val="24"/>
        </w:rPr>
      </w:pPr>
    </w:p>
    <w:p>
      <w:pPr>
        <w:spacing w:line="480" w:lineRule="auto"/>
        <w:rPr>
          <w:rFonts w:ascii="Times New Roman" w:hAnsi="Times New Roman" w:cs="Times New Roman"/>
          <w:bCs/>
          <w:sz w:val="24"/>
        </w:rPr>
      </w:pPr>
    </w:p>
    <w:p>
      <w:pPr>
        <w:spacing w:line="480" w:lineRule="auto"/>
        <w:rPr>
          <w:rFonts w:ascii="Times New Roman" w:hAnsi="Times New Roman" w:cs="Times New Roman"/>
          <w:bCs/>
          <w:sz w:val="24"/>
        </w:rPr>
      </w:pPr>
    </w:p>
    <w:p>
      <w:pPr>
        <w:spacing w:line="480" w:lineRule="auto"/>
        <w:rPr>
          <w:rFonts w:ascii="Times New Roman" w:hAnsi="Times New Roman" w:cs="Times New Roman"/>
          <w:bCs/>
          <w:sz w:val="24"/>
        </w:rPr>
      </w:pPr>
      <w:r>
        <w:rPr>
          <w:rFonts w:ascii="Times New Roman" w:hAnsi="Times New Roman" w:cs="Times New Roman"/>
          <w:bCs/>
          <w:sz w:val="24"/>
        </w:rPr>
        <w:t>Fig.1.3:Map of Kwara showing Ilorin West local government</w:t>
      </w:r>
    </w:p>
    <w:p>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6006465" cy="3581400"/>
            <wp:effectExtent l="247015" t="239395" r="250190" b="248285"/>
            <wp:docPr id="104928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8839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22599" cy="3591020"/>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pPr>
        <w:spacing w:line="480" w:lineRule="auto"/>
        <w:rPr>
          <w:rFonts w:ascii="Times New Roman" w:hAnsi="Times New Roman" w:cs="Times New Roman"/>
          <w:bCs/>
          <w:sz w:val="24"/>
        </w:rPr>
      </w:pPr>
      <w:r>
        <w:rPr>
          <w:rFonts w:ascii="Times New Roman" w:hAnsi="Times New Roman" w:cs="Times New Roman"/>
          <w:bCs/>
          <w:sz w:val="24"/>
        </w:rPr>
        <w:t>Source: Land And Survey Department(2025).</w:t>
      </w: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sz w:val="24"/>
        </w:rPr>
      </w:pPr>
      <w:r>
        <w:rPr>
          <w:rFonts w:ascii="Times New Roman" w:hAnsi="Times New Roman" w:cs="Times New Roman"/>
          <w:bCs/>
          <w:color w:val="000000"/>
          <w:sz w:val="24"/>
        </w:rPr>
        <w:t>Fig.1.4</w:t>
      </w:r>
      <w:r>
        <w:rPr>
          <w:rFonts w:ascii="Times New Roman" w:hAnsi="Times New Roman" w:cs="Times New Roman"/>
          <w:bCs/>
          <w:color w:val="000000"/>
          <w:sz w:val="24"/>
        </w:rPr>
        <w:t>:Google</w:t>
      </w:r>
      <w:r>
        <w:rPr>
          <w:rFonts w:ascii="Times New Roman" w:hAnsi="Times New Roman" w:cs="Times New Roman"/>
          <w:bCs/>
          <w:color w:val="000000"/>
          <w:sz w:val="24"/>
        </w:rPr>
        <w:t xml:space="preserve"> Earth Imagery Showing Harmony Estate In Ilorin East</w:t>
      </w:r>
    </w:p>
    <w:p>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6387465" cy="4546600"/>
            <wp:effectExtent l="88900" t="88900" r="92075" b="88900"/>
            <wp:docPr id="2115956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56268"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403245" cy="4557740"/>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bookmarkStart w:id="1" w:name="_Hlk197959904"/>
    </w:p>
    <w:p>
      <w:pPr>
        <w:spacing w:line="480" w:lineRule="auto"/>
        <w:rPr>
          <w:rFonts w:ascii="Times New Roman" w:hAnsi="Times New Roman" w:cs="Times New Roman"/>
          <w:bCs/>
          <w:color w:val="000000"/>
          <w:sz w:val="24"/>
        </w:rPr>
      </w:pPr>
      <w:r>
        <w:rPr>
          <w:rFonts w:ascii="Times New Roman" w:hAnsi="Times New Roman" w:cs="Times New Roman"/>
          <w:bCs/>
          <w:color w:val="000000"/>
          <w:sz w:val="24"/>
        </w:rPr>
        <w:t xml:space="preserve">Local Government Area Source:  Land </w:t>
      </w:r>
      <w:r>
        <w:rPr>
          <w:rFonts w:ascii="Times New Roman" w:hAnsi="Times New Roman" w:cs="Times New Roman"/>
          <w:bCs/>
          <w:color w:val="000000"/>
          <w:sz w:val="24"/>
        </w:rPr>
        <w:t>And</w:t>
      </w:r>
      <w:r>
        <w:rPr>
          <w:rFonts w:ascii="Times New Roman" w:hAnsi="Times New Roman" w:cs="Times New Roman"/>
          <w:bCs/>
          <w:color w:val="000000"/>
          <w:sz w:val="24"/>
        </w:rPr>
        <w:t xml:space="preserve"> Survey Department (2025)</w:t>
      </w:r>
    </w:p>
    <w:bookmarkEnd w:id="1"/>
    <w:p>
      <w:pPr>
        <w:spacing w:line="480" w:lineRule="auto"/>
        <w:rPr>
          <w:rFonts w:ascii="Times New Roman" w:hAnsi="Times New Roman" w:cs="Times New Roman"/>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p>
    <w:p>
      <w:pPr>
        <w:spacing w:line="480" w:lineRule="auto"/>
        <w:rPr>
          <w:rFonts w:ascii="Times New Roman" w:hAnsi="Times New Roman" w:cs="Times New Roman"/>
          <w:bCs/>
          <w:color w:val="000000"/>
          <w:sz w:val="24"/>
        </w:rPr>
      </w:pPr>
      <w:r>
        <w:rPr>
          <w:rFonts w:ascii="Times New Roman" w:hAnsi="Times New Roman" w:cs="Times New Roman"/>
          <w:bCs/>
          <w:color w:val="000000"/>
          <w:sz w:val="24"/>
        </w:rPr>
        <w:t xml:space="preserve">Fig. 1.5: Google Earth Imagery showing </w:t>
      </w:r>
      <w:r>
        <w:rPr>
          <w:rFonts w:ascii="Times New Roman" w:hAnsi="Times New Roman" w:cs="Times New Roman"/>
          <w:bCs/>
          <w:color w:val="000000"/>
          <w:sz w:val="24"/>
        </w:rPr>
        <w:t>Adewole</w:t>
      </w:r>
      <w:r>
        <w:rPr>
          <w:rFonts w:ascii="Times New Roman" w:hAnsi="Times New Roman" w:cs="Times New Roman"/>
          <w:bCs/>
          <w:color w:val="000000"/>
          <w:sz w:val="24"/>
        </w:rPr>
        <w:t xml:space="preserve"> Estate in Ilorin west</w:t>
      </w:r>
    </w:p>
    <w:p>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5588000" cy="3251200"/>
            <wp:effectExtent l="88900" t="88900" r="91440" b="88900"/>
            <wp:docPr id="2144818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8304"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98340" cy="3257216"/>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pPr>
        <w:spacing w:line="480" w:lineRule="auto"/>
        <w:rPr>
          <w:rFonts w:ascii="Times New Roman" w:hAnsi="Times New Roman" w:cs="Times New Roman"/>
          <w:b/>
          <w:bCs/>
          <w:sz w:val="24"/>
        </w:rPr>
      </w:pPr>
      <w:r>
        <w:rPr>
          <w:rFonts w:ascii="Times New Roman" w:hAnsi="Times New Roman" w:cs="Times New Roman"/>
          <w:bCs/>
          <w:color w:val="000000"/>
          <w:sz w:val="24"/>
        </w:rPr>
        <w:t>local</w:t>
      </w:r>
      <w:r>
        <w:rPr>
          <w:rFonts w:ascii="Times New Roman" w:hAnsi="Times New Roman" w:cs="Times New Roman"/>
          <w:bCs/>
          <w:color w:val="000000"/>
          <w:sz w:val="24"/>
        </w:rPr>
        <w:t xml:space="preserve"> government area Source:  Land and Survey department (2025)</w:t>
      </w: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jc w:val="center"/>
        <w:rPr>
          <w:rFonts w:ascii="Times New Roman" w:hAnsi="Times New Roman" w:cs="Times New Roman"/>
          <w:sz w:val="24"/>
        </w:rPr>
      </w:pPr>
      <w:r>
        <w:rPr>
          <w:rFonts w:ascii="Times New Roman" w:hAnsi="Times New Roman" w:cs="Times New Roman"/>
          <w:b/>
          <w:bCs/>
          <w:sz w:val="24"/>
        </w:rPr>
        <w:t>CHAPTER TWO</w:t>
      </w:r>
    </w:p>
    <w:p>
      <w:pPr>
        <w:spacing w:line="480" w:lineRule="auto"/>
        <w:rPr>
          <w:rFonts w:ascii="Times New Roman" w:hAnsi="Times New Roman" w:cs="Times New Roman"/>
          <w:b/>
          <w:bCs/>
          <w:sz w:val="24"/>
        </w:rPr>
      </w:pPr>
      <w:r>
        <w:rPr>
          <w:rFonts w:ascii="Times New Roman" w:hAnsi="Times New Roman" w:cs="Times New Roman"/>
          <w:b/>
          <w:bCs/>
          <w:sz w:val="24"/>
        </w:rPr>
        <w:t xml:space="preserve">2.0 Concept of infrastructure </w:t>
      </w:r>
    </w:p>
    <w:p>
      <w:pPr>
        <w:spacing w:line="480" w:lineRule="auto"/>
        <w:rPr>
          <w:rFonts w:ascii="Times New Roman" w:hAnsi="Times New Roman" w:cs="Times New Roman"/>
          <w:b/>
          <w:bCs/>
          <w:sz w:val="24"/>
        </w:rPr>
      </w:pPr>
      <w:r>
        <w:rPr>
          <w:rFonts w:ascii="Times New Roman" w:hAnsi="Times New Roman" w:cs="Times New Roman"/>
          <w:sz w:val="24"/>
        </w:rPr>
        <w:t>Infrastructure includes essential services and facilities such as roads, drainage, water supply, electricity, and waste management that support urban living. The quality of infrastructure significantly influences residents’ well-being and housing satisfaction. Adewole and Harmony Estates serve as examples of such planned communities aimed at addressing housing needs, especially for middle-income earners. These are residential areas with restricted access, offering privacy, security, and a sense of exclusivity. While both estates are structured and somewhat gated, their infrastructural quality varies, indicating differences in estate management and government intervention. Resident satisfaction is the degree to which residents perceive their housing environment as meeting their needs. It includes satisfaction with infrastructure, security, affordability, and aesthetics.</w:t>
      </w:r>
    </w:p>
    <w:p>
      <w:pPr>
        <w:spacing w:line="480" w:lineRule="auto"/>
        <w:rPr>
          <w:rFonts w:ascii="Times New Roman" w:hAnsi="Times New Roman" w:cs="Times New Roman"/>
          <w:sz w:val="24"/>
        </w:rPr>
      </w:pPr>
      <w:r>
        <w:rPr>
          <w:rFonts w:ascii="Times New Roman" w:hAnsi="Times New Roman" w:cs="Times New Roman"/>
          <w:sz w:val="24"/>
        </w:rPr>
        <w:t>The concept of infrastructure as a fundamental socio-economic characteristic encompasses both its physical and systemic roles in supporting social and economic systems. Infrastructure refers to the foundational physical systems and services, such as transportation, energy, water supply, and communication networks, that enable societal and economic activities. It also includes social infrastructure like education, healthcare, and public administration, which promote societal well-being and productivity.</w:t>
      </w:r>
    </w:p>
    <w:p>
      <w:pPr>
        <w:spacing w:line="480" w:lineRule="auto"/>
        <w:rPr>
          <w:rFonts w:ascii="Times New Roman" w:hAnsi="Times New Roman" w:cs="Times New Roman"/>
          <w:sz w:val="24"/>
        </w:rPr>
      </w:pPr>
      <w:r>
        <w:rPr>
          <w:rFonts w:ascii="Times New Roman" w:hAnsi="Times New Roman" w:cs="Times New Roman"/>
          <w:sz w:val="24"/>
        </w:rPr>
        <w:t>Key characteristics of infrastructure include:</w:t>
      </w:r>
    </w:p>
    <w:p>
      <w:pPr>
        <w:spacing w:line="480" w:lineRule="auto"/>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b/>
          <w:bCs/>
          <w:sz w:val="24"/>
        </w:rPr>
        <w:t>Economic Catalyst:</w:t>
      </w:r>
      <w:r>
        <w:rPr>
          <w:rFonts w:ascii="Times New Roman" w:hAnsi="Times New Roman" w:cs="Times New Roman"/>
          <w:sz w:val="24"/>
        </w:rPr>
        <w:t xml:space="preserve"> Infrastructure supports economic activities by providing essential services like transportation and energy, directly impacting production and consumption patterns. It fosters investment and economic integration, which is crucial for regional and national development.</w:t>
      </w:r>
    </w:p>
    <w:p>
      <w:pPr>
        <w:spacing w:line="480" w:lineRule="auto"/>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b/>
          <w:bCs/>
          <w:sz w:val="24"/>
        </w:rPr>
        <w:t>Social Integration:</w:t>
      </w:r>
      <w:r>
        <w:rPr>
          <w:rFonts w:ascii="Times New Roman" w:hAnsi="Times New Roman" w:cs="Times New Roman"/>
          <w:sz w:val="24"/>
        </w:rPr>
        <w:t xml:space="preserve"> Beyond its economic role, infrastructure underpins societal cohesion by facilitating access to education, healthcare, and other essential services, reducing regional disparities, and promoting equity.</w:t>
      </w:r>
    </w:p>
    <w:p>
      <w:pPr>
        <w:spacing w:line="480" w:lineRule="auto"/>
        <w:rPr>
          <w:rFonts w:ascii="Times New Roman" w:hAnsi="Times New Roman" w:cs="Times New Roman"/>
          <w:sz w:val="24"/>
        </w:rPr>
      </w:pPr>
      <w:r>
        <w:rPr>
          <w:rFonts w:ascii="Times New Roman" w:hAnsi="Times New Roman" w:cs="Times New Roman"/>
          <w:sz w:val="24"/>
        </w:rPr>
        <w:t xml:space="preserve">3. </w:t>
      </w:r>
      <w:r>
        <w:rPr>
          <w:rFonts w:ascii="Times New Roman" w:hAnsi="Times New Roman" w:cs="Times New Roman"/>
          <w:b/>
          <w:bCs/>
          <w:sz w:val="24"/>
        </w:rPr>
        <w:t>Sustainability and Innovation:</w:t>
      </w:r>
      <w:r>
        <w:rPr>
          <w:rFonts w:ascii="Times New Roman" w:hAnsi="Times New Roman" w:cs="Times New Roman"/>
          <w:sz w:val="24"/>
        </w:rPr>
        <w:t xml:space="preserve"> Modern infrastructure development integrates sustainability goals and drives innovation by addressing systemic bottlenecks, enhancing efficiency, and fostering resilience in socio-technical systems.</w:t>
      </w:r>
    </w:p>
    <w:p>
      <w:pPr>
        <w:spacing w:line="480" w:lineRule="auto"/>
        <w:rPr>
          <w:rFonts w:ascii="Times New Roman" w:hAnsi="Times New Roman" w:cs="Times New Roman"/>
          <w:sz w:val="24"/>
        </w:rPr>
      </w:pPr>
      <w:r>
        <w:rPr>
          <w:rFonts w:ascii="Times New Roman" w:hAnsi="Times New Roman" w:cs="Times New Roman"/>
          <w:sz w:val="24"/>
        </w:rPr>
        <w:t xml:space="preserve"> 4. </w:t>
      </w:r>
      <w:r>
        <w:rPr>
          <w:rFonts w:ascii="Times New Roman" w:hAnsi="Times New Roman" w:cs="Times New Roman"/>
          <w:b/>
          <w:bCs/>
          <w:sz w:val="24"/>
        </w:rPr>
        <w:t>Interdependence:</w:t>
      </w:r>
      <w:r>
        <w:rPr>
          <w:rFonts w:ascii="Times New Roman" w:hAnsi="Times New Roman" w:cs="Times New Roman"/>
          <w:sz w:val="24"/>
        </w:rPr>
        <w:t xml:space="preserve"> Infrastructure systems are highly interconnected, with technical, organizational, and institutional components that evolve together, influencing their adaptability to external pressures such as technological advancements or environmental challenges.</w:t>
      </w:r>
    </w:p>
    <w:p>
      <w:pPr>
        <w:spacing w:line="480" w:lineRule="auto"/>
        <w:rPr>
          <w:rFonts w:ascii="Times New Roman" w:hAnsi="Times New Roman" w:cs="Times New Roman"/>
          <w:sz w:val="24"/>
        </w:rPr>
      </w:pPr>
      <w:r>
        <w:rPr>
          <w:rFonts w:ascii="Times New Roman" w:hAnsi="Times New Roman" w:cs="Times New Roman"/>
          <w:sz w:val="24"/>
        </w:rPr>
        <w:t>A multi-dimensional approach, considering technical, economic, and social perspectives, is essential to understand and optimize infrastructure’s role in socio- economic development.</w:t>
      </w:r>
    </w:p>
    <w:p>
      <w:pPr>
        <w:spacing w:line="480" w:lineRule="auto"/>
        <w:rPr>
          <w:rFonts w:ascii="Times New Roman" w:hAnsi="Times New Roman" w:cs="Times New Roman"/>
          <w:sz w:val="24"/>
        </w:rPr>
      </w:pPr>
      <w:r>
        <w:rPr>
          <w:rFonts w:ascii="Times New Roman" w:hAnsi="Times New Roman" w:cs="Times New Roman"/>
          <w:sz w:val="24"/>
        </w:rPr>
        <w:t>Socio-Economic Characteristics</w:t>
      </w:r>
    </w:p>
    <w:p>
      <w:pPr>
        <w:spacing w:line="480" w:lineRule="auto"/>
        <w:rPr>
          <w:rFonts w:ascii="Times New Roman" w:hAnsi="Times New Roman" w:cs="Times New Roman"/>
          <w:sz w:val="24"/>
        </w:rPr>
      </w:pPr>
      <w:r>
        <w:rPr>
          <w:rFonts w:ascii="Times New Roman" w:hAnsi="Times New Roman" w:cs="Times New Roman"/>
          <w:sz w:val="24"/>
        </w:rPr>
        <w:t>The residents of Adewole Housing Estate and Harmony Estate are predominantly middle-class individuals and families. The estates have a mix of residential, commercial, and recreational land uses.</w:t>
      </w:r>
    </w:p>
    <w:p>
      <w:pPr>
        <w:spacing w:line="480" w:lineRule="auto"/>
        <w:rPr>
          <w:rFonts w:ascii="Times New Roman" w:hAnsi="Times New Roman" w:cs="Times New Roman"/>
          <w:sz w:val="24"/>
        </w:rPr>
      </w:pPr>
      <w:r>
        <w:rPr>
          <w:rFonts w:ascii="Times New Roman" w:hAnsi="Times New Roman" w:cs="Times New Roman"/>
          <w:sz w:val="24"/>
        </w:rPr>
        <w:t>A literature review is a critical analysis of existing research and scholarly articles related to your research topic. Here's a potential outline for a literature review on the comparative analysis of infrastructure facilities at Adewole Housing Estate and Harmony Estate in Ilorin, Kwara State:</w:t>
      </w:r>
    </w:p>
    <w:p>
      <w:pPr>
        <w:spacing w:line="480" w:lineRule="auto"/>
        <w:rPr>
          <w:rFonts w:ascii="Times New Roman" w:hAnsi="Times New Roman" w:cs="Times New Roman"/>
          <w:sz w:val="24"/>
        </w:rPr>
      </w:pPr>
      <w:r>
        <w:rPr>
          <w:rFonts w:ascii="Times New Roman" w:hAnsi="Times New Roman" w:cs="Times New Roman"/>
          <w:b/>
          <w:bCs/>
          <w:sz w:val="24"/>
        </w:rPr>
        <w:t>2.1 Theoretical Framework of Infrastructural Facilities: A Comprehensive Research Approach</w:t>
      </w:r>
    </w:p>
    <w:p>
      <w:pPr>
        <w:spacing w:line="480" w:lineRule="auto"/>
        <w:rPr>
          <w:rFonts w:ascii="Times New Roman" w:hAnsi="Times New Roman" w:cs="Times New Roman"/>
          <w:sz w:val="24"/>
        </w:rPr>
      </w:pPr>
      <w:r>
        <w:rPr>
          <w:rFonts w:ascii="Times New Roman" w:hAnsi="Times New Roman" w:cs="Times New Roman"/>
          <w:sz w:val="24"/>
        </w:rPr>
        <w:t>The concept of infrastructure as a fundamental socio-economic driver spans both physical and social dimensions. These two categories interact to promote economic development, enhance productivity, and improve quality of life. Below is a combined theoretical framework that integrates key concepts, theoretical models, and empirical studies on the role of infrastructure in socio-economic development.</w:t>
      </w:r>
    </w:p>
    <w:p>
      <w:pPr>
        <w:spacing w:line="480" w:lineRule="auto"/>
        <w:rPr>
          <w:rFonts w:ascii="Times New Roman" w:hAnsi="Times New Roman" w:cs="Times New Roman"/>
          <w:sz w:val="24"/>
        </w:rPr>
      </w:pPr>
      <w:r>
        <w:rPr>
          <w:rFonts w:ascii="Times New Roman" w:hAnsi="Times New Roman" w:cs="Times New Roman"/>
          <w:sz w:val="24"/>
        </w:rPr>
        <w:t>1. Defining Infrastructure and Its Categories</w:t>
      </w:r>
    </w:p>
    <w:p>
      <w:pPr>
        <w:spacing w:line="480" w:lineRule="auto"/>
        <w:rPr>
          <w:rFonts w:ascii="Times New Roman" w:hAnsi="Times New Roman" w:cs="Times New Roman"/>
          <w:sz w:val="24"/>
        </w:rPr>
      </w:pPr>
      <w:r>
        <w:rPr>
          <w:rFonts w:ascii="Times New Roman" w:hAnsi="Times New Roman" w:cs="Times New Roman"/>
          <w:sz w:val="24"/>
        </w:rPr>
        <w:t>Physical Infrastructure: Includes transportation systems (roads, railways, airports), utilities (electricity, water, telecommunications), and sanitation facilities. These infrastructures form the backbone of any economy, enabling businesses and individuals to access resources and markets efficiently.</w:t>
      </w:r>
    </w:p>
    <w:p>
      <w:pPr>
        <w:spacing w:line="480" w:lineRule="auto"/>
        <w:rPr>
          <w:rFonts w:ascii="Times New Roman" w:hAnsi="Times New Roman" w:cs="Times New Roman"/>
          <w:sz w:val="24"/>
        </w:rPr>
      </w:pPr>
      <w:r>
        <w:rPr>
          <w:rFonts w:ascii="Times New Roman" w:hAnsi="Times New Roman" w:cs="Times New Roman"/>
          <w:sz w:val="24"/>
        </w:rPr>
        <w:t>Social Infrastructure: Encompasses education, healthcare, housing, and other social services. These are crucial for human capital development, directly affecting labor productivity and overall societal well-being</w:t>
      </w:r>
    </w:p>
    <w:p>
      <w:pPr>
        <w:spacing w:line="480" w:lineRule="auto"/>
        <w:rPr>
          <w:rFonts w:ascii="Times New Roman" w:hAnsi="Times New Roman" w:cs="Times New Roman"/>
          <w:sz w:val="24"/>
        </w:rPr>
      </w:pPr>
      <w:r>
        <w:rPr>
          <w:rFonts w:ascii="Times New Roman" w:hAnsi="Times New Roman" w:cs="Times New Roman"/>
          <w:sz w:val="24"/>
        </w:rPr>
        <w:t>Aigbokhan (1999) outlines how physical infrastructure facilitates economic growth by reducing transaction costs and enabling market access.</w:t>
      </w:r>
    </w:p>
    <w:p>
      <w:pPr>
        <w:spacing w:line="480" w:lineRule="auto"/>
        <w:rPr>
          <w:rFonts w:ascii="Times New Roman" w:hAnsi="Times New Roman" w:cs="Times New Roman"/>
          <w:sz w:val="24"/>
        </w:rPr>
      </w:pPr>
      <w:r>
        <w:rPr>
          <w:rFonts w:ascii="Times New Roman" w:hAnsi="Times New Roman" w:cs="Times New Roman"/>
          <w:sz w:val="24"/>
        </w:rPr>
        <w:t>The World Bank (1994) emphasizes that infrastructure, both physical and social, is essential to economic development, especially in less-developed countries.</w:t>
      </w:r>
    </w:p>
    <w:p>
      <w:pPr>
        <w:spacing w:line="480" w:lineRule="auto"/>
        <w:rPr>
          <w:rFonts w:ascii="Times New Roman" w:hAnsi="Times New Roman" w:cs="Times New Roman"/>
          <w:sz w:val="24"/>
        </w:rPr>
      </w:pPr>
      <w:r>
        <w:rPr>
          <w:rFonts w:ascii="Times New Roman" w:hAnsi="Times New Roman" w:cs="Times New Roman"/>
          <w:sz w:val="24"/>
        </w:rPr>
        <w:t>2. Theoretical Approaches to Infrastructure</w:t>
      </w:r>
    </w:p>
    <w:p>
      <w:pPr>
        <w:spacing w:line="480" w:lineRule="auto"/>
        <w:rPr>
          <w:rFonts w:ascii="Times New Roman" w:hAnsi="Times New Roman" w:cs="Times New Roman"/>
          <w:sz w:val="24"/>
        </w:rPr>
      </w:pPr>
      <w:r>
        <w:rPr>
          <w:rFonts w:ascii="Times New Roman" w:hAnsi="Times New Roman" w:cs="Times New Roman"/>
          <w:sz w:val="24"/>
        </w:rPr>
        <w:t>Endogenous Growth Theory: In this framework, infrastructure is seen as a public capital that directly affects long-term economic growth. As demonstrated by Futagami et al. (1993), improvements in infrastructure, such as better roads and communication networks, directly lead to an increase in productivity, which fuels economic growth.</w:t>
      </w:r>
    </w:p>
    <w:p>
      <w:pPr>
        <w:spacing w:line="480" w:lineRule="auto"/>
        <w:rPr>
          <w:rFonts w:ascii="Times New Roman" w:hAnsi="Times New Roman" w:cs="Times New Roman"/>
          <w:sz w:val="24"/>
        </w:rPr>
      </w:pPr>
      <w:r>
        <w:rPr>
          <w:rFonts w:ascii="Times New Roman" w:hAnsi="Times New Roman" w:cs="Times New Roman"/>
          <w:sz w:val="24"/>
        </w:rPr>
        <w:t xml:space="preserve"> Supply-Side Economics: Infrastructure is regarded as a form of public capital that enhances the productivity of both labor and capital. According to Canning and Pedroni (2004), infrastructure investments—such as electricity, roads, and telecommunications—have long-term positive effects on economic growth by improving efficiency in various sectors.</w:t>
      </w:r>
    </w:p>
    <w:p>
      <w:pPr>
        <w:spacing w:line="480" w:lineRule="auto"/>
        <w:rPr>
          <w:rFonts w:ascii="Times New Roman" w:hAnsi="Times New Roman" w:cs="Times New Roman"/>
          <w:sz w:val="24"/>
        </w:rPr>
      </w:pPr>
      <w:r>
        <w:rPr>
          <w:rFonts w:ascii="Times New Roman" w:hAnsi="Times New Roman" w:cs="Times New Roman"/>
          <w:sz w:val="24"/>
        </w:rPr>
        <w:t>Infrastructure and Human Capital: Social infrastructure such as education and healthcare are vital for developing skilled labor, which, in turn, enhances the productivity of physical infrastructure. Denison (1962) and UNESCO (2011) argue that investments in education and health are crucial for improving workforce quality and productivity.</w:t>
      </w:r>
    </w:p>
    <w:p>
      <w:pPr>
        <w:numPr>
          <w:ilvl w:val="0"/>
          <w:numId w:val="2"/>
        </w:numPr>
        <w:spacing w:line="480" w:lineRule="auto"/>
        <w:rPr>
          <w:rFonts w:ascii="Times New Roman" w:hAnsi="Times New Roman" w:cs="Times New Roman"/>
          <w:sz w:val="24"/>
        </w:rPr>
      </w:pPr>
      <w:r>
        <w:rPr>
          <w:rFonts w:ascii="Times New Roman" w:hAnsi="Times New Roman" w:cs="Times New Roman"/>
          <w:sz w:val="24"/>
        </w:rPr>
        <w:t>Empirical Studies on Infrastructure and Economic Growth</w:t>
      </w:r>
    </w:p>
    <w:p>
      <w:pPr>
        <w:spacing w:line="480" w:lineRule="auto"/>
        <w:rPr>
          <w:rFonts w:ascii="Times New Roman" w:hAnsi="Times New Roman" w:cs="Times New Roman"/>
          <w:sz w:val="24"/>
        </w:rPr>
      </w:pPr>
      <w:r>
        <w:rPr>
          <w:rFonts w:ascii="Times New Roman" w:hAnsi="Times New Roman" w:cs="Times New Roman"/>
          <w:sz w:val="24"/>
        </w:rPr>
        <w:t>The integration of physical and social infrastructure within a theoretical framework highlights their complementary roles in fostering socio-economic development. Physical infrastructure reduces transaction costs and enhances access to resources, while social infrastructure builds human capital, improving labor productivity. Empirical studies and theoretical models confirm that infrastructure investments are pivotal for both short-term economic performance and long-term growth. Case studies from various regions emphasize that successful astructure development requires strategic planning and investment in both physical and social sectors.</w:t>
      </w:r>
    </w:p>
    <w:p>
      <w:pPr>
        <w:spacing w:line="480" w:lineRule="auto"/>
        <w:rPr>
          <w:rFonts w:ascii="Times New Roman" w:hAnsi="Times New Roman" w:cs="Times New Roman"/>
          <w:sz w:val="24"/>
        </w:rPr>
      </w:pPr>
      <w:r>
        <w:rPr>
          <w:rFonts w:ascii="Times New Roman" w:hAnsi="Times New Roman" w:cs="Times New Roman"/>
          <w:b/>
          <w:bCs/>
          <w:sz w:val="24"/>
        </w:rPr>
        <w:t xml:space="preserve"> 2.2 Literature Review</w:t>
      </w:r>
    </w:p>
    <w:p>
      <w:pPr>
        <w:spacing w:line="480" w:lineRule="auto"/>
        <w:rPr>
          <w:rFonts w:ascii="Times New Roman" w:hAnsi="Times New Roman" w:cs="Times New Roman"/>
          <w:sz w:val="24"/>
        </w:rPr>
      </w:pPr>
      <w:r>
        <w:rPr>
          <w:rFonts w:ascii="Times New Roman" w:hAnsi="Times New Roman" w:cs="Times New Roman"/>
          <w:sz w:val="24"/>
        </w:rPr>
        <w:t>Infrastructure Facilities in Housing Estates</w:t>
      </w:r>
    </w:p>
    <w:p>
      <w:pPr>
        <w:spacing w:line="480" w:lineRule="auto"/>
        <w:rPr>
          <w:rFonts w:ascii="Times New Roman" w:hAnsi="Times New Roman" w:cs="Times New Roman"/>
          <w:sz w:val="24"/>
        </w:rPr>
      </w:pPr>
      <w:r>
        <w:rPr>
          <w:rFonts w:ascii="Times New Roman" w:hAnsi="Times New Roman" w:cs="Times New Roman"/>
          <w:sz w:val="24"/>
        </w:rPr>
        <w:t>- Definition and importance of infrastructure facilities in housing estates (Muller, 2004) - Types of infrastructure facilities in housing estates (roads, drainage, water supply, electricity, waste management, recreational facilities) (UN-Habitat, 2016)</w:t>
      </w:r>
    </w:p>
    <w:p>
      <w:pPr>
        <w:spacing w:line="480" w:lineRule="auto"/>
        <w:rPr>
          <w:rFonts w:ascii="Times New Roman" w:hAnsi="Times New Roman" w:cs="Times New Roman"/>
          <w:sz w:val="24"/>
        </w:rPr>
      </w:pPr>
      <w:r>
        <w:rPr>
          <w:rFonts w:ascii="Times New Roman" w:hAnsi="Times New Roman" w:cs="Times New Roman"/>
          <w:sz w:val="24"/>
        </w:rPr>
        <w:t>Road Infrastructure in Housing Estates Importance of road infrastructure in housing estates (Oluwunmi, 2015)Factors affecting the design and construction of roads in housing estates (Adegoke, 2013)</w:t>
      </w:r>
    </w:p>
    <w:p>
      <w:pPr>
        <w:spacing w:line="480" w:lineRule="auto"/>
        <w:rPr>
          <w:rFonts w:ascii="Times New Roman" w:hAnsi="Times New Roman" w:cs="Times New Roman"/>
          <w:sz w:val="24"/>
        </w:rPr>
      </w:pPr>
      <w:r>
        <w:rPr>
          <w:rFonts w:ascii="Times New Roman" w:hAnsi="Times New Roman" w:cs="Times New Roman"/>
          <w:sz w:val="24"/>
        </w:rPr>
        <w:t>Drainage Systems in Housing Estates Importance of drainage systems in housing estates (Adebayo, 2012 Factors affecting the design and construction of drainage systems in housing estates (Ogunbode, 2016)</w:t>
      </w:r>
    </w:p>
    <w:p>
      <w:pPr>
        <w:spacing w:line="480" w:lineRule="auto"/>
        <w:rPr>
          <w:rFonts w:ascii="Times New Roman" w:hAnsi="Times New Roman" w:cs="Times New Roman"/>
          <w:sz w:val="24"/>
        </w:rPr>
      </w:pPr>
      <w:r>
        <w:rPr>
          <w:rFonts w:ascii="Times New Roman" w:hAnsi="Times New Roman" w:cs="Times New Roman"/>
          <w:sz w:val="24"/>
        </w:rPr>
        <w:t>Water Supply Infrastructure in Housing Estates Importance of water supply infrastructure in housing estates (WHO, 2011)Factors affecting the design and construction of water supply infrastructure in housing estates (Akinpelu, 2015) Electricity Supply Infrastructure in Housing Estates Importance of electricity supply infrastructure in housing estates (NEPA, 2013)Factors affecting the design and construction of electricity supply infrastructure in housing estates (Ojo, 2017)Waste Management Infrastructure in Housing Estates Importance of waste management infrastructure in housing estates (UNEP, 2015) - Factors affecting the design and construction of waste management infrastructure in housing estates (Adeleke, 2016) Recreational Facilities in Housing Estates Importance of recreational facilities in housing estates (Muller, 2004) Factors affecting the design and construction of recreational facilities in housing estates (Oluwunmi, 2015) Comparative Analysis of Infrastructure Facilities Importance of comparative analysis of infrastructure facilities in housing estates (UN-Habitat, 2016) Methodologies for comparative analysis of infrastructure facilities in housing estates (Akinpelu, 2015)Ajayi (2019) studied urban housing satisfaction in Lagos and found that road access, drainage, and electricity significantly influence residents’ perceptions of their environments. Ojo and Adewumi (2021) analyzed public housing estates in Abuja and concluded that public-sector housing often suffers from poor maintenance, especially in drainage and water supply systems. Bello (2020) compared two residential neighborhoods in Ibadan and observed that government-funded estates had better infrastructure than privately developed ones, though maintenance was inconsistent. Adewale (2022) explored resident satisfaction in Kwara State and identified factors such as household size, income, and education as influencing perception of infrastructure quality.</w:t>
      </w:r>
    </w:p>
    <w:p>
      <w:pPr>
        <w:spacing w:line="480" w:lineRule="auto"/>
        <w:rPr>
          <w:rFonts w:ascii="Times New Roman" w:hAnsi="Times New Roman" w:cs="Times New Roman"/>
          <w:sz w:val="24"/>
        </w:rPr>
      </w:pPr>
      <w:r>
        <w:rPr>
          <w:rFonts w:ascii="Times New Roman" w:hAnsi="Times New Roman" w:cs="Times New Roman"/>
          <w:b/>
          <w:bCs/>
          <w:sz w:val="24"/>
        </w:rPr>
        <w:t>2.3 Conclusion</w:t>
      </w:r>
    </w:p>
    <w:p>
      <w:pPr>
        <w:spacing w:line="480" w:lineRule="auto"/>
        <w:rPr>
          <w:rFonts w:ascii="Times New Roman" w:hAnsi="Times New Roman" w:cs="Times New Roman"/>
          <w:sz w:val="24"/>
        </w:rPr>
      </w:pPr>
      <w:r>
        <w:rPr>
          <w:rFonts w:ascii="Times New Roman" w:hAnsi="Times New Roman" w:cs="Times New Roman"/>
          <w:sz w:val="24"/>
        </w:rPr>
        <w:t>This chapter has reviewed relevant theoretical perspectives and existing literature on infrastructure development and residential satisfaction. The Central Place Theory, Urban Growth Theory, and Systems Theory collectively provide a robust framework for understanding the spatial, economic, and systemic factors influencing infrastructure provision in urban estates. Conceptual clarifications have also been provided on infrastructure, housing estates, gated communities, and resident satisfaction to establish a clear foundation for the study.</w:t>
      </w:r>
    </w:p>
    <w:p>
      <w:pPr>
        <w:spacing w:line="360" w:lineRule="auto"/>
        <w:rPr>
          <w:rFonts w:ascii="Times New Roman" w:hAnsi="Times New Roman" w:cs="Times New Roman"/>
          <w:sz w:val="24"/>
        </w:rPr>
      </w:pPr>
      <w:r>
        <w:rPr>
          <w:rFonts w:ascii="Times New Roman" w:hAnsi="Times New Roman" w:cs="Times New Roman"/>
          <w:sz w:val="24"/>
        </w:rPr>
        <w:t>Empirical studies have shown that the quality of infrastructure in residential areas significantly affects the well-being and satisfaction of residents. Disparities in service delivery are often the result of variations in planning, funding, and government intervention. Drawing from these insights, this study aims to assess the infrastructural conditions in Adewole and Harmony Estates, offering a comparative perspective to identify strengths, weaknesses, and areas needing policy attention.</w:t>
      </w:r>
    </w:p>
    <w:p>
      <w:pPr>
        <w:spacing w:line="480" w:lineRule="auto"/>
        <w:rPr>
          <w:rFonts w:ascii="Times New Roman" w:hAnsi="Times New Roman" w:cs="Times New Roman"/>
          <w:sz w:val="24"/>
        </w:rPr>
      </w:pPr>
    </w:p>
    <w:p>
      <w:pPr>
        <w:spacing w:line="480" w:lineRule="auto"/>
        <w:jc w:val="center"/>
        <w:rPr>
          <w:rFonts w:ascii="Times New Roman" w:hAnsi="Times New Roman" w:cs="Times New Roman"/>
          <w:b/>
          <w:bCs/>
          <w:sz w:val="24"/>
        </w:rPr>
      </w:pPr>
    </w:p>
    <w:p>
      <w:pPr>
        <w:spacing w:line="480" w:lineRule="auto"/>
        <w:jc w:val="center"/>
        <w:rPr>
          <w:rFonts w:ascii="Times New Roman" w:hAnsi="Times New Roman" w:cs="Times New Roman"/>
          <w:b/>
          <w:bCs/>
          <w:sz w:val="24"/>
        </w:rPr>
      </w:pPr>
      <w:r>
        <w:rPr>
          <w:rFonts w:ascii="Times New Roman" w:hAnsi="Times New Roman" w:cs="Times New Roman"/>
          <w:b/>
          <w:bCs/>
          <w:sz w:val="24"/>
        </w:rPr>
        <w:t>CHAPTER THREE</w:t>
      </w:r>
    </w:p>
    <w:p>
      <w:pPr>
        <w:spacing w:line="480" w:lineRule="auto"/>
        <w:rPr>
          <w:rFonts w:ascii="Times New Roman" w:hAnsi="Times New Roman" w:cs="Times New Roman"/>
          <w:b/>
          <w:bCs/>
          <w:sz w:val="24"/>
        </w:rPr>
      </w:pPr>
      <w:r>
        <w:rPr>
          <w:rFonts w:ascii="Times New Roman" w:hAnsi="Times New Roman" w:cs="Times New Roman"/>
          <w:b/>
          <w:bCs/>
          <w:sz w:val="24"/>
        </w:rPr>
        <w:t>Research Methodology</w:t>
      </w:r>
    </w:p>
    <w:p>
      <w:pPr>
        <w:spacing w:line="480" w:lineRule="auto"/>
        <w:rPr>
          <w:rFonts w:ascii="Times New Roman" w:hAnsi="Times New Roman" w:cs="Times New Roman"/>
          <w:sz w:val="24"/>
        </w:rPr>
      </w:pPr>
      <w:r>
        <w:rPr>
          <w:rFonts w:ascii="Times New Roman" w:hAnsi="Times New Roman" w:cs="Times New Roman"/>
          <w:b/>
          <w:bCs/>
          <w:sz w:val="24"/>
        </w:rPr>
        <w:t>3.0 Introduction</w:t>
      </w:r>
    </w:p>
    <w:p>
      <w:pPr>
        <w:spacing w:line="480" w:lineRule="auto"/>
        <w:rPr>
          <w:rFonts w:ascii="Times New Roman" w:hAnsi="Times New Roman" w:cs="Times New Roman"/>
          <w:sz w:val="24"/>
        </w:rPr>
      </w:pPr>
      <w:r>
        <w:rPr>
          <w:rFonts w:ascii="Times New Roman" w:hAnsi="Times New Roman" w:cs="Times New Roman"/>
          <w:sz w:val="24"/>
        </w:rPr>
        <w:t>This chapter outline the research design, methods and procedure use to conduct the study, its described the study area, data collection methods and tools for data analysis. The methodology is designed to achieve the objective of comparing infrastructural facilities in Adewole Housing Estate and Harmony Estate Ilorin.</w:t>
      </w:r>
    </w:p>
    <w:p>
      <w:pPr>
        <w:spacing w:line="480" w:lineRule="auto"/>
        <w:rPr>
          <w:rFonts w:ascii="Times New Roman" w:hAnsi="Times New Roman" w:cs="Times New Roman"/>
          <w:sz w:val="24"/>
        </w:rPr>
      </w:pPr>
      <w:r>
        <w:rPr>
          <w:rFonts w:ascii="Times New Roman" w:hAnsi="Times New Roman" w:cs="Times New Roman"/>
          <w:sz w:val="24"/>
        </w:rPr>
        <w:t xml:space="preserve">   Methodology is the approach a researcher uses to investigate a subject, therefore this chapter explains the various methods and procedures used in collecting data and information, the sources of data and the method of data analysis adapted, in order to present a reliable and valid dissertation.</w:t>
      </w:r>
    </w:p>
    <w:p>
      <w:pPr>
        <w:spacing w:line="480" w:lineRule="auto"/>
        <w:rPr>
          <w:rFonts w:ascii="Times New Roman" w:hAnsi="Times New Roman" w:cs="Times New Roman"/>
          <w:sz w:val="24"/>
        </w:rPr>
      </w:pPr>
      <w:r>
        <w:rPr>
          <w:rFonts w:ascii="Times New Roman" w:hAnsi="Times New Roman" w:cs="Times New Roman"/>
          <w:b/>
          <w:bCs/>
          <w:sz w:val="24"/>
        </w:rPr>
        <w:t>3.1Research Design</w:t>
      </w:r>
    </w:p>
    <w:p>
      <w:pPr>
        <w:spacing w:line="480" w:lineRule="auto"/>
        <w:rPr>
          <w:rFonts w:ascii="Times New Roman" w:hAnsi="Times New Roman" w:cs="Times New Roman"/>
          <w:sz w:val="24"/>
        </w:rPr>
      </w:pPr>
      <w:r>
        <w:rPr>
          <w:rFonts w:ascii="Times New Roman" w:hAnsi="Times New Roman" w:cs="Times New Roman"/>
          <w:sz w:val="24"/>
        </w:rPr>
        <w:t>This study employs a comparative research design, which involves comparing the infrastructure facilities of two housing estates.</w:t>
      </w: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b/>
          <w:sz w:val="24"/>
        </w:rPr>
      </w:pPr>
      <w:r>
        <w:rPr>
          <w:rFonts w:ascii="Times New Roman" w:hAnsi="Times New Roman" w:cs="Times New Roman"/>
          <w:b/>
          <w:sz w:val="24"/>
        </w:rPr>
        <w:t xml:space="preserve">        </w:t>
      </w:r>
    </w:p>
    <w:p>
      <w:pPr>
        <w:spacing w:line="480" w:lineRule="auto"/>
        <w:rPr>
          <w:rFonts w:ascii="Times New Roman" w:hAnsi="Times New Roman" w:cs="Times New Roman"/>
          <w:b/>
          <w:sz w:val="24"/>
        </w:rPr>
      </w:pPr>
      <w:r>
        <w:rPr>
          <w:rFonts w:ascii="Times New Roman" w:hAnsi="Times New Roman" w:cs="Times New Roman"/>
          <w:b/>
          <w:sz w:val="24"/>
        </w:rPr>
        <w:t xml:space="preserve">  Research Design Tables</w:t>
      </w:r>
    </w:p>
    <w:tbl>
      <w:tblPr>
        <w:tblStyle w:val="12"/>
        <w:tblW w:w="891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624"/>
        <w:gridCol w:w="1624"/>
        <w:gridCol w:w="1624"/>
        <w:gridCol w:w="1624"/>
        <w:gridCol w:w="1757"/>
      </w:tblGrid>
      <w:tr>
        <w:tblPrEx>
          <w:tblLayout w:type="fixed"/>
        </w:tblPrEx>
        <w:tc>
          <w:tcPr>
            <w:tcW w:w="657"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S/N</w:t>
            </w:r>
          </w:p>
        </w:tc>
        <w:tc>
          <w:tcPr>
            <w:tcW w:w="1624" w:type="dxa"/>
            <w:tcBorders>
              <w:top w:val="single" w:color="000000" w:sz="4" w:space="0"/>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Research Objectives </w:t>
            </w:r>
          </w:p>
        </w:tc>
        <w:tc>
          <w:tcPr>
            <w:tcW w:w="1624" w:type="dxa"/>
            <w:tcBorders>
              <w:top w:val="single" w:color="000000" w:sz="4" w:space="0"/>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Sources of data collection </w:t>
            </w:r>
          </w:p>
        </w:tc>
        <w:tc>
          <w:tcPr>
            <w:tcW w:w="1624" w:type="dxa"/>
            <w:tcBorders>
              <w:top w:val="single" w:color="000000" w:sz="4" w:space="0"/>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Methods of data collection </w:t>
            </w:r>
          </w:p>
        </w:tc>
        <w:tc>
          <w:tcPr>
            <w:tcW w:w="1624" w:type="dxa"/>
            <w:tcBorders>
              <w:top w:val="single" w:color="000000" w:sz="4" w:space="0"/>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Method of data analysis </w:t>
            </w:r>
          </w:p>
        </w:tc>
        <w:tc>
          <w:tcPr>
            <w:tcW w:w="1757" w:type="dxa"/>
            <w:tcBorders>
              <w:top w:val="single" w:color="000000" w:sz="4" w:space="0"/>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Methods of data presentation </w:t>
            </w:r>
          </w:p>
        </w:tc>
      </w:tr>
      <w:tr>
        <w:tblPrEx>
          <w:tblLayout w:type="fixed"/>
        </w:tblPrEx>
        <w:tc>
          <w:tcPr>
            <w:tcW w:w="657"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To examine the socio- economic characteristics of the residents in the study area </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Primary sources of data </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Administration of questionnaires </w:t>
            </w:r>
            <w:r>
              <w:rPr>
                <w:rFonts w:ascii="Times New Roman" w:hAnsi="Times New Roman" w:cs="Times New Roman"/>
                <w:color w:val="000000"/>
                <w:sz w:val="24"/>
              </w:rPr>
              <w:t>aires</w:t>
            </w:r>
            <w:r>
              <w:rPr>
                <w:rFonts w:ascii="Times New Roman" w:hAnsi="Times New Roman" w:cs="Times New Roman"/>
                <w:color w:val="000000"/>
                <w:sz w:val="24"/>
              </w:rPr>
              <w:t xml:space="preserve"> and personal interview</w:t>
            </w:r>
            <w:r>
              <w:rPr>
                <w:rFonts w:ascii="Times New Roman" w:hAnsi="Times New Roman" w:cs="Times New Roman"/>
                <w:color w:val="000000"/>
                <w:sz w:val="24"/>
              </w:rPr>
              <w:t>……………………..</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Descriptive method using SPSS</w:t>
            </w:r>
          </w:p>
        </w:tc>
        <w:tc>
          <w:tcPr>
            <w:tcW w:w="1757"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Frequency, table percentage and charts </w:t>
            </w:r>
          </w:p>
        </w:tc>
      </w:tr>
      <w:tr>
        <w:tblPrEx>
          <w:tblLayout w:type="fixed"/>
        </w:tblPrEx>
        <w:tc>
          <w:tcPr>
            <w:tcW w:w="657"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To identify the existing infrastructural facilities in both estates.</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Primary sources of data</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The use of structured questionnaires and personal administration in order to determine the efficiency of the </w:t>
            </w:r>
            <w:r>
              <w:rPr>
                <w:rFonts w:ascii="Times New Roman" w:hAnsi="Times New Roman" w:cs="Times New Roman"/>
                <w:color w:val="000000"/>
                <w:sz w:val="24"/>
              </w:rPr>
              <w:t xml:space="preserve">infrastructural facilities provided within the neighborhood </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Descriptive method using analysis of variance </w:t>
            </w:r>
          </w:p>
        </w:tc>
        <w:tc>
          <w:tcPr>
            <w:tcW w:w="1757"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Frequency,table</w:t>
            </w:r>
            <w:r>
              <w:rPr>
                <w:rFonts w:ascii="Times New Roman" w:hAnsi="Times New Roman" w:cs="Times New Roman"/>
                <w:color w:val="000000"/>
                <w:sz w:val="24"/>
              </w:rPr>
              <w:t xml:space="preserve"> percentage and charts </w:t>
            </w:r>
          </w:p>
        </w:tc>
      </w:tr>
      <w:tr>
        <w:tblPrEx>
          <w:tblLayout w:type="fixed"/>
        </w:tblPrEx>
        <w:tc>
          <w:tcPr>
            <w:tcW w:w="657"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3</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To examine the functionality of the existing infrastructural facilities in both estates.</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Primary sources of data </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Administration of both questionnaires, field survey and personal interview</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Descriptive methods using SPSS</w:t>
            </w:r>
          </w:p>
        </w:tc>
        <w:tc>
          <w:tcPr>
            <w:tcW w:w="1757"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Frequency, table percentage and charts </w:t>
            </w:r>
          </w:p>
        </w:tc>
      </w:tr>
      <w:tr>
        <w:tblPrEx>
          <w:tblLayout w:type="fixed"/>
        </w:tblPrEx>
        <w:tc>
          <w:tcPr>
            <w:tcW w:w="657"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4</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To assess the impact of infrastructural facilities to the quality of life of the residents. </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Both primary and secondary sources of data </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Administration of both primary and secondary methods of data collections such as </w:t>
            </w:r>
            <w:r>
              <w:rPr>
                <w:rFonts w:ascii="Times New Roman" w:hAnsi="Times New Roman" w:cs="Times New Roman"/>
                <w:color w:val="000000"/>
                <w:sz w:val="24"/>
              </w:rPr>
              <w:t xml:space="preserve">Questionnaire, interview, relevant journals, and  past projects, </w:t>
            </w:r>
          </w:p>
        </w:tc>
        <w:tc>
          <w:tcPr>
            <w:tcW w:w="1624"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Descriptive methods using analysis of variance and SPSS</w:t>
            </w:r>
          </w:p>
        </w:tc>
        <w:tc>
          <w:tcPr>
            <w:tcW w:w="1757"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Frequency, table percentage and charts </w:t>
            </w:r>
          </w:p>
        </w:tc>
      </w:tr>
    </w:tbl>
    <w:p>
      <w:pPr>
        <w:spacing w:line="480" w:lineRule="auto"/>
        <w:rPr>
          <w:rFonts w:ascii="Times New Roman" w:hAnsi="Times New Roman" w:cs="Times New Roman"/>
          <w:sz w:val="24"/>
        </w:rPr>
      </w:pPr>
    </w:p>
    <w:p>
      <w:pPr>
        <w:spacing w:line="480" w:lineRule="auto"/>
        <w:rPr>
          <w:rFonts w:ascii="Times New Roman" w:hAnsi="Times New Roman" w:cs="Times New Roman"/>
          <w:sz w:val="24"/>
        </w:rPr>
      </w:pPr>
      <w:r>
        <w:rPr>
          <w:rFonts w:ascii="Times New Roman" w:hAnsi="Times New Roman" w:cs="Times New Roman"/>
          <w:b/>
          <w:bCs/>
          <w:sz w:val="24"/>
        </w:rPr>
        <w:t xml:space="preserve">3.2 Types of data collection </w:t>
      </w:r>
    </w:p>
    <w:p>
      <w:pPr>
        <w:numPr>
          <w:ilvl w:val="0"/>
          <w:numId w:val="3"/>
        </w:numPr>
        <w:spacing w:line="480" w:lineRule="auto"/>
        <w:rPr>
          <w:rFonts w:ascii="Times New Roman" w:hAnsi="Times New Roman" w:cs="Times New Roman"/>
          <w:sz w:val="24"/>
        </w:rPr>
      </w:pPr>
      <w:r>
        <w:rPr>
          <w:rFonts w:ascii="Times New Roman" w:hAnsi="Times New Roman" w:cs="Times New Roman"/>
          <w:sz w:val="24"/>
        </w:rPr>
        <w:t xml:space="preserve">primary source of data </w:t>
      </w:r>
    </w:p>
    <w:p>
      <w:pPr>
        <w:numPr>
          <w:ilvl w:val="0"/>
          <w:numId w:val="3"/>
        </w:numPr>
        <w:spacing w:line="480" w:lineRule="auto"/>
        <w:rPr>
          <w:rFonts w:ascii="Times New Roman" w:hAnsi="Times New Roman" w:cs="Times New Roman"/>
          <w:sz w:val="24"/>
        </w:rPr>
      </w:pPr>
      <w:r>
        <w:rPr>
          <w:rFonts w:ascii="Times New Roman" w:hAnsi="Times New Roman" w:cs="Times New Roman"/>
          <w:sz w:val="24"/>
        </w:rPr>
        <w:t xml:space="preserve">Secondary source of data </w:t>
      </w:r>
    </w:p>
    <w:p>
      <w:pPr>
        <w:spacing w:line="480" w:lineRule="auto"/>
        <w:rPr>
          <w:rFonts w:ascii="Times New Roman" w:hAnsi="Times New Roman" w:cs="Times New Roman"/>
          <w:sz w:val="24"/>
        </w:rPr>
      </w:pPr>
      <w:r>
        <w:rPr>
          <w:rFonts w:ascii="Times New Roman" w:hAnsi="Times New Roman" w:cs="Times New Roman"/>
          <w:b/>
          <w:bCs/>
          <w:sz w:val="24"/>
        </w:rPr>
        <w:t xml:space="preserve">3.3 Sources of data collection </w:t>
      </w:r>
    </w:p>
    <w:p>
      <w:pPr>
        <w:numPr>
          <w:ilvl w:val="0"/>
          <w:numId w:val="4"/>
        </w:numPr>
        <w:spacing w:line="480" w:lineRule="auto"/>
        <w:rPr>
          <w:rFonts w:ascii="Times New Roman" w:hAnsi="Times New Roman" w:cs="Times New Roman"/>
          <w:sz w:val="24"/>
        </w:rPr>
      </w:pPr>
      <w:r>
        <w:rPr>
          <w:rFonts w:ascii="Times New Roman" w:hAnsi="Times New Roman" w:cs="Times New Roman"/>
          <w:sz w:val="24"/>
        </w:rPr>
        <w:t>Primary source:These are the field data from respondents, which involves the administration of questionnaires to the residents of the housing estate. These helps to know their perceptions on the condition of the housing estate.</w:t>
      </w:r>
    </w:p>
    <w:p>
      <w:pPr>
        <w:numPr>
          <w:ilvl w:val="0"/>
          <w:numId w:val="4"/>
        </w:numPr>
        <w:spacing w:line="480" w:lineRule="auto"/>
        <w:rPr>
          <w:rFonts w:ascii="Times New Roman" w:hAnsi="Times New Roman" w:cs="Times New Roman"/>
          <w:sz w:val="24"/>
        </w:rPr>
      </w:pPr>
      <w:r>
        <w:rPr>
          <w:rFonts w:ascii="Times New Roman" w:hAnsi="Times New Roman" w:cs="Times New Roman"/>
          <w:sz w:val="24"/>
        </w:rPr>
        <w:t>Secondary source of data: The information required from this research serves as an essential support in view of relevant literature of already documented facts such as books, journals and internet. The information obtained helped in improving, strengthening and in creating a concern comprehensive results for the research. Moreover important information and data was obtained from the residents to collaborate with other information.</w:t>
      </w:r>
    </w:p>
    <w:p>
      <w:pPr>
        <w:spacing w:line="480" w:lineRule="auto"/>
        <w:rPr>
          <w:rFonts w:ascii="Times New Roman" w:hAnsi="Times New Roman" w:cs="Times New Roman"/>
          <w:sz w:val="24"/>
        </w:rPr>
      </w:pPr>
      <w:r>
        <w:rPr>
          <w:rFonts w:ascii="Times New Roman" w:hAnsi="Times New Roman" w:cs="Times New Roman"/>
          <w:b/>
          <w:bCs/>
          <w:sz w:val="24"/>
        </w:rPr>
        <w:t xml:space="preserve">3.4. Sample Frame </w:t>
      </w:r>
    </w:p>
    <w:p>
      <w:pPr>
        <w:spacing w:line="480" w:lineRule="auto"/>
        <w:rPr>
          <w:rFonts w:ascii="Times New Roman" w:hAnsi="Times New Roman" w:cs="Times New Roman"/>
          <w:sz w:val="24"/>
        </w:rPr>
      </w:pPr>
      <w:r>
        <w:rPr>
          <w:rFonts w:ascii="Times New Roman" w:hAnsi="Times New Roman" w:cs="Times New Roman"/>
          <w:sz w:val="24"/>
        </w:rPr>
        <w:t xml:space="preserve">    Sampling frame can be defined as the source materials or device from which a sample is drawn. I.e. it is the entire population or a list of all those within a population who can be sampled in the study area, and these may include; Individuals, Households or Institutions.</w:t>
      </w:r>
    </w:p>
    <w:p>
      <w:pPr>
        <w:spacing w:line="480" w:lineRule="auto"/>
        <w:rPr>
          <w:rFonts w:ascii="Times New Roman" w:hAnsi="Times New Roman" w:cs="Times New Roman"/>
          <w:sz w:val="24"/>
        </w:rPr>
      </w:pPr>
      <w:r>
        <w:rPr>
          <w:rFonts w:ascii="Times New Roman" w:hAnsi="Times New Roman" w:cs="Times New Roman"/>
          <w:sz w:val="24"/>
        </w:rPr>
        <w:t xml:space="preserve">   Usually, the whole population may be too large for a researcher to attempt to survey or include all its members. Thus a small, but carefully selected sample can be used to represent the population, the sample reflects the characteristics of the population from which it is drawn.</w:t>
      </w:r>
    </w:p>
    <w:p>
      <w:pPr>
        <w:spacing w:line="480" w:lineRule="auto"/>
        <w:rPr>
          <w:rFonts w:ascii="Times New Roman" w:hAnsi="Times New Roman" w:cs="Times New Roman"/>
          <w:sz w:val="24"/>
        </w:rPr>
      </w:pPr>
      <w:r>
        <w:rPr>
          <w:rFonts w:ascii="Times New Roman" w:hAnsi="Times New Roman" w:cs="Times New Roman"/>
          <w:sz w:val="24"/>
        </w:rPr>
        <w:t xml:space="preserve">   The sample frame for this study consists of the total number of householdds and key stakeholders in Adewole Housing Estate and Harmony Estate in Ilorin, Kwara State. The sampling frame includes all adult residents who are household heads or have lived in the estate for more than one year, as they are considered to have adequate knowledge of the infrastructure facilities available in the estate.</w:t>
      </w:r>
    </w:p>
    <w:p>
      <w:pPr>
        <w:spacing w:line="480" w:lineRule="auto"/>
        <w:rPr>
          <w:rFonts w:ascii="Times New Roman" w:hAnsi="Times New Roman" w:cs="Times New Roman"/>
          <w:sz w:val="24"/>
        </w:rPr>
      </w:pPr>
      <w:r>
        <w:rPr>
          <w:rFonts w:ascii="Times New Roman" w:hAnsi="Times New Roman" w:cs="Times New Roman"/>
          <w:sz w:val="24"/>
        </w:rPr>
        <w:t>The frame was derived from preliminary surveys, estate records, and community leadership registers. The following elements form the sample frame:</w:t>
      </w:r>
    </w:p>
    <w:tbl>
      <w:tblPr>
        <w:tblStyle w:val="12"/>
        <w:tblW w:w="1026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1728"/>
        <w:gridCol w:w="1800"/>
        <w:gridCol w:w="1530"/>
        <w:gridCol w:w="2790"/>
      </w:tblGrid>
      <w:tr>
        <w:tblPrEx>
          <w:tblLayout w:type="fixed"/>
        </w:tblPrEx>
        <w:tc>
          <w:tcPr>
            <w:tcW w:w="2412" w:type="dxa"/>
          </w:tcPr>
          <w:p>
            <w:pPr>
              <w:spacing w:line="240" w:lineRule="auto"/>
              <w:rPr>
                <w:rFonts w:ascii="Times New Roman" w:hAnsi="Times New Roman" w:cs="Times New Roman"/>
                <w:sz w:val="24"/>
              </w:rPr>
            </w:pPr>
            <w:r>
              <w:rPr>
                <w:rFonts w:ascii="Times New Roman" w:hAnsi="Times New Roman" w:cs="Times New Roman"/>
                <w:sz w:val="24"/>
              </w:rPr>
              <w:t>Household heads in Harmony Estates.</w:t>
            </w:r>
          </w:p>
        </w:tc>
        <w:tc>
          <w:tcPr>
            <w:tcW w:w="1728" w:type="dxa"/>
          </w:tcPr>
          <w:p>
            <w:pPr>
              <w:spacing w:line="240" w:lineRule="auto"/>
              <w:rPr>
                <w:rFonts w:ascii="Times New Roman" w:hAnsi="Times New Roman" w:cs="Times New Roman"/>
                <w:sz w:val="24"/>
              </w:rPr>
            </w:pPr>
            <w:r>
              <w:rPr>
                <w:rFonts w:ascii="Times New Roman" w:hAnsi="Times New Roman" w:cs="Times New Roman"/>
                <w:sz w:val="24"/>
              </w:rPr>
              <w:t>Estate Administrators and Managers.</w:t>
            </w:r>
          </w:p>
        </w:tc>
        <w:tc>
          <w:tcPr>
            <w:tcW w:w="1800" w:type="dxa"/>
          </w:tcPr>
          <w:p>
            <w:pPr>
              <w:spacing w:line="240" w:lineRule="auto"/>
              <w:jc w:val="left"/>
              <w:rPr>
                <w:rFonts w:ascii="Times New Roman" w:hAnsi="Times New Roman" w:cs="Times New Roman"/>
                <w:sz w:val="24"/>
              </w:rPr>
            </w:pPr>
            <w:r>
              <w:rPr>
                <w:rFonts w:ascii="Times New Roman" w:hAnsi="Times New Roman" w:cs="Times New Roman"/>
                <w:sz w:val="24"/>
              </w:rPr>
              <w:t xml:space="preserve">Household heads in Adewole Housing Estate. </w:t>
            </w:r>
          </w:p>
        </w:tc>
        <w:tc>
          <w:tcPr>
            <w:tcW w:w="1530" w:type="dxa"/>
          </w:tcPr>
          <w:p>
            <w:pPr>
              <w:spacing w:line="240" w:lineRule="auto"/>
              <w:rPr>
                <w:rFonts w:ascii="Times New Roman" w:hAnsi="Times New Roman" w:cs="Times New Roman"/>
                <w:sz w:val="24"/>
              </w:rPr>
            </w:pPr>
            <w:r>
              <w:rPr>
                <w:rFonts w:ascii="Times New Roman" w:hAnsi="Times New Roman" w:cs="Times New Roman"/>
                <w:sz w:val="24"/>
              </w:rPr>
              <w:t>Utility Service Providers.</w:t>
            </w:r>
          </w:p>
        </w:tc>
        <w:tc>
          <w:tcPr>
            <w:tcW w:w="2790" w:type="dxa"/>
          </w:tcPr>
          <w:p>
            <w:pPr>
              <w:spacing w:line="240" w:lineRule="auto"/>
              <w:rPr>
                <w:rFonts w:ascii="Times New Roman" w:hAnsi="Times New Roman" w:cs="Times New Roman"/>
                <w:sz w:val="24"/>
              </w:rPr>
            </w:pPr>
            <w:r>
              <w:rPr>
                <w:rFonts w:ascii="Times New Roman" w:hAnsi="Times New Roman" w:cs="Times New Roman"/>
                <w:sz w:val="24"/>
              </w:rPr>
              <w:t>Long-term Residents with Knowledge of Infrasture Development in the Estates.</w:t>
            </w:r>
          </w:p>
        </w:tc>
      </w:tr>
    </w:tbl>
    <w:p>
      <w:pPr>
        <w:spacing w:line="480" w:lineRule="auto"/>
        <w:rPr>
          <w:rFonts w:ascii="Times New Roman" w:hAnsi="Times New Roman" w:cs="Times New Roman"/>
          <w:sz w:val="24"/>
        </w:rPr>
      </w:pPr>
      <w:r>
        <w:rPr>
          <w:rFonts w:ascii="Times New Roman" w:hAnsi="Times New Roman" w:cs="Times New Roman"/>
          <w:sz w:val="24"/>
        </w:rPr>
        <w:t xml:space="preserve">      Using this sample frame ensures that the selected respondents have relevant experience and perspectives on the conditions and functionality of infrastructure facilities in their respective estates. It also ensures fair representation across different demographic and socio-economic groups within the estates.</w:t>
      </w:r>
    </w:p>
    <w:p>
      <w:pPr>
        <w:spacing w:line="480" w:lineRule="auto"/>
        <w:rPr>
          <w:rFonts w:ascii="Times New Roman" w:hAnsi="Times New Roman" w:cs="Times New Roman"/>
          <w:sz w:val="24"/>
        </w:rPr>
      </w:pPr>
      <w:r>
        <w:rPr>
          <w:rFonts w:ascii="Times New Roman" w:hAnsi="Times New Roman" w:cs="Times New Roman"/>
          <w:b/>
          <w:bCs/>
          <w:sz w:val="24"/>
        </w:rPr>
        <w:t>3.5. Sample Size</w:t>
      </w:r>
    </w:p>
    <w:p>
      <w:pPr>
        <w:spacing w:line="480" w:lineRule="auto"/>
        <w:rPr>
          <w:rFonts w:ascii="Times New Roman" w:hAnsi="Times New Roman" w:cs="Times New Roman"/>
          <w:sz w:val="24"/>
        </w:rPr>
      </w:pPr>
      <w:r>
        <w:rPr>
          <w:rFonts w:ascii="Times New Roman" w:hAnsi="Times New Roman" w:cs="Times New Roman"/>
          <w:sz w:val="24"/>
        </w:rPr>
        <w:t>The sample size for this research was determined based on the need to achieve both representativeness and comparability between Adewole Housing Estate and Harmony Estate in Ilorin, Kwara State. The choice of sample size was influenced by the total number of residential units, the available resources, the nature of the study, and the desired confidence level.</w:t>
      </w:r>
    </w:p>
    <w:p>
      <w:pPr>
        <w:spacing w:line="480" w:lineRule="auto"/>
        <w:rPr>
          <w:rFonts w:ascii="Times New Roman" w:hAnsi="Times New Roman" w:cs="Times New Roman"/>
          <w:sz w:val="24"/>
        </w:rPr>
      </w:pPr>
      <w:r>
        <w:rPr>
          <w:rFonts w:ascii="Times New Roman" w:hAnsi="Times New Roman" w:cs="Times New Roman"/>
          <w:sz w:val="24"/>
        </w:rPr>
        <w:t>Total Sample Size</w:t>
      </w:r>
    </w:p>
    <w:p>
      <w:pPr>
        <w:spacing w:line="480" w:lineRule="auto"/>
        <w:rPr>
          <w:rFonts w:ascii="Times New Roman" w:hAnsi="Times New Roman" w:cs="Times New Roman"/>
          <w:sz w:val="24"/>
        </w:rPr>
      </w:pPr>
      <w:r>
        <w:rPr>
          <w:rFonts w:ascii="Times New Roman" w:hAnsi="Times New Roman" w:cs="Times New Roman"/>
          <w:sz w:val="24"/>
        </w:rPr>
        <w:t>Number of  Respondents in each Estates.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610"/>
        <w:gridCol w:w="1530"/>
      </w:tblGrid>
      <w:tr>
        <w:tblPrEx>
          <w:tblLayout w:type="fixed"/>
        </w:tblPrEx>
        <w:tc>
          <w:tcPr>
            <w:tcW w:w="468" w:type="dxa"/>
          </w:tcPr>
          <w:p>
            <w:pPr>
              <w:spacing w:line="480" w:lineRule="auto"/>
              <w:rPr>
                <w:rFonts w:ascii="Times New Roman" w:hAnsi="Times New Roman" w:cs="Times New Roman"/>
                <w:sz w:val="24"/>
              </w:rPr>
            </w:pPr>
            <w:r>
              <w:rPr>
                <w:rFonts w:ascii="Times New Roman" w:hAnsi="Times New Roman" w:cs="Times New Roman"/>
                <w:sz w:val="24"/>
              </w:rPr>
              <w:t>1</w:t>
            </w:r>
          </w:p>
        </w:tc>
        <w:tc>
          <w:tcPr>
            <w:tcW w:w="2610" w:type="dxa"/>
          </w:tcPr>
          <w:p>
            <w:pPr>
              <w:spacing w:line="480" w:lineRule="auto"/>
              <w:rPr>
                <w:rFonts w:ascii="Times New Roman" w:hAnsi="Times New Roman" w:cs="Times New Roman"/>
                <w:sz w:val="24"/>
              </w:rPr>
            </w:pPr>
            <w:r>
              <w:rPr>
                <w:rFonts w:ascii="Times New Roman" w:hAnsi="Times New Roman" w:cs="Times New Roman"/>
                <w:sz w:val="24"/>
              </w:rPr>
              <w:t>Adewole Estate</w:t>
            </w:r>
          </w:p>
        </w:tc>
        <w:tc>
          <w:tcPr>
            <w:tcW w:w="1530" w:type="dxa"/>
          </w:tcPr>
          <w:p>
            <w:pPr>
              <w:spacing w:line="480" w:lineRule="auto"/>
              <w:rPr>
                <w:rFonts w:ascii="Times New Roman" w:hAnsi="Times New Roman" w:cs="Times New Roman"/>
                <w:sz w:val="24"/>
              </w:rPr>
            </w:pPr>
            <w:r>
              <w:rPr>
                <w:rFonts w:ascii="Times New Roman" w:hAnsi="Times New Roman" w:cs="Times New Roman"/>
                <w:sz w:val="24"/>
              </w:rPr>
              <w:t>100</w:t>
            </w:r>
          </w:p>
        </w:tc>
      </w:tr>
      <w:tr>
        <w:tblPrEx>
          <w:tblLayout w:type="fixed"/>
        </w:tblPrEx>
        <w:tc>
          <w:tcPr>
            <w:tcW w:w="468" w:type="dxa"/>
          </w:tcPr>
          <w:p>
            <w:pPr>
              <w:spacing w:line="480" w:lineRule="auto"/>
              <w:rPr>
                <w:rFonts w:ascii="Times New Roman" w:hAnsi="Times New Roman" w:cs="Times New Roman"/>
                <w:sz w:val="24"/>
              </w:rPr>
            </w:pPr>
            <w:r>
              <w:rPr>
                <w:rFonts w:ascii="Times New Roman" w:hAnsi="Times New Roman" w:cs="Times New Roman"/>
                <w:sz w:val="24"/>
              </w:rPr>
              <w:t>2</w:t>
            </w:r>
          </w:p>
        </w:tc>
        <w:tc>
          <w:tcPr>
            <w:tcW w:w="2610" w:type="dxa"/>
          </w:tcPr>
          <w:p>
            <w:pPr>
              <w:spacing w:line="480" w:lineRule="auto"/>
              <w:rPr>
                <w:rFonts w:ascii="Times New Roman" w:hAnsi="Times New Roman" w:cs="Times New Roman"/>
                <w:sz w:val="24"/>
              </w:rPr>
            </w:pPr>
            <w:r>
              <w:rPr>
                <w:rFonts w:ascii="Times New Roman" w:hAnsi="Times New Roman" w:cs="Times New Roman"/>
                <w:sz w:val="24"/>
              </w:rPr>
              <w:t>Harmony Estate</w:t>
            </w:r>
          </w:p>
        </w:tc>
        <w:tc>
          <w:tcPr>
            <w:tcW w:w="1530" w:type="dxa"/>
          </w:tcPr>
          <w:p>
            <w:pPr>
              <w:spacing w:line="480" w:lineRule="auto"/>
              <w:rPr>
                <w:rFonts w:ascii="Times New Roman" w:hAnsi="Times New Roman" w:cs="Times New Roman"/>
                <w:sz w:val="24"/>
              </w:rPr>
            </w:pPr>
            <w:r>
              <w:rPr>
                <w:rFonts w:ascii="Times New Roman" w:hAnsi="Times New Roman" w:cs="Times New Roman"/>
                <w:sz w:val="24"/>
              </w:rPr>
              <w:t>100</w:t>
            </w:r>
          </w:p>
        </w:tc>
      </w:tr>
      <w:tr>
        <w:tblPrEx>
          <w:tblLayout w:type="fixed"/>
        </w:tblPrEx>
        <w:tc>
          <w:tcPr>
            <w:tcW w:w="468" w:type="dxa"/>
          </w:tcPr>
          <w:p>
            <w:pPr>
              <w:spacing w:line="480" w:lineRule="auto"/>
              <w:rPr>
                <w:rFonts w:ascii="Times New Roman" w:hAnsi="Times New Roman" w:cs="Times New Roman"/>
                <w:sz w:val="24"/>
              </w:rPr>
            </w:pPr>
            <w:r>
              <w:rPr>
                <w:rFonts w:ascii="Times New Roman" w:hAnsi="Times New Roman" w:cs="Times New Roman"/>
                <w:sz w:val="24"/>
              </w:rPr>
              <w:t>3</w:t>
            </w:r>
          </w:p>
        </w:tc>
        <w:tc>
          <w:tcPr>
            <w:tcW w:w="2610" w:type="dxa"/>
          </w:tcPr>
          <w:p>
            <w:pPr>
              <w:spacing w:line="480" w:lineRule="auto"/>
              <w:rPr>
                <w:rFonts w:ascii="Times New Roman" w:hAnsi="Times New Roman" w:cs="Times New Roman"/>
                <w:sz w:val="24"/>
              </w:rPr>
            </w:pPr>
            <w:r>
              <w:rPr>
                <w:rFonts w:ascii="Times New Roman" w:hAnsi="Times New Roman" w:cs="Times New Roman"/>
                <w:sz w:val="24"/>
              </w:rPr>
              <w:t>Total</w:t>
            </w:r>
          </w:p>
        </w:tc>
        <w:tc>
          <w:tcPr>
            <w:tcW w:w="1530" w:type="dxa"/>
          </w:tcPr>
          <w:p>
            <w:pPr>
              <w:spacing w:line="480" w:lineRule="auto"/>
              <w:rPr>
                <w:rFonts w:ascii="Times New Roman" w:hAnsi="Times New Roman" w:cs="Times New Roman"/>
                <w:sz w:val="24"/>
              </w:rPr>
            </w:pPr>
            <w:r>
              <w:rPr>
                <w:rFonts w:ascii="Times New Roman" w:hAnsi="Times New Roman" w:cs="Times New Roman"/>
                <w:sz w:val="24"/>
              </w:rPr>
              <w:t>200</w:t>
            </w:r>
          </w:p>
        </w:tc>
      </w:tr>
    </w:tbl>
    <w:p>
      <w:pPr>
        <w:spacing w:line="480" w:lineRule="auto"/>
        <w:rPr>
          <w:rFonts w:ascii="Times New Roman" w:hAnsi="Times New Roman" w:cs="Times New Roman"/>
          <w:sz w:val="24"/>
        </w:rPr>
      </w:pPr>
      <w:r>
        <w:rPr>
          <w:rFonts w:ascii="Times New Roman" w:hAnsi="Times New Roman" w:cs="Times New Roman"/>
          <w:sz w:val="24"/>
        </w:rPr>
        <w:t>The study selected a total of 200 respondents</w:t>
      </w:r>
    </w:p>
    <w:p>
      <w:pPr>
        <w:spacing w:line="480" w:lineRule="auto"/>
        <w:rPr>
          <w:rFonts w:ascii="Times New Roman" w:hAnsi="Times New Roman" w:cs="Times New Roman"/>
          <w:sz w:val="24"/>
        </w:rPr>
      </w:pPr>
      <w:r>
        <w:rPr>
          <w:rFonts w:ascii="Times New Roman" w:hAnsi="Times New Roman" w:cs="Times New Roman"/>
          <w:sz w:val="24"/>
        </w:rPr>
        <w:t>This number was chosen to ensure balanced representation from both study locations, allowing for meaningful comparative analysis.</w:t>
      </w:r>
    </w:p>
    <w:p>
      <w:pPr>
        <w:spacing w:line="480" w:lineRule="auto"/>
        <w:rPr>
          <w:rFonts w:ascii="Times New Roman" w:hAnsi="Times New Roman" w:cs="Times New Roman"/>
          <w:sz w:val="24"/>
        </w:rPr>
      </w:pPr>
      <w:r>
        <w:rPr>
          <w:rFonts w:ascii="Times New Roman" w:hAnsi="Times New Roman" w:cs="Times New Roman"/>
          <w:sz w:val="24"/>
        </w:rPr>
        <w:t>Justification for Sample Size</w:t>
      </w:r>
    </w:p>
    <w:p>
      <w:pPr>
        <w:spacing w:line="480" w:lineRule="auto"/>
        <w:rPr>
          <w:rFonts w:ascii="Times New Roman" w:hAnsi="Times New Roman" w:cs="Times New Roman"/>
          <w:sz w:val="24"/>
        </w:rPr>
      </w:pPr>
      <w:r>
        <w:rPr>
          <w:rFonts w:ascii="Times New Roman" w:hAnsi="Times New Roman" w:cs="Times New Roman"/>
          <w:sz w:val="24"/>
        </w:rPr>
        <w:t>The sample size was based on the following factors:</w:t>
      </w:r>
    </w:p>
    <w:p>
      <w:pPr>
        <w:spacing w:line="480" w:lineRule="auto"/>
        <w:rPr>
          <w:rFonts w:ascii="Times New Roman" w:hAnsi="Times New Roman" w:cs="Times New Roman"/>
          <w:sz w:val="24"/>
        </w:rPr>
      </w:pPr>
      <w:r>
        <w:rPr>
          <w:rFonts w:ascii="Times New Roman" w:hAnsi="Times New Roman" w:cs="Times New Roman"/>
          <w:sz w:val="24"/>
        </w:rPr>
        <w:t>1. Estimated Population Size</w:t>
      </w:r>
    </w:p>
    <w:p>
      <w:pPr>
        <w:spacing w:line="480" w:lineRule="auto"/>
        <w:rPr>
          <w:rFonts w:ascii="Times New Roman" w:hAnsi="Times New Roman" w:cs="Times New Roman"/>
          <w:sz w:val="24"/>
        </w:rPr>
      </w:pPr>
      <w:r>
        <w:rPr>
          <w:rFonts w:ascii="Times New Roman" w:hAnsi="Times New Roman" w:cs="Times New Roman"/>
          <w:sz w:val="24"/>
        </w:rPr>
        <w:t>According to estate records and field estimations: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Adewole Housing Estate contains approximately 250–300 households.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Harmony Estate contains approximately 300–350 households.</w:t>
      </w:r>
    </w:p>
    <w:p>
      <w:pPr>
        <w:spacing w:line="480" w:lineRule="auto"/>
        <w:rPr>
          <w:rFonts w:ascii="Times New Roman" w:hAnsi="Times New Roman" w:cs="Times New Roman"/>
          <w:sz w:val="24"/>
        </w:rPr>
      </w:pPr>
      <w:r>
        <w:rPr>
          <w:rFonts w:ascii="Times New Roman" w:hAnsi="Times New Roman" w:cs="Times New Roman"/>
          <w:sz w:val="24"/>
        </w:rPr>
        <w:t>A sample of 100 households from each estate represents 30–40% of each population, which is a strong coverage level in social research, particularly when supported by systematic and stratified sampling techniques.</w:t>
      </w:r>
    </w:p>
    <w:p>
      <w:pPr>
        <w:spacing w:line="480" w:lineRule="auto"/>
        <w:rPr>
          <w:rFonts w:ascii="Times New Roman" w:hAnsi="Times New Roman" w:cs="Times New Roman"/>
          <w:sz w:val="24"/>
        </w:rPr>
      </w:pPr>
      <w:r>
        <w:rPr>
          <w:rFonts w:ascii="Times New Roman" w:hAnsi="Times New Roman" w:cs="Times New Roman"/>
          <w:sz w:val="24"/>
        </w:rPr>
        <w:t>2. Statistical Consideration (Yamane’s Formula)</w:t>
      </w:r>
    </w:p>
    <w:p>
      <w:pPr>
        <w:spacing w:line="480" w:lineRule="auto"/>
        <w:rPr>
          <w:rFonts w:ascii="Times New Roman" w:hAnsi="Times New Roman" w:cs="Times New Roman"/>
          <w:sz w:val="24"/>
        </w:rPr>
      </w:pPr>
      <w:r>
        <w:rPr>
          <w:rFonts w:ascii="Times New Roman" w:hAnsi="Times New Roman" w:cs="Times New Roman"/>
          <w:sz w:val="24"/>
        </w:rPr>
        <w:t>Yamane’s (1967) simplified formula for calculating sample size for a finite population is:</w:t>
      </w:r>
    </w:p>
    <w:p>
      <w:pPr>
        <w:spacing w:line="480" w:lineRule="auto"/>
        <w:rPr>
          <w:rFonts w:ascii="Times New Roman" w:hAnsi="Times New Roman" w:cs="Times New Roman"/>
          <w:sz w:val="24"/>
        </w:rPr>
      </w:pPr>
      <w:r>
        <w:rPr>
          <w:rFonts w:ascii="Times New Roman" w:hAnsi="Times New Roman" w:cs="Times New Roman"/>
          <w:sz w:val="24"/>
        </w:rPr>
        <w:t>n = \frac{N}{1 + N(e)^2}</w:t>
      </w:r>
    </w:p>
    <w:p>
      <w:pPr>
        <w:spacing w:line="480" w:lineRule="auto"/>
        <w:rPr>
          <w:rFonts w:ascii="Times New Roman" w:hAnsi="Times New Roman" w:cs="Times New Roman"/>
          <w:sz w:val="24"/>
        </w:rPr>
      </w:pPr>
      <w:r>
        <w:rPr>
          <w:rFonts w:ascii="Times New Roman" w:hAnsi="Times New Roman" w:cs="Times New Roman"/>
          <w:sz w:val="24"/>
        </w:rPr>
        <w:t>Where:</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n = sample size</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N = total population</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e = margin of error (0.05)</w:t>
      </w:r>
    </w:p>
    <w:p>
      <w:pPr>
        <w:spacing w:line="480" w:lineRule="auto"/>
        <w:rPr>
          <w:rFonts w:ascii="Times New Roman" w:hAnsi="Times New Roman" w:cs="Times New Roman"/>
          <w:sz w:val="24"/>
        </w:rPr>
      </w:pPr>
      <w:r>
        <w:rPr>
          <w:rFonts w:ascii="Times New Roman" w:hAnsi="Times New Roman" w:cs="Times New Roman"/>
          <w:sz w:val="24"/>
        </w:rPr>
        <w:t>Assuming N = 300 and e = 0.05:</w:t>
      </w:r>
    </w:p>
    <w:p>
      <w:pPr>
        <w:spacing w:line="480" w:lineRule="auto"/>
        <w:rPr>
          <w:rFonts w:ascii="Times New Roman" w:hAnsi="Times New Roman" w:cs="Times New Roman"/>
          <w:sz w:val="24"/>
        </w:rPr>
      </w:pPr>
      <w:r>
        <w:rPr>
          <w:rFonts w:ascii="Times New Roman" w:hAnsi="Times New Roman" w:cs="Times New Roman"/>
          <w:sz w:val="24"/>
        </w:rPr>
        <w:t>n = \frac{300}{1 + 300(0.05)^2} = \frac{300}{1 + 0.75} = \frac{300}{1.75} \approx 171</w:t>
      </w:r>
    </w:p>
    <w:p>
      <w:pPr>
        <w:spacing w:line="480" w:lineRule="auto"/>
        <w:rPr>
          <w:rFonts w:ascii="Times New Roman" w:hAnsi="Times New Roman" w:cs="Times New Roman"/>
          <w:sz w:val="24"/>
        </w:rPr>
      </w:pPr>
      <w:r>
        <w:rPr>
          <w:rFonts w:ascii="Times New Roman" w:hAnsi="Times New Roman" w:cs="Times New Roman"/>
          <w:sz w:val="24"/>
        </w:rPr>
        <w:t>However, due to time and logistical constraints, and in line with practices in similar studies, a minimum of 100 households per estate was deemed sufficient.</w:t>
      </w:r>
    </w:p>
    <w:p>
      <w:pPr>
        <w:spacing w:line="480" w:lineRule="auto"/>
        <w:rPr>
          <w:rFonts w:ascii="Times New Roman" w:hAnsi="Times New Roman" w:cs="Times New Roman"/>
          <w:sz w:val="24"/>
        </w:rPr>
      </w:pPr>
      <w:r>
        <w:rPr>
          <w:rFonts w:ascii="Times New Roman" w:hAnsi="Times New Roman" w:cs="Times New Roman"/>
          <w:sz w:val="24"/>
        </w:rPr>
        <w:t>3. Nature of the Study</w:t>
      </w:r>
    </w:p>
    <w:p>
      <w:pPr>
        <w:spacing w:line="480" w:lineRule="auto"/>
        <w:rPr>
          <w:rFonts w:ascii="Times New Roman" w:hAnsi="Times New Roman" w:cs="Times New Roman"/>
          <w:sz w:val="24"/>
        </w:rPr>
      </w:pPr>
      <w:r>
        <w:rPr>
          <w:rFonts w:ascii="Times New Roman" w:hAnsi="Times New Roman" w:cs="Times New Roman"/>
          <w:sz w:val="24"/>
        </w:rPr>
        <w:t>Because the study seeks to gather both quantitative data through questionnaires and qualitative insights through interviews and observations, a sample of 200 respondents allows for robust analysis while maintaining manageability.</w:t>
      </w:r>
    </w:p>
    <w:p>
      <w:pPr>
        <w:spacing w:line="480" w:lineRule="auto"/>
        <w:rPr>
          <w:rFonts w:ascii="Times New Roman" w:hAnsi="Times New Roman" w:cs="Times New Roman"/>
          <w:sz w:val="24"/>
        </w:rPr>
      </w:pPr>
      <w:r>
        <w:rPr>
          <w:rFonts w:ascii="Times New Roman" w:hAnsi="Times New Roman" w:cs="Times New Roman"/>
          <w:sz w:val="24"/>
        </w:rPr>
        <w:t>4. Homogeneity of the Population</w:t>
      </w:r>
    </w:p>
    <w:p>
      <w:pPr>
        <w:spacing w:line="480" w:lineRule="auto"/>
        <w:rPr>
          <w:rFonts w:ascii="Times New Roman" w:hAnsi="Times New Roman" w:cs="Times New Roman"/>
          <w:sz w:val="24"/>
        </w:rPr>
      </w:pPr>
      <w:r>
        <w:rPr>
          <w:rFonts w:ascii="Times New Roman" w:hAnsi="Times New Roman" w:cs="Times New Roman"/>
          <w:sz w:val="24"/>
        </w:rPr>
        <w:t>Both housing estates are relatively homogeneous in terms of socio-economic composition (predominantly middle-class households). Therefore, a moderately sized sample can still yield reliable generalizations.</w:t>
      </w: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r>
        <w:rPr>
          <w:rFonts w:ascii="Times New Roman" w:hAnsi="Times New Roman" w:cs="Times New Roman"/>
          <w:b/>
          <w:sz w:val="24"/>
        </w:rPr>
        <w:t>Sample Distribution Table</w:t>
      </w:r>
    </w:p>
    <w:tbl>
      <w:tblPr>
        <w:tblStyle w:val="12"/>
        <w:tblW w:w="7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610"/>
        <w:gridCol w:w="1260"/>
        <w:gridCol w:w="1440"/>
        <w:gridCol w:w="1080"/>
      </w:tblGrid>
      <w:tr>
        <w:tblPrEx>
          <w:tblLayout w:type="fixed"/>
        </w:tblPrEx>
        <w:tc>
          <w:tcPr>
            <w:tcW w:w="738" w:type="dxa"/>
            <w:tcBorders>
              <w:top w:val="single" w:color="000000" w:sz="4" w:space="0"/>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S/N</w:t>
            </w:r>
          </w:p>
        </w:tc>
        <w:tc>
          <w:tcPr>
            <w:tcW w:w="2610" w:type="dxa"/>
            <w:tcBorders>
              <w:top w:val="single" w:color="000000" w:sz="4" w:space="0"/>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Respondent</w:t>
            </w:r>
            <w:r>
              <w:rPr>
                <w:rFonts w:ascii="Times New Roman" w:hAnsi="Times New Roman" w:cs="Times New Roman"/>
                <w:color w:val="000000"/>
                <w:sz w:val="24"/>
              </w:rPr>
              <w:t xml:space="preserve"> </w:t>
            </w:r>
            <w:r>
              <w:rPr>
                <w:rFonts w:ascii="Times New Roman" w:hAnsi="Times New Roman" w:cs="Times New Roman"/>
                <w:color w:val="000000"/>
                <w:sz w:val="24"/>
              </w:rPr>
              <w:t xml:space="preserve">Category </w:t>
            </w:r>
          </w:p>
        </w:tc>
        <w:tc>
          <w:tcPr>
            <w:tcW w:w="126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Adewole</w:t>
            </w:r>
            <w:r>
              <w:rPr>
                <w:rFonts w:ascii="Times New Roman" w:hAnsi="Times New Roman" w:cs="Times New Roman"/>
                <w:color w:val="000000"/>
                <w:sz w:val="24"/>
              </w:rPr>
              <w:t xml:space="preserve"> Estate </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Harmony Estate </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Total</w:t>
            </w:r>
          </w:p>
        </w:tc>
      </w:tr>
      <w:tr>
        <w:tblPrEx>
          <w:tblLayout w:type="fixed"/>
        </w:tblPrEx>
        <w:tc>
          <w:tcPr>
            <w:tcW w:w="738"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w:t>
            </w:r>
          </w:p>
        </w:tc>
        <w:tc>
          <w:tcPr>
            <w:tcW w:w="2610"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Household Residents </w:t>
            </w:r>
          </w:p>
        </w:tc>
        <w:tc>
          <w:tcPr>
            <w:tcW w:w="126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100</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200</w:t>
            </w:r>
          </w:p>
        </w:tc>
      </w:tr>
      <w:tr>
        <w:tblPrEx>
          <w:tblLayout w:type="fixed"/>
        </w:tblPrEx>
        <w:tc>
          <w:tcPr>
            <w:tcW w:w="738"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w:t>
            </w:r>
          </w:p>
        </w:tc>
        <w:tc>
          <w:tcPr>
            <w:tcW w:w="2610"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Estate </w:t>
            </w:r>
            <w:r>
              <w:rPr>
                <w:rFonts w:ascii="Times New Roman" w:hAnsi="Times New Roman" w:cs="Times New Roman"/>
                <w:color w:val="000000"/>
                <w:sz w:val="24"/>
              </w:rPr>
              <w:t xml:space="preserve">management officials </w:t>
            </w:r>
          </w:p>
        </w:tc>
        <w:tc>
          <w:tcPr>
            <w:tcW w:w="126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4</w:t>
            </w:r>
          </w:p>
        </w:tc>
      </w:tr>
      <w:tr>
        <w:tblPrEx>
          <w:tblLayout w:type="fixed"/>
        </w:tblPrEx>
        <w:tc>
          <w:tcPr>
            <w:tcW w:w="738"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3</w:t>
            </w:r>
          </w:p>
        </w:tc>
        <w:tc>
          <w:tcPr>
            <w:tcW w:w="2610"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Utility Service Providers </w:t>
            </w:r>
          </w:p>
        </w:tc>
        <w:tc>
          <w:tcPr>
            <w:tcW w:w="126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w:t>
            </w:r>
          </w:p>
        </w:tc>
      </w:tr>
      <w:tr>
        <w:tblPrEx>
          <w:tblLayout w:type="fixed"/>
        </w:tblPrEx>
        <w:tc>
          <w:tcPr>
            <w:tcW w:w="738"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4</w:t>
            </w:r>
          </w:p>
        </w:tc>
        <w:tc>
          <w:tcPr>
            <w:tcW w:w="2610"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Community leaders </w:t>
            </w:r>
          </w:p>
        </w:tc>
        <w:tc>
          <w:tcPr>
            <w:tcW w:w="126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w:t>
            </w:r>
          </w:p>
        </w:tc>
      </w:tr>
      <w:tr>
        <w:tblPrEx>
          <w:tblLayout w:type="fixed"/>
        </w:tblPrEx>
        <w:tc>
          <w:tcPr>
            <w:tcW w:w="738"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5</w:t>
            </w:r>
          </w:p>
        </w:tc>
        <w:tc>
          <w:tcPr>
            <w:tcW w:w="2610" w:type="dxa"/>
            <w:tcBorders>
              <w:left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Long-term Residents (Interview)</w:t>
            </w:r>
          </w:p>
        </w:tc>
        <w:tc>
          <w:tcPr>
            <w:tcW w:w="126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w:t>
            </w:r>
          </w:p>
        </w:tc>
      </w:tr>
      <w:tr>
        <w:tblPrEx>
          <w:tblLayout w:type="fixed"/>
        </w:tblPrEx>
        <w:tc>
          <w:tcPr>
            <w:tcW w:w="738" w:type="dxa"/>
            <w:tcBorders>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p>
        </w:tc>
        <w:tc>
          <w:tcPr>
            <w:tcW w:w="2610" w:type="dxa"/>
            <w:tcBorders>
              <w:left w:val="single" w:color="000000" w:sz="4" w:space="0"/>
              <w:bottom w:val="single" w:color="000000" w:sz="4" w:space="0"/>
              <w:right w:val="single" w:color="000000" w:sz="4" w:space="0"/>
            </w:tcBorders>
            <w:shd w:val="clear" w:color="auto" w:fill="FFFFFF"/>
          </w:tcPr>
          <w:p>
            <w:pPr>
              <w:tabs>
                <w:tab w:val="right" w:pos="2394"/>
              </w:tabs>
              <w:spacing w:line="480" w:lineRule="auto"/>
              <w:rPr>
                <w:rFonts w:ascii="Times New Roman" w:hAnsi="Times New Roman" w:cs="Times New Roman"/>
                <w:color w:val="000000"/>
                <w:sz w:val="24"/>
              </w:rPr>
            </w:pPr>
            <w:r>
              <w:rPr>
                <w:rFonts w:ascii="Times New Roman" w:hAnsi="Times New Roman" w:cs="Times New Roman"/>
                <w:color w:val="000000"/>
                <w:sz w:val="24"/>
              </w:rPr>
              <w:t>Total Sample</w:t>
            </w:r>
            <w:r>
              <w:rPr>
                <w:rFonts w:ascii="Times New Roman" w:hAnsi="Times New Roman" w:cs="Times New Roman"/>
                <w:color w:val="000000"/>
                <w:sz w:val="24"/>
              </w:rPr>
              <w:tab/>
            </w:r>
          </w:p>
        </w:tc>
        <w:tc>
          <w:tcPr>
            <w:tcW w:w="126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105</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105</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Pr>
          <w:p>
            <w:pPr>
              <w:spacing w:line="480" w:lineRule="auto"/>
              <w:rPr>
                <w:rFonts w:ascii="Times New Roman" w:hAnsi="Times New Roman" w:cs="Times New Roman"/>
                <w:color w:val="000000"/>
                <w:sz w:val="24"/>
              </w:rPr>
            </w:pPr>
            <w:r>
              <w:rPr>
                <w:rFonts w:ascii="Times New Roman" w:hAnsi="Times New Roman" w:cs="Times New Roman"/>
                <w:color w:val="000000"/>
                <w:sz w:val="24"/>
              </w:rPr>
              <w:t>210</w:t>
            </w:r>
          </w:p>
        </w:tc>
      </w:tr>
    </w:tbl>
    <w:p>
      <w:pPr>
        <w:spacing w:line="480" w:lineRule="auto"/>
        <w:rPr>
          <w:rFonts w:ascii="Times New Roman" w:hAnsi="Times New Roman" w:cs="Times New Roman"/>
          <w:b/>
          <w:sz w:val="24"/>
        </w:rPr>
      </w:pPr>
      <w:r>
        <w:rPr>
          <w:rFonts w:ascii="Times New Roman" w:hAnsi="Times New Roman" w:cs="Times New Roman"/>
          <w:b/>
          <w:sz w:val="24"/>
        </w:rPr>
        <w:t>Source: Author’s Field Survey (2025)</w:t>
      </w:r>
    </w:p>
    <w:p>
      <w:pPr>
        <w:spacing w:line="480" w:lineRule="auto"/>
        <w:rPr>
          <w:rFonts w:ascii="Times New Roman" w:hAnsi="Times New Roman" w:cs="Times New Roman"/>
          <w:sz w:val="24"/>
        </w:rPr>
      </w:pPr>
      <w:r>
        <w:rPr>
          <w:rFonts w:ascii="Times New Roman" w:hAnsi="Times New Roman" w:cs="Times New Roman"/>
          <w:sz w:val="24"/>
        </w:rPr>
        <w:t>The total sample size of 200 residents, along with selected key informants, ensures comprehensive data collection that captures both the quantitative and qualitative dimensions of infrastructure quality and performance in the two estates. This size is justified based on statistical reasoning, population estimates, and the comparative design of the study.</w:t>
      </w: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r>
        <w:rPr>
          <w:rFonts w:ascii="Times New Roman" w:hAnsi="Times New Roman" w:cs="Times New Roman"/>
          <w:b/>
          <w:bCs/>
          <w:sz w:val="24"/>
        </w:rPr>
        <w:t>3.6. Sample and Sampling Techniques/Methods</w:t>
      </w:r>
    </w:p>
    <w:p>
      <w:pPr>
        <w:spacing w:line="480" w:lineRule="auto"/>
        <w:rPr>
          <w:rFonts w:ascii="Times New Roman" w:hAnsi="Times New Roman" w:cs="Times New Roman"/>
          <w:sz w:val="24"/>
        </w:rPr>
      </w:pPr>
      <w:r>
        <w:rPr>
          <w:rFonts w:ascii="Times New Roman" w:hAnsi="Times New Roman" w:cs="Times New Roman"/>
          <w:b/>
          <w:bCs/>
          <w:sz w:val="24"/>
        </w:rPr>
        <w:t>Sampling Techniques</w:t>
      </w:r>
    </w:p>
    <w:p>
      <w:pPr>
        <w:spacing w:line="480" w:lineRule="auto"/>
        <w:rPr>
          <w:rFonts w:ascii="Times New Roman" w:hAnsi="Times New Roman" w:cs="Times New Roman"/>
          <w:sz w:val="24"/>
        </w:rPr>
      </w:pPr>
      <w:r>
        <w:rPr>
          <w:rFonts w:ascii="Times New Roman" w:hAnsi="Times New Roman" w:cs="Times New Roman"/>
          <w:sz w:val="24"/>
        </w:rPr>
        <w:t>This study adopts a stratified random sampling technique to ensure a fair and representative comparison of infrastructure facilities across the two estates—Adewole and Harmony. Stratified sampling was chosen because the population consists of two distinct subgroups (strata), and it is important that each estate is proportionally represented.</w:t>
      </w:r>
    </w:p>
    <w:p>
      <w:pPr>
        <w:spacing w:line="480" w:lineRule="auto"/>
        <w:rPr>
          <w:rFonts w:ascii="Times New Roman" w:hAnsi="Times New Roman" w:cs="Times New Roman"/>
          <w:sz w:val="24"/>
        </w:rPr>
      </w:pPr>
      <w:r>
        <w:rPr>
          <w:rFonts w:ascii="Times New Roman" w:hAnsi="Times New Roman" w:cs="Times New Roman"/>
          <w:sz w:val="24"/>
        </w:rPr>
        <w:t>Each housing estate was treated as a stratum, and within each, a random sampling method was used to select respondents. The number of respondents selected from each estate was determined based on the estimated number of households or population in each estate to ensure proportionality.</w:t>
      </w:r>
    </w:p>
    <w:p>
      <w:pPr>
        <w:spacing w:line="480" w:lineRule="auto"/>
        <w:rPr>
          <w:rFonts w:ascii="Times New Roman" w:hAnsi="Times New Roman" w:cs="Times New Roman"/>
          <w:sz w:val="24"/>
        </w:rPr>
      </w:pPr>
      <w:r>
        <w:rPr>
          <w:rFonts w:ascii="Times New Roman" w:hAnsi="Times New Roman" w:cs="Times New Roman"/>
          <w:sz w:val="24"/>
        </w:rPr>
        <w:t>In addition to stratified sampling, systematic random sampling was employed within each estate. Starting from a random point in the estate, every nth household was selected to participate in the survey, where n was determined by dividing the total number of households by the sample size.</w:t>
      </w:r>
    </w:p>
    <w:p>
      <w:pPr>
        <w:spacing w:line="480" w:lineRule="auto"/>
        <w:rPr>
          <w:rFonts w:ascii="Times New Roman" w:hAnsi="Times New Roman" w:cs="Times New Roman"/>
          <w:sz w:val="24"/>
        </w:rPr>
      </w:pPr>
      <w:r>
        <w:rPr>
          <w:rFonts w:ascii="Times New Roman" w:hAnsi="Times New Roman" w:cs="Times New Roman"/>
          <w:sz w:val="24"/>
        </w:rPr>
        <w:t>This combination of stratified and systematic sampling helped to:</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Eliminate sampling bias,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Ensure that both estates are adequately represented,</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Allow for a more reliable comparative analysis.</w:t>
      </w:r>
    </w:p>
    <w:p>
      <w:pPr>
        <w:spacing w:line="480" w:lineRule="auto"/>
        <w:rPr>
          <w:rFonts w:ascii="Times New Roman" w:hAnsi="Times New Roman" w:cs="Times New Roman"/>
          <w:b/>
          <w:bCs/>
          <w:sz w:val="24"/>
        </w:rPr>
      </w:pPr>
    </w:p>
    <w:p>
      <w:pPr>
        <w:spacing w:line="480" w:lineRule="auto"/>
        <w:rPr>
          <w:rFonts w:ascii="Times New Roman" w:hAnsi="Times New Roman" w:cs="Times New Roman"/>
          <w:sz w:val="24"/>
        </w:rPr>
      </w:pPr>
      <w:r>
        <w:rPr>
          <w:rFonts w:ascii="Times New Roman" w:hAnsi="Times New Roman" w:cs="Times New Roman"/>
          <w:b/>
          <w:bCs/>
          <w:sz w:val="24"/>
        </w:rPr>
        <w:t xml:space="preserve">3.7. Instruments for data collection </w:t>
      </w:r>
    </w:p>
    <w:p>
      <w:pPr>
        <w:spacing w:line="480" w:lineRule="auto"/>
        <w:rPr>
          <w:rFonts w:ascii="Times New Roman" w:hAnsi="Times New Roman" w:cs="Times New Roman"/>
          <w:sz w:val="24"/>
        </w:rPr>
      </w:pPr>
      <w:r>
        <w:rPr>
          <w:rFonts w:ascii="Times New Roman" w:hAnsi="Times New Roman" w:cs="Times New Roman"/>
          <w:sz w:val="24"/>
        </w:rPr>
        <w:t>To achieve the objectives of this study and obtain reliable and valid data on the infrastructure facilities in Adewole Housing Estate and Harmony Estate, the following data collection instruments were used:</w:t>
      </w:r>
    </w:p>
    <w:p>
      <w:pPr>
        <w:spacing w:line="480" w:lineRule="auto"/>
        <w:rPr>
          <w:rFonts w:ascii="Times New Roman" w:hAnsi="Times New Roman" w:cs="Times New Roman"/>
          <w:sz w:val="24"/>
        </w:rPr>
      </w:pPr>
      <w:r>
        <w:rPr>
          <w:rFonts w:ascii="Times New Roman" w:hAnsi="Times New Roman" w:cs="Times New Roman"/>
          <w:sz w:val="24"/>
        </w:rPr>
        <w:t>1. Structured Questionnaire</w:t>
      </w:r>
    </w:p>
    <w:p>
      <w:pPr>
        <w:spacing w:line="480" w:lineRule="auto"/>
        <w:rPr>
          <w:rFonts w:ascii="Times New Roman" w:hAnsi="Times New Roman" w:cs="Times New Roman"/>
          <w:sz w:val="24"/>
        </w:rPr>
      </w:pPr>
      <w:r>
        <w:rPr>
          <w:rFonts w:ascii="Times New Roman" w:hAnsi="Times New Roman" w:cs="Times New Roman"/>
          <w:sz w:val="24"/>
        </w:rPr>
        <w:t>A structured questionnaire was designed as the primary instrument for collecting quantitative data from residents. It consisted of close-ended questions with multiple-choice options (A, B, C, D), grouped into the following sections: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Section A: Demographic information (age, gender, education level, occupation, length of residence)</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Section B: Availability and condition of infrastructure facilities (roads, drainage, water supply, electricity, waste management, recreational facilities)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Section C: Resident satisfaction and perception of service adequacy</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Section D: Challenges related to infrastructure provision and maintenance.</w:t>
      </w:r>
    </w:p>
    <w:p>
      <w:pPr>
        <w:spacing w:line="480" w:lineRule="auto"/>
        <w:rPr>
          <w:rFonts w:ascii="Times New Roman" w:hAnsi="Times New Roman" w:cs="Times New Roman"/>
          <w:sz w:val="24"/>
        </w:rPr>
      </w:pPr>
      <w:r>
        <w:rPr>
          <w:rFonts w:ascii="Times New Roman" w:hAnsi="Times New Roman" w:cs="Times New Roman"/>
          <w:sz w:val="24"/>
        </w:rPr>
        <w:t>This instrument was administered to a sample of 200 residents (100 from each estate).</w:t>
      </w:r>
    </w:p>
    <w:p>
      <w:pPr>
        <w:spacing w:line="480" w:lineRule="auto"/>
        <w:rPr>
          <w:rFonts w:ascii="Times New Roman" w:hAnsi="Times New Roman" w:cs="Times New Roman"/>
          <w:sz w:val="24"/>
        </w:rPr>
      </w:pPr>
      <w:r>
        <w:rPr>
          <w:rFonts w:ascii="Times New Roman" w:hAnsi="Times New Roman" w:cs="Times New Roman"/>
          <w:sz w:val="24"/>
        </w:rPr>
        <w:t>2. Observation Checklist</w:t>
      </w:r>
    </w:p>
    <w:p>
      <w:pPr>
        <w:spacing w:line="480" w:lineRule="auto"/>
        <w:rPr>
          <w:rFonts w:ascii="Times New Roman" w:hAnsi="Times New Roman" w:cs="Times New Roman"/>
          <w:sz w:val="24"/>
        </w:rPr>
      </w:pPr>
      <w:r>
        <w:rPr>
          <w:rFonts w:ascii="Times New Roman" w:hAnsi="Times New Roman" w:cs="Times New Roman"/>
          <w:sz w:val="24"/>
        </w:rPr>
        <w:t>An observation checklist was used to collect qualitative data regarding the physical state of infrastructure in both estates. The researcher used this tool to document the visible condition of roads, drainage, electricity infrastructure (e.g., poles and transformers), and waste disposal sites. The checklist helped validate residents’ responses and provided supporting evidence for analysis.</w:t>
      </w:r>
    </w:p>
    <w:p>
      <w:pPr>
        <w:spacing w:line="480" w:lineRule="auto"/>
        <w:rPr>
          <w:rFonts w:ascii="Times New Roman" w:hAnsi="Times New Roman" w:cs="Times New Roman"/>
          <w:sz w:val="24"/>
        </w:rPr>
      </w:pPr>
      <w:r>
        <w:rPr>
          <w:rFonts w:ascii="Times New Roman" w:hAnsi="Times New Roman" w:cs="Times New Roman"/>
          <w:sz w:val="24"/>
        </w:rPr>
        <w:t>3. Key Informant Interviews</w:t>
      </w:r>
    </w:p>
    <w:p>
      <w:pPr>
        <w:spacing w:line="480" w:lineRule="auto"/>
        <w:rPr>
          <w:rFonts w:ascii="Times New Roman" w:hAnsi="Times New Roman" w:cs="Times New Roman"/>
          <w:sz w:val="24"/>
        </w:rPr>
      </w:pPr>
      <w:r>
        <w:rPr>
          <w:rFonts w:ascii="Times New Roman" w:hAnsi="Times New Roman" w:cs="Times New Roman"/>
          <w:sz w:val="24"/>
        </w:rPr>
        <w:t>Semi-structured interviews were conducted with selected key informants including estate managers, members of residents’ associations, and relevant officials in local government departments responsible for infrastructure. These interviews provided deeper insights into the management challenges and institutional efforts around infrastructure development and maintenance.</w:t>
      </w:r>
    </w:p>
    <w:p>
      <w:pPr>
        <w:spacing w:line="480" w:lineRule="auto"/>
        <w:rPr>
          <w:rFonts w:ascii="Times New Roman" w:hAnsi="Times New Roman" w:cs="Times New Roman"/>
          <w:sz w:val="24"/>
        </w:rPr>
      </w:pPr>
      <w:r>
        <w:rPr>
          <w:rFonts w:ascii="Times New Roman" w:hAnsi="Times New Roman" w:cs="Times New Roman"/>
          <w:sz w:val="24"/>
        </w:rPr>
        <w:t>4. Document Review</w:t>
      </w:r>
    </w:p>
    <w:p>
      <w:pPr>
        <w:spacing w:line="480" w:lineRule="auto"/>
        <w:rPr>
          <w:rFonts w:ascii="Times New Roman" w:hAnsi="Times New Roman" w:cs="Times New Roman"/>
          <w:sz w:val="24"/>
        </w:rPr>
      </w:pPr>
      <w:r>
        <w:rPr>
          <w:rFonts w:ascii="Times New Roman" w:hAnsi="Times New Roman" w:cs="Times New Roman"/>
          <w:sz w:val="24"/>
        </w:rPr>
        <w:t>Relevant documents such as estate development plans, government infrastructure reports, and past studies were reviewed. This secondary data provided context and supported triangulation of findings from primary sources.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Review of government reports, policy documents, and previous academic studies relevant to infrastructure in Nigerian housing estates.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Use of maps and planning documents from Kwara State Housing Corporation and Ilorin Municipal Council.</w:t>
      </w: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r>
        <w:rPr>
          <w:rFonts w:ascii="Times New Roman" w:hAnsi="Times New Roman" w:cs="Times New Roman"/>
          <w:b/>
          <w:bCs/>
          <w:sz w:val="24"/>
        </w:rPr>
        <w:t xml:space="preserve">3.8 Methods of data analysis </w:t>
      </w:r>
    </w:p>
    <w:p>
      <w:pPr>
        <w:spacing w:line="480" w:lineRule="auto"/>
        <w:rPr>
          <w:rFonts w:ascii="Times New Roman" w:hAnsi="Times New Roman" w:cs="Times New Roman"/>
          <w:sz w:val="24"/>
        </w:rPr>
      </w:pPr>
      <w:r>
        <w:rPr>
          <w:rFonts w:ascii="Times New Roman" w:hAnsi="Times New Roman" w:cs="Times New Roman"/>
          <w:sz w:val="24"/>
        </w:rPr>
        <w:t xml:space="preserve"> Method of Data Analysis</w:t>
      </w:r>
    </w:p>
    <w:p>
      <w:pPr>
        <w:spacing w:line="480" w:lineRule="auto"/>
        <w:rPr>
          <w:rFonts w:ascii="Times New Roman" w:hAnsi="Times New Roman" w:cs="Times New Roman"/>
          <w:sz w:val="24"/>
        </w:rPr>
      </w:pPr>
      <w:r>
        <w:rPr>
          <w:rFonts w:ascii="Times New Roman" w:hAnsi="Times New Roman" w:cs="Times New Roman"/>
          <w:sz w:val="24"/>
        </w:rPr>
        <w:t>This study employed both quantitative and qualitative methods of data analysis to interpret the information gathered from primary and secondary sources. The analysis was structured to meet the objectives and research questions outlined in the study.</w:t>
      </w:r>
    </w:p>
    <w:p>
      <w:pPr>
        <w:spacing w:line="480" w:lineRule="auto"/>
        <w:rPr>
          <w:rFonts w:ascii="Times New Roman" w:hAnsi="Times New Roman" w:cs="Times New Roman"/>
          <w:sz w:val="24"/>
        </w:rPr>
      </w:pPr>
      <w:r>
        <w:rPr>
          <w:rFonts w:ascii="Times New Roman" w:hAnsi="Times New Roman" w:cs="Times New Roman"/>
          <w:sz w:val="24"/>
        </w:rPr>
        <w:t>1. Quantitative Data Analysis</w:t>
      </w:r>
    </w:p>
    <w:p>
      <w:pPr>
        <w:spacing w:line="480" w:lineRule="auto"/>
        <w:rPr>
          <w:rFonts w:ascii="Times New Roman" w:hAnsi="Times New Roman" w:cs="Times New Roman"/>
          <w:sz w:val="24"/>
        </w:rPr>
      </w:pPr>
      <w:r>
        <w:rPr>
          <w:rFonts w:ascii="Times New Roman" w:hAnsi="Times New Roman" w:cs="Times New Roman"/>
          <w:sz w:val="24"/>
        </w:rPr>
        <w:t>The quantitative data collected through structured questionnaires were analyzed using:</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Descriptive Statistics: Frequencies, percentages, mean scores, and standard deviations were used to summarize responses regarding the types, conditions, and adequacy of infrastructure facilities.</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Inferential Statistics: Comparative statistical tools such as the Chi-square test and Independent Samples t-test were used to examine significant differences in residents’ satisfaction and infrastructure performance between Adewole Housing Estate and Harmony Estate.</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Data Processing Software: The responses were coded and analyzed using Statistical Package for the Social Sciences (SPSS) version 25 and Microsoft Excel for graphical representation (e.g., bar charts and pie charts).</w:t>
      </w:r>
    </w:p>
    <w:p>
      <w:pPr>
        <w:spacing w:line="480" w:lineRule="auto"/>
        <w:rPr>
          <w:rFonts w:ascii="Times New Roman" w:hAnsi="Times New Roman" w:cs="Times New Roman"/>
          <w:sz w:val="24"/>
        </w:rPr>
      </w:pPr>
      <w:r>
        <w:rPr>
          <w:rFonts w:ascii="Times New Roman" w:hAnsi="Times New Roman" w:cs="Times New Roman"/>
          <w:sz w:val="24"/>
        </w:rPr>
        <w:t>2. Qualitative Data Analysis</w:t>
      </w:r>
    </w:p>
    <w:p>
      <w:pPr>
        <w:spacing w:line="480" w:lineRule="auto"/>
        <w:rPr>
          <w:rFonts w:ascii="Times New Roman" w:hAnsi="Times New Roman" w:cs="Times New Roman"/>
          <w:sz w:val="24"/>
        </w:rPr>
      </w:pPr>
      <w:r>
        <w:rPr>
          <w:rFonts w:ascii="Times New Roman" w:hAnsi="Times New Roman" w:cs="Times New Roman"/>
          <w:sz w:val="24"/>
        </w:rPr>
        <w:t>The qualitative data obtained through interviews and field observations were analyzed using:</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Thematic Analysis: Responses from interviews and observation notes were grouped into themes based on recurring patterns related to infrastructure challenges, management practices, and resident engagement.</w:t>
      </w:r>
    </w:p>
    <w:p>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Content Analysis: Relevant excerpts were quoted and interpreted to complement the statistical findings, providing deeper insight into the issues facing each estate.</w:t>
      </w:r>
    </w:p>
    <w:p>
      <w:pPr>
        <w:spacing w:line="480" w:lineRule="auto"/>
        <w:rPr>
          <w:rFonts w:ascii="Times New Roman" w:hAnsi="Times New Roman" w:cs="Times New Roman"/>
          <w:sz w:val="24"/>
        </w:rPr>
      </w:pPr>
      <w:r>
        <w:rPr>
          <w:rFonts w:ascii="Times New Roman" w:hAnsi="Times New Roman" w:cs="Times New Roman"/>
          <w:sz w:val="24"/>
        </w:rPr>
        <w:t>By combining both analytical approaches, the study achieved a more holistic and reliable comparative assessment of infrastructure conditions in the two estates.</w:t>
      </w: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jc w:val="center"/>
        <w:rPr>
          <w:rFonts w:ascii="Times New Roman" w:hAnsi="Times New Roman" w:cs="Times New Roman"/>
          <w:b/>
          <w:bCs/>
          <w:sz w:val="24"/>
        </w:rPr>
      </w:pPr>
      <w:r>
        <w:rPr>
          <w:rFonts w:ascii="Times New Roman" w:hAnsi="Times New Roman" w:cs="Times New Roman"/>
          <w:b/>
          <w:bCs/>
          <w:sz w:val="24"/>
        </w:rPr>
        <w:t>CHAPTER FOUR</w:t>
      </w:r>
    </w:p>
    <w:p>
      <w:pPr>
        <w:spacing w:line="480" w:lineRule="auto"/>
        <w:rPr>
          <w:rFonts w:ascii="Times New Roman" w:hAnsi="Times New Roman" w:cs="Times New Roman"/>
          <w:b/>
          <w:sz w:val="24"/>
        </w:rPr>
      </w:pPr>
      <w:r>
        <w:rPr>
          <w:rFonts w:ascii="Times New Roman" w:hAnsi="Times New Roman" w:cs="Times New Roman"/>
          <w:b/>
          <w:sz w:val="24"/>
        </w:rPr>
        <w:t>DATA ANALYSIS AND PRESENTATION OF RESULT</w:t>
      </w:r>
    </w:p>
    <w:p>
      <w:pPr>
        <w:spacing w:before="200" w:after="0" w:line="480" w:lineRule="auto"/>
        <w:rPr>
          <w:rFonts w:ascii="Constantia" w:hAnsi="Constantia" w:cs="Times New Roman"/>
          <w:i/>
          <w:sz w:val="24"/>
        </w:rPr>
      </w:pPr>
      <w:r>
        <w:rPr>
          <w:rFonts w:ascii="Times New Roman" w:hAnsi="Times New Roman" w:cs="Times New Roman"/>
          <w:b/>
          <w:sz w:val="24"/>
        </w:rPr>
        <w:t xml:space="preserve">4.1 Introduction                        </w:t>
      </w:r>
    </w:p>
    <w:p>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This chapter presents the analysis of the data collected on socio-economic characteristic of the respondents from the study area. The information obtained on the socio-economic characteristic of the respondents, nature and attributes of the housing estates in the study area, factors that influence people’s choice of demand of the housing estates in the study area, peoples satisfaction with housing facilities in the estate and associated problems  residents’ encountered in Adewole and Harmony Housing Estate. The variables measured on socio economic characteristics of residents include gender, marital status, age, religion, education status, occupation, household size, income, indigene-ship status, number of household, type of housing, facilities available in the housing units among others. The data obtained in this regards, were cross tabulated against each housing estate while other data relating to factors that influence people’s choice of demand of the housing estates, peoples satisfaction with housing facilities in the estate and associated problems were also cross-tabulated against each estate and measured in likhert scale. The information obtained were analyzed and presented in tables to provide answers to some of the research questions.</w:t>
      </w:r>
    </w:p>
    <w:p>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4.2.1</w:t>
      </w:r>
      <w:r>
        <w:rPr>
          <w:rFonts w:ascii="Times New Roman" w:hAnsi="Times New Roman" w:cs="Times New Roman"/>
          <w:b/>
          <w:sz w:val="24"/>
        </w:rPr>
        <w:tab/>
      </w:r>
      <w:r>
        <w:rPr>
          <w:rFonts w:ascii="Times New Roman" w:hAnsi="Times New Roman" w:cs="Times New Roman"/>
          <w:b/>
          <w:sz w:val="24"/>
        </w:rPr>
        <w:t>Socio economics characteristic of respondents in gated communities of Ilorin</w:t>
      </w:r>
    </w:p>
    <w:p>
      <w:pPr>
        <w:spacing w:after="0" w:line="480" w:lineRule="auto"/>
        <w:rPr>
          <w:rFonts w:ascii="Times New Roman" w:hAnsi="Times New Roman" w:cs="Times New Roman"/>
          <w:sz w:val="24"/>
        </w:rPr>
      </w:pPr>
      <w:r>
        <w:rPr>
          <w:rFonts w:ascii="Times New Roman" w:hAnsi="Times New Roman" w:cs="Times New Roman"/>
          <w:sz w:val="24"/>
        </w:rPr>
        <w:t>In the study area, Female respondents (67%) outnumber Male respondents (33%) as shown in Table 4.1. This distribution aligns with the expectation that Females are more likely to respond to surveys, However, an interesting trend is observed within the two housing estates. In Adewole Housing Estate, females represent a higher proportion of respondents (67%) compared to males (33%). On the other hand, in Harmony Estate, the reverse is true, with a higher proportion of male respondents (56%) compared to females (44%). This disparity suggests that while males generally dominate in survey responses across the area, gender dynamics within each estate may influence participation, possibly due to differences in family structures or cultural norms specific to each estate.</w:t>
      </w: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r>
        <w:rPr>
          <w:rFonts w:ascii="Times New Roman" w:hAnsi="Times New Roman" w:cs="Times New Roman"/>
          <w:b/>
          <w:bCs/>
          <w:sz w:val="24"/>
        </w:rPr>
        <w:t>Table 4.1: Gender of the Respondents</w:t>
      </w:r>
    </w:p>
    <w:tbl>
      <w:tblPr>
        <w:tblStyle w:val="12"/>
        <w:tblW w:w="989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0"/>
        <w:gridCol w:w="1310"/>
        <w:gridCol w:w="1349"/>
        <w:gridCol w:w="1310"/>
        <w:gridCol w:w="1416"/>
        <w:gridCol w:w="1440"/>
        <w:gridCol w:w="1710"/>
      </w:tblGrid>
      <w:tr>
        <w:tblPrEx>
          <w:tblLayout w:type="fixed"/>
        </w:tblPrEx>
        <w:trPr>
          <w:jc w:val="center"/>
        </w:trPr>
        <w:tc>
          <w:tcPr>
            <w:tcW w:w="1360"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Gender</w:t>
            </w:r>
          </w:p>
        </w:tc>
        <w:tc>
          <w:tcPr>
            <w:tcW w:w="2659" w:type="dxa"/>
            <w:gridSpan w:val="2"/>
          </w:tcPr>
          <w:p>
            <w:pPr>
              <w:spacing w:after="0" w:line="480" w:lineRule="auto"/>
              <w:jc w:val="center"/>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726" w:type="dxa"/>
            <w:gridSpan w:val="2"/>
          </w:tcPr>
          <w:p>
            <w:pPr>
              <w:spacing w:after="0" w:line="480" w:lineRule="auto"/>
              <w:jc w:val="center"/>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3150"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360" w:type="dxa"/>
            <w:vMerge w:val="continue"/>
            <w:vAlign w:val="center"/>
          </w:tcPr>
          <w:p>
            <w:pPr>
              <w:spacing w:after="0" w:line="480" w:lineRule="auto"/>
              <w:jc w:val="center"/>
              <w:rPr>
                <w:rFonts w:ascii="Times New Roman" w:hAnsi="Times New Roman" w:cs="Times New Roman"/>
                <w:b/>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416"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44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7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36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Male</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56</w:t>
            </w:r>
          </w:p>
        </w:tc>
        <w:tc>
          <w:tcPr>
            <w:tcW w:w="1416"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56</w:t>
            </w:r>
          </w:p>
        </w:tc>
        <w:tc>
          <w:tcPr>
            <w:tcW w:w="144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89</w:t>
            </w:r>
          </w:p>
        </w:tc>
        <w:tc>
          <w:tcPr>
            <w:tcW w:w="17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44.5</w:t>
            </w:r>
          </w:p>
        </w:tc>
      </w:tr>
      <w:tr>
        <w:tblPrEx>
          <w:tblLayout w:type="fixed"/>
        </w:tblPrEx>
        <w:trPr>
          <w:jc w:val="center"/>
        </w:trPr>
        <w:tc>
          <w:tcPr>
            <w:tcW w:w="136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Female</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44</w:t>
            </w:r>
          </w:p>
        </w:tc>
        <w:tc>
          <w:tcPr>
            <w:tcW w:w="1416"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44</w:t>
            </w:r>
          </w:p>
        </w:tc>
        <w:tc>
          <w:tcPr>
            <w:tcW w:w="144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111</w:t>
            </w:r>
          </w:p>
        </w:tc>
        <w:tc>
          <w:tcPr>
            <w:tcW w:w="17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55.5</w:t>
            </w:r>
          </w:p>
        </w:tc>
      </w:tr>
      <w:tr>
        <w:tblPrEx>
          <w:tblLayout w:type="fixed"/>
        </w:tblPrEx>
        <w:trPr>
          <w:jc w:val="center"/>
        </w:trPr>
        <w:tc>
          <w:tcPr>
            <w:tcW w:w="136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416"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44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200</w:t>
            </w:r>
          </w:p>
        </w:tc>
        <w:tc>
          <w:tcPr>
            <w:tcW w:w="17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Source: Author’s Field survey, 2025</w:t>
      </w:r>
    </w:p>
    <w:p>
      <w:pPr>
        <w:spacing w:line="480" w:lineRule="auto"/>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b/>
          <w:bCs/>
          <w:sz w:val="24"/>
        </w:rPr>
        <w:t>4.2.2</w:t>
      </w:r>
      <w:r>
        <w:rPr>
          <w:rFonts w:ascii="Times New Roman" w:hAnsi="Times New Roman" w:cs="Times New Roman"/>
          <w:b/>
          <w:bCs/>
          <w:sz w:val="24"/>
        </w:rPr>
        <w:tab/>
      </w:r>
      <w:r>
        <w:rPr>
          <w:rFonts w:ascii="Times New Roman" w:hAnsi="Times New Roman" w:cs="Times New Roman"/>
          <w:b/>
          <w:bCs/>
          <w:sz w:val="24"/>
        </w:rPr>
        <w:t>Marital Status of the Respondents</w:t>
      </w:r>
    </w:p>
    <w:p>
      <w:pPr>
        <w:spacing w:after="0" w:line="480" w:lineRule="auto"/>
        <w:rPr>
          <w:rFonts w:ascii="Times New Roman" w:hAnsi="Times New Roman" w:cs="Times New Roman"/>
          <w:sz w:val="24"/>
        </w:rPr>
      </w:pPr>
      <w:r>
        <w:rPr>
          <w:rFonts w:ascii="Times New Roman" w:hAnsi="Times New Roman" w:cs="Times New Roman"/>
          <w:sz w:val="24"/>
        </w:rPr>
        <w:t>The data on marital status of respondents, as shown in Table 4.2, indicates that in Adewole Housing Estate, the majority of respondents are married (67%), followed by single respondents (17%), with very small proportions of widowed (9%) and divorced (7%) individuals. Similarly, in Harmony Housing Estate, married respondents also constitute a larger percentage (62%), compared to single respondents (19%), divorced individuals (10%), and widowed individuals (9%). In total, across the study area, the proportion of married respondents (64.5%) is higher than single (18%), divorced (8.5%), and widowed (9%) respondents.</w:t>
      </w:r>
    </w:p>
    <w:p>
      <w:pPr>
        <w:spacing w:after="0" w:line="480" w:lineRule="auto"/>
        <w:rPr>
          <w:rFonts w:ascii="Times New Roman" w:hAnsi="Times New Roman" w:cs="Times New Roman"/>
          <w:sz w:val="24"/>
        </w:rPr>
      </w:pPr>
      <w:r>
        <w:rPr>
          <w:rFonts w:ascii="Times New Roman" w:hAnsi="Times New Roman" w:cs="Times New Roman"/>
          <w:sz w:val="24"/>
        </w:rPr>
        <w:t>This distribution is not surprising, as the survey was conducted in residential estates primarily inhabited by young adults, who are generally in the early to middle stages of family life. The high proportion of married individuals suggests that these estates are likely to be attractive to families or individuals in established relationships, possibly due to the desire for stable and secure housing conducive to family life</w:t>
      </w:r>
    </w:p>
    <w:p>
      <w:pPr>
        <w:spacing w:after="0" w:line="480" w:lineRule="auto"/>
        <w:rPr>
          <w:rFonts w:ascii="Times New Roman" w:hAnsi="Times New Roman" w:cs="Times New Roman"/>
          <w:b/>
          <w:bCs/>
          <w:sz w:val="24"/>
        </w:rPr>
      </w:pPr>
      <w:r>
        <w:rPr>
          <w:rFonts w:ascii="Times New Roman" w:hAnsi="Times New Roman" w:cs="Times New Roman"/>
          <w:b/>
          <w:bCs/>
          <w:sz w:val="24"/>
        </w:rPr>
        <w:t>Table 4.2:</w:t>
      </w:r>
      <w:r>
        <w:rPr>
          <w:rFonts w:ascii="Times New Roman" w:hAnsi="Times New Roman" w:cs="Times New Roman"/>
          <w:b/>
          <w:bCs/>
          <w:sz w:val="24"/>
        </w:rPr>
        <w:tab/>
      </w:r>
      <w:r>
        <w:rPr>
          <w:rFonts w:ascii="Times New Roman" w:hAnsi="Times New Roman" w:cs="Times New Roman"/>
          <w:b/>
          <w:bCs/>
          <w:sz w:val="24"/>
        </w:rPr>
        <w:t>Marital Status of the Respondents</w:t>
      </w:r>
    </w:p>
    <w:tbl>
      <w:tblPr>
        <w:tblStyle w:val="12"/>
        <w:tblW w:w="940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25"/>
        <w:gridCol w:w="1310"/>
        <w:gridCol w:w="1349"/>
        <w:gridCol w:w="1310"/>
        <w:gridCol w:w="1349"/>
        <w:gridCol w:w="1310"/>
        <w:gridCol w:w="1349"/>
      </w:tblGrid>
      <w:tr>
        <w:tblPrEx>
          <w:tblLayout w:type="fixed"/>
        </w:tblPrEx>
        <w:trPr>
          <w:jc w:val="center"/>
        </w:trPr>
        <w:tc>
          <w:tcPr>
            <w:tcW w:w="1425"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Marital Status</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425" w:type="dxa"/>
            <w:vMerge w:val="continue"/>
            <w:vAlign w:val="center"/>
          </w:tcPr>
          <w:p>
            <w:pPr>
              <w:spacing w:after="0" w:line="480" w:lineRule="auto"/>
              <w:jc w:val="center"/>
              <w:rPr>
                <w:rFonts w:ascii="Times New Roman" w:hAnsi="Times New Roman" w:cs="Times New Roman"/>
                <w:b/>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425"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Single</w:t>
            </w:r>
          </w:p>
        </w:tc>
        <w:tc>
          <w:tcPr>
            <w:tcW w:w="1310"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19</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19</w:t>
            </w:r>
          </w:p>
        </w:tc>
        <w:tc>
          <w:tcPr>
            <w:tcW w:w="1310"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36</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18</w:t>
            </w:r>
          </w:p>
        </w:tc>
      </w:tr>
      <w:tr>
        <w:tblPrEx>
          <w:tblLayout w:type="fixed"/>
        </w:tblPrEx>
        <w:trPr>
          <w:jc w:val="center"/>
        </w:trPr>
        <w:tc>
          <w:tcPr>
            <w:tcW w:w="1425"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Married</w:t>
            </w:r>
          </w:p>
        </w:tc>
        <w:tc>
          <w:tcPr>
            <w:tcW w:w="1310"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67</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62</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62</w:t>
            </w:r>
          </w:p>
        </w:tc>
        <w:tc>
          <w:tcPr>
            <w:tcW w:w="1310"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129</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64.5</w:t>
            </w:r>
          </w:p>
        </w:tc>
      </w:tr>
      <w:tr>
        <w:tblPrEx>
          <w:tblLayout w:type="fixed"/>
        </w:tblPrEx>
        <w:trPr>
          <w:jc w:val="center"/>
        </w:trPr>
        <w:tc>
          <w:tcPr>
            <w:tcW w:w="1425"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Widowed</w:t>
            </w:r>
          </w:p>
        </w:tc>
        <w:tc>
          <w:tcPr>
            <w:tcW w:w="1310"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c>
          <w:tcPr>
            <w:tcW w:w="1310"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18</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r>
      <w:tr>
        <w:tblPrEx>
          <w:tblLayout w:type="fixed"/>
        </w:tblPrEx>
        <w:trPr>
          <w:jc w:val="center"/>
        </w:trPr>
        <w:tc>
          <w:tcPr>
            <w:tcW w:w="1425"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Divorced</w:t>
            </w:r>
          </w:p>
        </w:tc>
        <w:tc>
          <w:tcPr>
            <w:tcW w:w="1310"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w:t>
            </w:r>
          </w:p>
        </w:tc>
        <w:tc>
          <w:tcPr>
            <w:tcW w:w="1310"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49" w:type="dxa"/>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8.5</w:t>
            </w:r>
          </w:p>
        </w:tc>
      </w:tr>
      <w:tr>
        <w:tblPrEx>
          <w:tblLayout w:type="fixed"/>
        </w:tblPrEx>
        <w:trPr>
          <w:jc w:val="center"/>
        </w:trPr>
        <w:tc>
          <w:tcPr>
            <w:tcW w:w="142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200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sz w:val="24"/>
        </w:rPr>
      </w:pPr>
      <w:r>
        <w:rPr>
          <w:rFonts w:ascii="Times New Roman" w:hAnsi="Times New Roman" w:cs="Times New Roman"/>
          <w:b/>
          <w:bCs/>
          <w:sz w:val="24"/>
        </w:rPr>
        <w:t>4.2.3</w:t>
      </w:r>
      <w:r>
        <w:rPr>
          <w:rFonts w:ascii="Times New Roman" w:hAnsi="Times New Roman" w:cs="Times New Roman"/>
          <w:b/>
          <w:bCs/>
          <w:sz w:val="24"/>
        </w:rPr>
        <w:tab/>
      </w:r>
      <w:r>
        <w:rPr>
          <w:rFonts w:ascii="Times New Roman" w:hAnsi="Times New Roman" w:cs="Times New Roman"/>
          <w:b/>
          <w:bCs/>
          <w:sz w:val="24"/>
        </w:rPr>
        <w:t>Ethnicity of the Respondents</w:t>
      </w:r>
      <w:r>
        <w:rPr>
          <w:rFonts w:ascii="Times New Roman" w:hAnsi="Times New Roman" w:cs="Times New Roman"/>
          <w:sz w:val="24"/>
        </w:rPr>
        <w:t xml:space="preserve"> </w:t>
      </w:r>
    </w:p>
    <w:p>
      <w:pPr>
        <w:spacing w:line="480" w:lineRule="auto"/>
        <w:rPr>
          <w:rFonts w:ascii="Times New Roman" w:hAnsi="Times New Roman" w:cs="Times New Roman"/>
          <w:sz w:val="24"/>
        </w:rPr>
      </w:pPr>
      <w:r>
        <w:rPr>
          <w:rFonts w:ascii="Times New Roman" w:hAnsi="Times New Roman" w:cs="Times New Roman"/>
          <w:sz w:val="24"/>
        </w:rPr>
        <w:t>The ethnicity of the residents is detailed in Table 4.3. A significant proportion of respondents in Adewole (71%) are of Yoruba descent, followed by Igbo respondents (17%), while a smaller number (12%) identify as Hausa. In Harmony Estate, the majority of respondents are also Yoruba (65%), with Hausa (23%) and Igbo (12%) respondents forming smaller groups. Overall, the Yoruba ethnic group constitutes the largest proportion of respondents in the study area, making up (68%), followed by Hausa at (17.5%), and Igbo at (14.5%).</w:t>
      </w:r>
    </w:p>
    <w:p>
      <w:pPr>
        <w:spacing w:line="480" w:lineRule="auto"/>
        <w:rPr>
          <w:rFonts w:ascii="Times New Roman" w:hAnsi="Times New Roman" w:cs="Times New Roman"/>
          <w:sz w:val="24"/>
        </w:rPr>
      </w:pPr>
      <w:r>
        <w:rPr>
          <w:rFonts w:ascii="Times New Roman" w:hAnsi="Times New Roman" w:cs="Times New Roman"/>
          <w:sz w:val="24"/>
        </w:rPr>
        <w:t>This distribution reflects the ethnic composition of Ilorin, where the Yoruba ethnic group is the predominant population. It is unsurprising that the Yoruba respondents form the largest group, given the city's demographic makeup. The presence of Hausa and Igbo residents also aligns with Nigeria's broader ethnic diversity, with these groups contributing smaller, yet significant, portions of the population in Ilori</w:t>
      </w:r>
      <w:r>
        <w:rPr>
          <w:rFonts w:ascii="Times New Roman" w:hAnsi="Times New Roman" w:cs="Times New Roman"/>
          <w:sz w:val="24"/>
          <w:lang w:val="en-US"/>
        </w:rPr>
        <w:t>n</w:t>
      </w: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p>
    <w:p>
      <w:pPr>
        <w:spacing w:line="480" w:lineRule="auto"/>
        <w:rPr>
          <w:rFonts w:ascii="Times New Roman" w:hAnsi="Times New Roman" w:cs="Times New Roman"/>
          <w:sz w:val="24"/>
        </w:rPr>
      </w:pPr>
      <w:r>
        <w:rPr>
          <w:rFonts w:ascii="Times New Roman" w:hAnsi="Times New Roman" w:cs="Times New Roman"/>
          <w:b/>
          <w:bCs/>
          <w:sz w:val="24"/>
        </w:rPr>
        <w:t>Table 4.3:Ethnicity of the Respondents</w:t>
      </w:r>
    </w:p>
    <w:tbl>
      <w:tblPr>
        <w:tblStyle w:val="12"/>
        <w:tblW w:w="10431" w:type="dxa"/>
        <w:jc w:val="center"/>
        <w:tblInd w:w="-168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3"/>
        <w:gridCol w:w="1277"/>
        <w:gridCol w:w="1530"/>
        <w:gridCol w:w="1530"/>
        <w:gridCol w:w="1440"/>
        <w:gridCol w:w="1440"/>
        <w:gridCol w:w="1701"/>
      </w:tblGrid>
      <w:tr>
        <w:tblPrEx>
          <w:tblLayout w:type="fixed"/>
        </w:tblPrEx>
        <w:trPr>
          <w:jc w:val="center"/>
        </w:trPr>
        <w:tc>
          <w:tcPr>
            <w:tcW w:w="1513" w:type="dxa"/>
            <w:vAlign w:val="center"/>
          </w:tcPr>
          <w:p>
            <w:pPr>
              <w:spacing w:after="0" w:line="480" w:lineRule="auto"/>
              <w:ind w:left="210" w:leftChars="100"/>
              <w:jc w:val="left"/>
              <w:rPr>
                <w:rFonts w:ascii="Times New Roman" w:hAnsi="Times New Roman" w:cs="Times New Roman"/>
                <w:b/>
                <w:sz w:val="24"/>
                <w:lang w:val="en-GB" w:eastAsia="en-GB"/>
              </w:rPr>
            </w:pPr>
            <w:r>
              <w:rPr>
                <w:rFonts w:ascii="Times New Roman" w:hAnsi="Times New Roman" w:cs="Times New Roman"/>
                <w:b/>
                <w:sz w:val="24"/>
                <w:lang w:val="en-GB" w:eastAsia="en-GB"/>
              </w:rPr>
              <w:t>Ethnicity</w:t>
            </w:r>
          </w:p>
        </w:tc>
        <w:tc>
          <w:tcPr>
            <w:tcW w:w="2807" w:type="dxa"/>
            <w:gridSpan w:val="2"/>
          </w:tcPr>
          <w:p>
            <w:pPr>
              <w:spacing w:after="0" w:line="480" w:lineRule="auto"/>
              <w:ind w:left="210" w:leftChars="100"/>
              <w:jc w:val="left"/>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r>
              <w:rPr>
                <w:rFonts w:ascii="Times New Roman" w:hAnsi="Times New Roman" w:cs="Times New Roman"/>
                <w:b/>
                <w:sz w:val="24"/>
                <w:shd w:val="clear" w:color="auto" w:fill="FFFFFF"/>
                <w:lang w:eastAsia="en-GB"/>
              </w:rPr>
              <w:t xml:space="preserve"> </w:t>
            </w:r>
          </w:p>
        </w:tc>
        <w:tc>
          <w:tcPr>
            <w:tcW w:w="2970" w:type="dxa"/>
            <w:gridSpan w:val="2"/>
          </w:tcPr>
          <w:p>
            <w:pPr>
              <w:spacing w:after="0" w:line="480" w:lineRule="auto"/>
              <w:ind w:left="210" w:leftChars="100"/>
              <w:jc w:val="left"/>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 xml:space="preserve">     </w:t>
            </w:r>
            <w:r>
              <w:rPr>
                <w:rFonts w:ascii="Times New Roman" w:hAnsi="Times New Roman" w:cs="Times New Roman"/>
                <w:b/>
                <w:sz w:val="24"/>
                <w:shd w:val="clear" w:color="auto" w:fill="FFFFFF"/>
                <w:lang w:val="en-GB" w:eastAsia="en-GB"/>
              </w:rPr>
              <w:t>Harmony</w:t>
            </w:r>
          </w:p>
        </w:tc>
        <w:tc>
          <w:tcPr>
            <w:tcW w:w="3141" w:type="dxa"/>
            <w:gridSpan w:val="2"/>
            <w:vAlign w:val="center"/>
          </w:tcPr>
          <w:p>
            <w:pPr>
              <w:spacing w:after="0" w:line="480" w:lineRule="auto"/>
              <w:ind w:left="210" w:leftChars="100"/>
              <w:jc w:val="left"/>
              <w:rPr>
                <w:rFonts w:ascii="Times New Roman" w:hAnsi="Times New Roman" w:cs="Times New Roman"/>
                <w:b/>
                <w:sz w:val="24"/>
                <w:lang w:val="en-GB" w:eastAsia="en-GB"/>
              </w:rPr>
            </w:pPr>
            <w:r>
              <w:rPr>
                <w:rFonts w:ascii="Times New Roman" w:hAnsi="Times New Roman" w:cs="Times New Roman"/>
                <w:b/>
                <w:sz w:val="24"/>
                <w:lang w:val="en-GB" w:eastAsia="en-GB"/>
              </w:rPr>
              <w:t xml:space="preserve">       Total</w:t>
            </w:r>
          </w:p>
        </w:tc>
      </w:tr>
      <w:tr>
        <w:tblPrEx>
          <w:tblLayout w:type="fixed"/>
        </w:tblPrEx>
        <w:trPr>
          <w:trHeight w:val="85" w:hRule="atLeast"/>
          <w:jc w:val="center"/>
        </w:trPr>
        <w:tc>
          <w:tcPr>
            <w:tcW w:w="1513" w:type="dxa"/>
            <w:vAlign w:val="center"/>
          </w:tcPr>
          <w:p>
            <w:pPr>
              <w:spacing w:after="0" w:line="480" w:lineRule="auto"/>
              <w:ind w:left="210" w:leftChars="100"/>
              <w:jc w:val="left"/>
              <w:rPr>
                <w:rFonts w:ascii="Times New Roman" w:hAnsi="Times New Roman" w:cs="Times New Roman"/>
                <w:sz w:val="24"/>
                <w:lang w:val="en-GB" w:eastAsia="en-GB"/>
              </w:rPr>
            </w:pPr>
          </w:p>
        </w:tc>
        <w:tc>
          <w:tcPr>
            <w:tcW w:w="1277" w:type="dxa"/>
            <w:vAlign w:val="center"/>
          </w:tcPr>
          <w:p>
            <w:pPr>
              <w:spacing w:after="0" w:line="480" w:lineRule="auto"/>
              <w:jc w:val="left"/>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530" w:type="dxa"/>
            <w:vAlign w:val="center"/>
          </w:tcPr>
          <w:p>
            <w:pPr>
              <w:spacing w:after="0" w:line="480" w:lineRule="auto"/>
              <w:jc w:val="left"/>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530" w:type="dxa"/>
            <w:vAlign w:val="center"/>
          </w:tcPr>
          <w:p>
            <w:pPr>
              <w:spacing w:after="0" w:line="480" w:lineRule="auto"/>
              <w:jc w:val="left"/>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440" w:type="dxa"/>
            <w:vAlign w:val="center"/>
          </w:tcPr>
          <w:p>
            <w:pPr>
              <w:spacing w:after="0" w:line="480" w:lineRule="auto"/>
              <w:jc w:val="left"/>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440" w:type="dxa"/>
            <w:vAlign w:val="center"/>
          </w:tcPr>
          <w:p>
            <w:pPr>
              <w:spacing w:after="0" w:line="480" w:lineRule="auto"/>
              <w:jc w:val="left"/>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701" w:type="dxa"/>
            <w:vAlign w:val="center"/>
          </w:tcPr>
          <w:p>
            <w:pPr>
              <w:spacing w:after="0" w:line="480" w:lineRule="auto"/>
              <w:jc w:val="left"/>
              <w:rPr>
                <w:rFonts w:ascii="Times New Roman" w:hAnsi="Times New Roman" w:cs="Times New Roman"/>
                <w:b/>
                <w:sz w:val="24"/>
                <w:lang w:val="en-GB" w:eastAsia="en-GB"/>
              </w:rPr>
            </w:pPr>
            <w:r>
              <w:rPr>
                <w:rFonts w:ascii="Times New Roman" w:hAnsi="Times New Roman" w:cs="Times New Roman"/>
                <w:b/>
                <w:sz w:val="24"/>
                <w:lang w:val="en-GB" w:eastAsia="en-GB"/>
              </w:rPr>
              <w:t>Percentage</w:t>
            </w:r>
          </w:p>
          <w:p>
            <w:pPr>
              <w:spacing w:after="0" w:line="480" w:lineRule="auto"/>
              <w:jc w:val="left"/>
              <w:rPr>
                <w:rFonts w:ascii="Times New Roman" w:hAnsi="Times New Roman" w:cs="Times New Roman"/>
                <w:b/>
                <w:sz w:val="24"/>
                <w:lang w:val="en-GB" w:eastAsia="en-GB"/>
              </w:rPr>
            </w:pPr>
            <w:r>
              <w:rPr>
                <w:rFonts w:ascii="Times New Roman" w:hAnsi="Times New Roman" w:cs="Times New Roman"/>
                <w:b/>
                <w:sz w:val="24"/>
                <w:lang w:val="en-GB" w:eastAsia="en-GB"/>
              </w:rPr>
              <w:t xml:space="preserve"> (%)</w:t>
            </w:r>
          </w:p>
        </w:tc>
      </w:tr>
      <w:tr>
        <w:tblPrEx>
          <w:tblLayout w:type="fixed"/>
        </w:tblPrEx>
        <w:trPr>
          <w:jc w:val="center"/>
        </w:trPr>
        <w:tc>
          <w:tcPr>
            <w:tcW w:w="1513"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Yoruba</w:t>
            </w:r>
          </w:p>
        </w:tc>
        <w:tc>
          <w:tcPr>
            <w:tcW w:w="1277"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71</w:t>
            </w:r>
          </w:p>
        </w:tc>
        <w:tc>
          <w:tcPr>
            <w:tcW w:w="1530"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71</w:t>
            </w:r>
          </w:p>
        </w:tc>
        <w:tc>
          <w:tcPr>
            <w:tcW w:w="1530"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65</w:t>
            </w:r>
          </w:p>
        </w:tc>
        <w:tc>
          <w:tcPr>
            <w:tcW w:w="1440"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5</w:t>
            </w:r>
          </w:p>
        </w:tc>
        <w:tc>
          <w:tcPr>
            <w:tcW w:w="1440"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36</w:t>
            </w:r>
          </w:p>
        </w:tc>
        <w:tc>
          <w:tcPr>
            <w:tcW w:w="1701"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8</w:t>
            </w:r>
          </w:p>
        </w:tc>
      </w:tr>
      <w:tr>
        <w:tblPrEx>
          <w:tblLayout w:type="fixed"/>
        </w:tblPrEx>
        <w:trPr>
          <w:jc w:val="center"/>
        </w:trPr>
        <w:tc>
          <w:tcPr>
            <w:tcW w:w="1513"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Hausa</w:t>
            </w:r>
          </w:p>
        </w:tc>
        <w:tc>
          <w:tcPr>
            <w:tcW w:w="1277"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12</w:t>
            </w:r>
          </w:p>
        </w:tc>
        <w:tc>
          <w:tcPr>
            <w:tcW w:w="1530"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2</w:t>
            </w:r>
          </w:p>
        </w:tc>
        <w:tc>
          <w:tcPr>
            <w:tcW w:w="1530"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23</w:t>
            </w:r>
          </w:p>
        </w:tc>
        <w:tc>
          <w:tcPr>
            <w:tcW w:w="1440"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23</w:t>
            </w:r>
          </w:p>
        </w:tc>
        <w:tc>
          <w:tcPr>
            <w:tcW w:w="1440"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35</w:t>
            </w:r>
          </w:p>
        </w:tc>
        <w:tc>
          <w:tcPr>
            <w:tcW w:w="1701"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7.5</w:t>
            </w:r>
          </w:p>
        </w:tc>
      </w:tr>
      <w:tr>
        <w:tblPrEx>
          <w:tblLayout w:type="fixed"/>
        </w:tblPrEx>
        <w:trPr>
          <w:jc w:val="center"/>
        </w:trPr>
        <w:tc>
          <w:tcPr>
            <w:tcW w:w="1513"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Igbo</w:t>
            </w:r>
          </w:p>
        </w:tc>
        <w:tc>
          <w:tcPr>
            <w:tcW w:w="1277"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17</w:t>
            </w:r>
          </w:p>
        </w:tc>
        <w:tc>
          <w:tcPr>
            <w:tcW w:w="1530"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17</w:t>
            </w:r>
          </w:p>
        </w:tc>
        <w:tc>
          <w:tcPr>
            <w:tcW w:w="1530"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12</w:t>
            </w:r>
          </w:p>
        </w:tc>
        <w:tc>
          <w:tcPr>
            <w:tcW w:w="1440"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2</w:t>
            </w:r>
          </w:p>
        </w:tc>
        <w:tc>
          <w:tcPr>
            <w:tcW w:w="1440" w:type="dxa"/>
            <w:vAlign w:val="center"/>
          </w:tcPr>
          <w:p>
            <w:pPr>
              <w:spacing w:after="0" w:line="480" w:lineRule="auto"/>
              <w:ind w:left="210" w:leftChars="100"/>
              <w:jc w:val="left"/>
              <w:rPr>
                <w:rFonts w:ascii="Times New Roman" w:hAnsi="Times New Roman" w:cs="Times New Roman"/>
                <w:sz w:val="24"/>
                <w:lang w:eastAsia="en-GB"/>
              </w:rPr>
            </w:pPr>
            <w:r>
              <w:rPr>
                <w:rFonts w:ascii="Times New Roman" w:hAnsi="Times New Roman" w:cs="Times New Roman"/>
                <w:sz w:val="24"/>
                <w:lang w:eastAsia="en-GB"/>
              </w:rPr>
              <w:t>29</w:t>
            </w:r>
          </w:p>
        </w:tc>
        <w:tc>
          <w:tcPr>
            <w:tcW w:w="1701" w:type="dxa"/>
            <w:vAlign w:val="center"/>
          </w:tcPr>
          <w:p>
            <w:pPr>
              <w:spacing w:after="0" w:line="480" w:lineRule="auto"/>
              <w:ind w:left="210" w:leftChars="100"/>
              <w:jc w:val="left"/>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4.5</w:t>
            </w:r>
          </w:p>
        </w:tc>
      </w:tr>
      <w:tr>
        <w:tblPrEx>
          <w:tblLayout w:type="fixed"/>
        </w:tblPrEx>
        <w:trPr>
          <w:jc w:val="center"/>
        </w:trPr>
        <w:tc>
          <w:tcPr>
            <w:tcW w:w="1513" w:type="dxa"/>
            <w:vAlign w:val="center"/>
          </w:tcPr>
          <w:p>
            <w:pPr>
              <w:spacing w:after="0" w:line="480" w:lineRule="auto"/>
              <w:ind w:left="210" w:leftChars="100"/>
              <w:jc w:val="left"/>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277" w:type="dxa"/>
            <w:vAlign w:val="center"/>
          </w:tcPr>
          <w:p>
            <w:pPr>
              <w:spacing w:after="0" w:line="480" w:lineRule="auto"/>
              <w:ind w:left="210" w:leftChars="100"/>
              <w:jc w:val="left"/>
              <w:rPr>
                <w:rFonts w:ascii="Times New Roman" w:hAnsi="Times New Roman" w:cs="Times New Roman"/>
                <w:b/>
                <w:sz w:val="24"/>
                <w:lang w:eastAsia="en-GB"/>
              </w:rPr>
            </w:pPr>
            <w:r>
              <w:rPr>
                <w:rFonts w:ascii="Times New Roman" w:hAnsi="Times New Roman" w:cs="Times New Roman"/>
                <w:b/>
                <w:sz w:val="24"/>
                <w:lang w:eastAsia="en-GB"/>
              </w:rPr>
              <w:t>100</w:t>
            </w:r>
          </w:p>
        </w:tc>
        <w:tc>
          <w:tcPr>
            <w:tcW w:w="1530" w:type="dxa"/>
            <w:vAlign w:val="center"/>
          </w:tcPr>
          <w:p>
            <w:pPr>
              <w:spacing w:after="0" w:line="480" w:lineRule="auto"/>
              <w:ind w:left="210" w:leftChars="100"/>
              <w:jc w:val="left"/>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530" w:type="dxa"/>
            <w:vAlign w:val="center"/>
          </w:tcPr>
          <w:p>
            <w:pPr>
              <w:spacing w:after="0" w:line="480" w:lineRule="auto"/>
              <w:ind w:left="210" w:leftChars="100"/>
              <w:jc w:val="left"/>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440" w:type="dxa"/>
            <w:vAlign w:val="center"/>
          </w:tcPr>
          <w:p>
            <w:pPr>
              <w:spacing w:after="0" w:line="480" w:lineRule="auto"/>
              <w:ind w:left="210" w:leftChars="100"/>
              <w:jc w:val="left"/>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440" w:type="dxa"/>
            <w:vAlign w:val="center"/>
          </w:tcPr>
          <w:p>
            <w:pPr>
              <w:spacing w:after="0" w:line="480" w:lineRule="auto"/>
              <w:ind w:left="210" w:leftChars="100"/>
              <w:jc w:val="left"/>
              <w:rPr>
                <w:rFonts w:ascii="Times New Roman" w:hAnsi="Times New Roman" w:cs="Times New Roman"/>
                <w:b/>
                <w:sz w:val="24"/>
                <w:lang w:eastAsia="en-GB"/>
              </w:rPr>
            </w:pPr>
            <w:r>
              <w:rPr>
                <w:rFonts w:ascii="Times New Roman" w:hAnsi="Times New Roman" w:cs="Times New Roman"/>
                <w:b/>
                <w:sz w:val="24"/>
                <w:lang w:eastAsia="en-GB"/>
              </w:rPr>
              <w:t>264</w:t>
            </w:r>
          </w:p>
        </w:tc>
        <w:tc>
          <w:tcPr>
            <w:tcW w:w="1701" w:type="dxa"/>
            <w:vAlign w:val="center"/>
          </w:tcPr>
          <w:p>
            <w:pPr>
              <w:spacing w:after="0" w:line="480" w:lineRule="auto"/>
              <w:ind w:left="210" w:leftChars="100"/>
              <w:jc w:val="left"/>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line="480" w:lineRule="auto"/>
        <w:rPr>
          <w:rFonts w:ascii="Times New Roman" w:hAnsi="Times New Roman" w:cs="Times New Roman"/>
          <w:b/>
          <w:bCs/>
          <w:sz w:val="24"/>
        </w:rPr>
      </w:pPr>
      <w:r>
        <w:rPr>
          <w:rFonts w:ascii="Times New Roman" w:hAnsi="Times New Roman" w:cs="Times New Roman"/>
          <w:b/>
          <w:bCs/>
          <w:sz w:val="24"/>
        </w:rPr>
        <w:t>4.2.4</w:t>
      </w:r>
      <w:r>
        <w:rPr>
          <w:rFonts w:ascii="Times New Roman" w:hAnsi="Times New Roman" w:cs="Times New Roman"/>
          <w:b/>
          <w:bCs/>
          <w:sz w:val="24"/>
        </w:rPr>
        <w:tab/>
      </w:r>
      <w:r>
        <w:rPr>
          <w:rFonts w:ascii="Times New Roman" w:hAnsi="Times New Roman" w:cs="Times New Roman"/>
          <w:b/>
          <w:bCs/>
          <w:sz w:val="24"/>
        </w:rPr>
        <w:t>Nativity of the Respondents</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eastAsia="Times New Roman" w:cs="Times New Roman"/>
          <w:sz w:val="24"/>
        </w:rPr>
        <w:t>The nativity distribution of respondents in the study area is presented in Table 4.4. A significant proportion of respondents in Adewole Estate are indigenes, accounting for (70%), compared to non-indigenes, who make up (30%). Similarly, in Harmony Estate, the number of indigenes (66%) exceeds that of non-indigenes (34%). This trend suggests that both estates are predominantly inhabited by indigenes, with  Adewole Estate showing a notable concentration of indigenes, and Harmony Estate having an even higher proportion. The findings imply that local residents, or indigenes, are more likely to occupy these housing estates, possibly due to factors such as availability of housing schemes targeted at the indigenous population or affordability. This trend might reflect the local demographic composition and could indicate that housing projects in these estates may be more accessible or appealing to the native population.</w:t>
      </w:r>
    </w:p>
    <w:p>
      <w:pPr>
        <w:spacing w:after="0" w:line="480" w:lineRule="auto"/>
        <w:rPr>
          <w:rFonts w:ascii="Times New Roman" w:hAnsi="Times New Roman" w:cs="Times New Roman"/>
          <w:b/>
          <w:bCs/>
          <w:sz w:val="24"/>
        </w:rPr>
      </w:pPr>
      <w:r>
        <w:rPr>
          <w:rFonts w:ascii="Times New Roman" w:hAnsi="Times New Roman" w:cs="Times New Roman"/>
          <w:b/>
          <w:bCs/>
          <w:sz w:val="24"/>
        </w:rPr>
        <w:t>Table 4.4:</w:t>
      </w:r>
      <w:r>
        <w:rPr>
          <w:rFonts w:ascii="Times New Roman" w:hAnsi="Times New Roman" w:cs="Times New Roman"/>
          <w:b/>
          <w:bCs/>
          <w:sz w:val="24"/>
        </w:rPr>
        <w:tab/>
      </w:r>
      <w:r>
        <w:rPr>
          <w:rFonts w:ascii="Times New Roman" w:hAnsi="Times New Roman" w:cs="Times New Roman"/>
          <w:b/>
          <w:bCs/>
          <w:sz w:val="24"/>
        </w:rPr>
        <w:t>Nativity of the Respondents</w:t>
      </w:r>
    </w:p>
    <w:tbl>
      <w:tblPr>
        <w:tblStyle w:val="12"/>
        <w:tblW w:w="966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310"/>
        <w:gridCol w:w="1349"/>
        <w:gridCol w:w="1310"/>
        <w:gridCol w:w="1349"/>
        <w:gridCol w:w="1310"/>
        <w:gridCol w:w="1349"/>
      </w:tblGrid>
      <w:tr>
        <w:tblPrEx>
          <w:tblLayout w:type="fixed"/>
        </w:tblPrEx>
        <w:trPr>
          <w:jc w:val="center"/>
        </w:trPr>
        <w:tc>
          <w:tcPr>
            <w:tcW w:w="1691"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Nativity</w:t>
            </w:r>
          </w:p>
        </w:tc>
        <w:tc>
          <w:tcPr>
            <w:tcW w:w="2659" w:type="dxa"/>
            <w:gridSpan w:val="2"/>
          </w:tcPr>
          <w:p>
            <w:pPr>
              <w:spacing w:after="0" w:line="480" w:lineRule="auto"/>
              <w:jc w:val="center"/>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jc w:val="center"/>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390" w:hRule="atLeast"/>
          <w:jc w:val="center"/>
        </w:trPr>
        <w:tc>
          <w:tcPr>
            <w:tcW w:w="1691" w:type="dxa"/>
            <w:vMerge w:val="continue"/>
            <w:vAlign w:val="center"/>
          </w:tcPr>
          <w:p>
            <w:pPr>
              <w:spacing w:after="0" w:line="480" w:lineRule="auto"/>
              <w:jc w:val="center"/>
              <w:rPr>
                <w:rFonts w:ascii="Times New Roman" w:hAnsi="Times New Roman" w:cs="Times New Roman"/>
                <w:b/>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69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Indigene</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66</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6</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36</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68</w:t>
            </w:r>
          </w:p>
        </w:tc>
      </w:tr>
      <w:tr>
        <w:tblPrEx>
          <w:tblLayout w:type="fixed"/>
        </w:tblPrEx>
        <w:trPr>
          <w:jc w:val="center"/>
        </w:trPr>
        <w:tc>
          <w:tcPr>
            <w:tcW w:w="169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Non-indigene</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3</w:t>
            </w:r>
            <w:r>
              <w:rPr>
                <w:rFonts w:ascii="Times New Roman" w:hAnsi="Times New Roman" w:cs="Times New Roman"/>
                <w:sz w:val="24"/>
                <w:lang w:eastAsia="en-GB"/>
              </w:rPr>
              <w:t>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34</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3</w:t>
            </w:r>
            <w:r>
              <w:rPr>
                <w:rFonts w:ascii="Times New Roman" w:hAnsi="Times New Roman" w:cs="Times New Roman"/>
                <w:sz w:val="24"/>
                <w:lang w:eastAsia="en-GB"/>
              </w:rPr>
              <w:t>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32</w:t>
            </w:r>
          </w:p>
        </w:tc>
      </w:tr>
      <w:tr>
        <w:tblPrEx>
          <w:tblLayout w:type="fixed"/>
        </w:tblPrEx>
        <w:trPr>
          <w:jc w:val="center"/>
        </w:trPr>
        <w:tc>
          <w:tcPr>
            <w:tcW w:w="169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line="480" w:lineRule="auto"/>
        <w:rPr>
          <w:rFonts w:ascii="Times New Roman" w:hAnsi="Times New Roman" w:cs="Times New Roman"/>
          <w:b/>
          <w:sz w:val="24"/>
        </w:rPr>
      </w:pPr>
      <w:r>
        <w:rPr>
          <w:rFonts w:ascii="Times New Roman" w:hAnsi="Times New Roman" w:cs="Times New Roman"/>
          <w:b/>
          <w:bCs/>
          <w:sz w:val="24"/>
        </w:rPr>
        <w:t>4.2.5</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sz w:val="24"/>
        </w:rPr>
        <w:t xml:space="preserve">Religion </w:t>
      </w:r>
      <w:r>
        <w:rPr>
          <w:rFonts w:ascii="Times New Roman" w:hAnsi="Times New Roman" w:cs="Times New Roman"/>
          <w:b/>
          <w:bCs/>
          <w:sz w:val="24"/>
        </w:rPr>
        <w:t>of the Respondents</w:t>
      </w:r>
    </w:p>
    <w:p>
      <w:pPr>
        <w:spacing w:after="0" w:line="480" w:lineRule="auto"/>
        <w:rPr>
          <w:rFonts w:ascii="Times New Roman" w:hAnsi="Times New Roman" w:cs="Times New Roman"/>
          <w:sz w:val="24"/>
        </w:rPr>
      </w:pPr>
      <w:r>
        <w:rPr>
          <w:rFonts w:ascii="Times New Roman" w:hAnsi="Times New Roman" w:cs="Times New Roman"/>
          <w:sz w:val="24"/>
        </w:rPr>
        <w:t>The respondents in the study are primarily Muslim (55%) and Christian (45%) (see table 4.5). The data reveals that among the respondents, a larger proportion of Muslims are found in Adewole, comprising (55%), compared to (45%)Christians. Similarly, in Harmony Estate, Muslims make up (57%) of the respondents, while Christians account for(43%).</w:t>
      </w:r>
    </w:p>
    <w:p>
      <w:pPr>
        <w:spacing w:after="0" w:line="480" w:lineRule="auto"/>
        <w:rPr>
          <w:rFonts w:ascii="Times New Roman" w:hAnsi="Times New Roman" w:cs="Times New Roman"/>
          <w:sz w:val="24"/>
        </w:rPr>
      </w:pPr>
      <w:r>
        <w:rPr>
          <w:rFonts w:ascii="Times New Roman" w:hAnsi="Times New Roman" w:cs="Times New Roman"/>
          <w:sz w:val="24"/>
        </w:rPr>
        <w:t>This suggests a higher concentration of Muslim residents in both housing estates, with Adewole showing a more pronounced Muslim majority compared to Harmony Estate. The disparity in religious composition could be reflective of the demographic and cultural patterns within the study area, potentially influencing the preferences and perceptions of the residents in these estates.</w:t>
      </w:r>
    </w:p>
    <w:p>
      <w:pPr>
        <w:spacing w:after="0" w:line="480" w:lineRule="auto"/>
        <w:rPr>
          <w:rFonts w:ascii="Times New Roman" w:hAnsi="Times New Roman" w:cs="Times New Roman"/>
          <w:b/>
          <w:sz w:val="24"/>
        </w:rPr>
      </w:pPr>
      <w:r>
        <w:rPr>
          <w:rFonts w:ascii="Times New Roman" w:hAnsi="Times New Roman" w:cs="Times New Roman"/>
          <w:b/>
          <w:sz w:val="24"/>
        </w:rPr>
        <w:t>Table4.5:</w:t>
      </w:r>
      <w:r>
        <w:rPr>
          <w:rFonts w:ascii="Times New Roman" w:hAnsi="Times New Roman" w:cs="Times New Roman"/>
          <w:b/>
          <w:sz w:val="24"/>
        </w:rPr>
        <w:tab/>
      </w:r>
      <w:r>
        <w:rPr>
          <w:rFonts w:ascii="Times New Roman" w:hAnsi="Times New Roman" w:cs="Times New Roman"/>
          <w:b/>
          <w:sz w:val="24"/>
        </w:rPr>
        <w:t xml:space="preserve">Religion </w:t>
      </w:r>
      <w:r>
        <w:rPr>
          <w:rFonts w:ascii="Times New Roman" w:hAnsi="Times New Roman" w:cs="Times New Roman"/>
          <w:b/>
          <w:bCs/>
          <w:sz w:val="24"/>
        </w:rPr>
        <w:t>of the Respondents</w:t>
      </w:r>
    </w:p>
    <w:tbl>
      <w:tblPr>
        <w:tblStyle w:val="12"/>
        <w:tblW w:w="10181" w:type="dxa"/>
        <w:jc w:val="center"/>
        <w:tblInd w:w="-217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41"/>
        <w:gridCol w:w="1476"/>
        <w:gridCol w:w="1350"/>
        <w:gridCol w:w="1341"/>
        <w:gridCol w:w="1719"/>
        <w:gridCol w:w="1393"/>
        <w:gridCol w:w="1361"/>
      </w:tblGrid>
      <w:tr>
        <w:tblPrEx>
          <w:tblLayout w:type="fixed"/>
        </w:tblPrEx>
        <w:trPr>
          <w:trHeight w:val="1043" w:hRule="atLeast"/>
          <w:jc w:val="center"/>
        </w:trPr>
        <w:tc>
          <w:tcPr>
            <w:tcW w:w="154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Religion</w:t>
            </w:r>
          </w:p>
        </w:tc>
        <w:tc>
          <w:tcPr>
            <w:tcW w:w="2826" w:type="dxa"/>
            <w:gridSpan w:val="2"/>
          </w:tcPr>
          <w:p>
            <w:pPr>
              <w:spacing w:after="0" w:line="480" w:lineRule="auto"/>
              <w:jc w:val="center"/>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3060" w:type="dxa"/>
            <w:gridSpan w:val="2"/>
          </w:tcPr>
          <w:p>
            <w:pPr>
              <w:spacing w:after="0" w:line="480" w:lineRule="auto"/>
              <w:jc w:val="center"/>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754"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541" w:type="dxa"/>
            <w:vAlign w:val="center"/>
          </w:tcPr>
          <w:p>
            <w:pPr>
              <w:spacing w:after="0" w:line="480" w:lineRule="auto"/>
              <w:jc w:val="center"/>
              <w:rPr>
                <w:rFonts w:ascii="Times New Roman" w:hAnsi="Times New Roman" w:cs="Times New Roman"/>
                <w:sz w:val="24"/>
                <w:lang w:val="en-GB" w:eastAsia="en-GB"/>
              </w:rPr>
            </w:pPr>
          </w:p>
        </w:tc>
        <w:tc>
          <w:tcPr>
            <w:tcW w:w="1476"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5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4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71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93"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6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54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Islamic</w:t>
            </w:r>
          </w:p>
        </w:tc>
        <w:tc>
          <w:tcPr>
            <w:tcW w:w="1476"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55</w:t>
            </w:r>
          </w:p>
        </w:tc>
        <w:tc>
          <w:tcPr>
            <w:tcW w:w="135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55</w:t>
            </w:r>
          </w:p>
        </w:tc>
        <w:tc>
          <w:tcPr>
            <w:tcW w:w="1341"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57</w:t>
            </w:r>
          </w:p>
        </w:tc>
        <w:tc>
          <w:tcPr>
            <w:tcW w:w="171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57</w:t>
            </w:r>
          </w:p>
        </w:tc>
        <w:tc>
          <w:tcPr>
            <w:tcW w:w="1393"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112</w:t>
            </w:r>
          </w:p>
        </w:tc>
        <w:tc>
          <w:tcPr>
            <w:tcW w:w="1361"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56</w:t>
            </w:r>
          </w:p>
        </w:tc>
      </w:tr>
      <w:tr>
        <w:tblPrEx>
          <w:tblLayout w:type="fixed"/>
        </w:tblPrEx>
        <w:trPr>
          <w:jc w:val="center"/>
        </w:trPr>
        <w:tc>
          <w:tcPr>
            <w:tcW w:w="154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Christianity</w:t>
            </w:r>
          </w:p>
        </w:tc>
        <w:tc>
          <w:tcPr>
            <w:tcW w:w="1476"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45</w:t>
            </w:r>
          </w:p>
        </w:tc>
        <w:tc>
          <w:tcPr>
            <w:tcW w:w="135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45</w:t>
            </w:r>
          </w:p>
        </w:tc>
        <w:tc>
          <w:tcPr>
            <w:tcW w:w="1341"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43</w:t>
            </w:r>
          </w:p>
        </w:tc>
        <w:tc>
          <w:tcPr>
            <w:tcW w:w="171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43</w:t>
            </w:r>
          </w:p>
        </w:tc>
        <w:tc>
          <w:tcPr>
            <w:tcW w:w="1393"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88</w:t>
            </w:r>
          </w:p>
        </w:tc>
        <w:tc>
          <w:tcPr>
            <w:tcW w:w="1361"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44</w:t>
            </w:r>
          </w:p>
        </w:tc>
      </w:tr>
      <w:tr>
        <w:tblPrEx>
          <w:tblLayout w:type="fixed"/>
        </w:tblPrEx>
        <w:trPr>
          <w:jc w:val="center"/>
        </w:trPr>
        <w:tc>
          <w:tcPr>
            <w:tcW w:w="154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476"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5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41"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71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93"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6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line="480" w:lineRule="auto"/>
        <w:jc w:val="center"/>
        <w:rPr>
          <w:rFonts w:ascii="Times New Roman" w:hAnsi="Times New Roman" w:cs="Times New Roman"/>
          <w:b/>
          <w:sz w:val="24"/>
        </w:rPr>
      </w:pPr>
      <w:r>
        <w:rPr>
          <w:rFonts w:ascii="Times New Roman" w:hAnsi="Times New Roman" w:cs="Times New Roman"/>
          <w:b/>
          <w:bCs/>
          <w:sz w:val="24"/>
        </w:rPr>
        <w:t>4.2.6</w:t>
      </w:r>
      <w:r>
        <w:rPr>
          <w:rFonts w:ascii="Times New Roman" w:hAnsi="Times New Roman" w:cs="Times New Roman"/>
          <w:b/>
          <w:bCs/>
          <w:sz w:val="24"/>
        </w:rPr>
        <w:tab/>
      </w:r>
      <w:r>
        <w:rPr>
          <w:rFonts w:ascii="Times New Roman" w:hAnsi="Times New Roman" w:cs="Times New Roman"/>
          <w:b/>
          <w:sz w:val="24"/>
        </w:rPr>
        <w:t xml:space="preserve">Tenure </w:t>
      </w:r>
      <w:r>
        <w:rPr>
          <w:rFonts w:ascii="Times New Roman" w:hAnsi="Times New Roman" w:cs="Times New Roman"/>
          <w:b/>
          <w:bCs/>
          <w:sz w:val="24"/>
        </w:rPr>
        <w:t>of Occupancy</w:t>
      </w:r>
    </w:p>
    <w:p>
      <w:pPr>
        <w:spacing w:line="480" w:lineRule="auto"/>
        <w:rPr>
          <w:rFonts w:ascii="Times New Roman" w:hAnsi="Times New Roman" w:cs="Times New Roman"/>
          <w:sz w:val="24"/>
        </w:rPr>
      </w:pPr>
      <w:r>
        <w:rPr>
          <w:rFonts w:ascii="Times New Roman" w:hAnsi="Times New Roman" w:cs="Times New Roman"/>
          <w:sz w:val="24"/>
        </w:rPr>
        <w:t>The tenure of occupancy of the respondents is shown in Table 4.6. In Adewole Estate, a significant proportion of respondents are landlords, accounting for (61%). This is followed by tenants at (22%), relatives of the landlord at (10%), and squatters at (7%). In Harmony Estate, the proportion of landlords (51%) is still higher than tenants (30%), with relatives of the landlord at (7%) and squatters at (12%).</w:t>
      </w:r>
    </w:p>
    <w:p>
      <w:pPr>
        <w:spacing w:line="480" w:lineRule="auto"/>
        <w:rPr>
          <w:rFonts w:ascii="Times New Roman" w:hAnsi="Times New Roman" w:cs="Times New Roman"/>
          <w:sz w:val="24"/>
        </w:rPr>
      </w:pPr>
      <w:r>
        <w:rPr>
          <w:rFonts w:ascii="Times New Roman" w:hAnsi="Times New Roman" w:cs="Times New Roman"/>
          <w:sz w:val="24"/>
        </w:rPr>
        <w:t>The high proportion of homeowners in both estates suggests that several factors likely influence their choice to reside in these areas. The presence of landlords in significant numbers could reflect the estate's appeal to property investors, while the substantial number of tenants in both estates indicates that these areas also cater to individuals seeking affordable and secure housing. Additionally, the lower proportion of squatters and relations to landlords suggests a degree of formality in the housing arrangements within these estates. The preferences for homeownership in both Adewole and Harmony estates may point to the availability of amenities, security, or other factors contributing to the overall attractiveness of these residential areas.</w:t>
      </w:r>
    </w:p>
    <w:p>
      <w:pPr>
        <w:spacing w:line="480" w:lineRule="auto"/>
        <w:rPr>
          <w:rFonts w:ascii="Times New Roman" w:hAnsi="Times New Roman" w:cs="Times New Roman"/>
          <w:b/>
          <w:sz w:val="24"/>
        </w:rPr>
      </w:pPr>
      <w:r>
        <w:rPr>
          <w:rFonts w:ascii="Times New Roman" w:hAnsi="Times New Roman" w:cs="Times New Roman"/>
          <w:b/>
          <w:sz w:val="24"/>
        </w:rPr>
        <w:t xml:space="preserve">Table4.6:Tenure </w:t>
      </w:r>
      <w:r>
        <w:rPr>
          <w:rFonts w:ascii="Times New Roman" w:hAnsi="Times New Roman" w:cs="Times New Roman"/>
          <w:b/>
          <w:bCs/>
          <w:sz w:val="24"/>
        </w:rPr>
        <w:t>of Occupancy</w:t>
      </w:r>
    </w:p>
    <w:tbl>
      <w:tblPr>
        <w:tblStyle w:val="12"/>
        <w:tblW w:w="961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38"/>
        <w:gridCol w:w="1310"/>
        <w:gridCol w:w="1349"/>
        <w:gridCol w:w="1310"/>
        <w:gridCol w:w="1349"/>
        <w:gridCol w:w="1310"/>
        <w:gridCol w:w="1349"/>
      </w:tblGrid>
      <w:tr>
        <w:tblPrEx>
          <w:tblLayout w:type="fixed"/>
        </w:tblPrEx>
        <w:trPr>
          <w:jc w:val="center"/>
        </w:trPr>
        <w:tc>
          <w:tcPr>
            <w:tcW w:w="1638"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Tenure Of Occupancy</w:t>
            </w:r>
          </w:p>
        </w:tc>
        <w:tc>
          <w:tcPr>
            <w:tcW w:w="2659" w:type="dxa"/>
            <w:gridSpan w:val="2"/>
          </w:tcPr>
          <w:p>
            <w:pPr>
              <w:spacing w:after="0" w:line="480" w:lineRule="auto"/>
              <w:jc w:val="center"/>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jc w:val="center"/>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638" w:type="dxa"/>
            <w:vMerge w:val="continue"/>
            <w:vAlign w:val="center"/>
          </w:tcPr>
          <w:p>
            <w:pPr>
              <w:spacing w:after="0" w:line="480" w:lineRule="auto"/>
              <w:jc w:val="center"/>
              <w:rPr>
                <w:rFonts w:ascii="Times New Roman" w:hAnsi="Times New Roman" w:cs="Times New Roman"/>
                <w:b/>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63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Landlord</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61</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112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56</w:t>
            </w:r>
          </w:p>
        </w:tc>
      </w:tr>
      <w:tr>
        <w:tblPrEx>
          <w:tblLayout w:type="fixed"/>
        </w:tblPrEx>
        <w:trPr>
          <w:jc w:val="center"/>
        </w:trPr>
        <w:tc>
          <w:tcPr>
            <w:tcW w:w="163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Tenant</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w:t>
            </w:r>
            <w:r>
              <w:rPr>
                <w:rFonts w:ascii="Times New Roman" w:hAnsi="Times New Roman" w:cs="Times New Roman"/>
                <w:sz w:val="24"/>
                <w:lang w:eastAsia="en-GB"/>
              </w:rPr>
              <w:t>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52</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w:t>
            </w:r>
            <w:r>
              <w:rPr>
                <w:rFonts w:ascii="Times New Roman" w:hAnsi="Times New Roman" w:cs="Times New Roman"/>
                <w:sz w:val="24"/>
                <w:lang w:eastAsia="en-GB"/>
              </w:rPr>
              <w:t>6</w:t>
            </w:r>
          </w:p>
        </w:tc>
      </w:tr>
      <w:tr>
        <w:tblPrEx>
          <w:tblLayout w:type="fixed"/>
        </w:tblPrEx>
        <w:trPr>
          <w:jc w:val="center"/>
        </w:trPr>
        <w:tc>
          <w:tcPr>
            <w:tcW w:w="163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Squatter</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19</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9.5</w:t>
            </w:r>
          </w:p>
        </w:tc>
      </w:tr>
      <w:tr>
        <w:tblPrEx>
          <w:tblLayout w:type="fixed"/>
        </w:tblPrEx>
        <w:trPr>
          <w:jc w:val="center"/>
        </w:trPr>
        <w:tc>
          <w:tcPr>
            <w:tcW w:w="163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Relations to land lord</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8.5</w:t>
            </w:r>
          </w:p>
        </w:tc>
      </w:tr>
      <w:tr>
        <w:tblPrEx>
          <w:tblLayout w:type="fixed"/>
        </w:tblPrEx>
        <w:trPr>
          <w:jc w:val="center"/>
        </w:trPr>
        <w:tc>
          <w:tcPr>
            <w:tcW w:w="1638"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after="0" w:line="480" w:lineRule="auto"/>
        <w:rPr>
          <w:rFonts w:ascii="Times New Roman" w:hAnsi="Times New Roman" w:cs="Times New Roman"/>
          <w:b/>
          <w:bCs/>
          <w:sz w:val="24"/>
        </w:rPr>
      </w:pPr>
      <w:r>
        <w:rPr>
          <w:rFonts w:ascii="Times New Roman" w:hAnsi="Times New Roman" w:cs="Times New Roman"/>
          <w:b/>
          <w:bCs/>
          <w:sz w:val="24"/>
        </w:rPr>
        <w:t>4.2.7:</w:t>
      </w:r>
      <w:r>
        <w:rPr>
          <w:rFonts w:ascii="Times New Roman" w:hAnsi="Times New Roman" w:cs="Times New Roman"/>
          <w:b/>
          <w:bCs/>
          <w:sz w:val="24"/>
        </w:rPr>
        <w:tab/>
      </w:r>
      <w:r>
        <w:rPr>
          <w:rFonts w:ascii="Times New Roman" w:hAnsi="Times New Roman" w:cs="Times New Roman"/>
          <w:b/>
          <w:bCs/>
          <w:sz w:val="24"/>
        </w:rPr>
        <w:t>Respondent’s Household size</w:t>
      </w:r>
    </w:p>
    <w:p>
      <w:pPr>
        <w:spacing w:after="0" w:line="480" w:lineRule="auto"/>
        <w:rPr>
          <w:rFonts w:ascii="Times New Roman" w:hAnsi="Times New Roman" w:eastAsia="Times New Roman" w:cs="Times New Roman"/>
          <w:sz w:val="24"/>
        </w:rPr>
      </w:pPr>
      <w:r>
        <w:rPr>
          <w:rFonts w:ascii="Times New Roman" w:hAnsi="Times New Roman" w:eastAsia="Times New Roman" w:cs="Times New Roman"/>
          <w:sz w:val="24"/>
        </w:rPr>
        <w:t>The data on household size of respondents is presented in Table 4.7. In Adewole, the majority of respondents (80%) fall within the household size range of 3-5, followed by (12%) of respondents with household sizes between 6-8, and (8%) with household sizes under 3. Similarly, in Harmony, a larger proportion of respondents (79%) belong to the 3-5 household size category, compared to (13%) with household sizes of 6-8 and (8%) with household sizes below 3. Overall, the combined findings show that the highest percentage of respondents (79%) across both estates fall within the 3-5 household size range. This is notably higher than those with 6-8 household size (12%) and those with fewer than 3 occupants (8%). The findings indicate that most households in both Adewole and Harmony Estates consist of 3 to 5 members, suggesting that the majority of respondents belong to medium-sized families. The relatively lower percentages of households with fewer than 3 members or more than 5 members indicate that smaller and larger households are less common in these areas. This could imply that the housing units in these estates are better suited to medium-sized families, which might influence the design and amenities provided in these developments.</w:t>
      </w:r>
    </w:p>
    <w:p>
      <w:pPr>
        <w:spacing w:before="100" w:beforeAutospacing="1" w:after="100" w:afterAutospacing="1" w:line="480" w:lineRule="auto"/>
        <w:rPr>
          <w:rFonts w:ascii="Times New Roman" w:hAnsi="Times New Roman" w:cs="Times New Roman"/>
          <w:b/>
          <w:bCs/>
          <w:sz w:val="24"/>
        </w:rPr>
      </w:pPr>
      <w:r>
        <w:rPr>
          <w:rFonts w:ascii="Times New Roman" w:hAnsi="Times New Roman" w:cs="Times New Roman"/>
          <w:b/>
          <w:bCs/>
          <w:sz w:val="24"/>
        </w:rPr>
        <w:t>Table 4.7:Respondent’s Household size</w:t>
      </w:r>
    </w:p>
    <w:tbl>
      <w:tblPr>
        <w:tblStyle w:val="12"/>
        <w:tblW w:w="98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5"/>
        <w:gridCol w:w="1310"/>
        <w:gridCol w:w="1349"/>
        <w:gridCol w:w="1310"/>
        <w:gridCol w:w="1349"/>
        <w:gridCol w:w="1310"/>
        <w:gridCol w:w="1349"/>
      </w:tblGrid>
      <w:tr>
        <w:tblPrEx>
          <w:tblLayout w:type="fixed"/>
        </w:tblPrEx>
        <w:trPr>
          <w:jc w:val="center"/>
        </w:trPr>
        <w:tc>
          <w:tcPr>
            <w:tcW w:w="1855"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Household Size</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855"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Below 3</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16</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3-5</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8</w:t>
            </w:r>
            <w:r>
              <w:rPr>
                <w:rFonts w:ascii="Times New Roman" w:hAnsi="Times New Roman" w:cs="Times New Roman"/>
                <w:sz w:val="24"/>
                <w:lang w:eastAsia="en-GB"/>
              </w:rPr>
              <w:t>0</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80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79</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79</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159</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79.</w:t>
            </w:r>
            <w:r>
              <w:rPr>
                <w:rFonts w:ascii="Times New Roman" w:hAnsi="Times New Roman" w:cs="Times New Roman"/>
                <w:sz w:val="24"/>
                <w:lang w:eastAsia="en-GB"/>
              </w:rPr>
              <w:t>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6-8</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2</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13</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25</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12.</w:t>
            </w:r>
            <w:r>
              <w:rPr>
                <w:rFonts w:ascii="Times New Roman" w:hAnsi="Times New Roman" w:cs="Times New Roman"/>
                <w:sz w:val="24"/>
                <w:lang w:eastAsia="en-GB"/>
              </w:rPr>
              <w:t>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w:t>
            </w:r>
            <w:r>
              <w:rPr>
                <w:rFonts w:ascii="Times New Roman" w:hAnsi="Times New Roman" w:cs="Times New Roman"/>
                <w:b/>
                <w:sz w:val="24"/>
                <w:lang w:eastAsia="en-GB"/>
              </w:rPr>
              <w:t>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line="480" w:lineRule="auto"/>
        <w:rPr>
          <w:rFonts w:ascii="Times New Roman" w:hAnsi="Times New Roman" w:cs="Times New Roman"/>
          <w:b/>
          <w:bCs/>
          <w:sz w:val="24"/>
        </w:rPr>
      </w:pPr>
    </w:p>
    <w:p>
      <w:pPr>
        <w:spacing w:line="480" w:lineRule="auto"/>
        <w:rPr>
          <w:rFonts w:ascii="Times New Roman" w:hAnsi="Times New Roman" w:cs="Times New Roman"/>
          <w:b/>
          <w:bCs/>
          <w:sz w:val="24"/>
        </w:rPr>
      </w:pPr>
      <w:r>
        <w:rPr>
          <w:rFonts w:ascii="Times New Roman" w:hAnsi="Times New Roman" w:cs="Times New Roman"/>
          <w:b/>
          <w:bCs/>
          <w:sz w:val="24"/>
        </w:rPr>
        <w:t>4.2.8</w:t>
      </w:r>
      <w:r>
        <w:rPr>
          <w:rFonts w:ascii="Times New Roman" w:hAnsi="Times New Roman" w:cs="Times New Roman"/>
          <w:b/>
          <w:bCs/>
          <w:sz w:val="24"/>
        </w:rPr>
        <w:tab/>
      </w:r>
      <w:r>
        <w:rPr>
          <w:rFonts w:ascii="Times New Roman" w:hAnsi="Times New Roman" w:cs="Times New Roman"/>
          <w:b/>
          <w:bCs/>
          <w:sz w:val="24"/>
        </w:rPr>
        <w:t>Occupation of the Respondents</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eastAsia="Times New Roman" w:cs="Times New Roman"/>
          <w:sz w:val="24"/>
        </w:rPr>
        <w:t>The data on the respondents' occupations in Adewole and Harmony estates is presented in Table 4.8. It shows that a significant proportion of the respondents in both estates are employed in the public sector, with (60%) in Adewole and (58%) in Harmony estate. The number of respondents working in the private sector is relatively smaller, accounting for (14%) in Adewole and (17%) in Harmony.</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eastAsia="Times New Roman" w:cs="Times New Roman"/>
          <w:sz w:val="24"/>
        </w:rPr>
        <w:t>Furthermore, a smaller proportion of respondents are farmers, retirees, self-employed, unemployed, and students. Specifically, (3%) of respondents in Adewole are farmers, while (7%) are retirees, and (12%) are self-employed, unemployed (1%), students (3%) or students. In Harmony estate, (6%) are farmers, (5%) are retirees, (8%) are self-employed. The unemployed and student groups represent (2%)and(4%), respectively, in Harmony estate.</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eastAsia="Times New Roman" w:cs="Times New Roman"/>
          <w:sz w:val="24"/>
        </w:rPr>
        <w:t>These findings highlight that the majority of residents in both estates are public servants. This is expected, as the estates were specifically designed as low-cost housing for public employees, reflecting the intended target demographic for the housing development. The relatively low percentages of other occupations further reinforce the notion that the estates cater primarily to public sector workers.</w:t>
      </w: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r>
        <w:rPr>
          <w:rFonts w:ascii="Times New Roman" w:hAnsi="Times New Roman" w:cs="Times New Roman"/>
          <w:b/>
          <w:bCs/>
          <w:sz w:val="24"/>
        </w:rPr>
        <w:t>Table 4.8:Occupation of the Respondents</w:t>
      </w:r>
    </w:p>
    <w:tbl>
      <w:tblPr>
        <w:tblStyle w:val="12"/>
        <w:tblW w:w="989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18"/>
        <w:gridCol w:w="1310"/>
        <w:gridCol w:w="1349"/>
        <w:gridCol w:w="1310"/>
        <w:gridCol w:w="1349"/>
        <w:gridCol w:w="1310"/>
        <w:gridCol w:w="1349"/>
      </w:tblGrid>
      <w:tr>
        <w:tblPrEx>
          <w:tblLayout w:type="fixed"/>
        </w:tblPrEx>
        <w:trPr>
          <w:jc w:val="center"/>
        </w:trPr>
        <w:tc>
          <w:tcPr>
            <w:tcW w:w="1918"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Occupation</w:t>
            </w:r>
          </w:p>
        </w:tc>
        <w:tc>
          <w:tcPr>
            <w:tcW w:w="2659" w:type="dxa"/>
            <w:gridSpan w:val="2"/>
          </w:tcPr>
          <w:p>
            <w:pPr>
              <w:spacing w:after="0" w:line="480" w:lineRule="auto"/>
              <w:jc w:val="center"/>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jc w:val="center"/>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918" w:type="dxa"/>
            <w:vMerge w:val="continue"/>
            <w:vAlign w:val="center"/>
          </w:tcPr>
          <w:p>
            <w:pPr>
              <w:spacing w:after="0" w:line="480" w:lineRule="auto"/>
              <w:jc w:val="center"/>
              <w:rPr>
                <w:rFonts w:ascii="Times New Roman" w:hAnsi="Times New Roman" w:cs="Times New Roman"/>
                <w:b/>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91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Public service</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0</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58</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5</w:t>
            </w:r>
            <w:r>
              <w:rPr>
                <w:rFonts w:ascii="Times New Roman" w:hAnsi="Times New Roman" w:cs="Times New Roman"/>
                <w:sz w:val="24"/>
                <w:lang w:eastAsia="en-GB"/>
              </w:rPr>
              <w:t>8</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1</w:t>
            </w:r>
            <w:r>
              <w:rPr>
                <w:rFonts w:ascii="Times New Roman" w:hAnsi="Times New Roman" w:cs="Times New Roman"/>
                <w:sz w:val="24"/>
                <w:lang w:val="en-GB" w:eastAsia="en-GB"/>
              </w:rPr>
              <w:t>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59</w:t>
            </w:r>
          </w:p>
        </w:tc>
      </w:tr>
      <w:tr>
        <w:tblPrEx>
          <w:tblLayout w:type="fixed"/>
        </w:tblPrEx>
        <w:trPr>
          <w:jc w:val="center"/>
        </w:trPr>
        <w:tc>
          <w:tcPr>
            <w:tcW w:w="191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Private  sector</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4</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31</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5.5</w:t>
            </w:r>
          </w:p>
        </w:tc>
      </w:tr>
      <w:tr>
        <w:tblPrEx>
          <w:tblLayout w:type="fixed"/>
        </w:tblPrEx>
        <w:trPr>
          <w:jc w:val="center"/>
        </w:trPr>
        <w:tc>
          <w:tcPr>
            <w:tcW w:w="191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farming</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4.5</w:t>
            </w:r>
          </w:p>
        </w:tc>
      </w:tr>
      <w:tr>
        <w:tblPrEx>
          <w:tblLayout w:type="fixed"/>
        </w:tblPrEx>
        <w:trPr>
          <w:jc w:val="center"/>
        </w:trPr>
        <w:tc>
          <w:tcPr>
            <w:tcW w:w="191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Retiree</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5</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2</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p>
        </w:tc>
      </w:tr>
      <w:tr>
        <w:tblPrEx>
          <w:tblLayout w:type="fixed"/>
        </w:tblPrEx>
        <w:trPr>
          <w:jc w:val="center"/>
        </w:trPr>
        <w:tc>
          <w:tcPr>
            <w:tcW w:w="191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Self employed</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2</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w:t>
            </w:r>
          </w:p>
        </w:tc>
      </w:tr>
      <w:tr>
        <w:tblPrEx>
          <w:tblLayout w:type="fixed"/>
        </w:tblPrEx>
        <w:trPr>
          <w:jc w:val="center"/>
        </w:trPr>
        <w:tc>
          <w:tcPr>
            <w:tcW w:w="191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unemployed</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1.5</w:t>
            </w:r>
          </w:p>
        </w:tc>
      </w:tr>
      <w:tr>
        <w:tblPrEx>
          <w:tblLayout w:type="fixed"/>
        </w:tblPrEx>
        <w:trPr>
          <w:jc w:val="center"/>
        </w:trPr>
        <w:tc>
          <w:tcPr>
            <w:tcW w:w="191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student</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3.5</w:t>
            </w:r>
          </w:p>
        </w:tc>
      </w:tr>
      <w:tr>
        <w:tblPrEx>
          <w:tblLayout w:type="fixed"/>
        </w:tblPrEx>
        <w:trPr>
          <w:jc w:val="center"/>
        </w:trPr>
        <w:tc>
          <w:tcPr>
            <w:tcW w:w="1918"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w:t>
            </w:r>
            <w:r>
              <w:rPr>
                <w:rFonts w:ascii="Times New Roman" w:hAnsi="Times New Roman" w:cs="Times New Roman"/>
                <w:b/>
                <w:sz w:val="24"/>
                <w:lang w:eastAsia="en-GB"/>
              </w:rPr>
              <w:t>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line="480" w:lineRule="auto"/>
        <w:rPr>
          <w:rFonts w:ascii="Times New Roman" w:hAnsi="Times New Roman" w:cs="Times New Roman"/>
          <w:b/>
          <w:sz w:val="24"/>
        </w:rPr>
      </w:pPr>
      <w:r>
        <w:rPr>
          <w:rFonts w:ascii="Times New Roman" w:hAnsi="Times New Roman" w:cs="Times New Roman"/>
          <w:b/>
          <w:bCs/>
          <w:sz w:val="24"/>
        </w:rPr>
        <w:t>4.2.9</w:t>
      </w:r>
      <w:r>
        <w:rPr>
          <w:rFonts w:ascii="Times New Roman" w:hAnsi="Times New Roman" w:cs="Times New Roman"/>
          <w:b/>
          <w:bCs/>
          <w:sz w:val="24"/>
        </w:rPr>
        <w:tab/>
      </w:r>
      <w:r>
        <w:rPr>
          <w:rFonts w:ascii="Times New Roman" w:hAnsi="Times New Roman" w:cs="Times New Roman"/>
          <w:b/>
          <w:bCs/>
          <w:sz w:val="24"/>
        </w:rPr>
        <w:t>Education Status of the Respondents</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eastAsia="Times New Roman" w:cs="Times New Roman"/>
          <w:sz w:val="24"/>
        </w:rPr>
        <w:t>From the data presented in Table 4.9, a significant percentage of respondents in both Adewole Estate and Harmony Estate have higher educational qualifications. In Adewole Estate, (54%) of respondents hold a University degree or HND, while (25%) have an N.C.E/OND, (12%) hold a postgraduate qualification, and smaller percentages have secondary school (4%), technical school (4%), and primary school education (1%). Similarly, in Harmony Estate, (46%) of respondents possess an HND/University degree, followed by (24% )with N.C.E, and (18%) with a postgraduate qualification. The remaining respondents have secondary school (6%), technical school (5%), and no primary school education (1%).</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eastAsia="Times New Roman" w:cs="Times New Roman"/>
          <w:sz w:val="24"/>
        </w:rPr>
        <w:t>The high proportion of respondents with higher educational qualifications (HND/University degree) in both housing estates suggests that education plays a significant role in influencing residents' housing choices and overall satisfaction. This trend highlights the importance of educational attainment in shaping individuals' preferences and perceptions regarding housing quality and amenities. Such a demographic may also indicate a higher expectation for quality housing and a preference for modern amenities, contributing to the level of satisfaction experienced within these estates. The relatively low percentages of respondents with lower educational qualifications could reflect a more educated and possibly more economically empowered demographic, which can influence their ability to assess and choose housing that meets their standards</w:t>
      </w:r>
    </w:p>
    <w:p>
      <w:pPr>
        <w:spacing w:before="100" w:beforeAutospacing="1" w:after="100" w:afterAutospacing="1" w:line="480" w:lineRule="auto"/>
        <w:rPr>
          <w:rFonts w:ascii="Times New Roman" w:hAnsi="Times New Roman" w:cs="Times New Roman"/>
          <w:b/>
          <w:bCs/>
          <w:sz w:val="24"/>
        </w:rPr>
      </w:pPr>
    </w:p>
    <w:p>
      <w:pPr>
        <w:spacing w:before="100" w:beforeAutospacing="1" w:after="100" w:afterAutospacing="1" w:line="480" w:lineRule="auto"/>
        <w:rPr>
          <w:rFonts w:ascii="Times New Roman" w:hAnsi="Times New Roman" w:cs="Times New Roman"/>
          <w:b/>
          <w:bCs/>
          <w:sz w:val="24"/>
        </w:rPr>
      </w:pPr>
    </w:p>
    <w:p>
      <w:pPr>
        <w:spacing w:before="100" w:beforeAutospacing="1" w:after="100" w:afterAutospacing="1" w:line="480" w:lineRule="auto"/>
        <w:rPr>
          <w:rFonts w:ascii="Times New Roman" w:hAnsi="Times New Roman" w:cs="Times New Roman"/>
          <w:b/>
          <w:bCs/>
          <w:sz w:val="24"/>
        </w:rPr>
      </w:pPr>
    </w:p>
    <w:p>
      <w:pPr>
        <w:spacing w:before="100" w:beforeAutospacing="1" w:after="100" w:afterAutospacing="1" w:line="480" w:lineRule="auto"/>
        <w:rPr>
          <w:rFonts w:ascii="Times New Roman" w:hAnsi="Times New Roman" w:cs="Times New Roman"/>
          <w:b/>
          <w:bCs/>
          <w:sz w:val="24"/>
        </w:rPr>
      </w:pPr>
    </w:p>
    <w:p>
      <w:pPr>
        <w:spacing w:before="100" w:beforeAutospacing="1" w:after="100" w:afterAutospacing="1" w:line="480" w:lineRule="auto"/>
        <w:rPr>
          <w:rFonts w:ascii="Times New Roman" w:hAnsi="Times New Roman" w:cs="Times New Roman"/>
          <w:b/>
          <w:bCs/>
          <w:sz w:val="24"/>
        </w:rPr>
      </w:pP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cs="Times New Roman"/>
          <w:b/>
          <w:bCs/>
          <w:sz w:val="24"/>
        </w:rPr>
        <w:t xml:space="preserve">Table 4.9: Education Status of the Respondents </w:t>
      </w:r>
    </w:p>
    <w:tbl>
      <w:tblPr>
        <w:tblStyle w:val="12"/>
        <w:tblW w:w="1044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91"/>
        <w:gridCol w:w="1310"/>
        <w:gridCol w:w="1349"/>
        <w:gridCol w:w="1310"/>
        <w:gridCol w:w="1349"/>
        <w:gridCol w:w="1310"/>
        <w:gridCol w:w="1721"/>
      </w:tblGrid>
      <w:tr>
        <w:tblPrEx>
          <w:tblLayout w:type="fixed"/>
        </w:tblPrEx>
        <w:trPr>
          <w:jc w:val="center"/>
        </w:trPr>
        <w:tc>
          <w:tcPr>
            <w:tcW w:w="2091"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Highest Level of Education</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3031"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2091" w:type="dxa"/>
            <w:vMerge w:val="continue"/>
            <w:vAlign w:val="center"/>
          </w:tcPr>
          <w:p>
            <w:pPr>
              <w:spacing w:after="0" w:line="480" w:lineRule="auto"/>
              <w:jc w:val="center"/>
              <w:rPr>
                <w:rFonts w:ascii="Times New Roman" w:hAnsi="Times New Roman" w:cs="Times New Roman"/>
                <w:b/>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72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209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HND/University</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54</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5</w:t>
            </w:r>
            <w:r>
              <w:rPr>
                <w:rFonts w:ascii="Times New Roman" w:hAnsi="Times New Roman" w:cs="Times New Roman"/>
                <w:sz w:val="24"/>
                <w:lang w:eastAsia="en-GB"/>
              </w:rPr>
              <w:t>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46</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46</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00</w:t>
            </w:r>
          </w:p>
        </w:tc>
        <w:tc>
          <w:tcPr>
            <w:tcW w:w="172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5</w:t>
            </w:r>
            <w:r>
              <w:rPr>
                <w:rFonts w:ascii="Times New Roman" w:hAnsi="Times New Roman" w:cs="Times New Roman"/>
                <w:sz w:val="24"/>
                <w:lang w:eastAsia="en-GB"/>
              </w:rPr>
              <w:t>0</w:t>
            </w:r>
          </w:p>
        </w:tc>
      </w:tr>
      <w:tr>
        <w:tblPrEx>
          <w:tblLayout w:type="fixed"/>
        </w:tblPrEx>
        <w:trPr>
          <w:jc w:val="center"/>
        </w:trPr>
        <w:tc>
          <w:tcPr>
            <w:tcW w:w="209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N.C.E/OND</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25</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w:t>
            </w:r>
            <w:r>
              <w:rPr>
                <w:rFonts w:ascii="Times New Roman" w:hAnsi="Times New Roman" w:cs="Times New Roman"/>
                <w:sz w:val="24"/>
                <w:lang w:eastAsia="en-GB"/>
              </w:rPr>
              <w:t>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24</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w:t>
            </w:r>
            <w:r>
              <w:rPr>
                <w:rFonts w:ascii="Times New Roman" w:hAnsi="Times New Roman" w:cs="Times New Roman"/>
                <w:sz w:val="24"/>
                <w:lang w:eastAsia="en-GB"/>
              </w:rPr>
              <w:t>4</w:t>
            </w:r>
          </w:p>
        </w:tc>
        <w:tc>
          <w:tcPr>
            <w:tcW w:w="1310" w:type="dxa"/>
            <w:vAlign w:val="center"/>
          </w:tcPr>
          <w:p>
            <w:pPr>
              <w:spacing w:after="0" w:line="480" w:lineRule="auto"/>
              <w:rPr>
                <w:rFonts w:ascii="Times New Roman" w:hAnsi="Times New Roman" w:cs="Times New Roman"/>
                <w:sz w:val="24"/>
                <w:lang w:eastAsia="en-GB"/>
              </w:rPr>
            </w:pPr>
            <w:r>
              <w:rPr>
                <w:rFonts w:ascii="Times New Roman" w:hAnsi="Times New Roman" w:cs="Times New Roman"/>
                <w:sz w:val="24"/>
                <w:lang w:eastAsia="en-GB"/>
              </w:rPr>
              <w:t xml:space="preserve">    49</w:t>
            </w:r>
          </w:p>
        </w:tc>
        <w:tc>
          <w:tcPr>
            <w:tcW w:w="172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w:t>
            </w:r>
            <w:r>
              <w:rPr>
                <w:rFonts w:ascii="Times New Roman" w:hAnsi="Times New Roman" w:cs="Times New Roman"/>
                <w:sz w:val="24"/>
                <w:lang w:eastAsia="en-GB"/>
              </w:rPr>
              <w:t>4.5</w:t>
            </w:r>
          </w:p>
        </w:tc>
      </w:tr>
      <w:tr>
        <w:tblPrEx>
          <w:tblLayout w:type="fixed"/>
        </w:tblPrEx>
        <w:trPr>
          <w:jc w:val="center"/>
        </w:trPr>
        <w:tc>
          <w:tcPr>
            <w:tcW w:w="209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Post graduate</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2</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18</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30</w:t>
            </w:r>
          </w:p>
        </w:tc>
        <w:tc>
          <w:tcPr>
            <w:tcW w:w="172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5</w:t>
            </w:r>
          </w:p>
        </w:tc>
      </w:tr>
      <w:tr>
        <w:tblPrEx>
          <w:tblLayout w:type="fixed"/>
        </w:tblPrEx>
        <w:trPr>
          <w:jc w:val="center"/>
        </w:trPr>
        <w:tc>
          <w:tcPr>
            <w:tcW w:w="209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Secondary</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w:t>
            </w:r>
          </w:p>
        </w:tc>
        <w:tc>
          <w:tcPr>
            <w:tcW w:w="1721"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w:t>
            </w:r>
          </w:p>
        </w:tc>
      </w:tr>
      <w:tr>
        <w:tblPrEx>
          <w:tblLayout w:type="fixed"/>
        </w:tblPrEx>
        <w:trPr>
          <w:jc w:val="center"/>
        </w:trPr>
        <w:tc>
          <w:tcPr>
            <w:tcW w:w="209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Technical school</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c>
          <w:tcPr>
            <w:tcW w:w="1721"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4.5</w:t>
            </w:r>
          </w:p>
        </w:tc>
      </w:tr>
      <w:tr>
        <w:tblPrEx>
          <w:tblLayout w:type="fixed"/>
        </w:tblPrEx>
        <w:trPr>
          <w:jc w:val="center"/>
        </w:trPr>
        <w:tc>
          <w:tcPr>
            <w:tcW w:w="2091"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Primary</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w:t>
            </w:r>
          </w:p>
        </w:tc>
        <w:tc>
          <w:tcPr>
            <w:tcW w:w="1721"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w:t>
            </w:r>
          </w:p>
        </w:tc>
      </w:tr>
      <w:tr>
        <w:tblPrEx>
          <w:tblLayout w:type="fixed"/>
        </w:tblPrEx>
        <w:trPr>
          <w:jc w:val="center"/>
        </w:trPr>
        <w:tc>
          <w:tcPr>
            <w:tcW w:w="209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721"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line="480" w:lineRule="auto"/>
        <w:rPr>
          <w:rFonts w:ascii="Times New Roman" w:hAnsi="Times New Roman" w:cs="Times New Roman"/>
          <w:b/>
          <w:sz w:val="24"/>
        </w:rPr>
      </w:pPr>
      <w:r>
        <w:rPr>
          <w:rFonts w:ascii="Times New Roman" w:hAnsi="Times New Roman" w:cs="Times New Roman"/>
          <w:b/>
          <w:bCs/>
          <w:sz w:val="24"/>
        </w:rPr>
        <w:t>4.2.10:</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Monthly Income of the Respondents</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eastAsia="Times New Roman" w:cs="Times New Roman"/>
          <w:sz w:val="24"/>
        </w:rPr>
        <w:t>The income of individuals significantly influences their choice of housing. The monthly income distribution of respondents in the study area, as shown in Table 4.10, reveals some interesting patterns. In Adewole Estate, the largest proportion of respondents earn between ₦46,000 and ₦90,000 (66%)monthly, followed by those earning ₦91,000 to ₦120,000 (15%), and ₦19,000 to ₦45,000 (12%). A small proportion of respondents (7%) earn more than ₦120,000 monthly. Similarly, in Harmony Estate, the majority of respondents (67%) earn between ₦46,000 and ₦90,000, which is higher than those earning ₦91,000 to ₦120,000 (20%), ₦19,000 to ₦45,000 (5%), and those earning above ₦120,000(8%). These findings suggest that most respondents in both estates earn between ₦46,000 and ₦90,000 monthly, which likely influences their housing choices and affordability. This income range is crucial in determining the types of housing options available to them and their capacity to meet housing costs within the given estates.</w:t>
      </w:r>
    </w:p>
    <w:p>
      <w:pPr>
        <w:spacing w:before="100" w:beforeAutospacing="1" w:after="100" w:afterAutospacing="1" w:line="480" w:lineRule="auto"/>
        <w:rPr>
          <w:rFonts w:ascii="Times New Roman" w:hAnsi="Times New Roman" w:cs="Times New Roman"/>
          <w:b/>
          <w:bCs/>
          <w:sz w:val="24"/>
        </w:rPr>
      </w:pPr>
      <w:r>
        <w:rPr>
          <w:rFonts w:ascii="Times New Roman" w:hAnsi="Times New Roman" w:eastAsia="Times New Roman" w:cs="Times New Roman"/>
          <w:sz w:val="24"/>
        </w:rPr>
        <w:t>The predominance of respondents earning ₦46,000 to ₦90,000 monthly suggests that housing developments in both estates should cater to the needs of individuals within this income bracket. Moreover, the affordability of housing in these estates may be key to maintaining a satisfied and stable resident base.</w:t>
      </w:r>
    </w:p>
    <w:p>
      <w:pPr>
        <w:spacing w:after="0" w:line="480" w:lineRule="auto"/>
        <w:rPr>
          <w:rFonts w:ascii="Times New Roman" w:hAnsi="Times New Roman" w:cs="Times New Roman"/>
          <w:b/>
          <w:bCs/>
          <w:sz w:val="24"/>
        </w:rPr>
      </w:pPr>
      <w:r>
        <w:rPr>
          <w:rFonts w:ascii="Times New Roman" w:hAnsi="Times New Roman" w:cs="Times New Roman"/>
          <w:b/>
          <w:bCs/>
          <w:sz w:val="24"/>
        </w:rPr>
        <w:t>Table 4.10: Monthly Income of the Respondents</w:t>
      </w:r>
      <w:r>
        <w:rPr>
          <w:rFonts w:ascii="Times New Roman" w:hAnsi="Times New Roman" w:cs="Times New Roman"/>
          <w:b/>
          <w:bCs/>
          <w:sz w:val="24"/>
        </w:rPr>
        <w:tab/>
      </w:r>
    </w:p>
    <w:tbl>
      <w:tblPr>
        <w:tblStyle w:val="12"/>
        <w:tblW w:w="1055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73"/>
        <w:gridCol w:w="1310"/>
        <w:gridCol w:w="1349"/>
        <w:gridCol w:w="1310"/>
        <w:gridCol w:w="1349"/>
        <w:gridCol w:w="1310"/>
        <w:gridCol w:w="1349"/>
      </w:tblGrid>
      <w:tr>
        <w:tblPrEx>
          <w:tblLayout w:type="fixed"/>
        </w:tblPrEx>
        <w:trPr>
          <w:jc w:val="center"/>
        </w:trPr>
        <w:tc>
          <w:tcPr>
            <w:tcW w:w="2573"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Monthly income  (₦)</w:t>
            </w:r>
          </w:p>
        </w:tc>
        <w:tc>
          <w:tcPr>
            <w:tcW w:w="2659" w:type="dxa"/>
            <w:gridSpan w:val="2"/>
          </w:tcPr>
          <w:p>
            <w:pPr>
              <w:spacing w:after="0" w:line="480" w:lineRule="auto"/>
              <w:jc w:val="center"/>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jc w:val="center"/>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2573" w:type="dxa"/>
            <w:vMerge w:val="continue"/>
            <w:vAlign w:val="center"/>
          </w:tcPr>
          <w:p>
            <w:pPr>
              <w:spacing w:after="0" w:line="480" w:lineRule="auto"/>
              <w:jc w:val="center"/>
              <w:rPr>
                <w:rFonts w:ascii="Times New Roman" w:hAnsi="Times New Roman" w:cs="Times New Roman"/>
                <w:b/>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2573" w:type="dxa"/>
            <w:vAlign w:val="center"/>
          </w:tcPr>
          <w:p>
            <w:pPr>
              <w:spacing w:after="0" w:line="480" w:lineRule="auto"/>
              <w:rPr>
                <w:rFonts w:ascii="Times New Roman" w:hAnsi="Times New Roman" w:cs="Times New Roman"/>
                <w:sz w:val="24"/>
                <w:lang w:val="en-GB" w:eastAsia="en-GB"/>
              </w:rPr>
            </w:pPr>
            <w:r>
              <w:rPr>
                <w:rFonts w:ascii="Times New Roman" w:hAnsi="Times New Roman" w:cs="Times New Roman"/>
                <w:sz w:val="24"/>
                <w:lang w:val="en-GB" w:eastAsia="en-GB"/>
              </w:rPr>
              <w:t>19,000:00 - 45,000: 00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12</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8.5</w:t>
            </w:r>
          </w:p>
        </w:tc>
      </w:tr>
      <w:tr>
        <w:tblPrEx>
          <w:tblLayout w:type="fixed"/>
        </w:tblPrEx>
        <w:trPr>
          <w:jc w:val="center"/>
        </w:trPr>
        <w:tc>
          <w:tcPr>
            <w:tcW w:w="2573"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46,000:00 - 90,000: 00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66</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6</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67</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133</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6</w:t>
            </w:r>
            <w:r>
              <w:rPr>
                <w:rFonts w:ascii="Times New Roman" w:hAnsi="Times New Roman" w:cs="Times New Roman"/>
                <w:sz w:val="24"/>
                <w:lang w:eastAsia="en-GB"/>
              </w:rPr>
              <w:t>6.5</w:t>
            </w:r>
          </w:p>
        </w:tc>
      </w:tr>
      <w:tr>
        <w:tblPrEx>
          <w:tblLayout w:type="fixed"/>
        </w:tblPrEx>
        <w:trPr>
          <w:jc w:val="center"/>
        </w:trPr>
        <w:tc>
          <w:tcPr>
            <w:tcW w:w="2573"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91,000:00 - 120,000: 00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15</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20</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35</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7.5</w:t>
            </w:r>
          </w:p>
        </w:tc>
      </w:tr>
      <w:tr>
        <w:tblPrEx>
          <w:tblLayout w:type="fixed"/>
        </w:tblPrEx>
        <w:trPr>
          <w:jc w:val="center"/>
        </w:trPr>
        <w:tc>
          <w:tcPr>
            <w:tcW w:w="2573" w:type="dxa"/>
            <w:vAlign w:val="center"/>
          </w:tcPr>
          <w:p>
            <w:pPr>
              <w:spacing w:after="0" w:line="480" w:lineRule="auto"/>
              <w:rPr>
                <w:rFonts w:ascii="Times New Roman" w:hAnsi="Times New Roman" w:cs="Times New Roman"/>
                <w:sz w:val="24"/>
                <w:lang w:val="en-GB" w:eastAsia="en-GB"/>
              </w:rPr>
            </w:pPr>
            <w:r>
              <w:rPr>
                <w:rFonts w:ascii="Times New Roman" w:hAnsi="Times New Roman" w:cs="Times New Roman"/>
                <w:sz w:val="24"/>
                <w:lang w:val="en-GB" w:eastAsia="en-GB"/>
              </w:rPr>
              <w:t>120,000:00 and above</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7.5</w:t>
            </w:r>
          </w:p>
        </w:tc>
      </w:tr>
      <w:tr>
        <w:tblPrEx>
          <w:tblLayout w:type="fixed"/>
        </w:tblPrEx>
        <w:trPr>
          <w:jc w:val="center"/>
        </w:trPr>
        <w:tc>
          <w:tcPr>
            <w:tcW w:w="2573"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154</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line="480" w:lineRule="auto"/>
        <w:rPr>
          <w:rFonts w:ascii="Times New Roman" w:hAnsi="Times New Roman" w:cs="Times New Roman"/>
          <w:b/>
          <w:sz w:val="24"/>
        </w:rPr>
      </w:pPr>
      <w:r>
        <w:rPr>
          <w:rFonts w:ascii="Times New Roman" w:hAnsi="Times New Roman" w:cs="Times New Roman"/>
          <w:b/>
          <w:bCs/>
          <w:sz w:val="24"/>
        </w:rPr>
        <w:t>4.2.11:</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bCs/>
          <w:sz w:val="24"/>
        </w:rPr>
        <w:t xml:space="preserve">Type of Respondent’ building </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eastAsia="Times New Roman" w:cs="Times New Roman"/>
          <w:sz w:val="24"/>
        </w:rPr>
        <w:t>In the selected residential estates, two main types of residential buildings are prevalent: bungalows and duplexes (see Table 4.11). In Adewole Estate, all respondents reside in bungalows(83%)and duplex(17%) , which aligns with the estate's nature as a low-cost housing development initiated by the Kwara State government to address the growing demand for affordable housing. This suggests that the estate primarily caters to individuals seeking budget-friendly housing options. On the other hand, in Harmony Estate, the majority of respondents (95%) live in bungalows, such as three-bedroom flats, while a smaller proportion (5%) occupy duplexes. The dominance of bungalows in both estates reflects the emphasis on providing affordable housing. However, the presence of duplexes in Adewole and Harmony Estate suggests a diversification in housing options, potentially catering to different socio-economic groups within the estate. The low proportion of duplexes in Adewole Estate further highlights its focus on low-cost housing for a broader population.</w:t>
      </w:r>
    </w:p>
    <w:p>
      <w:pPr>
        <w:spacing w:before="100" w:beforeAutospacing="1" w:after="100" w:afterAutospacing="1" w:line="480" w:lineRule="auto"/>
        <w:rPr>
          <w:rFonts w:ascii="Times New Roman" w:hAnsi="Times New Roman" w:eastAsia="Times New Roman" w:cs="Times New Roman"/>
          <w:sz w:val="24"/>
        </w:rPr>
      </w:pPr>
      <w:r>
        <w:rPr>
          <w:rFonts w:ascii="Times New Roman" w:hAnsi="Times New Roman" w:cs="Times New Roman"/>
          <w:sz w:val="24"/>
          <w:lang w:eastAsia="en-US"/>
        </w:rPr>
        <w:drawing>
          <wp:inline distT="0" distB="0" distL="114300" distR="114300">
            <wp:extent cx="5261610" cy="3945890"/>
            <wp:effectExtent l="0" t="0" r="0" b="127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2"/>
                    <a:stretch>
                      <a:fillRect/>
                    </a:stretch>
                  </pic:blipFill>
                  <pic:spPr>
                    <a:xfrm>
                      <a:off x="0" y="0"/>
                      <a:ext cx="5261610" cy="3945890"/>
                    </a:xfrm>
                    <a:prstGeom prst="rect">
                      <a:avLst/>
                    </a:prstGeom>
                    <a:noFill/>
                    <a:ln w="9525">
                      <a:noFill/>
                    </a:ln>
                  </pic:spPr>
                </pic:pic>
              </a:graphicData>
            </a:graphic>
          </wp:inline>
        </w:drawing>
      </w:r>
    </w:p>
    <w:p>
      <w:pPr>
        <w:spacing w:after="0" w:line="480" w:lineRule="auto"/>
        <w:rPr>
          <w:rFonts w:ascii="Times New Roman" w:hAnsi="Times New Roman" w:cs="Times New Roman"/>
          <w:b/>
          <w:bCs/>
          <w:sz w:val="24"/>
        </w:rPr>
      </w:pPr>
      <w:r>
        <w:rPr>
          <w:rFonts w:ascii="Times New Roman" w:hAnsi="Times New Roman" w:cs="Times New Roman"/>
          <w:b/>
          <w:bCs/>
          <w:sz w:val="24"/>
        </w:rPr>
        <w:t xml:space="preserve">Table 4.11: Type of Respondent’ building </w:t>
      </w:r>
    </w:p>
    <w:tbl>
      <w:tblPr>
        <w:tblStyle w:val="12"/>
        <w:tblW w:w="945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78"/>
        <w:gridCol w:w="1310"/>
        <w:gridCol w:w="1349"/>
        <w:gridCol w:w="1310"/>
        <w:gridCol w:w="1349"/>
        <w:gridCol w:w="1310"/>
        <w:gridCol w:w="1349"/>
      </w:tblGrid>
      <w:tr>
        <w:tblPrEx>
          <w:tblLayout w:type="fixed"/>
        </w:tblPrEx>
        <w:trPr>
          <w:jc w:val="center"/>
        </w:trPr>
        <w:tc>
          <w:tcPr>
            <w:tcW w:w="1478" w:type="dxa"/>
            <w:vMerge w:val="restart"/>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Type of building</w:t>
            </w:r>
          </w:p>
        </w:tc>
        <w:tc>
          <w:tcPr>
            <w:tcW w:w="2659" w:type="dxa"/>
            <w:gridSpan w:val="2"/>
          </w:tcPr>
          <w:p>
            <w:pPr>
              <w:spacing w:after="0" w:line="480" w:lineRule="auto"/>
              <w:jc w:val="center"/>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jc w:val="center"/>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478"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47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Bungalow</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89</w:t>
            </w:r>
          </w:p>
        </w:tc>
      </w:tr>
      <w:tr>
        <w:tblPrEx>
          <w:tblLayout w:type="fixed"/>
        </w:tblPrEx>
        <w:trPr>
          <w:jc w:val="center"/>
        </w:trPr>
        <w:tc>
          <w:tcPr>
            <w:tcW w:w="1478"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Duplex</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11</w:t>
            </w:r>
          </w:p>
        </w:tc>
      </w:tr>
      <w:tr>
        <w:tblPrEx>
          <w:tblLayout w:type="fixed"/>
        </w:tblPrEx>
        <w:trPr>
          <w:jc w:val="center"/>
        </w:trPr>
        <w:tc>
          <w:tcPr>
            <w:tcW w:w="1478"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before="100" w:beforeAutospacing="1" w:after="100" w:afterAutospacing="1" w:line="480" w:lineRule="auto"/>
        <w:rPr>
          <w:rFonts w:ascii="Times New Roman" w:hAnsi="Times New Roman" w:cs="Times New Roman"/>
          <w:b/>
          <w:sz w:val="24"/>
        </w:rPr>
      </w:pPr>
      <w:r>
        <w:rPr>
          <w:rFonts w:ascii="Times New Roman" w:hAnsi="Times New Roman" w:cs="Times New Roman"/>
          <w:b/>
          <w:sz w:val="24"/>
        </w:rPr>
        <w:t xml:space="preserve">4.3.1 Road infrastructure of the respondents </w:t>
      </w:r>
    </w:p>
    <w:p>
      <w:pPr>
        <w:spacing w:before="100" w:beforeAutospacing="1" w:after="100" w:afterAutospacing="1" w:line="480" w:lineRule="auto"/>
        <w:rPr>
          <w:rFonts w:ascii="Times New Roman" w:hAnsi="Times New Roman" w:cs="Times New Roman"/>
          <w:sz w:val="24"/>
        </w:rPr>
      </w:pPr>
      <w:r>
        <w:rPr>
          <w:rFonts w:ascii="Times New Roman" w:hAnsi="Times New Roman" w:eastAsia="Times New Roman" w:cs="Times New Roman"/>
          <w:sz w:val="24"/>
        </w:rPr>
        <w:t xml:space="preserve">From the data presented in Table 4.12, a significant percentage of respondents in both Adewole Estate and Harmony Estate </w:t>
      </w:r>
      <w:r>
        <w:rPr>
          <w:rFonts w:ascii="Times New Roman" w:hAnsi="Times New Roman" w:cs="Times New Roman"/>
          <w:sz w:val="24"/>
        </w:rPr>
        <w:t>Adewole recorded a significantly higher quality of road infrastructure, with (71%) of respondents rating the roads as very good, compared to only (32%) in Harmony. While (20%) of Adewole residents rated their roads as fair, a larger portion of Harmony residents (42%) did so. Furthermore, (26%) of Harmony residents reported the roads as poor, against just (9%) in Adewole. This suggests that Adewole enjoys better-maintained and more accessible road networks, which contribute to efficient transportation and property value.</w:t>
      </w:r>
    </w:p>
    <w:p>
      <w:pPr>
        <w:spacing w:before="100" w:beforeAutospacing="1" w:after="100" w:afterAutospacing="1" w:line="480" w:lineRule="auto"/>
        <w:rPr>
          <w:rFonts w:ascii="Times New Roman" w:hAnsi="Times New Roman" w:cs="Times New Roman"/>
          <w:sz w:val="24"/>
        </w:rPr>
      </w:pPr>
      <w:r>
        <w:rPr>
          <w:rFonts w:ascii="Times New Roman" w:hAnsi="Times New Roman" w:cs="Times New Roman"/>
          <w:sz w:val="24"/>
          <w:lang w:eastAsia="en-US"/>
        </w:rPr>
        <w:drawing>
          <wp:inline distT="0" distB="0" distL="114300" distR="114300">
            <wp:extent cx="5266690" cy="2962910"/>
            <wp:effectExtent l="0" t="0" r="2540" b="12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3"/>
                    <a:stretch>
                      <a:fillRect/>
                    </a:stretch>
                  </pic:blipFill>
                  <pic:spPr>
                    <a:xfrm>
                      <a:off x="0" y="0"/>
                      <a:ext cx="5266690" cy="2962910"/>
                    </a:xfrm>
                    <a:prstGeom prst="rect">
                      <a:avLst/>
                    </a:prstGeom>
                    <a:noFill/>
                    <a:ln w="9525">
                      <a:noFill/>
                    </a:ln>
                  </pic:spPr>
                </pic:pic>
              </a:graphicData>
            </a:graphic>
          </wp:inline>
        </w:drawing>
      </w:r>
    </w:p>
    <w:p>
      <w:pPr>
        <w:spacing w:before="100" w:beforeAutospacing="1" w:after="100" w:afterAutospacing="1" w:line="480" w:lineRule="auto"/>
        <w:rPr>
          <w:rFonts w:ascii="Times New Roman" w:hAnsi="Times New Roman" w:cs="Times New Roman"/>
          <w:sz w:val="24"/>
        </w:rPr>
      </w:pPr>
      <w:r>
        <w:rPr>
          <w:rFonts w:ascii="Times New Roman" w:hAnsi="Times New Roman" w:cs="Times New Roman"/>
          <w:sz w:val="24"/>
          <w:lang w:eastAsia="en-US"/>
        </w:rPr>
        <w:drawing>
          <wp:inline distT="0" distB="0" distL="114300" distR="114300">
            <wp:extent cx="5261610" cy="3945890"/>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4"/>
                    <a:stretch>
                      <a:fillRect/>
                    </a:stretch>
                  </pic:blipFill>
                  <pic:spPr>
                    <a:xfrm>
                      <a:off x="0" y="0"/>
                      <a:ext cx="5261610" cy="3945890"/>
                    </a:xfrm>
                    <a:prstGeom prst="rect">
                      <a:avLst/>
                    </a:prstGeom>
                    <a:noFill/>
                    <a:ln w="9525">
                      <a:noFill/>
                    </a:ln>
                  </pic:spPr>
                </pic:pic>
              </a:graphicData>
            </a:graphic>
          </wp:inline>
        </w:drawing>
      </w: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r>
        <w:rPr>
          <w:rFonts w:ascii="Times New Roman" w:hAnsi="Times New Roman" w:cs="Times New Roman"/>
          <w:b/>
          <w:bCs/>
          <w:sz w:val="24"/>
        </w:rPr>
        <w:t xml:space="preserve"> Table 4.12: Road Infrastructure</w:t>
      </w:r>
    </w:p>
    <w:tbl>
      <w:tblPr>
        <w:tblStyle w:val="12"/>
        <w:tblW w:w="98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5"/>
        <w:gridCol w:w="1310"/>
        <w:gridCol w:w="1349"/>
        <w:gridCol w:w="1310"/>
        <w:gridCol w:w="1349"/>
        <w:gridCol w:w="1310"/>
        <w:gridCol w:w="1349"/>
      </w:tblGrid>
      <w:tr>
        <w:tblPrEx>
          <w:tblLayout w:type="fixed"/>
        </w:tblPrEx>
        <w:trPr>
          <w:jc w:val="center"/>
        </w:trPr>
        <w:tc>
          <w:tcPr>
            <w:tcW w:w="1855" w:type="dxa"/>
            <w:vMerge w:val="restart"/>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 xml:space="preserve">Road lnfrastructure </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855"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Very Good</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71</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7</w:t>
            </w:r>
            <w:r>
              <w:rPr>
                <w:rFonts w:ascii="Times New Roman" w:hAnsi="Times New Roman" w:cs="Times New Roman"/>
                <w:sz w:val="24"/>
                <w:lang w:eastAsia="en-GB"/>
              </w:rPr>
              <w:t>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51.5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Fair</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31</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Poor</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2</w:t>
            </w:r>
            <w:r>
              <w:rPr>
                <w:rFonts w:ascii="Times New Roman" w:hAnsi="Times New Roman" w:cs="Times New Roman"/>
                <w:sz w:val="24"/>
                <w:lang w:eastAsia="en-GB"/>
              </w:rPr>
              <w:t>6</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26</w:t>
            </w:r>
          </w:p>
        </w:tc>
        <w:tc>
          <w:tcPr>
            <w:tcW w:w="1310"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3</w:t>
            </w:r>
            <w:r>
              <w:rPr>
                <w:rFonts w:ascii="Times New Roman" w:hAnsi="Times New Roman" w:cs="Times New Roman"/>
                <w:sz w:val="24"/>
                <w:lang w:eastAsia="en-GB"/>
              </w:rPr>
              <w:t>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before="100" w:beforeAutospacing="1" w:after="100" w:afterAutospacing="1" w:line="480" w:lineRule="auto"/>
        <w:rPr>
          <w:rFonts w:ascii="Times New Roman" w:hAnsi="Times New Roman" w:cs="Times New Roman"/>
          <w:b/>
          <w:sz w:val="24"/>
        </w:rPr>
      </w:pPr>
      <w:r>
        <w:rPr>
          <w:rFonts w:ascii="Times New Roman" w:hAnsi="Times New Roman" w:cs="Times New Roman"/>
          <w:b/>
          <w:sz w:val="24"/>
        </w:rPr>
        <w:t>4.3.2 Drainage System Condition</w:t>
      </w:r>
    </w:p>
    <w:p>
      <w:pPr>
        <w:spacing w:before="100" w:beforeAutospacing="1" w:after="100" w:afterAutospacing="1" w:line="480" w:lineRule="auto"/>
        <w:rPr>
          <w:rFonts w:ascii="Times New Roman" w:hAnsi="Times New Roman" w:cs="Times New Roman"/>
          <w:sz w:val="24"/>
        </w:rPr>
      </w:pPr>
      <w:r>
        <w:rPr>
          <w:rFonts w:ascii="Times New Roman" w:hAnsi="Times New Roman" w:cs="Times New Roman"/>
          <w:sz w:val="24"/>
        </w:rPr>
        <w:t>In terms of drainage functionality(Table 4.13), (58%) of Adewole respondents noted that their drains were functional, while only (44%)in Harmony said the same.Occasionally (25%)drainage are in Adewole while (31%) were in Harmony. Moreover, a troubling (25%) of Harmony residents reported their drainage systems as non-functional, compared to only (17%)in Adewole. Poor drainage increases the risk of flooding and health hazards, particularly in urban residential areas, suggesting Harmony may require urgent attention in this area.</w:t>
      </w:r>
    </w:p>
    <w:p>
      <w:pPr>
        <w:spacing w:before="100" w:beforeAutospacing="1" w:after="100" w:afterAutospacing="1" w:line="480" w:lineRule="auto"/>
        <w:rPr>
          <w:rFonts w:ascii="Times New Roman" w:hAnsi="Times New Roman" w:cs="Times New Roman"/>
          <w:sz w:val="24"/>
        </w:rPr>
      </w:pPr>
      <w:r>
        <w:rPr>
          <w:rFonts w:ascii="Times New Roman" w:hAnsi="Times New Roman" w:cs="Times New Roman"/>
          <w:sz w:val="24"/>
          <w:lang w:eastAsia="en-US"/>
        </w:rPr>
        <w:drawing>
          <wp:inline distT="0" distB="0" distL="114300" distR="114300">
            <wp:extent cx="4625340" cy="1914525"/>
            <wp:effectExtent l="0" t="0" r="0" b="1905"/>
            <wp:docPr id="2" name="Picture 2" descr="2025-05-18 11:07:52.690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5-18 11:07:52.690000 PM"/>
                    <pic:cNvPicPr>
                      <a:picLocks noChangeAspect="1"/>
                    </pic:cNvPicPr>
                  </pic:nvPicPr>
                  <pic:blipFill>
                    <a:blip r:embed="rId15"/>
                    <a:stretch>
                      <a:fillRect/>
                    </a:stretch>
                  </pic:blipFill>
                  <pic:spPr>
                    <a:xfrm>
                      <a:off x="0" y="0"/>
                      <a:ext cx="4625340" cy="1914525"/>
                    </a:xfrm>
                    <a:prstGeom prst="rect">
                      <a:avLst/>
                    </a:prstGeom>
                  </pic:spPr>
                </pic:pic>
              </a:graphicData>
            </a:graphic>
          </wp:inline>
        </w:drawing>
      </w: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Table 4. 13:Drainage system condition</w:t>
      </w:r>
    </w:p>
    <w:tbl>
      <w:tblPr>
        <w:tblStyle w:val="12"/>
        <w:tblW w:w="98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5"/>
        <w:gridCol w:w="1310"/>
        <w:gridCol w:w="1349"/>
        <w:gridCol w:w="1310"/>
        <w:gridCol w:w="1349"/>
        <w:gridCol w:w="1310"/>
        <w:gridCol w:w="1349"/>
      </w:tblGrid>
      <w:tr>
        <w:tblPrEx>
          <w:tblLayout w:type="fixed"/>
        </w:tblPrEx>
        <w:trPr>
          <w:jc w:val="center"/>
        </w:trPr>
        <w:tc>
          <w:tcPr>
            <w:tcW w:w="1855" w:type="dxa"/>
            <w:vMerge w:val="restart"/>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 xml:space="preserve">Drainage </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855"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Functional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Occasionally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56</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28</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Non- functional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21</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sz w:val="24"/>
        </w:rPr>
      </w:pPr>
      <w:r>
        <w:rPr>
          <w:rFonts w:ascii="Times New Roman" w:hAnsi="Times New Roman" w:cs="Times New Roman"/>
          <w:b/>
          <w:sz w:val="24"/>
        </w:rPr>
        <w:t xml:space="preserve">Source: Author’s Field survey, 2025 </w:t>
      </w:r>
    </w:p>
    <w:p>
      <w:pPr>
        <w:spacing w:line="480" w:lineRule="auto"/>
        <w:jc w:val="center"/>
        <w:rPr>
          <w:rFonts w:ascii="Times New Roman" w:hAnsi="Times New Roman" w:cs="Times New Roman"/>
          <w:sz w:val="24"/>
        </w:rPr>
      </w:pPr>
      <w:r>
        <w:rPr>
          <w:rFonts w:ascii="Times New Roman" w:hAnsi="Times New Roman" w:cs="Times New Roman"/>
          <w:b/>
          <w:sz w:val="24"/>
        </w:rPr>
        <w:t>4.4.1</w:t>
      </w:r>
      <w:r>
        <w:rPr>
          <w:rFonts w:ascii="Times New Roman" w:hAnsi="Times New Roman" w:cs="Times New Roman"/>
          <w:b/>
          <w:sz w:val="24"/>
        </w:rPr>
        <w:tab/>
      </w:r>
      <w:r>
        <w:rPr>
          <w:rFonts w:ascii="Times New Roman" w:hAnsi="Times New Roman" w:cs="Times New Roman"/>
          <w:b/>
          <w:sz w:val="24"/>
        </w:rPr>
        <w:t>Water Supply Systems</w:t>
      </w:r>
    </w:p>
    <w:p>
      <w:pPr>
        <w:spacing w:before="100" w:beforeAutospacing="1" w:after="100" w:afterAutospacing="1" w:line="480" w:lineRule="auto"/>
        <w:rPr>
          <w:rFonts w:ascii="Times New Roman" w:hAnsi="Times New Roman" w:cs="Times New Roman"/>
          <w:sz w:val="24"/>
        </w:rPr>
      </w:pPr>
      <w:r>
        <w:rPr>
          <w:rFonts w:ascii="Times New Roman" w:hAnsi="Times New Roman" w:cs="Times New Roman"/>
          <w:sz w:val="24"/>
        </w:rPr>
        <w:t>Adewole also had better water supply outcomes(Table 4.14), with (54%) of respondents reporting regular water supply, whereas only (41%) in Harmony could say the same. While Adewole has (29%) and Harmony has (23%) Occasinally, Meanwhile, (36%) of Harmony residents indicated that water supply was rare, nearly double the (17%) in Adewole. These findings suggest that water infrastructure is more reliable in Adewole, potentially due to better pipe networks or water resource management.</w:t>
      </w:r>
    </w:p>
    <w:p>
      <w:pPr>
        <w:spacing w:before="100" w:beforeAutospacing="1" w:after="100" w:afterAutospacing="1" w:line="480" w:lineRule="auto"/>
        <w:rPr>
          <w:rFonts w:ascii="Times New Roman" w:hAnsi="Times New Roman" w:cs="Times New Roman"/>
          <w:b/>
          <w:sz w:val="24"/>
        </w:rPr>
      </w:pPr>
      <w:r>
        <w:rPr>
          <w:rFonts w:ascii="Times New Roman" w:hAnsi="Times New Roman" w:cs="Times New Roman"/>
          <w:sz w:val="24"/>
          <w:lang w:eastAsia="en-US"/>
        </w:rPr>
        <w:drawing>
          <wp:inline distT="0" distB="0" distL="114300" distR="114300">
            <wp:extent cx="5264785" cy="3111500"/>
            <wp:effectExtent l="0" t="0" r="635"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6"/>
                    <a:stretch>
                      <a:fillRect/>
                    </a:stretch>
                  </pic:blipFill>
                  <pic:spPr>
                    <a:xfrm>
                      <a:off x="0" y="0"/>
                      <a:ext cx="5264785" cy="3111500"/>
                    </a:xfrm>
                    <a:prstGeom prst="rect">
                      <a:avLst/>
                    </a:prstGeom>
                    <a:noFill/>
                    <a:ln w="9525">
                      <a:noFill/>
                    </a:ln>
                  </pic:spPr>
                </pic:pic>
              </a:graphicData>
            </a:graphic>
          </wp:inline>
        </w:drawing>
      </w:r>
    </w:p>
    <w:p>
      <w:pPr>
        <w:spacing w:before="100" w:beforeAutospacing="1" w:after="100" w:afterAutospacing="1" w:line="480" w:lineRule="auto"/>
        <w:rPr>
          <w:rFonts w:ascii="Times New Roman" w:hAnsi="Times New Roman" w:cs="Times New Roman"/>
          <w:sz w:val="24"/>
        </w:rPr>
      </w:pPr>
      <w:r>
        <w:rPr>
          <w:rFonts w:ascii="Times New Roman" w:hAnsi="Times New Roman" w:cs="Times New Roman"/>
          <w:b/>
          <w:sz w:val="24"/>
        </w:rPr>
        <w:t>Table 4.14</w:t>
      </w:r>
      <w:r>
        <w:rPr>
          <w:rFonts w:ascii="Times New Roman" w:hAnsi="Times New Roman" w:cs="Times New Roman"/>
          <w:sz w:val="24"/>
        </w:rPr>
        <w:t xml:space="preserve">: </w:t>
      </w:r>
      <w:r>
        <w:rPr>
          <w:rFonts w:ascii="Times New Roman" w:hAnsi="Times New Roman" w:cs="Times New Roman"/>
          <w:b/>
          <w:sz w:val="24"/>
        </w:rPr>
        <w:t>Water supply system</w:t>
      </w:r>
    </w:p>
    <w:tbl>
      <w:tblPr>
        <w:tblStyle w:val="12"/>
        <w:tblW w:w="98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5"/>
        <w:gridCol w:w="1310"/>
        <w:gridCol w:w="1349"/>
        <w:gridCol w:w="1310"/>
        <w:gridCol w:w="1349"/>
        <w:gridCol w:w="1310"/>
        <w:gridCol w:w="1349"/>
      </w:tblGrid>
      <w:tr>
        <w:tblPrEx>
          <w:tblLayout w:type="fixed"/>
        </w:tblPrEx>
        <w:trPr>
          <w:jc w:val="center"/>
        </w:trPr>
        <w:tc>
          <w:tcPr>
            <w:tcW w:w="1855" w:type="dxa"/>
            <w:vMerge w:val="restart"/>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 xml:space="preserve">Water supply system </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855"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Regular Supply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47.5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Occasionally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29</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29</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26</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Rare supply</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17</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36</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36</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26.5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 xml:space="preserve">Source: Author’s Field survey, 2025 </w:t>
      </w:r>
    </w:p>
    <w:p>
      <w:pPr>
        <w:spacing w:before="100" w:beforeAutospacing="1" w:after="100" w:afterAutospacing="1" w:line="480" w:lineRule="auto"/>
        <w:rPr>
          <w:rFonts w:ascii="Times New Roman" w:hAnsi="Times New Roman" w:cs="Times New Roman"/>
          <w:b/>
          <w:sz w:val="24"/>
        </w:rPr>
      </w:pPr>
    </w:p>
    <w:p>
      <w:pPr>
        <w:spacing w:before="100" w:beforeAutospacing="1" w:after="100" w:afterAutospacing="1" w:line="480" w:lineRule="auto"/>
        <w:rPr>
          <w:rFonts w:ascii="Times New Roman" w:hAnsi="Times New Roman" w:cs="Times New Roman"/>
          <w:b/>
          <w:sz w:val="24"/>
        </w:rPr>
      </w:pPr>
    </w:p>
    <w:p>
      <w:pPr>
        <w:spacing w:before="100" w:beforeAutospacing="1" w:after="100" w:afterAutospacing="1" w:line="480" w:lineRule="auto"/>
        <w:rPr>
          <w:rFonts w:ascii="Times New Roman" w:hAnsi="Times New Roman" w:cs="Times New Roman"/>
          <w:b/>
          <w:sz w:val="24"/>
        </w:rPr>
      </w:pPr>
      <w:r>
        <w:rPr>
          <w:rFonts w:ascii="Times New Roman" w:hAnsi="Times New Roman" w:cs="Times New Roman"/>
          <w:b/>
          <w:sz w:val="24"/>
        </w:rPr>
        <w:t xml:space="preserve">4.5.1 Electricity Supply </w:t>
      </w:r>
    </w:p>
    <w:p>
      <w:pPr>
        <w:spacing w:before="100" w:beforeAutospacing="1" w:after="100" w:afterAutospacing="1" w:line="480" w:lineRule="auto"/>
        <w:rPr>
          <w:rFonts w:ascii="Times New Roman" w:hAnsi="Times New Roman" w:cs="Times New Roman"/>
          <w:b/>
          <w:sz w:val="24"/>
        </w:rPr>
      </w:pPr>
      <w:r>
        <w:rPr>
          <w:rFonts w:ascii="Times New Roman" w:hAnsi="Times New Roman" w:cs="Times New Roman"/>
          <w:sz w:val="24"/>
        </w:rPr>
        <w:t>Electricity remains one of the most critical infrastructure needs for urban residents. Interestingly, Harmony Estate had a slightly higher proportion (53%) of residents reporting stable electricity than Adewole (50%). However, Adewole experienced more intermittent power supply (28%) while Harmony had more respondents (26%) report frequent outages. The results suggest both estates face electricity challenges, but perhaps with slightly more predictability in Harmony.</w:t>
      </w: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 xml:space="preserve">Table 4.15: Electricity Supply </w:t>
      </w:r>
    </w:p>
    <w:tbl>
      <w:tblPr>
        <w:tblStyle w:val="12"/>
        <w:tblW w:w="98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5"/>
        <w:gridCol w:w="1310"/>
        <w:gridCol w:w="1349"/>
        <w:gridCol w:w="1310"/>
        <w:gridCol w:w="1349"/>
        <w:gridCol w:w="1310"/>
        <w:gridCol w:w="1349"/>
      </w:tblGrid>
      <w:tr>
        <w:tblPrEx>
          <w:tblLayout w:type="fixed"/>
        </w:tblPrEx>
        <w:trPr>
          <w:jc w:val="center"/>
        </w:trPr>
        <w:tc>
          <w:tcPr>
            <w:tcW w:w="1855" w:type="dxa"/>
            <w:vMerge w:val="restart"/>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 xml:space="preserve">Electricity supply </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855"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Stable Supply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103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51.5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Intermittent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26</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26</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27</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Frequent outages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21.5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200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b/>
          <w:sz w:val="24"/>
        </w:rPr>
      </w:pPr>
      <w:r>
        <w:rPr>
          <w:rFonts w:ascii="Times New Roman" w:hAnsi="Times New Roman" w:cs="Times New Roman"/>
          <w:b/>
          <w:sz w:val="24"/>
        </w:rPr>
        <w:t>Source: Author’s Field survey, 2025</w:t>
      </w: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r>
        <w:rPr>
          <w:rFonts w:ascii="Times New Roman" w:hAnsi="Times New Roman" w:cs="Times New Roman"/>
          <w:b/>
          <w:sz w:val="24"/>
        </w:rPr>
        <w:t xml:space="preserve">4.16. Waste Disposal </w:t>
      </w:r>
    </w:p>
    <w:p>
      <w:pPr>
        <w:spacing w:line="480" w:lineRule="auto"/>
        <w:jc w:val="left"/>
        <w:rPr>
          <w:rFonts w:ascii="Times New Roman" w:hAnsi="Times New Roman" w:cs="Times New Roman"/>
          <w:b/>
          <w:sz w:val="24"/>
        </w:rPr>
      </w:pPr>
      <w:r>
        <w:rPr>
          <w:rFonts w:ascii="Times New Roman" w:hAnsi="Times New Roman" w:cs="Times New Roman"/>
          <w:sz w:val="24"/>
        </w:rPr>
        <w:t>Waste disposal efficiency is a significant marker of environmental health. Adewole Estate outperforms Harmony Estate here as well, with (64% ) of respondents reporting that waste is well managed, while only (21% )in Harmony shared the same view. Conversely, (48%) of Harmony respondents indicated inconsistent waste management and (31%) rated it as poorly managed, compared to (29%) and (7%) respectively in Adewole. This suggests a pressing need for improved waste collection and disposal systems in Harmony.</w:t>
      </w: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Table 4.16: Waste Management System</w:t>
      </w:r>
    </w:p>
    <w:tbl>
      <w:tblPr>
        <w:tblStyle w:val="12"/>
        <w:tblW w:w="98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5"/>
        <w:gridCol w:w="1310"/>
        <w:gridCol w:w="1349"/>
        <w:gridCol w:w="1310"/>
        <w:gridCol w:w="1349"/>
        <w:gridCol w:w="1310"/>
        <w:gridCol w:w="1349"/>
      </w:tblGrid>
      <w:tr>
        <w:tblPrEx>
          <w:tblLayout w:type="fixed"/>
        </w:tblPrEx>
        <w:trPr>
          <w:jc w:val="center"/>
        </w:trPr>
        <w:tc>
          <w:tcPr>
            <w:tcW w:w="1855" w:type="dxa"/>
            <w:vMerge w:val="restart"/>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 xml:space="preserve">Waste Management System </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855"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Well managed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64</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42</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Inconsistent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29</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29</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38.5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Poorly Managed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19</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200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sz w:val="24"/>
        </w:rPr>
      </w:pPr>
      <w:r>
        <w:rPr>
          <w:rFonts w:ascii="Times New Roman" w:hAnsi="Times New Roman" w:cs="Times New Roman"/>
          <w:b/>
          <w:sz w:val="24"/>
        </w:rPr>
        <w:t xml:space="preserve">Source: Author’s Field survey, 2025 </w:t>
      </w:r>
    </w:p>
    <w:p>
      <w:pPr>
        <w:spacing w:before="100" w:beforeAutospacing="1" w:after="100" w:afterAutospacing="1" w:line="480" w:lineRule="auto"/>
        <w:rPr>
          <w:rFonts w:ascii="Times New Roman" w:hAnsi="Times New Roman" w:cs="Times New Roman"/>
          <w:b/>
          <w:sz w:val="24"/>
        </w:rPr>
      </w:pPr>
    </w:p>
    <w:p>
      <w:pPr>
        <w:spacing w:before="100" w:beforeAutospacing="1" w:after="100" w:afterAutospacing="1" w:line="480" w:lineRule="auto"/>
        <w:rPr>
          <w:rFonts w:ascii="Times New Roman" w:hAnsi="Times New Roman" w:cs="Times New Roman"/>
          <w:b/>
          <w:sz w:val="24"/>
        </w:rPr>
      </w:pPr>
    </w:p>
    <w:p>
      <w:pPr>
        <w:spacing w:before="100" w:beforeAutospacing="1" w:after="100" w:afterAutospacing="1" w:line="480" w:lineRule="auto"/>
        <w:rPr>
          <w:rFonts w:ascii="Times New Roman" w:hAnsi="Times New Roman" w:cs="Times New Roman"/>
          <w:b/>
          <w:sz w:val="24"/>
        </w:rPr>
      </w:pPr>
      <w:r>
        <w:rPr>
          <w:rFonts w:ascii="Times New Roman" w:hAnsi="Times New Roman" w:cs="Times New Roman"/>
          <w:b/>
          <w:sz w:val="24"/>
        </w:rPr>
        <w:t>4.6.1</w:t>
      </w:r>
      <w:r>
        <w:rPr>
          <w:rFonts w:ascii="Times New Roman" w:hAnsi="Times New Roman" w:cs="Times New Roman"/>
          <w:b/>
          <w:sz w:val="24"/>
        </w:rPr>
        <w:tab/>
      </w:r>
      <w:r>
        <w:rPr>
          <w:rFonts w:ascii="Times New Roman" w:hAnsi="Times New Roman" w:cs="Times New Roman"/>
          <w:b/>
          <w:sz w:val="24"/>
        </w:rPr>
        <w:t xml:space="preserve">Recreational Facilities </w:t>
      </w:r>
    </w:p>
    <w:p>
      <w:pPr>
        <w:spacing w:before="100" w:beforeAutospacing="1" w:after="100" w:afterAutospacing="1" w:line="480" w:lineRule="auto"/>
        <w:rPr>
          <w:rFonts w:ascii="Times New Roman" w:hAnsi="Times New Roman" w:cs="Times New Roman"/>
          <w:sz w:val="24"/>
        </w:rPr>
      </w:pPr>
      <w:r>
        <w:rPr>
          <w:rFonts w:ascii="Times New Roman" w:hAnsi="Times New Roman" w:cs="Times New Roman"/>
          <w:sz w:val="24"/>
        </w:rPr>
        <w:t>Access to recreational infrastructure is key for social wellbeing(see Table4.18). In Adewole, (53%) of residents rated recreational facilities as adequate, whereas only (27%) did so in Harmony. A concerning (32%) of Harmony respondents indicated that recreational facilities were not available and Adewole having only (15%),Meanwhile, Limited facilities in Harmony carries (41%) different from Adewole having (32%).suggesting a gap in social infrastructure that could affect youth engagement, fitness, and overall community health.</w:t>
      </w:r>
    </w:p>
    <w:p>
      <w:pPr>
        <w:spacing w:before="100" w:beforeAutospacing="1" w:after="100" w:afterAutospacing="1" w:line="480" w:lineRule="auto"/>
        <w:rPr>
          <w:rFonts w:ascii="Times New Roman" w:hAnsi="Times New Roman" w:cs="Times New Roman"/>
          <w:sz w:val="24"/>
        </w:rPr>
      </w:pPr>
      <w:r>
        <w:rPr>
          <w:rFonts w:ascii="Times New Roman" w:hAnsi="Times New Roman" w:cs="Times New Roman"/>
          <w:sz w:val="24"/>
          <w:lang w:eastAsia="en-US"/>
        </w:rPr>
        <w:drawing>
          <wp:inline distT="0" distB="0" distL="114300" distR="114300">
            <wp:extent cx="8731885" cy="14810740"/>
            <wp:effectExtent l="0" t="0" r="635"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7"/>
                    <a:stretch>
                      <a:fillRect/>
                    </a:stretch>
                  </pic:blipFill>
                  <pic:spPr>
                    <a:xfrm>
                      <a:off x="0" y="0"/>
                      <a:ext cx="8731885" cy="14810740"/>
                    </a:xfrm>
                    <a:prstGeom prst="rect">
                      <a:avLst/>
                    </a:prstGeom>
                    <a:noFill/>
                    <a:ln w="9525">
                      <a:noFill/>
                    </a:ln>
                  </pic:spPr>
                </pic:pic>
              </a:graphicData>
            </a:graphic>
          </wp:inline>
        </w:drawing>
      </w:r>
    </w:p>
    <w:p>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 xml:space="preserve">Table 4.18: Recreational Facilities </w:t>
      </w:r>
    </w:p>
    <w:tbl>
      <w:tblPr>
        <w:tblStyle w:val="12"/>
        <w:tblW w:w="98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5"/>
        <w:gridCol w:w="1310"/>
        <w:gridCol w:w="1349"/>
        <w:gridCol w:w="1310"/>
        <w:gridCol w:w="1349"/>
        <w:gridCol w:w="1310"/>
        <w:gridCol w:w="1349"/>
      </w:tblGrid>
      <w:tr>
        <w:tblPrEx>
          <w:tblLayout w:type="fixed"/>
        </w:tblPrEx>
        <w:trPr>
          <w:jc w:val="center"/>
        </w:trPr>
        <w:tc>
          <w:tcPr>
            <w:tcW w:w="1855" w:type="dxa"/>
            <w:vMerge w:val="restart"/>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 xml:space="preserve">Recreational Facilities </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855"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Adequate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53</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80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40</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Limited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75</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37.5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Not available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15</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5</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32</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32</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23.5</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2</w:t>
            </w:r>
            <w:r>
              <w:rPr>
                <w:rFonts w:ascii="Times New Roman" w:hAnsi="Times New Roman" w:cs="Times New Roman"/>
                <w:b/>
                <w:sz w:val="24"/>
                <w:lang w:eastAsia="en-GB"/>
              </w:rPr>
              <w:t>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sz w:val="24"/>
        </w:rPr>
      </w:pPr>
      <w:r>
        <w:rPr>
          <w:rFonts w:ascii="Times New Roman" w:hAnsi="Times New Roman" w:cs="Times New Roman"/>
          <w:b/>
          <w:sz w:val="24"/>
        </w:rPr>
        <w:t xml:space="preserve">Source: Author’s Field survey, 2025 </w:t>
      </w:r>
    </w:p>
    <w:p>
      <w:pPr>
        <w:spacing w:before="100" w:beforeAutospacing="1" w:after="100" w:afterAutospacing="1" w:line="480" w:lineRule="auto"/>
        <w:rPr>
          <w:rFonts w:ascii="Times New Roman" w:hAnsi="Times New Roman" w:cs="Times New Roman"/>
          <w:b/>
          <w:sz w:val="24"/>
        </w:rPr>
      </w:pPr>
      <w:r>
        <w:rPr>
          <w:rFonts w:ascii="Times New Roman" w:hAnsi="Times New Roman" w:cs="Times New Roman"/>
          <w:b/>
          <w:sz w:val="24"/>
        </w:rPr>
        <w:t xml:space="preserve">4.6.2 Residents Satisfaction with Infrastructure </w:t>
      </w:r>
    </w:p>
    <w:p>
      <w:pPr>
        <w:spacing w:before="100" w:beforeAutospacing="1" w:after="100" w:afterAutospacing="1" w:line="480" w:lineRule="auto"/>
        <w:rPr>
          <w:rFonts w:ascii="Times New Roman" w:hAnsi="Times New Roman" w:cs="Times New Roman"/>
          <w:b/>
          <w:sz w:val="24"/>
        </w:rPr>
      </w:pPr>
      <w:r>
        <w:rPr>
          <w:rFonts w:ascii="Times New Roman" w:hAnsi="Times New Roman" w:cs="Times New Roman"/>
          <w:sz w:val="24"/>
        </w:rPr>
        <w:t>cumulative impact of infrastructure on daily life(Table4.19). In Adewole, (57%) of respondents reported being highly satisfied with infrastructure compared to (41%) in Harmony. Meanwhile, dissatisfaction was significantly higher in Harmony (31%) than in Adewole (13%).while the level of Overall satisfaction levels reflect the Moderately satisfied in Adewole is (30%) and Harmony has (28%)This reinforces earlier findings that Adewole enjoys better infrastructure quality and consistency than Harmony.</w:t>
      </w: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p>
    <w:p>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 xml:space="preserve">Table 4.19: Residents Satisfaction with Infrastructure </w:t>
      </w:r>
    </w:p>
    <w:tbl>
      <w:tblPr>
        <w:tblStyle w:val="12"/>
        <w:tblW w:w="983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55"/>
        <w:gridCol w:w="1310"/>
        <w:gridCol w:w="1349"/>
        <w:gridCol w:w="1310"/>
        <w:gridCol w:w="1349"/>
        <w:gridCol w:w="1310"/>
        <w:gridCol w:w="1349"/>
      </w:tblGrid>
      <w:tr>
        <w:tblPrEx>
          <w:tblLayout w:type="fixed"/>
        </w:tblPrEx>
        <w:trPr>
          <w:jc w:val="center"/>
        </w:trPr>
        <w:tc>
          <w:tcPr>
            <w:tcW w:w="1855" w:type="dxa"/>
            <w:vMerge w:val="restart"/>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 xml:space="preserve">Resident Satisfaction </w:t>
            </w:r>
          </w:p>
        </w:tc>
        <w:tc>
          <w:tcPr>
            <w:tcW w:w="2659" w:type="dxa"/>
            <w:gridSpan w:val="2"/>
          </w:tcPr>
          <w:p>
            <w:pPr>
              <w:spacing w:after="0" w:line="480" w:lineRule="auto"/>
              <w:rPr>
                <w:rFonts w:ascii="Times New Roman" w:hAnsi="Times New Roman" w:cs="Times New Roman"/>
                <w:b/>
                <w:sz w:val="24"/>
                <w:shd w:val="clear" w:color="auto" w:fill="FFFFFF"/>
                <w:lang w:eastAsia="en-GB"/>
              </w:rPr>
            </w:pPr>
            <w:r>
              <w:rPr>
                <w:rFonts w:ascii="Times New Roman" w:hAnsi="Times New Roman" w:cs="Times New Roman"/>
                <w:b/>
                <w:sz w:val="24"/>
                <w:shd w:val="clear" w:color="auto" w:fill="FFFFFF"/>
                <w:lang w:eastAsia="en-GB"/>
              </w:rPr>
              <w:t>Adewole</w:t>
            </w:r>
          </w:p>
        </w:tc>
        <w:tc>
          <w:tcPr>
            <w:tcW w:w="2659" w:type="dxa"/>
            <w:gridSpan w:val="2"/>
          </w:tcPr>
          <w:p>
            <w:pPr>
              <w:spacing w:after="0" w:line="480" w:lineRule="auto"/>
              <w:rPr>
                <w:rFonts w:ascii="Times New Roman" w:hAnsi="Times New Roman" w:cs="Times New Roman"/>
                <w:b/>
                <w:sz w:val="24"/>
                <w:shd w:val="clear" w:color="auto" w:fill="FFFFFF"/>
                <w:lang w:val="en-GB" w:eastAsia="en-GB"/>
              </w:rPr>
            </w:pPr>
            <w:r>
              <w:rPr>
                <w:rFonts w:ascii="Times New Roman" w:hAnsi="Times New Roman" w:cs="Times New Roman"/>
                <w:b/>
                <w:sz w:val="24"/>
                <w:shd w:val="clear" w:color="auto" w:fill="FFFFFF"/>
                <w:lang w:val="en-GB" w:eastAsia="en-GB"/>
              </w:rPr>
              <w:t>Harmony</w:t>
            </w:r>
          </w:p>
        </w:tc>
        <w:tc>
          <w:tcPr>
            <w:tcW w:w="2659" w:type="dxa"/>
            <w:gridSpan w:val="2"/>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Total</w:t>
            </w:r>
          </w:p>
        </w:tc>
      </w:tr>
      <w:tr>
        <w:tblPrEx>
          <w:tblLayout w:type="fixed"/>
        </w:tblPrEx>
        <w:trPr>
          <w:trHeight w:val="85" w:hRule="atLeast"/>
          <w:jc w:val="center"/>
        </w:trPr>
        <w:tc>
          <w:tcPr>
            <w:tcW w:w="1855" w:type="dxa"/>
            <w:vMerge w:val="continue"/>
            <w:vAlign w:val="center"/>
          </w:tcPr>
          <w:p>
            <w:pPr>
              <w:spacing w:after="0" w:line="480" w:lineRule="auto"/>
              <w:jc w:val="center"/>
              <w:rPr>
                <w:rFonts w:ascii="Times New Roman" w:hAnsi="Times New Roman" w:cs="Times New Roman"/>
                <w:sz w:val="24"/>
                <w:lang w:val="en-GB" w:eastAsia="en-GB"/>
              </w:rPr>
            </w:pP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c>
          <w:tcPr>
            <w:tcW w:w="1310"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Frequency</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Percentage (%)</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Highly satisfied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57</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57</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98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49</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Moderately Satisfied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30</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30</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28</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58</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29</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 xml:space="preserve">Not satisfied </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13</w:t>
            </w:r>
          </w:p>
        </w:tc>
        <w:tc>
          <w:tcPr>
            <w:tcW w:w="1349" w:type="dxa"/>
            <w:vAlign w:val="center"/>
          </w:tcPr>
          <w:p>
            <w:pPr>
              <w:spacing w:after="0" w:line="480" w:lineRule="auto"/>
              <w:jc w:val="center"/>
              <w:rPr>
                <w:rFonts w:ascii="Times New Roman" w:hAnsi="Times New Roman" w:cs="Times New Roman"/>
                <w:sz w:val="24"/>
                <w:lang w:val="en-GB" w:eastAsia="en-GB"/>
              </w:rPr>
            </w:pPr>
            <w:r>
              <w:rPr>
                <w:rFonts w:ascii="Times New Roman" w:hAnsi="Times New Roman" w:cs="Times New Roman"/>
                <w:sz w:val="24"/>
                <w:lang w:val="en-GB" w:eastAsia="en-GB"/>
              </w:rPr>
              <w:t>1</w:t>
            </w:r>
            <w:r>
              <w:rPr>
                <w:rFonts w:ascii="Times New Roman" w:hAnsi="Times New Roman" w:cs="Times New Roman"/>
                <w:sz w:val="24"/>
                <w:lang w:eastAsia="en-GB"/>
              </w:rPr>
              <w:t>3</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31</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31</w:t>
            </w:r>
          </w:p>
        </w:tc>
        <w:tc>
          <w:tcPr>
            <w:tcW w:w="1310"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44</w:t>
            </w:r>
          </w:p>
        </w:tc>
        <w:tc>
          <w:tcPr>
            <w:tcW w:w="1349" w:type="dxa"/>
            <w:vAlign w:val="center"/>
          </w:tcPr>
          <w:p>
            <w:pPr>
              <w:spacing w:after="0" w:line="480" w:lineRule="auto"/>
              <w:jc w:val="center"/>
              <w:rPr>
                <w:rFonts w:ascii="Times New Roman" w:hAnsi="Times New Roman" w:cs="Times New Roman"/>
                <w:sz w:val="24"/>
                <w:lang w:eastAsia="en-GB"/>
              </w:rPr>
            </w:pPr>
            <w:r>
              <w:rPr>
                <w:rFonts w:ascii="Times New Roman" w:hAnsi="Times New Roman" w:cs="Times New Roman"/>
                <w:sz w:val="24"/>
                <w:lang w:eastAsia="en-GB"/>
              </w:rPr>
              <w:t>22</w:t>
            </w:r>
          </w:p>
        </w:tc>
      </w:tr>
      <w:tr>
        <w:tblPrEx>
          <w:tblLayout w:type="fixed"/>
        </w:tblPrEx>
        <w:trPr>
          <w:jc w:val="center"/>
        </w:trPr>
        <w:tc>
          <w:tcPr>
            <w:tcW w:w="1855"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 xml:space="preserve">Total </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100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c>
          <w:tcPr>
            <w:tcW w:w="1310" w:type="dxa"/>
            <w:vAlign w:val="center"/>
          </w:tcPr>
          <w:p>
            <w:pPr>
              <w:spacing w:after="0" w:line="480" w:lineRule="auto"/>
              <w:jc w:val="center"/>
              <w:rPr>
                <w:rFonts w:ascii="Times New Roman" w:hAnsi="Times New Roman" w:cs="Times New Roman"/>
                <w:b/>
                <w:sz w:val="24"/>
                <w:lang w:eastAsia="en-GB"/>
              </w:rPr>
            </w:pPr>
            <w:r>
              <w:rPr>
                <w:rFonts w:ascii="Times New Roman" w:hAnsi="Times New Roman" w:cs="Times New Roman"/>
                <w:b/>
                <w:sz w:val="24"/>
                <w:lang w:eastAsia="en-GB"/>
              </w:rPr>
              <w:t>200</w:t>
            </w:r>
          </w:p>
        </w:tc>
        <w:tc>
          <w:tcPr>
            <w:tcW w:w="1349" w:type="dxa"/>
            <w:vAlign w:val="center"/>
          </w:tcPr>
          <w:p>
            <w:pPr>
              <w:spacing w:after="0" w:line="480" w:lineRule="auto"/>
              <w:jc w:val="center"/>
              <w:rPr>
                <w:rFonts w:ascii="Times New Roman" w:hAnsi="Times New Roman" w:cs="Times New Roman"/>
                <w:b/>
                <w:sz w:val="24"/>
                <w:lang w:val="en-GB" w:eastAsia="en-GB"/>
              </w:rPr>
            </w:pPr>
            <w:r>
              <w:rPr>
                <w:rFonts w:ascii="Times New Roman" w:hAnsi="Times New Roman" w:cs="Times New Roman"/>
                <w:b/>
                <w:sz w:val="24"/>
                <w:lang w:val="en-GB" w:eastAsia="en-GB"/>
              </w:rPr>
              <w:t>100</w:t>
            </w:r>
          </w:p>
        </w:tc>
      </w:tr>
    </w:tbl>
    <w:p>
      <w:pPr>
        <w:spacing w:line="480" w:lineRule="auto"/>
        <w:rPr>
          <w:rFonts w:ascii="Times New Roman" w:hAnsi="Times New Roman" w:cs="Times New Roman"/>
          <w:sz w:val="24"/>
        </w:rPr>
      </w:pPr>
      <w:r>
        <w:rPr>
          <w:rFonts w:ascii="Times New Roman" w:hAnsi="Times New Roman" w:cs="Times New Roman"/>
          <w:b/>
          <w:sz w:val="24"/>
        </w:rPr>
        <w:t xml:space="preserve">Source: Author’s Field Survey, 2025 </w:t>
      </w:r>
    </w:p>
    <w:p>
      <w:pPr>
        <w:spacing w:line="480" w:lineRule="auto"/>
        <w:rPr>
          <w:rFonts w:ascii="Times New Roman" w:hAnsi="Times New Roman" w:cs="Times New Roman"/>
          <w:sz w:val="24"/>
        </w:rPr>
      </w:pPr>
      <w:r>
        <w:rPr>
          <w:rFonts w:ascii="Times New Roman" w:hAnsi="Times New Roman" w:cs="Times New Roman"/>
          <w:sz w:val="24"/>
        </w:rPr>
        <w:t xml:space="preserve">The comparative data clearly demonstrates that Adewole Housing Estate generally possesses superior infrastructural facilities compared to Harmony Estate, particularly in road condition, drainage, water supply, waste management, and recreational amenities. Although Harmony slightly edges Adewole in stable electricity supply, it still lags behind in most other categories. These findings indicate the need for focused infrastructural intervention and policy efforts in improve living standards Harmony Estate to bridge the urban service delivery gap and </w:t>
      </w: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jc w:val="center"/>
        <w:rPr>
          <w:rFonts w:ascii="Times New Roman" w:hAnsi="Times New Roman" w:cs="Times New Roman"/>
          <w:sz w:val="24"/>
        </w:rPr>
      </w:pPr>
      <w:r>
        <w:rPr>
          <w:rFonts w:ascii="Times New Roman" w:hAnsi="Times New Roman" w:cs="Times New Roman"/>
          <w:b/>
          <w:bCs/>
          <w:sz w:val="24"/>
        </w:rPr>
        <w:t>CHAPTER FIVE</w:t>
      </w:r>
    </w:p>
    <w:p>
      <w:pPr>
        <w:spacing w:line="480" w:lineRule="auto"/>
        <w:rPr>
          <w:rFonts w:ascii="Times New Roman" w:hAnsi="Times New Roman" w:cs="Times New Roman"/>
          <w:b/>
          <w:bCs/>
          <w:sz w:val="24"/>
        </w:rPr>
      </w:pPr>
      <w:r>
        <w:rPr>
          <w:rFonts w:ascii="Times New Roman" w:hAnsi="Times New Roman" w:cs="Times New Roman"/>
          <w:b/>
          <w:bCs/>
          <w:sz w:val="24"/>
        </w:rPr>
        <w:t>SUMMARY OF FINDINGS, CONCLUSION AND RECOMMENDATIONS</w:t>
      </w:r>
    </w:p>
    <w:p>
      <w:pPr>
        <w:pStyle w:val="7"/>
        <w:widowControl/>
        <w:spacing w:after="0" w:line="21" w:lineRule="atLeast"/>
        <w:jc w:val="left"/>
        <w:rPr>
          <w:rFonts w:ascii="Times New Roman" w:hAnsi="Times New Roman" w:eastAsia="-webkit-standard" w:cs="Times New Roman"/>
          <w:color w:val="000000"/>
        </w:rPr>
      </w:pPr>
      <w:r>
        <w:rPr>
          <w:rFonts w:ascii="Times New Roman" w:hAnsi="Times New Roman" w:eastAsia="-webkit-standard" w:cs="Times New Roman"/>
          <w:b/>
          <w:color w:val="121212"/>
        </w:rPr>
        <w:t>5.1 Summary of Findings</w:t>
      </w:r>
    </w:p>
    <w:p>
      <w:pPr>
        <w:pStyle w:val="7"/>
        <w:widowControl/>
        <w:spacing w:after="0" w:line="480" w:lineRule="auto"/>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The socio-economic profile of respondents in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and Harmony Housing Estates reveals a predominantly middle-income, educated population. Gender distribution shows more female respondents in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while Harmony had more male respondents. Most of the residents in both estates were married, aligning with the family-oriented nature of the estates. Yoruba ethnic group formed the majority across both areas, reflecting the indigenous composition of Ilorin. Islam was the predominant religion, although Christianity was also significantly represented. The majority of the respondents were indigenes of </w:t>
      </w:r>
      <w:r>
        <w:rPr>
          <w:rFonts w:ascii="Times New Roman" w:hAnsi="Times New Roman" w:eastAsia="Times New Roman" w:cs="Times New Roman"/>
          <w:color w:val="121212"/>
        </w:rPr>
        <w:t>Kwara</w:t>
      </w:r>
      <w:r>
        <w:rPr>
          <w:rFonts w:ascii="Times New Roman" w:hAnsi="Times New Roman" w:eastAsia="Times New Roman" w:cs="Times New Roman"/>
          <w:color w:val="121212"/>
        </w:rPr>
        <w:t xml:space="preserve"> State, and a significant number were homeowners, especially in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indicating greater residential stability. Household sizes mostly ranged between three to five persons, suggesting medium-sized family units. Most respondents were employed in the public sector, which aligns with the purpose of the estates as low-cost housing for civil servants. Educational attainment was high, with most respondents holding a university degree or its equivalent. Income levels predominantly fell within the ₦46,000 to ₦90,000 range, highlighting a moderate earning capacity among residents. These characteristics collectively suggest a stable, educated, and working-class population residing in both estates, with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having a slightly more favorable socio-economic profile.</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b/>
          <w:bCs/>
          <w:color w:val="121212"/>
        </w:rPr>
        <w:t>Infrastructure Facilities</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 Roads: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had better roads (71%) rated very good</w:t>
      </w:r>
      <w:r>
        <w:rPr>
          <w:rFonts w:ascii="Times New Roman" w:hAnsi="Times New Roman" w:eastAsia="Times New Roman" w:cs="Times New Roman"/>
          <w:color w:val="121212"/>
        </w:rPr>
        <w:t>)than</w:t>
      </w:r>
      <w:r>
        <w:rPr>
          <w:rFonts w:ascii="Times New Roman" w:hAnsi="Times New Roman" w:eastAsia="Times New Roman" w:cs="Times New Roman"/>
          <w:color w:val="121212"/>
        </w:rPr>
        <w:t xml:space="preserve"> Harmony which is (32%).</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 Drainage: More functional systems are provided in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(58%) than that of Harmony (44%).</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 Water Supply: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had more regular supply at the percentage of (54%) than Harmony which carries (41%).</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 Electricity: Harmony had slightly more stable supply (53%) than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(50.8%).</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 Waste Management: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had more effective management (64%) than Harmony (21%).</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 Recreational Facilities: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had more adequate facilities (53%</w:t>
      </w:r>
      <w:r>
        <w:rPr>
          <w:rFonts w:ascii="Times New Roman" w:hAnsi="Times New Roman" w:eastAsia="Times New Roman" w:cs="Times New Roman"/>
          <w:color w:val="121212"/>
        </w:rPr>
        <w:t>)than</w:t>
      </w:r>
      <w:r>
        <w:rPr>
          <w:rFonts w:ascii="Times New Roman" w:hAnsi="Times New Roman" w:eastAsia="Times New Roman" w:cs="Times New Roman"/>
          <w:color w:val="121212"/>
        </w:rPr>
        <w:t xml:space="preserve"> Harmony which rated (27%).</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 Overall Satisfaction: Higher in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(57%) than Harmony (31%).</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b/>
          <w:bCs/>
          <w:color w:val="121212"/>
        </w:rPr>
        <w:t>5.2 Conclusion</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The study concludes that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consistently outperforms Harmony in infrastructure quality and resident satisfaction. </w:t>
      </w:r>
      <w:r>
        <w:rPr>
          <w:rFonts w:ascii="Times New Roman" w:hAnsi="Times New Roman" w:eastAsia="Times New Roman" w:cs="Times New Roman"/>
          <w:color w:val="121212"/>
        </w:rPr>
        <w:t>Adewole</w:t>
      </w:r>
      <w:r>
        <w:rPr>
          <w:rFonts w:ascii="Times New Roman" w:hAnsi="Times New Roman" w:eastAsia="Times New Roman" w:cs="Times New Roman"/>
          <w:color w:val="121212"/>
        </w:rPr>
        <w:t xml:space="preserve"> shows superiority in roads, drainage, waste management, and recreation. Though Harmony slightly leads in electricity, its infrastructure lags in most areas. There is a clear need for infrastructural intervention in Harmony Estate.</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b/>
          <w:bCs/>
          <w:color w:val="121212"/>
        </w:rPr>
        <w:t>5.3 Recommendations</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1. Infrastructure Development: Improve roads, drainage, and waste systems in Harmony Estate.</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 xml:space="preserve">2. Water Supply: Enhance water infrastructure in Harmony to meet </w:t>
      </w:r>
      <w:r>
        <w:rPr>
          <w:rFonts w:ascii="Times New Roman" w:hAnsi="Times New Roman" w:eastAsia="Times New Roman" w:cs="Times New Roman"/>
          <w:color w:val="121212"/>
        </w:rPr>
        <w:t>Adewole’s</w:t>
      </w:r>
      <w:r>
        <w:rPr>
          <w:rFonts w:ascii="Times New Roman" w:hAnsi="Times New Roman" w:eastAsia="Times New Roman" w:cs="Times New Roman"/>
          <w:color w:val="121212"/>
        </w:rPr>
        <w:t xml:space="preserve"> standards.</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3. Maintenance Policies: Establish routine infrastructure maintenance in both estates.</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4. Electricity Supply: Encourage solar and alternative energy investments.</w:t>
      </w:r>
    </w:p>
    <w:p>
      <w:pPr>
        <w:pStyle w:val="7"/>
        <w:widowControl/>
        <w:spacing w:after="0" w:line="21" w:lineRule="atLeast"/>
        <w:jc w:val="left"/>
        <w:rPr>
          <w:rFonts w:ascii="Times New Roman" w:hAnsi="Times New Roman" w:eastAsia="Times New Roman" w:cs="Times New Roman"/>
          <w:color w:val="121212"/>
        </w:rPr>
      </w:pPr>
      <w:r>
        <w:rPr>
          <w:rFonts w:ascii="Times New Roman" w:hAnsi="Times New Roman" w:eastAsia="Times New Roman" w:cs="Times New Roman"/>
          <w:color w:val="121212"/>
        </w:rPr>
        <w:t>5. Recreational Facilities: Provide adequate recreational spaces in Harmony Estate.</w:t>
      </w:r>
    </w:p>
    <w:p>
      <w:pPr>
        <w:pStyle w:val="7"/>
        <w:widowControl/>
        <w:spacing w:after="0" w:line="21" w:lineRule="atLeast"/>
        <w:jc w:val="left"/>
        <w:rPr>
          <w:rFonts w:ascii="Times New Roman" w:hAnsi="Times New Roman" w:cs="Times New Roman"/>
        </w:rPr>
      </w:pPr>
      <w:r>
        <w:rPr>
          <w:rFonts w:ascii="Times New Roman" w:hAnsi="Times New Roman" w:eastAsia="Times New Roman" w:cs="Times New Roman"/>
          <w:color w:val="121212"/>
        </w:rPr>
        <w:t>6. Urban Planning Integration: Ensure equitable infrastructure planning in future developments.</w:t>
      </w:r>
      <w:r>
        <w:rPr>
          <w:rFonts w:ascii="Times New Roman" w:hAnsi="Times New Roman" w:cs="Times New Roman"/>
        </w:rPr>
        <w:tab/>
      </w:r>
    </w:p>
    <w:p>
      <w:pPr>
        <w:spacing w:line="480" w:lineRule="auto"/>
        <w:rPr>
          <w:rFonts w:ascii="Times New Roman" w:hAnsi="Times New Roman" w:cs="Times New Roman"/>
          <w:sz w:val="24"/>
        </w:rPr>
      </w:pPr>
      <w:r>
        <w:rPr>
          <w:rFonts w:ascii="Times New Roman" w:hAnsi="Times New Roman" w:cs="Times New Roman"/>
          <w:b/>
          <w:bCs/>
          <w:sz w:val="24"/>
        </w:rPr>
        <w:t>5.2 Conclusion</w:t>
      </w:r>
    </w:p>
    <w:p>
      <w:pPr>
        <w:spacing w:line="480" w:lineRule="auto"/>
        <w:jc w:val="left"/>
        <w:rPr>
          <w:rFonts w:ascii="Times New Roman" w:hAnsi="Times New Roman" w:eastAsia="Times New Roman" w:cs="Times New Roman"/>
          <w:sz w:val="24"/>
        </w:rPr>
      </w:pPr>
      <w:r>
        <w:rPr>
          <w:rFonts w:ascii="Times New Roman" w:hAnsi="Times New Roman" w:eastAsia="Times New Roman" w:cs="Times New Roman"/>
          <w:sz w:val="24"/>
        </w:rPr>
        <w:t>The study concludes that while both Adewole and Harmony Estates serve as significant residential areas in Ilorin, Adewole consistently outperforms Harmony in terms of infrastructure quality and resident satisfaction. The superiority of Adewole in aspects such as road conditions, drainage, waste management, and recreational facilities suggests better maintenance, planning, or policy implementation. Although Harmony Estate shows marginally better electricity supply, this advantage is offset by other infrastructural deficits. These disparities highlight a clear need for government and urban planning authorities to focus on bridging infrastructural gaps, especially in Harmony Estate.</w:t>
      </w:r>
    </w:p>
    <w:p>
      <w:pPr>
        <w:spacing w:line="480" w:lineRule="auto"/>
        <w:jc w:val="left"/>
        <w:rPr>
          <w:rFonts w:ascii="Times New Roman" w:hAnsi="Times New Roman" w:eastAsia="Times New Roman" w:cs="Times New Roman"/>
          <w:sz w:val="24"/>
        </w:rPr>
      </w:pPr>
      <w:r>
        <w:rPr>
          <w:rFonts w:ascii="Times New Roman" w:hAnsi="Times New Roman" w:eastAsia="Times New Roman" w:cs="Times New Roman"/>
          <w:b/>
          <w:bCs/>
          <w:sz w:val="24"/>
        </w:rPr>
        <w:t>5.3 Recommendations</w:t>
      </w:r>
    </w:p>
    <w:p>
      <w:pPr>
        <w:spacing w:line="480" w:lineRule="auto"/>
        <w:jc w:val="left"/>
        <w:rPr>
          <w:rFonts w:ascii="Times New Roman" w:hAnsi="Times New Roman" w:eastAsia="Times New Roman" w:cs="Times New Roman"/>
          <w:sz w:val="24"/>
        </w:rPr>
      </w:pPr>
      <w:r>
        <w:rPr>
          <w:rFonts w:ascii="Times New Roman" w:hAnsi="Times New Roman" w:eastAsia="Times New Roman" w:cs="Times New Roman"/>
          <w:sz w:val="24"/>
        </w:rPr>
        <w:tab/>
      </w:r>
      <w:r>
        <w:rPr>
          <w:rFonts w:ascii="Times New Roman" w:hAnsi="Times New Roman" w:eastAsia="Times New Roman" w:cs="Times New Roman"/>
          <w:sz w:val="24"/>
        </w:rPr>
        <w:t>1.</w:t>
      </w:r>
      <w:r>
        <w:rPr>
          <w:rFonts w:ascii="Times New Roman" w:hAnsi="Times New Roman" w:eastAsia="Times New Roman" w:cs="Times New Roman"/>
          <w:sz w:val="24"/>
        </w:rPr>
        <w:tab/>
      </w:r>
      <w:r>
        <w:rPr>
          <w:rFonts w:ascii="Times New Roman" w:hAnsi="Times New Roman" w:eastAsia="Times New Roman" w:cs="Times New Roman"/>
          <w:sz w:val="24"/>
        </w:rPr>
        <w:t>Infrastructure Development: Priority should be given to improving road networks, drainage, and waste management systems in Harmony Estate.</w:t>
      </w:r>
    </w:p>
    <w:p>
      <w:pPr>
        <w:spacing w:line="480" w:lineRule="auto"/>
        <w:jc w:val="left"/>
        <w:rPr>
          <w:rFonts w:ascii="Times New Roman" w:hAnsi="Times New Roman" w:eastAsia="Times New Roman" w:cs="Times New Roman"/>
          <w:sz w:val="24"/>
        </w:rPr>
      </w:pPr>
      <w:r>
        <w:rPr>
          <w:rFonts w:ascii="Times New Roman" w:hAnsi="Times New Roman" w:eastAsia="Times New Roman" w:cs="Times New Roman"/>
          <w:sz w:val="24"/>
        </w:rPr>
        <w:tab/>
      </w:r>
      <w:r>
        <w:rPr>
          <w:rFonts w:ascii="Times New Roman" w:hAnsi="Times New Roman" w:eastAsia="Times New Roman" w:cs="Times New Roman"/>
          <w:sz w:val="24"/>
        </w:rPr>
        <w:t>2.</w:t>
      </w:r>
      <w:r>
        <w:rPr>
          <w:rFonts w:ascii="Times New Roman" w:hAnsi="Times New Roman" w:eastAsia="Times New Roman" w:cs="Times New Roman"/>
          <w:sz w:val="24"/>
        </w:rPr>
        <w:tab/>
      </w:r>
      <w:r>
        <w:rPr>
          <w:rFonts w:ascii="Times New Roman" w:hAnsi="Times New Roman" w:eastAsia="Times New Roman" w:cs="Times New Roman"/>
          <w:sz w:val="24"/>
        </w:rPr>
        <w:t>Water Supply: Government should enhance water infrastructure in Harmony to match that of Adewole.</w:t>
      </w:r>
    </w:p>
    <w:p>
      <w:pPr>
        <w:spacing w:line="480" w:lineRule="auto"/>
        <w:jc w:val="left"/>
        <w:rPr>
          <w:rFonts w:ascii="Times New Roman" w:hAnsi="Times New Roman" w:eastAsia="Times New Roman" w:cs="Times New Roman"/>
          <w:sz w:val="24"/>
        </w:rPr>
      </w:pPr>
      <w:r>
        <w:rPr>
          <w:rFonts w:ascii="Times New Roman" w:hAnsi="Times New Roman" w:eastAsia="Times New Roman" w:cs="Times New Roman"/>
          <w:sz w:val="24"/>
        </w:rPr>
        <w:tab/>
      </w:r>
      <w:r>
        <w:rPr>
          <w:rFonts w:ascii="Times New Roman" w:hAnsi="Times New Roman" w:eastAsia="Times New Roman" w:cs="Times New Roman"/>
          <w:sz w:val="24"/>
        </w:rPr>
        <w:t>3.</w:t>
      </w:r>
      <w:r>
        <w:rPr>
          <w:rFonts w:ascii="Times New Roman" w:hAnsi="Times New Roman" w:eastAsia="Times New Roman" w:cs="Times New Roman"/>
          <w:sz w:val="24"/>
        </w:rPr>
        <w:tab/>
      </w:r>
      <w:r>
        <w:rPr>
          <w:rFonts w:ascii="Times New Roman" w:hAnsi="Times New Roman" w:eastAsia="Times New Roman" w:cs="Times New Roman"/>
          <w:sz w:val="24"/>
        </w:rPr>
        <w:t>Maintenance Policies: Regular maintenance schedules should be institutionalized in both estates to sustain infrastructure quality.</w:t>
      </w:r>
    </w:p>
    <w:p>
      <w:pPr>
        <w:spacing w:line="480" w:lineRule="auto"/>
        <w:jc w:val="left"/>
        <w:rPr>
          <w:rFonts w:ascii="Times New Roman" w:hAnsi="Times New Roman" w:eastAsia="Times New Roman" w:cs="Times New Roman"/>
          <w:sz w:val="24"/>
        </w:rPr>
      </w:pPr>
      <w:r>
        <w:rPr>
          <w:rFonts w:ascii="Times New Roman" w:hAnsi="Times New Roman" w:eastAsia="Times New Roman" w:cs="Times New Roman"/>
          <w:sz w:val="24"/>
        </w:rPr>
        <w:tab/>
      </w:r>
      <w:r>
        <w:rPr>
          <w:rFonts w:ascii="Times New Roman" w:hAnsi="Times New Roman" w:eastAsia="Times New Roman" w:cs="Times New Roman"/>
          <w:sz w:val="24"/>
        </w:rPr>
        <w:t>4.</w:t>
      </w:r>
      <w:r>
        <w:rPr>
          <w:rFonts w:ascii="Times New Roman" w:hAnsi="Times New Roman" w:eastAsia="Times New Roman" w:cs="Times New Roman"/>
          <w:sz w:val="24"/>
        </w:rPr>
        <w:tab/>
      </w:r>
      <w:r>
        <w:rPr>
          <w:rFonts w:ascii="Times New Roman" w:hAnsi="Times New Roman" w:eastAsia="Times New Roman" w:cs="Times New Roman"/>
          <w:sz w:val="24"/>
        </w:rPr>
        <w:t>Electricity Supply: Investment in alternative energy solutions (e.g., solar systems) should be encouraged to supplement the grid.</w:t>
      </w:r>
    </w:p>
    <w:p>
      <w:pPr>
        <w:spacing w:line="480" w:lineRule="auto"/>
        <w:jc w:val="left"/>
        <w:rPr>
          <w:rFonts w:ascii="Times New Roman" w:hAnsi="Times New Roman" w:eastAsia="Times New Roman" w:cs="Times New Roman"/>
          <w:sz w:val="24"/>
        </w:rPr>
      </w:pPr>
      <w:r>
        <w:rPr>
          <w:rFonts w:ascii="Times New Roman" w:hAnsi="Times New Roman" w:eastAsia="Times New Roman" w:cs="Times New Roman"/>
          <w:sz w:val="24"/>
        </w:rPr>
        <w:tab/>
      </w:r>
      <w:r>
        <w:rPr>
          <w:rFonts w:ascii="Times New Roman" w:hAnsi="Times New Roman" w:eastAsia="Times New Roman" w:cs="Times New Roman"/>
          <w:sz w:val="24"/>
        </w:rPr>
        <w:t>5.</w:t>
      </w:r>
      <w:r>
        <w:rPr>
          <w:rFonts w:ascii="Times New Roman" w:hAnsi="Times New Roman" w:eastAsia="Times New Roman" w:cs="Times New Roman"/>
          <w:sz w:val="24"/>
        </w:rPr>
        <w:tab/>
      </w:r>
      <w:r>
        <w:rPr>
          <w:rFonts w:ascii="Times New Roman" w:hAnsi="Times New Roman" w:eastAsia="Times New Roman" w:cs="Times New Roman"/>
          <w:sz w:val="24"/>
        </w:rPr>
        <w:t>Recreational Facilities: The state or estate authorities should provide more recreational infrastructure in Harmony to improve social wellbeing.</w:t>
      </w:r>
    </w:p>
    <w:p>
      <w:pPr>
        <w:spacing w:line="480" w:lineRule="auto"/>
        <w:jc w:val="left"/>
        <w:rPr>
          <w:rFonts w:ascii="Times New Roman" w:hAnsi="Times New Roman" w:eastAsia="Times New Roman" w:cs="Times New Roman"/>
          <w:sz w:val="24"/>
        </w:rPr>
      </w:pPr>
      <w:r>
        <w:rPr>
          <w:rFonts w:ascii="Times New Roman" w:hAnsi="Times New Roman" w:eastAsia="Times New Roman" w:cs="Times New Roman"/>
          <w:sz w:val="24"/>
        </w:rPr>
        <w:tab/>
      </w:r>
      <w:r>
        <w:rPr>
          <w:rFonts w:ascii="Times New Roman" w:hAnsi="Times New Roman" w:eastAsia="Times New Roman" w:cs="Times New Roman"/>
          <w:sz w:val="24"/>
        </w:rPr>
        <w:t>6.</w:t>
      </w:r>
      <w:r>
        <w:rPr>
          <w:rFonts w:ascii="Times New Roman" w:hAnsi="Times New Roman" w:eastAsia="Times New Roman" w:cs="Times New Roman"/>
          <w:sz w:val="24"/>
        </w:rPr>
        <w:tab/>
      </w:r>
      <w:r>
        <w:rPr>
          <w:rFonts w:ascii="Times New Roman" w:hAnsi="Times New Roman" w:eastAsia="Times New Roman" w:cs="Times New Roman"/>
          <w:sz w:val="24"/>
        </w:rPr>
        <w:t>Urban Planning Integration: Future housing estate developments should consider mixed-income, accessible, and balanced infrastructure distribution from inception.</w:t>
      </w:r>
    </w:p>
    <w:p>
      <w:pPr>
        <w:spacing w:line="480" w:lineRule="auto"/>
        <w:jc w:val="left"/>
        <w:rPr>
          <w:rFonts w:ascii="Constantia" w:hAnsi="Constantia" w:eastAsia="Times New Roman" w:cs="Times New Roman"/>
          <w:i/>
          <w:sz w:val="24"/>
        </w:rPr>
      </w:pPr>
      <w:r>
        <w:rPr>
          <w:rFonts w:ascii="Constantia" w:hAnsi="Constantia" w:eastAsia="Times New Roman" w:cs="Times New Roman"/>
          <w:b/>
          <w:bCs/>
          <w:i/>
          <w:sz w:val="24"/>
        </w:rPr>
        <w:t>5.4 References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Adebayo, A. (2012). Urban Infrastructure Challenges in Nigerian Cities. Ibadan: Spectrum Books.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Adegoke, A. (2013). Road Design and Infrastructure Planning in Urban Housing. Nigerian Journal of Civil Engineering, 5(2), 101–115.</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Adeleke, T. (2016). Waste Management Practices in Nigerian Cities. Journal of Environmental Management, 12(4), 311–324.</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Adewale, S. A. (2020). Infrastructure Equity and Urban Development in Nigeria. Lagos: Urban Press.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Aigbokhan, B. E. (1999). Evaluating Infrastructure’s Role in Economic Growth. Benin: Edo State University Press.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Akinpelu, A. (2015). Housing Infrastructure and Urban Development in Nigeria. African Research Review, 9(1), 66–78.</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Canning, D., &amp; Pedroni, P. (2004). The Effect of Infrastructure on Long-Run Economic Growth. World Bank Policy Research Working Paper.</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Denison, E. (1962). The Sources of Economic Growth in the United States. New York: Committee for Economic Development.</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Educational Consults. (2022). Integrating Recreation in Urban Estate Planning. Journal of Urban Studies, 14(3), 201–218.</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E-Project Guides. (2022). Improving Urban Living through Resident Participation. Urban Development Digest, 7(2), 135–142.</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Federal Republic of Nigeria. (1997). National Urban Infrastructure Policy. Abuja: Government Press.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Futagami, K., Morita, Y., &amp; Shibata, A. (1993). Public Infrastructure and Economic Growth. Journal of Economic Dynamics and Control, 17(5-6), 739–757.</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Kwara State Government. (2017). Kwara State Development Plan 2017–2030. Ilorin: Ministry of Planning and Economic Development.</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Mohammed, T. O. (2018). Urban Sustainability through Policy Innovation. Ilorin: University Press.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Muller, M. (2004). Housing and Urban Development in Nigeria. Journal of Housing and the Built Environment, 19(2), 147–164.</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National Institute of Urban Affairs. (2020). State-Level Infrastructure Development in Nigeria. Abuja: NIUA Reports.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National Planning Commission. (2021). Nigeria’s National Infrastructure Framework. Abuja: NPC.</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NEPA. (2013). Electricity Access in Nigerian Urban Areas. Lagos: National Electric Power Authority.</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Obateru, O. (2003). Planning the Nigerian City: Principles and Practice. Ibadan: Penthouse Publications.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Ogunbode, T. (2016). Challenges of Drainage Systems in Nigerian Urban Estates. Journal of Sustainable Cities, 4(2), 85–97.</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Ogundele, O. K. (2019). Public-Private Partnerships and Urban Infrastructure. African Infrastructure Review, 11(1), 23–34.</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Oluwunmi, A. (2015). Road and Recreational Infrastructure in Residential Estates. Journal of Construction and Property Management, 6(3), 191–205.</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Oxford Dictionary of Economics. (2024). Oxford University Press.</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The World Bank. (1994, 1996, 2006, 2008, 2022). Various Reports on Infrastructure and Urban Development.</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UN-Habitat. (2016). Urbanization and Sustainable Infrastructure in Developing Countries. Nairobi: United Nations Human Settlements Programme.</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UNEP. (2015). Sustainable Waste Management Practices. Geneva: United Nations Environment Programme.</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UNESCO. (2011). The Role of Education in Human Capital Development. Paris: UNESCO Publishing.</w:t>
      </w:r>
    </w:p>
    <w:p>
      <w:pPr>
        <w:snapToGrid w:val="0"/>
        <w:spacing w:line="240" w:lineRule="auto"/>
        <w:jc w:val="left"/>
        <w:rPr>
          <w:rFonts w:ascii="Constantia" w:hAnsi="Constantia" w:eastAsia="Times New Roman" w:cs="Times New Roman"/>
          <w:i/>
          <w:sz w:val="24"/>
        </w:rPr>
      </w:pPr>
      <w:r>
        <w:rPr>
          <w:rFonts w:ascii="Constantia" w:hAnsi="Constantia" w:eastAsia="Times New Roman" w:cs="Times New Roman"/>
          <w:i/>
          <w:sz w:val="24"/>
        </w:rPr>
        <w:tab/>
      </w:r>
      <w:r>
        <w:rPr>
          <w:rFonts w:ascii="Constantia" w:hAnsi="Constantia" w:eastAsia="Times New Roman" w:cs="Times New Roman"/>
          <w:i/>
          <w:sz w:val="24"/>
        </w:rPr>
        <w:t>•</w:t>
      </w:r>
      <w:r>
        <w:rPr>
          <w:rFonts w:ascii="Constantia" w:hAnsi="Constantia" w:eastAsia="Times New Roman" w:cs="Times New Roman"/>
          <w:i/>
          <w:sz w:val="24"/>
        </w:rPr>
        <w:tab/>
      </w:r>
      <w:r>
        <w:rPr>
          <w:rFonts w:ascii="Constantia" w:hAnsi="Constantia" w:eastAsia="Times New Roman" w:cs="Times New Roman"/>
          <w:i/>
          <w:sz w:val="24"/>
        </w:rPr>
        <w:t>Willoughby, C. (2004). Infrastructure and the Millennium Development Goals. World Bank Transport Paper Series.</w:t>
      </w:r>
    </w:p>
    <w:p>
      <w:pPr>
        <w:spacing w:line="480" w:lineRule="auto"/>
        <w:rPr>
          <w:rFonts w:ascii="Constantia" w:hAnsi="Constantia" w:cs="Times New Roman"/>
          <w:i/>
          <w:sz w:val="24"/>
        </w:rPr>
      </w:pPr>
      <w:bookmarkStart w:id="2" w:name="_GoBack"/>
      <w:bookmarkEnd w:id="2"/>
    </w:p>
    <w:sectPr>
      <w:type w:val="continuous"/>
      <w:pgSz w:w="11906" w:h="16838"/>
      <w:pgMar w:top="1440" w:right="1556"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altName w:val="宋体"/>
    <w:panose1 w:val="02010600030101010101"/>
    <w:charset w:val="86"/>
    <w:family w:val="auto"/>
    <w:pitch w:val="default"/>
    <w:sig w:usb0="00000000" w:usb1="00000000" w:usb2="00000016" w:usb3="00000000" w:csb0="00040001" w:csb1="00000000"/>
  </w:font>
  <w:font w:name="Tahoma">
    <w:panose1 w:val="020B0604030504040204"/>
    <w:charset w:val="00"/>
    <w:family w:val="swiss"/>
    <w:pitch w:val="default"/>
    <w:sig w:usb0="00000000" w:usb1="00000000" w:usb2="00000029" w:usb3="00000000" w:csb0="000101FF" w:csb1="00000000"/>
  </w:font>
  <w:font w:name="Constantia">
    <w:panose1 w:val="02030602050306030303"/>
    <w:charset w:val="00"/>
    <w:family w:val="roman"/>
    <w:pitch w:val="default"/>
    <w:sig w:usb0="00000000" w:usb1="00000000" w:usb2="00000000" w:usb3="00000000" w:csb0="0000019F" w:csb1="00000000"/>
  </w:font>
  <w:font w:name="-webkit-standard">
    <w:altName w:val="Times New Roman"/>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6196780"/>
    </w:sdtPr>
    <w:sdtContent>
      <w:p>
        <w:pPr>
          <w:pStyle w:val="5"/>
        </w:pPr>
        <w:r>
          <w:fldChar w:fldCharType="begin"/>
        </w:r>
        <w:r>
          <w:instrText xml:space="preserve"> PAGE   \* MERGEFORMAT </w:instrText>
        </w:r>
        <w:r>
          <w:fldChar w:fldCharType="separate"/>
        </w:r>
        <w:r>
          <w:t>3</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1643C6"/>
    <w:multiLevelType w:val="singleLevel"/>
    <w:tmpl w:val="681643C6"/>
    <w:lvl w:ilvl="0" w:tentative="0">
      <w:start w:val="1"/>
      <w:numFmt w:val="decimal"/>
      <w:lvlText w:val="%1."/>
      <w:lvlJc w:val="left"/>
    </w:lvl>
  </w:abstractNum>
  <w:abstractNum w:abstractNumId="1">
    <w:nsid w:val="681F2134"/>
    <w:multiLevelType w:val="singleLevel"/>
    <w:tmpl w:val="681F2134"/>
    <w:lvl w:ilvl="0" w:tentative="0">
      <w:start w:val="1"/>
      <w:numFmt w:val="decimal"/>
      <w:lvlText w:val="%1."/>
      <w:lvlJc w:val="left"/>
    </w:lvl>
  </w:abstractNum>
  <w:abstractNum w:abstractNumId="2">
    <w:nsid w:val="681F2196"/>
    <w:multiLevelType w:val="singleLevel"/>
    <w:tmpl w:val="681F2196"/>
    <w:lvl w:ilvl="0" w:tentative="0">
      <w:start w:val="1"/>
      <w:numFmt w:val="decimal"/>
      <w:lvlText w:val="%1."/>
      <w:lvlJc w:val="left"/>
    </w:lvl>
  </w:abstractNum>
  <w:abstractNum w:abstractNumId="3">
    <w:nsid w:val="6829826C"/>
    <w:multiLevelType w:val="singleLevel"/>
    <w:tmpl w:val="6829826C"/>
    <w:lvl w:ilvl="0" w:tentative="0">
      <w:start w:val="3"/>
      <w:numFmt w:val="decimal"/>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8">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3"/>
    <w:uiPriority w:val="0"/>
    <w:pPr>
      <w:spacing w:after="0" w:line="240" w:lineRule="auto"/>
    </w:pPr>
    <w:rPr>
      <w:rFonts w:ascii="Tahoma" w:hAnsi="Tahoma" w:cs="Tahoma"/>
      <w:sz w:val="16"/>
      <w:szCs w:val="16"/>
    </w:rPr>
  </w:style>
  <w:style w:type="paragraph" w:styleId="4">
    <w:name w:val="annotation text"/>
    <w:basedOn w:val="1"/>
    <w:uiPriority w:val="0"/>
    <w:pPr>
      <w:jc w:val="left"/>
    </w:pPr>
  </w:style>
  <w:style w:type="paragraph" w:styleId="5">
    <w:name w:val="footer"/>
    <w:basedOn w:val="1"/>
    <w:link w:val="14"/>
    <w:uiPriority w:val="99"/>
    <w:pPr>
      <w:tabs>
        <w:tab w:val="center" w:pos="4153"/>
        <w:tab w:val="right" w:pos="8306"/>
      </w:tabs>
      <w:snapToGrid w:val="0"/>
      <w:jc w:val="center"/>
    </w:pPr>
    <w:rPr>
      <w:sz w:val="18"/>
      <w:szCs w:val="18"/>
    </w:rPr>
  </w:style>
  <w:style w:type="paragraph" w:styleId="6">
    <w:name w:val="header"/>
    <w:basedOn w:val="1"/>
    <w:uiPriority w:val="0"/>
    <w:pPr>
      <w:tabs>
        <w:tab w:val="center" w:pos="4153"/>
        <w:tab w:val="right" w:pos="8306"/>
      </w:tabs>
      <w:snapToGrid w:val="0"/>
      <w:jc w:val="center"/>
    </w:pPr>
    <w:rPr>
      <w:sz w:val="18"/>
      <w:szCs w:val="18"/>
    </w:rPr>
  </w:style>
  <w:style w:type="paragraph" w:styleId="7">
    <w:name w:val="Normal (Web)"/>
    <w:basedOn w:val="1"/>
    <w:uiPriority w:val="0"/>
    <w:rPr>
      <w:sz w:val="24"/>
    </w:rPr>
  </w:style>
  <w:style w:type="character" w:styleId="9">
    <w:name w:val="annotation reference"/>
    <w:basedOn w:val="8"/>
    <w:uiPriority w:val="0"/>
    <w:rPr>
      <w:sz w:val="16"/>
      <w:szCs w:val="16"/>
    </w:rPr>
  </w:style>
  <w:style w:type="character" w:styleId="10">
    <w:name w:val="Strong"/>
    <w:basedOn w:val="8"/>
    <w:qFormat/>
    <w:uiPriority w:val="0"/>
    <w:rPr>
      <w:b/>
      <w:bCs/>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Balloon Text Char"/>
    <w:basedOn w:val="8"/>
    <w:link w:val="3"/>
    <w:uiPriority w:val="0"/>
    <w:rPr>
      <w:rFonts w:ascii="Tahoma" w:hAnsi="Tahoma" w:cs="Tahoma" w:eastAsiaTheme="minorEastAsia"/>
      <w:kern w:val="2"/>
      <w:sz w:val="16"/>
      <w:szCs w:val="16"/>
      <w:lang w:eastAsia="zh-CN"/>
    </w:rPr>
  </w:style>
  <w:style w:type="character" w:customStyle="1" w:styleId="14">
    <w:name w:val="Footer Char"/>
    <w:basedOn w:val="8"/>
    <w:link w:val="5"/>
    <w:uiPriority w:val="99"/>
    <w:rPr>
      <w:rFonts w:asciiTheme="minorHAnsi" w:hAnsiTheme="minorHAnsi" w:eastAsiaTheme="minorEastAsia" w:cstheme="minorBidi"/>
      <w:kern w:val="2"/>
      <w:sz w:val="18"/>
      <w:szCs w:val="18"/>
      <w:lang w:eastAsia="zh-CN"/>
    </w:rPr>
  </w:style>
  <w:style w:type="paragraph" w:customStyle="1" w:styleId="15">
    <w:name w:val="List Paragraph"/>
    <w:basedOn w:val="1"/>
    <w:unhideWhenUsed/>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95c79369645cc173b080b7df3811e0ad" TargetMode="Externa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81</Pages>
  <Words>12172</Words>
  <Characters>69383</Characters>
  <Lines>578</Lines>
  <Paragraphs>162</Paragraphs>
  <ScaleCrop>false</ScaleCrop>
  <LinksUpToDate>false</LinksUpToDate>
  <CharactersWithSpaces>81393</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iPhone</dc:creator>
  <cp:lastModifiedBy>iPhone</cp:lastModifiedBy>
  <dcterms:modified xsi:type="dcterms:W3CDTF">2025-08-05T12:30:51Z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3081-11.34.0</vt:lpwstr>
  </property>
  <property fmtid="{D5CDD505-2E9C-101B-9397-08002B2CF9AE}" pid="3" name="ICV">
    <vt:lpwstr>1D384BC2C0C4EE8E303D1668D61DFBA7_31</vt:lpwstr>
  </property>
</Properties>
</file>