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E701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ANTIFUNGAL EFFECT OF CALOTROPIS PROCERA (BOMBOM LEAF</w:t>
      </w:r>
    </w:p>
    <w:p w14:paraId="6CC8BB51">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A PROJECT REPORT SUBMITTED</w:t>
      </w:r>
    </w:p>
    <w:p w14:paraId="1CE03867">
      <w:pPr>
        <w:jc w:val="center"/>
        <w:rPr>
          <w:rFonts w:ascii="Times New Roman" w:hAnsi="Times New Roman" w:eastAsia="Times New Roman" w:cs="Times New Roman"/>
          <w:b/>
          <w:sz w:val="28"/>
          <w:szCs w:val="28"/>
        </w:rPr>
      </w:pPr>
    </w:p>
    <w:p w14:paraId="0149563B">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BY</w:t>
      </w:r>
    </w:p>
    <w:p w14:paraId="03C8A87B">
      <w:pPr>
        <w:jc w:val="center"/>
        <w:rPr>
          <w:rFonts w:ascii="Times New Roman" w:hAnsi="Times New Roman" w:cs="Times New Roman"/>
          <w:b/>
          <w:sz w:val="28"/>
          <w:szCs w:val="28"/>
        </w:rPr>
      </w:pPr>
      <w:r>
        <w:rPr>
          <w:rFonts w:ascii="Times New Roman" w:hAnsi="Times New Roman" w:cs="Times New Roman"/>
          <w:b/>
          <w:sz w:val="28"/>
          <w:szCs w:val="28"/>
        </w:rPr>
        <w:t xml:space="preserve">BELLO MOTUNRAYO ZAINAB </w:t>
      </w:r>
    </w:p>
    <w:p w14:paraId="0B9C4E1F">
      <w:pPr>
        <w:jc w:val="center"/>
        <w:rPr>
          <w:rFonts w:ascii="Times New Roman" w:hAnsi="Times New Roman" w:cs="Times New Roman"/>
          <w:b/>
          <w:sz w:val="28"/>
          <w:szCs w:val="28"/>
        </w:rPr>
      </w:pPr>
      <w:r>
        <w:rPr>
          <w:rFonts w:ascii="Times New Roman" w:hAnsi="Times New Roman" w:cs="Times New Roman"/>
          <w:b/>
          <w:sz w:val="28"/>
          <w:szCs w:val="28"/>
        </w:rPr>
        <w:t>HND/23/SLT/FT/0558</w:t>
      </w:r>
    </w:p>
    <w:p w14:paraId="0210DE1B">
      <w:pPr>
        <w:jc w:val="center"/>
        <w:rPr>
          <w:rFonts w:ascii="Times New Roman" w:hAnsi="Times New Roman" w:cs="Times New Roman"/>
          <w:b/>
          <w:sz w:val="28"/>
          <w:szCs w:val="28"/>
        </w:rPr>
      </w:pPr>
    </w:p>
    <w:p w14:paraId="23BA8988">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02A3BF2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24089673">
      <w:pPr>
        <w:jc w:val="right"/>
        <w:rPr>
          <w:rFonts w:ascii="Times New Roman" w:hAnsi="Times New Roman" w:cs="Times New Roman"/>
          <w:b/>
          <w:sz w:val="28"/>
          <w:szCs w:val="28"/>
        </w:rPr>
      </w:pPr>
    </w:p>
    <w:p w14:paraId="7AAF0F55">
      <w:pPr>
        <w:jc w:val="right"/>
        <w:rPr>
          <w:rFonts w:ascii="Times New Roman" w:hAnsi="Times New Roman" w:cs="Times New Roman"/>
          <w:b/>
          <w:sz w:val="28"/>
          <w:szCs w:val="28"/>
        </w:rPr>
      </w:pPr>
    </w:p>
    <w:p w14:paraId="1C7E6F14">
      <w:pPr>
        <w:ind w:left="7200"/>
        <w:jc w:val="both"/>
        <w:rPr>
          <w:rFonts w:ascii="Times New Roman" w:hAnsi="Times New Roman" w:eastAsia="Times New Roman" w:cs="Times New Roman"/>
          <w:b/>
          <w:sz w:val="28"/>
          <w:szCs w:val="28"/>
        </w:rPr>
      </w:pPr>
      <w:r>
        <w:rPr>
          <w:rFonts w:ascii="Times New Roman" w:hAnsi="Times New Roman" w:cs="Times New Roman"/>
          <w:b/>
          <w:sz w:val="28"/>
          <w:szCs w:val="28"/>
        </w:rPr>
        <w:t>JULY,2025</w:t>
      </w:r>
    </w:p>
    <w:p w14:paraId="3D0D3B95">
      <w:pPr>
        <w:rPr>
          <w:rFonts w:ascii="Times New Roman" w:hAnsi="Times New Roman" w:cs="Times New Roman"/>
          <w:b/>
          <w:bCs/>
          <w:sz w:val="28"/>
          <w:szCs w:val="28"/>
        </w:rPr>
      </w:pPr>
      <w:r>
        <w:rPr>
          <w:rFonts w:ascii="Times New Roman" w:hAnsi="Times New Roman" w:cs="Times New Roman"/>
          <w:b/>
          <w:bCs/>
          <w:sz w:val="28"/>
          <w:szCs w:val="28"/>
        </w:rPr>
        <w:br w:type="page"/>
      </w:r>
    </w:p>
    <w:p w14:paraId="2B6A3959">
      <w:pPr>
        <w:spacing w:after="0" w:line="360" w:lineRule="auto"/>
        <w:jc w:val="center"/>
        <w:rPr>
          <w:rFonts w:ascii="Times New Roman" w:hAnsi="Times New Roman" w:eastAsia="Times New Roman" w:cs="Times New Roman"/>
          <w:b/>
          <w:sz w:val="28"/>
          <w:szCs w:val="28"/>
        </w:rPr>
      </w:pPr>
      <w:r>
        <w:rPr>
          <w:rFonts w:ascii="Times New Roman" w:hAnsi="Times New Roman" w:cs="Times New Roman"/>
          <w:b/>
          <w:bCs/>
          <w:sz w:val="28"/>
          <w:szCs w:val="28"/>
        </w:rPr>
        <w:t>CERTIFICATION</w:t>
      </w:r>
    </w:p>
    <w:p w14:paraId="346570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sz w:val="28"/>
          <w:szCs w:val="28"/>
        </w:rPr>
        <w:t xml:space="preserve">BELLO MOTUNRAYO ZAINAB  </w:t>
      </w:r>
      <w:r>
        <w:rPr>
          <w:rFonts w:ascii="Times New Roman" w:hAnsi="Times New Roman" w:cs="Times New Roman"/>
          <w:sz w:val="28"/>
          <w:szCs w:val="28"/>
        </w:rPr>
        <w:t>with matric no</w:t>
      </w:r>
      <w:r>
        <w:rPr>
          <w:rFonts w:ascii="Times New Roman" w:hAnsi="Times New Roman" w:cs="Times New Roman"/>
          <w:b/>
          <w:sz w:val="28"/>
          <w:szCs w:val="28"/>
        </w:rPr>
        <w:t xml:space="preserve"> HND/23/SLT/FT/0558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1DBFE2E6">
      <w:pPr>
        <w:rPr>
          <w:rFonts w:hint="default" w:ascii="Times New Roman" w:hAnsi="Times New Roman" w:cs="Times New Roman"/>
          <w:sz w:val="28"/>
          <w:szCs w:val="28"/>
          <w:lang w:val="en-US"/>
        </w:rPr>
      </w:pPr>
      <w:r>
        <w:rPr>
          <w:rFonts w:ascii="Times New Roman" w:hAnsi="Times New Roman" w:cs="Times New Roman"/>
          <w:sz w:val="28"/>
          <w:szCs w:val="28"/>
        </w:rPr>
        <w:drawing>
          <wp:anchor distT="0" distB="0" distL="114300" distR="114300" simplePos="0" relativeHeight="251660288" behindDoc="1" locked="0" layoutInCell="1" allowOverlap="1">
            <wp:simplePos x="0" y="0"/>
            <wp:positionH relativeFrom="column">
              <wp:posOffset>3629025</wp:posOffset>
            </wp:positionH>
            <wp:positionV relativeFrom="paragraph">
              <wp:posOffset>3810</wp:posOffset>
            </wp:positionV>
            <wp:extent cx="1238250" cy="419100"/>
            <wp:effectExtent l="0" t="0" r="0" b="0"/>
            <wp:wrapNone/>
            <wp:docPr id="3" name="Picture 3" descr="up2-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p2-removebg-preview"/>
                    <pic:cNvPicPr>
                      <a:picLocks noChangeAspect="1"/>
                    </pic:cNvPicPr>
                  </pic:nvPicPr>
                  <pic:blipFill>
                    <a:blip r:embed="rId7"/>
                    <a:stretch>
                      <a:fillRect/>
                    </a:stretch>
                  </pic:blipFill>
                  <pic:spPr>
                    <a:xfrm>
                      <a:off x="0" y="0"/>
                      <a:ext cx="1238250" cy="419100"/>
                    </a:xfrm>
                    <a:prstGeom prst="rect">
                      <a:avLst/>
                    </a:prstGeom>
                  </pic:spPr>
                </pic:pic>
              </a:graphicData>
            </a:graphic>
          </wp:anchor>
        </w:drawing>
      </w:r>
      <w:r>
        <w:rPr>
          <w:rFonts w:hint="default" w:ascii="Times New Roman" w:hAnsi="Times New Roman" w:cs="Times New Roman"/>
          <w:sz w:val="28"/>
          <w:szCs w:val="28"/>
          <w:lang w:val="en-US"/>
        </w:rPr>
        <w:drawing>
          <wp:anchor distT="0" distB="0" distL="114300" distR="114300" simplePos="0" relativeHeight="251659264" behindDoc="1" locked="0" layoutInCell="1" allowOverlap="1">
            <wp:simplePos x="0" y="0"/>
            <wp:positionH relativeFrom="column">
              <wp:posOffset>0</wp:posOffset>
            </wp:positionH>
            <wp:positionV relativeFrom="paragraph">
              <wp:posOffset>149225</wp:posOffset>
            </wp:positionV>
            <wp:extent cx="1266825" cy="333375"/>
            <wp:effectExtent l="0" t="0" r="9525" b="9525"/>
            <wp:wrapNone/>
            <wp:docPr id="1" name="Picture 1" descr="up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p1-removebg-preview"/>
                    <pic:cNvPicPr>
                      <a:picLocks noChangeAspect="1"/>
                    </pic:cNvPicPr>
                  </pic:nvPicPr>
                  <pic:blipFill>
                    <a:blip r:embed="rId8"/>
                    <a:stretch>
                      <a:fillRect/>
                    </a:stretch>
                  </pic:blipFill>
                  <pic:spPr>
                    <a:xfrm>
                      <a:off x="0" y="0"/>
                      <a:ext cx="1266825" cy="333375"/>
                    </a:xfrm>
                    <a:prstGeom prst="rect">
                      <a:avLst/>
                    </a:prstGeom>
                  </pic:spPr>
                </pic:pic>
              </a:graphicData>
            </a:graphic>
          </wp:anchor>
        </w:drawing>
      </w:r>
    </w:p>
    <w:p w14:paraId="6EA2A7C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7C199FE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DATE</w:t>
      </w:r>
    </w:p>
    <w:p w14:paraId="3D1BAA20">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6E8E7469">
      <w:pPr>
        <w:spacing w:after="0" w:line="360" w:lineRule="auto"/>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1312" behindDoc="1" locked="0" layoutInCell="1" allowOverlap="1">
            <wp:simplePos x="0" y="0"/>
            <wp:positionH relativeFrom="column">
              <wp:posOffset>245110</wp:posOffset>
            </wp:positionH>
            <wp:positionV relativeFrom="paragraph">
              <wp:posOffset>122555</wp:posOffset>
            </wp:positionV>
            <wp:extent cx="1219200" cy="723265"/>
            <wp:effectExtent l="0" t="0" r="0" b="635"/>
            <wp:wrapNone/>
            <wp:docPr id="4" name="Picture 4" descr="up3-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p3-removebg-preview"/>
                    <pic:cNvPicPr>
                      <a:picLocks noChangeAspect="1"/>
                    </pic:cNvPicPr>
                  </pic:nvPicPr>
                  <pic:blipFill>
                    <a:blip r:embed="rId9"/>
                    <a:stretch>
                      <a:fillRect/>
                    </a:stretch>
                  </pic:blipFill>
                  <pic:spPr>
                    <a:xfrm>
                      <a:off x="0" y="0"/>
                      <a:ext cx="1219200" cy="723265"/>
                    </a:xfrm>
                    <a:prstGeom prst="rect">
                      <a:avLst/>
                    </a:prstGeom>
                  </pic:spPr>
                </pic:pic>
              </a:graphicData>
            </a:graphic>
          </wp:anchor>
        </w:drawing>
      </w:r>
    </w:p>
    <w:p w14:paraId="7C1FBF14">
      <w:pPr>
        <w:spacing w:after="0" w:line="360" w:lineRule="auto"/>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2336" behindDoc="1" locked="0" layoutInCell="1" allowOverlap="1">
            <wp:simplePos x="0" y="0"/>
            <wp:positionH relativeFrom="column">
              <wp:posOffset>3728720</wp:posOffset>
            </wp:positionH>
            <wp:positionV relativeFrom="paragraph">
              <wp:posOffset>6350</wp:posOffset>
            </wp:positionV>
            <wp:extent cx="1495425" cy="374015"/>
            <wp:effectExtent l="0" t="0" r="0" b="6985"/>
            <wp:wrapNone/>
            <wp:docPr id="5" name="Picture 5" descr="up4-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p4-removebg-preview"/>
                    <pic:cNvPicPr>
                      <a:picLocks noChangeAspect="1"/>
                    </pic:cNvPicPr>
                  </pic:nvPicPr>
                  <pic:blipFill>
                    <a:blip r:embed="rId10"/>
                    <a:stretch>
                      <a:fillRect/>
                    </a:stretch>
                  </pic:blipFill>
                  <pic:spPr>
                    <a:xfrm>
                      <a:off x="0" y="0"/>
                      <a:ext cx="1495425" cy="374015"/>
                    </a:xfrm>
                    <a:prstGeom prst="rect">
                      <a:avLst/>
                    </a:prstGeom>
                  </pic:spPr>
                </pic:pic>
              </a:graphicData>
            </a:graphic>
          </wp:anchor>
        </w:drawing>
      </w:r>
    </w:p>
    <w:p w14:paraId="4BEE3944">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p>
    <w:p w14:paraId="3C7356D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DATE</w:t>
      </w:r>
    </w:p>
    <w:p w14:paraId="6DA4B36F">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5D3CAF0C">
      <w:pPr>
        <w:spacing w:after="0" w:line="360" w:lineRule="auto"/>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4384" behindDoc="1" locked="0" layoutInCell="1" allowOverlap="1">
            <wp:simplePos x="0" y="0"/>
            <wp:positionH relativeFrom="column">
              <wp:posOffset>3790950</wp:posOffset>
            </wp:positionH>
            <wp:positionV relativeFrom="paragraph">
              <wp:posOffset>163830</wp:posOffset>
            </wp:positionV>
            <wp:extent cx="1895475" cy="1295400"/>
            <wp:effectExtent l="0" t="0" r="0" b="0"/>
            <wp:wrapNone/>
            <wp:docPr id="7" name="Picture 7" descr="up6-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p6-removebg-preview"/>
                    <pic:cNvPicPr>
                      <a:picLocks noChangeAspect="1"/>
                    </pic:cNvPicPr>
                  </pic:nvPicPr>
                  <pic:blipFill>
                    <a:blip r:embed="rId11"/>
                    <a:stretch>
                      <a:fillRect/>
                    </a:stretch>
                  </pic:blipFill>
                  <pic:spPr>
                    <a:xfrm>
                      <a:off x="0" y="0"/>
                      <a:ext cx="1895475" cy="1295400"/>
                    </a:xfrm>
                    <a:prstGeom prst="rect">
                      <a:avLst/>
                    </a:prstGeom>
                  </pic:spPr>
                </pic:pic>
              </a:graphicData>
            </a:graphic>
          </wp:anchor>
        </w:drawing>
      </w:r>
      <w:r>
        <w:rPr>
          <w:rFonts w:ascii="Times New Roman" w:hAnsi="Times New Roman" w:cs="Times New Roman"/>
          <w:sz w:val="28"/>
          <w:szCs w:val="28"/>
        </w:rPr>
        <w:drawing>
          <wp:anchor distT="0" distB="0" distL="114300" distR="114300" simplePos="0" relativeHeight="251663360" behindDoc="1" locked="0" layoutInCell="1" allowOverlap="1">
            <wp:simplePos x="0" y="0"/>
            <wp:positionH relativeFrom="column">
              <wp:posOffset>220980</wp:posOffset>
            </wp:positionH>
            <wp:positionV relativeFrom="paragraph">
              <wp:posOffset>34290</wp:posOffset>
            </wp:positionV>
            <wp:extent cx="1276350" cy="371475"/>
            <wp:effectExtent l="0" t="0" r="0" b="9525"/>
            <wp:wrapNone/>
            <wp:docPr id="6" name="Picture 6" descr="up5-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p5-removebg-preview"/>
                    <pic:cNvPicPr>
                      <a:picLocks noChangeAspect="1"/>
                    </pic:cNvPicPr>
                  </pic:nvPicPr>
                  <pic:blipFill>
                    <a:blip r:embed="rId12"/>
                    <a:stretch>
                      <a:fillRect/>
                    </a:stretch>
                  </pic:blipFill>
                  <pic:spPr>
                    <a:xfrm>
                      <a:off x="0" y="0"/>
                      <a:ext cx="1276350" cy="371475"/>
                    </a:xfrm>
                    <a:prstGeom prst="rect">
                      <a:avLst/>
                    </a:prstGeom>
                  </pic:spPr>
                </pic:pic>
              </a:graphicData>
            </a:graphic>
          </wp:anchor>
        </w:drawing>
      </w:r>
    </w:p>
    <w:p w14:paraId="2A29819A">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646C1BCD">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14:paraId="0CBC6900">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bookmarkStart w:id="27" w:name="_GoBack"/>
      <w:bookmarkEnd w:id="27"/>
    </w:p>
    <w:p w14:paraId="44A7A0DC">
      <w:pPr>
        <w:spacing w:after="0" w:line="360" w:lineRule="auto"/>
        <w:rPr>
          <w:rFonts w:ascii="Times New Roman" w:hAnsi="Times New Roman" w:cs="Times New Roman"/>
          <w:sz w:val="28"/>
          <w:szCs w:val="28"/>
        </w:rPr>
      </w:pPr>
    </w:p>
    <w:p w14:paraId="6E0B73AD">
      <w:pPr>
        <w:spacing w:after="0" w:line="360" w:lineRule="auto"/>
        <w:rPr>
          <w:rFonts w:ascii="Times New Roman" w:hAnsi="Times New Roman" w:cs="Times New Roman"/>
          <w:sz w:val="28"/>
          <w:szCs w:val="28"/>
        </w:rPr>
      </w:pPr>
    </w:p>
    <w:p w14:paraId="2B357208">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5EC00275">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636F80B0">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74797CCE">
      <w:pPr>
        <w:spacing w:line="480" w:lineRule="auto"/>
        <w:jc w:val="both"/>
        <w:rPr>
          <w:rFonts w:ascii="Times New Roman" w:hAnsi="Times New Roman" w:eastAsia="Times New Roman" w:cs="Times New Roman"/>
          <w:sz w:val="28"/>
          <w:szCs w:val="28"/>
        </w:rPr>
      </w:pPr>
      <w:r>
        <w:rPr>
          <w:rFonts w:ascii="Times New Roman" w:hAnsi="Times New Roman" w:cs="Times New Roman"/>
          <w:sz w:val="28"/>
          <w:szCs w:val="28"/>
        </w:rPr>
        <w:t>This project is dedicated to my family, the pillars of my strength, whose unwavering love, support, and encouragement have been the driving force behind my academic pursuits. Your collective sacrifices, guidance, and words of wisdom have shaped me into the person I am today, and I'm forever grateful for your presence in my life. May this achievement be a testament to your love and investment in me.</w:t>
      </w:r>
      <w:r>
        <w:rPr>
          <w:rFonts w:ascii="Times New Roman" w:hAnsi="Times New Roman" w:eastAsia="Times New Roman" w:cs="Times New Roman"/>
          <w:sz w:val="28"/>
          <w:szCs w:val="28"/>
        </w:rPr>
        <w:br w:type="page"/>
      </w:r>
    </w:p>
    <w:p w14:paraId="3AC99021">
      <w:pPr>
        <w:spacing w:line="60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ACKNOWLEDGEMENT</w:t>
      </w:r>
    </w:p>
    <w:p w14:paraId="1FA8E5AB">
      <w:pPr>
        <w:spacing w:line="480" w:lineRule="auto"/>
        <w:jc w:val="both"/>
        <w:rPr>
          <w:rFonts w:ascii="Times New Roman" w:hAnsi="Times New Roman" w:cs="Times New Roman"/>
          <w:sz w:val="28"/>
          <w:szCs w:val="28"/>
        </w:rPr>
      </w:pPr>
      <w:r>
        <w:rPr>
          <w:rFonts w:ascii="Times New Roman" w:hAnsi="Times New Roman" w:cs="Times New Roman"/>
          <w:sz w:val="28"/>
          <w:szCs w:val="28"/>
        </w:rPr>
        <w:t>My sincere gratitude goes to all who made this project a reality.And to my supervisor Mrs Abdulkadir , your guidance was invaluable. I appreciate the dedication of my teammates and colleagues, whose collaborative efforts brought our project to fruition. Our institution's support was crucial in ensuring a smooth execution. Lastly, my family, friends, and loved ones provided unwavering support and motivation. Their belief in my abilities kept me focused on our project's objectives. Together, your collective contributions have been the driving force behind this project's success, and for that, I'm profoundly thankful</w:t>
      </w:r>
      <w:r>
        <w:rPr>
          <w:rFonts w:ascii="Times New Roman" w:hAnsi="Times New Roman" w:cs="Times New Roman"/>
          <w:sz w:val="28"/>
          <w:szCs w:val="28"/>
        </w:rPr>
        <w:br w:type="page"/>
      </w:r>
    </w:p>
    <w:sdt>
      <w:sdtPr>
        <w:rPr>
          <w:rFonts w:asciiTheme="minorHAnsi" w:hAnsiTheme="minorHAnsi" w:eastAsiaTheme="minorHAnsi" w:cstheme="minorBidi"/>
          <w:color w:val="000000" w:themeColor="text1"/>
          <w:sz w:val="28"/>
          <w:szCs w:val="28"/>
          <w14:textFill>
            <w14:solidFill>
              <w14:schemeClr w14:val="tx1"/>
            </w14:solidFill>
          </w14:textFill>
        </w:rPr>
        <w:id w:val="-1669315309"/>
        <w:docPartObj>
          <w:docPartGallery w:val="Table of Contents"/>
          <w:docPartUnique/>
        </w:docPartObj>
      </w:sdtPr>
      <w:sdtEndPr>
        <w:rPr>
          <w:rFonts w:ascii="Times New Roman" w:hAnsi="Times New Roman" w:cs="Times New Roman" w:eastAsiaTheme="minorHAnsi"/>
          <w:b/>
          <w:bCs/>
          <w:color w:val="auto"/>
          <w:sz w:val="22"/>
          <w:szCs w:val="22"/>
        </w:rPr>
      </w:sdtEndPr>
      <w:sdtContent>
        <w:p w14:paraId="6A34137A">
          <w:pPr>
            <w:pStyle w:val="2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Table of Contents</w:t>
          </w:r>
        </w:p>
        <w:p w14:paraId="5F8789A9">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TITLE PAGE</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w:t>
          </w:r>
          <w:r>
            <w:rPr>
              <w:rFonts w:ascii="Times New Roman" w:hAnsi="Times New Roman" w:eastAsia="Times New Roman" w:cs="Times New Roman"/>
              <w:bCs/>
              <w:color w:val="000000" w:themeColor="text1"/>
              <w:sz w:val="28"/>
              <w:szCs w:val="28"/>
              <w14:textFill>
                <w14:solidFill>
                  <w14:schemeClr w14:val="tx1"/>
                </w14:solidFill>
              </w14:textFill>
            </w:rPr>
            <w:tab/>
          </w:r>
        </w:p>
        <w:p w14:paraId="6D82EF9A">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CERTIFICATION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w:t>
          </w:r>
        </w:p>
        <w:p w14:paraId="6F3056FD">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DEDICATION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III</w:t>
          </w:r>
        </w:p>
        <w:p w14:paraId="2423B2F8">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AKNOWLEDGEMENT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IV</w:t>
          </w:r>
        </w:p>
        <w:p w14:paraId="6C29A2A9">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ABSTRACT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w:t>
          </w:r>
        </w:p>
        <w:p w14:paraId="0BAB7836">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TABLE OF CONTENT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 xml:space="preserve">   VI- VII</w:t>
          </w:r>
        </w:p>
        <w:p w14:paraId="2EFB1582">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LIST OF TABLES</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VIII</w:t>
          </w:r>
        </w:p>
        <w:p w14:paraId="7C974B35">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TOC \o "1-3" \h \z \u </w:instrText>
          </w:r>
          <w:r>
            <w:rPr>
              <w:rFonts w:ascii="Times New Roman" w:hAnsi="Times New Roman" w:cs="Times New Roman"/>
              <w:color w:val="000000" w:themeColor="text1"/>
              <w:sz w:val="28"/>
              <w:szCs w:val="28"/>
              <w14:textFill>
                <w14:solidFill>
                  <w14:schemeClr w14:val="tx1"/>
                </w14:solidFill>
              </w14:textFill>
            </w:rPr>
            <w:fldChar w:fldCharType="separate"/>
          </w:r>
          <w:r>
            <w:fldChar w:fldCharType="begin"/>
          </w:r>
          <w:r>
            <w:instrText xml:space="preserve"> HYPERLINK \l "_Toc203225906"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ONE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61D756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"_Toc203225907"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1.0 INTRODUCTION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900708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1.1 Literature Review</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A9DA0C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1.2 Statement of Problem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70885F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1.3 Aim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400123A">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1.4 Objectives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669070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CHAPTER TWO</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CE7788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"_Toc203225913"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2.0 MATERIALS AND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_Toc203225913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16DFF66">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2.1 Materials Used</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3B9E25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"_Toc203225915"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2.2 Chemicals and Reagents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_Toc203225915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334F33D">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2.3 Sterilization of Glasswares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9257EF1">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"_Toc203225917"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2.4 Media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3C8F506">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"_Toc203225918"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518B45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"_Toc203225919"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2.6 Inoculation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76EF7EAE">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THREE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773D22DC">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"_Toc203225921"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3.0 RESULTS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40F2BF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3DB6B59">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F3CCEF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8B3BC43">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FOUR</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3039FEB">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4.0 DISCUSSION AND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52BA59F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4.1 DISCUSSION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FA3493A">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4.2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CB1D5FC">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"_Toc203225932"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REFERENCES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3E28210">
          <w:pPr>
            <w:rPr>
              <w:rFonts w:ascii="Times New Roman" w:hAnsi="Times New Roman" w:cs="Times New Roman"/>
            </w:rPr>
          </w:pPr>
          <w:r>
            <w:rPr>
              <w:rFonts w:ascii="Times New Roman" w:hAnsi="Times New Roman" w:cs="Times New Roman"/>
              <w:b/>
              <w:bCs/>
              <w:color w:val="000000" w:themeColor="text1"/>
              <w:sz w:val="28"/>
              <w:szCs w:val="28"/>
              <w14:textFill>
                <w14:solidFill>
                  <w14:schemeClr w14:val="tx1"/>
                </w14:solidFill>
              </w14:textFill>
            </w:rPr>
            <w:fldChar w:fldCharType="end"/>
          </w:r>
        </w:p>
      </w:sdtContent>
    </w:sdt>
    <w:p w14:paraId="0B36C2BB">
      <w:pPr>
        <w:spacing w:line="480" w:lineRule="auto"/>
        <w:jc w:val="both"/>
        <w:rPr>
          <w:rFonts w:ascii="Times New Roman" w:hAnsi="Times New Roman" w:cs="Times New Roman"/>
          <w:sz w:val="28"/>
          <w:szCs w:val="28"/>
        </w:rPr>
      </w:pPr>
    </w:p>
    <w:p w14:paraId="5399202C">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LIST OF TABLES</w:t>
      </w:r>
    </w:p>
    <w:p w14:paraId="1ED38146">
      <w:pPr>
        <w:rPr>
          <w:rFonts w:ascii="Times New Roman" w:hAnsi="Times New Roman" w:cs="Times New Roman"/>
          <w:sz w:val="28"/>
          <w:szCs w:val="28"/>
        </w:rPr>
      </w:pPr>
      <w:r>
        <w:rPr>
          <w:rFonts w:ascii="Times New Roman" w:hAnsi="Times New Roman" w:cs="Times New Roman"/>
          <w:sz w:val="28"/>
          <w:szCs w:val="28"/>
        </w:rPr>
        <w:t xml:space="preserve">Table 1: Zone of Inhibition (mm) of Aqueous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E. coli……………………………………………….……………..16</w:t>
      </w:r>
    </w:p>
    <w:p w14:paraId="38F28397">
      <w:pPr>
        <w:rPr>
          <w:rFonts w:ascii="Times New Roman" w:hAnsi="Times New Roman" w:cs="Times New Roman"/>
          <w:sz w:val="28"/>
          <w:szCs w:val="28"/>
        </w:rPr>
      </w:pPr>
      <w:r>
        <w:rPr>
          <w:rFonts w:ascii="Times New Roman" w:hAnsi="Times New Roman" w:cs="Times New Roman"/>
          <w:sz w:val="28"/>
          <w:szCs w:val="28"/>
        </w:rPr>
        <w:t xml:space="preserve">Table 2: Zone of Inhibition (mm) of Ethanolic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w:t>
      </w:r>
      <w:r>
        <w:rPr>
          <w:rFonts w:ascii="Times New Roman" w:hAnsi="Times New Roman" w:cs="Times New Roman"/>
          <w:i/>
          <w:sz w:val="28"/>
          <w:szCs w:val="28"/>
        </w:rPr>
        <w:t>E. coli</w:t>
      </w:r>
      <w:r>
        <w:rPr>
          <w:rFonts w:ascii="Times New Roman" w:hAnsi="Times New Roman" w:cs="Times New Roman"/>
          <w:sz w:val="28"/>
          <w:szCs w:val="28"/>
        </w:rPr>
        <w:t>…………………………………………………………..….17</w:t>
      </w:r>
    </w:p>
    <w:p w14:paraId="27C0E0FB">
      <w:pPr>
        <w:rPr>
          <w:rFonts w:ascii="Times New Roman" w:hAnsi="Times New Roman" w:cs="Times New Roman"/>
          <w:b/>
          <w:sz w:val="28"/>
          <w:szCs w:val="28"/>
        </w:rPr>
      </w:pPr>
      <w:r>
        <w:rPr>
          <w:rFonts w:ascii="Times New Roman" w:hAnsi="Times New Roman" w:cs="Times New Roman"/>
          <w:sz w:val="28"/>
          <w:szCs w:val="28"/>
        </w:rPr>
        <w:t>Table 3 Comparative Antimicrobial Activity of Aqueous and Ethanolic Extracts……………………………………………………………………17</w:t>
      </w:r>
      <w:r>
        <w:rPr>
          <w:rFonts w:ascii="Times New Roman" w:hAnsi="Times New Roman" w:cs="Times New Roman"/>
          <w:b/>
          <w:sz w:val="28"/>
          <w:szCs w:val="28"/>
        </w:rPr>
        <w:br w:type="page"/>
      </w:r>
    </w:p>
    <w:p w14:paraId="3A5D7ED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2ECF1CE0">
      <w:pPr>
        <w:spacing w:line="360" w:lineRule="auto"/>
        <w:jc w:val="both"/>
        <w:rPr>
          <w:rFonts w:ascii="Times New Roman" w:hAnsi="Times New Roman" w:cs="Times New Roman"/>
          <w:sz w:val="28"/>
          <w:szCs w:val="28"/>
        </w:rPr>
        <w:sectPr>
          <w:footerReference r:id="rId5" w:type="default"/>
          <w:pgSz w:w="11520" w:h="14400"/>
          <w:pgMar w:top="1440" w:right="1440" w:bottom="1440" w:left="1440" w:header="706" w:footer="706" w:gutter="0"/>
          <w:pgNumType w:fmt="lowerRoman" w:start="1"/>
          <w:cols w:space="708" w:num="1"/>
          <w:docGrid w:linePitch="360" w:charSpace="0"/>
        </w:sectPr>
      </w:pPr>
      <w:r>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Pr>
          <w:rFonts w:ascii="Times New Roman" w:hAnsi="Times New Roman" w:cs="Times New Roman"/>
          <w:i/>
          <w:iCs/>
          <w:sz w:val="28"/>
          <w:szCs w:val="28"/>
        </w:rPr>
        <w:t>Calotropis procera</w:t>
      </w:r>
      <w:r>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Pr>
          <w:rFonts w:ascii="Times New Roman" w:hAnsi="Times New Roman" w:cs="Times New Roman"/>
          <w:i/>
          <w:iCs/>
          <w:sz w:val="28"/>
          <w:szCs w:val="28"/>
        </w:rPr>
        <w:t>C. procera</w:t>
      </w:r>
      <w:r>
        <w:rPr>
          <w:rFonts w:ascii="Times New Roman" w:hAnsi="Times New Roman" w:cs="Times New Roman"/>
          <w:sz w:val="28"/>
          <w:szCs w:val="28"/>
        </w:rPr>
        <w:t xml:space="preserve"> against </w:t>
      </w:r>
      <w:r>
        <w:rPr>
          <w:rFonts w:ascii="Times New Roman" w:hAnsi="Times New Roman" w:cs="Times New Roman"/>
          <w:i/>
          <w:iCs/>
          <w:sz w:val="28"/>
          <w:szCs w:val="28"/>
        </w:rPr>
        <w:t>Escherichia coli</w:t>
      </w:r>
      <w:r>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Pr>
          <w:rFonts w:ascii="Times New Roman" w:hAnsi="Times New Roman" w:cs="Times New Roman"/>
          <w:i/>
          <w:iCs/>
          <w:sz w:val="28"/>
          <w:szCs w:val="28"/>
        </w:rPr>
        <w:t>E. coli</w:t>
      </w:r>
      <w:r>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Pr>
          <w:rFonts w:ascii="Times New Roman" w:hAnsi="Times New Roman" w:cs="Times New Roman"/>
          <w:i/>
          <w:iCs/>
          <w:sz w:val="28"/>
          <w:szCs w:val="28"/>
        </w:rPr>
        <w:t>C. procera</w:t>
      </w:r>
      <w:r>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14:paraId="59FB151D">
      <w:pPr>
        <w:spacing w:line="360" w:lineRule="auto"/>
        <w:jc w:val="center"/>
        <w:rPr>
          <w:rFonts w:ascii="Times New Roman" w:hAnsi="Times New Roman" w:cs="Times New Roman"/>
          <w:b/>
          <w:color w:val="000000" w:themeColor="text1"/>
          <w:sz w:val="28"/>
          <w:szCs w:val="28"/>
          <w14:textFill>
            <w14:solidFill>
              <w14:schemeClr w14:val="tx1"/>
            </w14:solidFill>
          </w14:textFill>
        </w:rPr>
      </w:pPr>
      <w:bookmarkStart w:id="0" w:name="_Toc203225906"/>
      <w:r>
        <w:rPr>
          <w:rFonts w:ascii="Times New Roman" w:hAnsi="Times New Roman" w:cs="Times New Roman"/>
          <w:b/>
          <w:color w:val="000000" w:themeColor="text1"/>
          <w:sz w:val="28"/>
          <w:szCs w:val="28"/>
          <w14:textFill>
            <w14:solidFill>
              <w14:schemeClr w14:val="tx1"/>
            </w14:solidFill>
          </w14:textFill>
        </w:rPr>
        <w:t>CHAPTER ONE</w:t>
      </w:r>
      <w:bookmarkEnd w:id="0"/>
    </w:p>
    <w:p w14:paraId="685F10A4">
      <w:pPr>
        <w:pStyle w:val="2"/>
        <w:rPr>
          <w:rFonts w:ascii="Times New Roman" w:hAnsi="Times New Roman" w:cs="Times New Roman"/>
          <w:b/>
          <w:color w:val="000000" w:themeColor="text1"/>
          <w:sz w:val="28"/>
          <w:szCs w:val="28"/>
          <w14:textFill>
            <w14:solidFill>
              <w14:schemeClr w14:val="tx1"/>
            </w14:solidFill>
          </w14:textFill>
        </w:rPr>
      </w:pPr>
      <w:bookmarkStart w:id="1" w:name="_Toc203225907"/>
      <w:r>
        <w:rPr>
          <w:rFonts w:ascii="Times New Roman" w:hAnsi="Times New Roman" w:cs="Times New Roman"/>
          <w:b/>
          <w:color w:val="000000" w:themeColor="text1"/>
          <w:sz w:val="28"/>
          <w:szCs w:val="28"/>
          <w14:textFill>
            <w14:solidFill>
              <w14:schemeClr w14:val="tx1"/>
            </w14:solidFill>
          </w14:textFill>
        </w:rPr>
        <w:t>1.0 INTRODUCTION</w:t>
      </w:r>
      <w:bookmarkEnd w:id="1"/>
    </w:p>
    <w:p w14:paraId="5D679E0E">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 the spotlight.</w:t>
      </w:r>
    </w:p>
    <w:p w14:paraId="76815241">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Fungal infections remain a major global health concern, particularly in immunocompromised individuals. Opportunistic fungi like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Cryptococcus neoformans</w:t>
      </w:r>
      <w:r>
        <w:rPr>
          <w:color w:val="000000" w:themeColor="text1"/>
          <w:sz w:val="28"/>
          <w:szCs w:val="28"/>
          <w14:textFill>
            <w14:solidFill>
              <w14:schemeClr w14:val="tx1"/>
            </w14:solidFill>
          </w14:textFill>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stands out due to its ethnopharmacological background and the presence of compounds that inhibit fungal growth by disrupting cell wall integrity and metabolic pathways (Eze et al., 2023).</w:t>
      </w:r>
    </w:p>
    <w:p w14:paraId="2EA83017">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Several studies have documented the antifungal effects of different parts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have shown inhibitory zones comparable to standard antifungal drugs such as ketoconazole and fluconazole. For instance, a study by Musa et al. (2021) demonstrated that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exhibited strong antifungal activity against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These findings reinforce the potential of the plant as a viable source of antifungal agents.</w:t>
      </w:r>
    </w:p>
    <w:p w14:paraId="1DC2068F">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mechanism of antifungal activity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0638C41E">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Geographically,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14:paraId="1B1415EB">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light of increasing interest in green medicine, researchers have also explored the synergistic effects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with other medicinal plants and conventional antifungal drugs. Synergism can enhance antifungal activity, reduce required dosage, and limit toxicity or resistance development. For example, combining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clove or garlic extract has been shown to produce improved antifungal outcomes against dermatophytes (Ibrahim et al., 2022). Additionally, nanoparticles synthesized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14:paraId="15AB44F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However, while the antifungal properties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648F3DA1">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lead to the development of plant-based antifungal drugs with broad-spectrum efficacy and minimal side effects.</w:t>
      </w:r>
    </w:p>
    <w:p w14:paraId="7329D696">
      <w:pPr>
        <w:pStyle w:val="2"/>
        <w:rPr>
          <w:rFonts w:ascii="Times New Roman" w:hAnsi="Times New Roman" w:cs="Times New Roman"/>
          <w:b/>
          <w:color w:val="000000" w:themeColor="text1"/>
          <w:sz w:val="28"/>
          <w:szCs w:val="28"/>
          <w14:textFill>
            <w14:solidFill>
              <w14:schemeClr w14:val="tx1"/>
            </w14:solidFill>
          </w14:textFill>
        </w:rPr>
      </w:pPr>
      <w:bookmarkStart w:id="2" w:name="_Toc203225908"/>
      <w:r>
        <w:rPr>
          <w:rFonts w:ascii="Times New Roman" w:hAnsi="Times New Roman" w:cs="Times New Roman"/>
          <w:b/>
          <w:color w:val="000000" w:themeColor="text1"/>
          <w:sz w:val="28"/>
          <w:szCs w:val="28"/>
          <w14:textFill>
            <w14:solidFill>
              <w14:schemeClr w14:val="tx1"/>
            </w14:solidFill>
          </w14:textFill>
        </w:rPr>
        <w:t>1.1 Literature Review</w:t>
      </w:r>
      <w:bookmarkEnd w:id="2"/>
    </w:p>
    <w:p w14:paraId="4FD7F84D">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antifungal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an effective natural source of antifungal agents. The authors emphasized the growing importance of plant-derived products in light of increasing resistance to synthetic antifungal drugs.</w:t>
      </w:r>
    </w:p>
    <w:p w14:paraId="5CAABA39">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comparative study by Ogundele et al. (2023), the antifungal efficacy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leaf extracts prepared with ethanol, methanol, and water was evaluated against </w:t>
      </w:r>
      <w:r>
        <w:rPr>
          <w:rStyle w:val="7"/>
          <w:color w:val="000000" w:themeColor="text1"/>
          <w:sz w:val="28"/>
          <w:szCs w:val="28"/>
          <w14:textFill>
            <w14:solidFill>
              <w14:schemeClr w14:val="tx1"/>
            </w14:solidFill>
          </w14:textFill>
        </w:rPr>
        <w:t>Aspergillus niger</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w:t>
      </w:r>
    </w:p>
    <w:p w14:paraId="0E86013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et al. (2021) investigated the antifungal effects of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such as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Microsporum gypseum</w:t>
      </w:r>
      <w:r>
        <w:rPr>
          <w:color w:val="000000" w:themeColor="text1"/>
          <w:sz w:val="28"/>
          <w:szCs w:val="28"/>
          <w14:textFill>
            <w14:solidFill>
              <w14:schemeClr w14:val="tx1"/>
            </w14:solidFill>
          </w14:textFill>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can serve as an effective alternative treatment for fungal skin infections, especially in regions with limited access to modern healthcare facilities.</w:t>
      </w:r>
    </w:p>
    <w:p w14:paraId="0AD8204E">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more integrative approach, Ibrahim et al. (2022) explored the synergistic antifungal effects of combining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with clove (</w:t>
      </w:r>
      <w:r>
        <w:rPr>
          <w:rStyle w:val="7"/>
          <w:color w:val="000000" w:themeColor="text1"/>
          <w:sz w:val="28"/>
          <w:szCs w:val="28"/>
          <w14:textFill>
            <w14:solidFill>
              <w14:schemeClr w14:val="tx1"/>
            </w14:solidFill>
          </w14:textFill>
        </w:rPr>
        <w:t>Syzygium aromaticum</w:t>
      </w:r>
      <w:r>
        <w:rPr>
          <w:color w:val="000000" w:themeColor="text1"/>
          <w:sz w:val="28"/>
          <w:szCs w:val="28"/>
          <w14:textFill>
            <w14:solidFill>
              <w14:schemeClr w14:val="tx1"/>
            </w14:solidFill>
          </w14:textFill>
        </w:rPr>
        <w:t xml:space="preserve">) extracts. The study demonstrated that the combined extracts showed enhanced inhibitory effects on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than when used separately. This synergism is attributed to the combined action of phenolic compounds, flavonoids, and alkaloids from both plants, working on multiple fungal targets simultaneously. These findings suggest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more effective when used in polyherbal formulations, opening new prospects for low-cost herbal antifungal therapies in traditional medicine systems.</w:t>
      </w:r>
    </w:p>
    <w:p w14:paraId="0D2B4707">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Recent advancements in green nanotechnology have also leveraged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as a reducing agent for the synthesis of silver nanoparticles. Lawal et al. (2024) reported the synthesis of silver nanoparticles using ethanolic leaf extract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which demonstrated potent antifungal activity against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14:paraId="329FBB04">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While the antifungal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for therapeutic use. These findings indicate that despite its medicinal value, careful standardization and further clinical studies are essential to ensure its safe application in human health.</w:t>
      </w:r>
    </w:p>
    <w:p w14:paraId="65AD4E30">
      <w:pPr>
        <w:pStyle w:val="2"/>
        <w:rPr>
          <w:rFonts w:ascii="Times New Roman" w:hAnsi="Times New Roman" w:cs="Times New Roman"/>
          <w:b/>
          <w:color w:val="000000" w:themeColor="text1"/>
          <w:sz w:val="28"/>
          <w:szCs w:val="28"/>
          <w14:textFill>
            <w14:solidFill>
              <w14:schemeClr w14:val="tx1"/>
            </w14:solidFill>
          </w14:textFill>
        </w:rPr>
      </w:pPr>
      <w:bookmarkStart w:id="3" w:name="_Toc203225909"/>
      <w:r>
        <w:rPr>
          <w:rFonts w:ascii="Times New Roman" w:hAnsi="Times New Roman" w:cs="Times New Roman"/>
          <w:b/>
          <w:color w:val="000000" w:themeColor="text1"/>
          <w:sz w:val="28"/>
          <w:szCs w:val="28"/>
          <w14:textFill>
            <w14:solidFill>
              <w14:schemeClr w14:val="tx1"/>
            </w14:solidFill>
          </w14:textFill>
        </w:rPr>
        <w:t>1.2 Statement of Problem</w:t>
      </w:r>
      <w:bookmarkEnd w:id="3"/>
    </w:p>
    <w:p w14:paraId="0D3EF53A">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Increasing resistance to conventional antifungal drugs</w:t>
      </w:r>
      <w:r>
        <w:rPr>
          <w:color w:val="000000" w:themeColor="text1"/>
          <w:sz w:val="28"/>
          <w:szCs w:val="28"/>
          <w14:textFill>
            <w14:solidFill>
              <w14:schemeClr w14:val="tx1"/>
            </w14:solidFill>
          </w14:textFill>
        </w:rPr>
        <w:t xml:space="preserve"> poses a serious challenge to effective treatment of fungal infections, particularly among immunocompromised individuals. As drug-resistant strains of </w:t>
      </w:r>
      <w:r>
        <w:rPr>
          <w:rStyle w:val="7"/>
          <w:color w:val="000000" w:themeColor="text1"/>
          <w:sz w:val="28"/>
          <w:szCs w:val="28"/>
          <w14:textFill>
            <w14:solidFill>
              <w14:schemeClr w14:val="tx1"/>
            </w14:solidFill>
          </w14:textFill>
        </w:rPr>
        <w:t>Candida</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w:t>
      </w:r>
      <w:r>
        <w:rPr>
          <w:color w:val="000000" w:themeColor="text1"/>
          <w:sz w:val="28"/>
          <w:szCs w:val="28"/>
          <w14:textFill>
            <w14:solidFill>
              <w14:schemeClr w14:val="tx1"/>
            </w14:solidFill>
          </w14:textFill>
        </w:rPr>
        <w:t>, and other pathogenic fungi continue to emerge, there is an urgent need for alternative, affordable, and effective antifungal agents from natural sources.</w:t>
      </w:r>
    </w:p>
    <w:p w14:paraId="3C157BD1">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Despite the traditional use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for treating skin and microbial infections</w:t>
      </w:r>
      <w:r>
        <w:rPr>
          <w:color w:val="000000" w:themeColor="text1"/>
          <w:sz w:val="28"/>
          <w:szCs w:val="28"/>
          <w14:textFill>
            <w14:solidFill>
              <w14:schemeClr w14:val="tx1"/>
            </w14:solidFill>
          </w14:textFill>
        </w:rPr>
        <w:t>, there is limited scientific validation of its antifungal properties. Lack of comprehensive data on its efficacy, active compounds, and mechanism of action hinders its development into a standardized herbal or pharmaceutical product.</w:t>
      </w:r>
    </w:p>
    <w:p w14:paraId="7BB449C9">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The safety and dosage profile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extracts remain unclear</w:t>
      </w:r>
      <w:r>
        <w:rPr>
          <w:color w:val="000000" w:themeColor="text1"/>
          <w:sz w:val="28"/>
          <w:szCs w:val="28"/>
          <w14:textFill>
            <w14:solidFill>
              <w14:schemeClr w14:val="tx1"/>
            </w14:solidFill>
          </w14:textFill>
        </w:rPr>
        <w:t>, especially with reports indicating possible toxicity at higher concentrations. This presents a major gap in its clinical application and necessitates thorough toxicological evaluation before it can be recommended for therapeutic use.</w:t>
      </w:r>
    </w:p>
    <w:p w14:paraId="29CBB1CA">
      <w:pPr>
        <w:pStyle w:val="2"/>
        <w:rPr>
          <w:rFonts w:ascii="Times New Roman" w:hAnsi="Times New Roman" w:cs="Times New Roman"/>
          <w:b/>
          <w:color w:val="000000" w:themeColor="text1"/>
          <w:sz w:val="28"/>
          <w:szCs w:val="28"/>
          <w14:textFill>
            <w14:solidFill>
              <w14:schemeClr w14:val="tx1"/>
            </w14:solidFill>
          </w14:textFill>
        </w:rPr>
      </w:pPr>
      <w:bookmarkStart w:id="4" w:name="_Toc203225910"/>
      <w:r>
        <w:rPr>
          <w:rFonts w:ascii="Times New Roman" w:hAnsi="Times New Roman" w:cs="Times New Roman"/>
          <w:b/>
          <w:color w:val="000000" w:themeColor="text1"/>
          <w:sz w:val="28"/>
          <w:szCs w:val="28"/>
          <w14:textFill>
            <w14:solidFill>
              <w14:schemeClr w14:val="tx1"/>
            </w14:solidFill>
          </w14:textFill>
        </w:rPr>
        <w:t>1.3 Aim</w:t>
      </w:r>
      <w:bookmarkEnd w:id="4"/>
    </w:p>
    <w:p w14:paraId="1ACA1A6A">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To evaluate the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 against selected fungal pathogens and assess its potential as a natural alternative to conventional antifungal agents.</w:t>
      </w:r>
    </w:p>
    <w:p w14:paraId="30D59F38">
      <w:pPr>
        <w:pStyle w:val="2"/>
        <w:rPr>
          <w:rFonts w:ascii="Times New Roman" w:hAnsi="Times New Roman" w:cs="Times New Roman"/>
          <w:b/>
          <w:color w:val="000000" w:themeColor="text1"/>
          <w:sz w:val="28"/>
          <w:szCs w:val="28"/>
          <w14:textFill>
            <w14:solidFill>
              <w14:schemeClr w14:val="tx1"/>
            </w14:solidFill>
          </w14:textFill>
        </w:rPr>
      </w:pPr>
      <w:bookmarkStart w:id="5" w:name="_Toc203225911"/>
      <w:r>
        <w:rPr>
          <w:rFonts w:ascii="Times New Roman" w:hAnsi="Times New Roman" w:cs="Times New Roman"/>
          <w:b/>
          <w:color w:val="000000" w:themeColor="text1"/>
          <w:sz w:val="28"/>
          <w:szCs w:val="28"/>
          <w14:textFill>
            <w14:solidFill>
              <w14:schemeClr w14:val="tx1"/>
            </w14:solidFill>
          </w14:textFill>
        </w:rPr>
        <w:t>1.4 Objectives</w:t>
      </w:r>
      <w:bookmarkEnd w:id="5"/>
      <w:r>
        <w:rPr>
          <w:rFonts w:ascii="Times New Roman" w:hAnsi="Times New Roman" w:cs="Times New Roman"/>
          <w:b/>
          <w:color w:val="000000" w:themeColor="text1"/>
          <w:sz w:val="28"/>
          <w:szCs w:val="28"/>
          <w14:textFill>
            <w14:solidFill>
              <w14:schemeClr w14:val="tx1"/>
            </w14:solidFill>
          </w14:textFill>
        </w:rPr>
        <w:t xml:space="preserve"> </w:t>
      </w:r>
    </w:p>
    <w:p w14:paraId="26B09A93">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To extract and prepare crude leaf extracts of </w:t>
      </w:r>
      <w:r>
        <w:rPr>
          <w:rFonts w:ascii="Times New Roman" w:hAnsi="Times New Roman" w:cs="Times New Roman"/>
          <w:i/>
          <w:color w:val="000000" w:themeColor="text1"/>
          <w:sz w:val="28"/>
          <w:szCs w:val="28"/>
          <w14:textFill>
            <w14:solidFill>
              <w14:schemeClr w14:val="tx1"/>
            </w14:solidFill>
          </w14:textFill>
        </w:rPr>
        <w:t>Calotropis procera</w:t>
      </w:r>
      <w:r>
        <w:rPr>
          <w:rFonts w:ascii="Times New Roman" w:hAnsi="Times New Roman" w:cs="Times New Roman"/>
          <w:color w:val="000000" w:themeColor="text1"/>
          <w:sz w:val="28"/>
          <w:szCs w:val="28"/>
          <w14:textFill>
            <w14:solidFill>
              <w14:schemeClr w14:val="tx1"/>
            </w14:solidFill>
          </w14:textFill>
        </w:rPr>
        <w:t xml:space="preserve"> using suitable solvents (e.g., ethanol, methanol, or water).</w:t>
      </w:r>
    </w:p>
    <w:p w14:paraId="44820148">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evaluate the antifungal activity of the leaf extracts against selected fungal pathogens using standard laboratory methods such as the agar well diffusion or disc diffusion technique.</w:t>
      </w:r>
    </w:p>
    <w:p w14:paraId="3C905C00">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compare the effectiveness of the plant extract with a conventional antifungal drug and determine its minimum inhibitory concentration (MIC) and possible dose-dependent effects.</w:t>
      </w:r>
    </w:p>
    <w:p w14:paraId="41CAC077">
      <w:pPr>
        <w:pStyle w:val="11"/>
        <w:spacing w:line="480" w:lineRule="auto"/>
        <w:jc w:val="both"/>
        <w:rPr>
          <w:color w:val="000000" w:themeColor="text1"/>
          <w:sz w:val="28"/>
          <w:szCs w:val="28"/>
          <w14:textFill>
            <w14:solidFill>
              <w14:schemeClr w14:val="tx1"/>
            </w14:solidFill>
          </w14:textFill>
        </w:rPr>
      </w:pPr>
    </w:p>
    <w:p w14:paraId="232A0C86">
      <w:pP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br w:type="page"/>
      </w:r>
    </w:p>
    <w:p w14:paraId="1206550D">
      <w:pPr>
        <w:pStyle w:val="2"/>
        <w:jc w:val="center"/>
        <w:rPr>
          <w:rFonts w:ascii="Times New Roman" w:hAnsi="Times New Roman" w:eastAsia="Times New Roman" w:cs="Times New Roman"/>
          <w:b/>
          <w:color w:val="000000" w:themeColor="text1"/>
          <w:sz w:val="28"/>
          <w:szCs w:val="28"/>
          <w14:textFill>
            <w14:solidFill>
              <w14:schemeClr w14:val="tx1"/>
            </w14:solidFill>
          </w14:textFill>
        </w:rPr>
      </w:pPr>
      <w:bookmarkStart w:id="6" w:name="_Toc203225912"/>
      <w:r>
        <w:rPr>
          <w:rFonts w:ascii="Times New Roman" w:hAnsi="Times New Roman" w:eastAsia="Times New Roman" w:cs="Times New Roman"/>
          <w:b/>
          <w:color w:val="000000" w:themeColor="text1"/>
          <w:sz w:val="28"/>
          <w:szCs w:val="28"/>
          <w14:textFill>
            <w14:solidFill>
              <w14:schemeClr w14:val="tx1"/>
            </w14:solidFill>
          </w14:textFill>
        </w:rPr>
        <w:t>CHAPTER TWO</w:t>
      </w:r>
      <w:bookmarkEnd w:id="6"/>
    </w:p>
    <w:p w14:paraId="39F163B3">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7" w:name="_Toc203225913"/>
      <w:r>
        <w:rPr>
          <w:rFonts w:ascii="Times New Roman" w:hAnsi="Times New Roman" w:eastAsia="Times New Roman" w:cs="Times New Roman"/>
          <w:b/>
          <w:color w:val="000000" w:themeColor="text1"/>
          <w:sz w:val="28"/>
          <w:szCs w:val="28"/>
          <w14:textFill>
            <w14:solidFill>
              <w14:schemeClr w14:val="tx1"/>
            </w14:solidFill>
          </w14:textFill>
        </w:rPr>
        <w:t>2.0 MATERIALS AND METHODS</w:t>
      </w:r>
      <w:bookmarkEnd w:id="7"/>
    </w:p>
    <w:p w14:paraId="59529DF1">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8" w:name="_Toc203225914"/>
      <w:r>
        <w:rPr>
          <w:rFonts w:ascii="Times New Roman" w:hAnsi="Times New Roman" w:eastAsia="Times New Roman" w:cs="Times New Roman"/>
          <w:b/>
          <w:color w:val="000000" w:themeColor="text1"/>
          <w:sz w:val="28"/>
          <w:szCs w:val="28"/>
          <w14:textFill>
            <w14:solidFill>
              <w14:schemeClr w14:val="tx1"/>
            </w14:solidFill>
          </w14:textFill>
        </w:rPr>
        <w:t>2.1 Materials Used</w:t>
      </w:r>
      <w:bookmarkEnd w:id="8"/>
    </w:p>
    <w:p w14:paraId="2A02F899">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materials used for this study included fresh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(E. coli) was the test organism. All glassware and instruments used in the experiment were thoroughly cleaned and sterilized to prevent contamination.</w:t>
      </w:r>
    </w:p>
    <w:p w14:paraId="5E0C5F3D">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9" w:name="_Toc203225915"/>
      <w:r>
        <w:rPr>
          <w:rFonts w:ascii="Times New Roman" w:hAnsi="Times New Roman" w:eastAsia="Times New Roman" w:cs="Times New Roman"/>
          <w:b/>
          <w:color w:val="000000" w:themeColor="text1"/>
          <w:sz w:val="28"/>
          <w:szCs w:val="28"/>
          <w14:textFill>
            <w14:solidFill>
              <w14:schemeClr w14:val="tx1"/>
            </w14:solidFill>
          </w14:textFill>
        </w:rPr>
        <w:t>2.2 Chemicals and Reagents</w:t>
      </w:r>
      <w:bookmarkEnd w:id="9"/>
    </w:p>
    <w:p w14:paraId="03445955">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71B71E42">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0" w:name="_Toc203225916"/>
      <w:r>
        <w:rPr>
          <w:rFonts w:ascii="Times New Roman" w:hAnsi="Times New Roman" w:eastAsia="Times New Roman" w:cs="Times New Roman"/>
          <w:b/>
          <w:color w:val="000000" w:themeColor="text1"/>
          <w:sz w:val="28"/>
          <w:szCs w:val="28"/>
          <w14:textFill>
            <w14:solidFill>
              <w14:schemeClr w14:val="tx1"/>
            </w14:solidFill>
          </w14:textFill>
        </w:rPr>
        <w:t>2.3 Sterilization of Glasswares</w:t>
      </w:r>
      <w:bookmarkEnd w:id="10"/>
    </w:p>
    <w:p w14:paraId="746C1C14">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7E8BBE01">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1" w:name="_Toc203225917"/>
      <w:r>
        <w:rPr>
          <w:rFonts w:ascii="Times New Roman" w:hAnsi="Times New Roman" w:eastAsia="Times New Roman" w:cs="Times New Roman"/>
          <w:b/>
          <w:color w:val="000000" w:themeColor="text1"/>
          <w:sz w:val="28"/>
          <w:szCs w:val="28"/>
          <w14:textFill>
            <w14:solidFill>
              <w14:schemeClr w14:val="tx1"/>
            </w14:solidFill>
          </w14:textFill>
        </w:rPr>
        <w:t>2.4 Media Preparation</w:t>
      </w:r>
      <w:bookmarkEnd w:id="11"/>
    </w:p>
    <w:p w14:paraId="3D7DFEA7">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0948EDAE">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2" w:name="_Toc203225918"/>
      <w:r>
        <w:rPr>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bookmarkEnd w:id="12"/>
    </w:p>
    <w:p w14:paraId="638B13BB">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Fresh leaves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08007EB6">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3" w:name="_Toc203225919"/>
      <w:r>
        <w:rPr>
          <w:rFonts w:ascii="Times New Roman" w:hAnsi="Times New Roman" w:eastAsia="Times New Roman" w:cs="Times New Roman"/>
          <w:b/>
          <w:color w:val="000000" w:themeColor="text1"/>
          <w:sz w:val="28"/>
          <w:szCs w:val="28"/>
          <w14:textFill>
            <w14:solidFill>
              <w14:schemeClr w14:val="tx1"/>
            </w14:solidFill>
          </w14:textFill>
        </w:rPr>
        <w:t>2.6 Inoculation Methods</w:t>
      </w:r>
      <w:bookmarkEnd w:id="13"/>
    </w:p>
    <w:p w14:paraId="554F5BDA">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Once the Nutrient Agar in the Petri dishes solidified, small wells or holes were carefully bored on the media surface using a sterile cork borer. The prepared </w:t>
      </w:r>
      <w:r>
        <w:rPr>
          <w:rFonts w:ascii="Times New Roman" w:hAnsi="Times New Roman" w:eastAsia="Times New Roman" w:cs="Times New Roman"/>
          <w:i/>
          <w:iCs/>
          <w:color w:val="000000" w:themeColor="text1"/>
          <w:sz w:val="28"/>
          <w:szCs w:val="28"/>
          <w14:textFill>
            <w14:solidFill>
              <w14:schemeClr w14:val="tx1"/>
            </w14:solidFill>
          </w14:textFill>
        </w:rPr>
        <w:t>E. coli</w:t>
      </w:r>
      <w:r>
        <w:rPr>
          <w:rFonts w:ascii="Times New Roman" w:hAnsi="Times New Roman" w:eastAsia="Times New Roman" w:cs="Times New Roman"/>
          <w:color w:val="000000" w:themeColor="text1"/>
          <w:sz w:val="28"/>
          <w:szCs w:val="28"/>
          <w14:textFill>
            <w14:solidFill>
              <w14:schemeClr w14:val="tx1"/>
            </w14:solidFill>
          </w14:textFill>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14:paraId="6B99BC34">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36DFAEE4">
      <w:pPr>
        <w:pStyle w:val="2"/>
        <w:jc w:val="center"/>
        <w:rPr>
          <w:rFonts w:ascii="Times New Roman" w:hAnsi="Times New Roman" w:cs="Times New Roman"/>
          <w:b/>
          <w:color w:val="000000" w:themeColor="text1"/>
          <w:sz w:val="28"/>
          <w:szCs w:val="28"/>
          <w14:textFill>
            <w14:solidFill>
              <w14:schemeClr w14:val="tx1"/>
            </w14:solidFill>
          </w14:textFill>
        </w:rPr>
      </w:pPr>
      <w:bookmarkStart w:id="14" w:name="_Toc203225920"/>
      <w:r>
        <w:rPr>
          <w:rFonts w:ascii="Times New Roman" w:hAnsi="Times New Roman" w:cs="Times New Roman"/>
          <w:b/>
          <w:color w:val="000000" w:themeColor="text1"/>
          <w:sz w:val="28"/>
          <w:szCs w:val="28"/>
          <w14:textFill>
            <w14:solidFill>
              <w14:schemeClr w14:val="tx1"/>
            </w14:solidFill>
          </w14:textFill>
        </w:rPr>
        <w:t>CHAPTER THREE</w:t>
      </w:r>
      <w:bookmarkEnd w:id="14"/>
    </w:p>
    <w:p w14:paraId="0F1380D7">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5" w:name="_Toc203225921"/>
      <w:r>
        <w:rPr>
          <w:rFonts w:ascii="Times New Roman" w:hAnsi="Times New Roman" w:eastAsia="Times New Roman" w:cs="Times New Roman"/>
          <w:b/>
          <w:color w:val="000000" w:themeColor="text1"/>
          <w:sz w:val="28"/>
          <w:szCs w:val="28"/>
          <w14:textFill>
            <w14:solidFill>
              <w14:schemeClr w14:val="tx1"/>
            </w14:solidFill>
          </w14:textFill>
        </w:rPr>
        <w:t>3.0 RESULTS</w:t>
      </w:r>
      <w:bookmarkEnd w:id="15"/>
    </w:p>
    <w:p w14:paraId="52020EFB">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antimicrobial activity of aqueous and ethanolic extracts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(Bombom leaf) against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was evaluated using the agar well diffusion method. After 24 hours of incubation, the diameter of the zones of inhibition formed around each well was measured in millimeters (mm). The results are presented in the tables below.</w:t>
      </w:r>
    </w:p>
    <w:p w14:paraId="03689765">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6" w:name="_Toc203225922"/>
      <w:r>
        <w:rPr>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6"/>
    </w:p>
    <w:p w14:paraId="5B2AA602">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7" w:name="_Toc203225923"/>
      <w:r>
        <w:rPr>
          <w:rFonts w:ascii="Times New Roman" w:hAnsi="Times New Roman" w:eastAsia="Times New Roman" w:cs="Times New Roman"/>
          <w:b/>
          <w:iCs/>
          <w:color w:val="000000" w:themeColor="text1"/>
          <w:sz w:val="28"/>
          <w:szCs w:val="28"/>
          <w14:textFill>
            <w14:solidFill>
              <w14:schemeClr w14:val="tx1"/>
            </w14:solidFill>
          </w14:textFill>
        </w:rPr>
        <w:t xml:space="preserve">Table 1: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7"/>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3047"/>
        <w:gridCol w:w="3118"/>
      </w:tblGrid>
      <w:tr w14:paraId="7318717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2102BA20">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tcBorders>
              <w:bottom w:val="single" w:color="000000" w:themeColor="text1" w:sz="4" w:space="0"/>
              <w:insideH w:val="single" w:sz="4" w:space="0"/>
            </w:tcBorders>
            <w:shd w:val="clear" w:color="auto" w:fill="auto"/>
          </w:tcPr>
          <w:p w14:paraId="36D49699">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tcBorders>
              <w:bottom w:val="single" w:color="000000" w:themeColor="text1" w:sz="4" w:space="0"/>
              <w:insideH w:val="single" w:sz="4" w:space="0"/>
            </w:tcBorders>
            <w:shd w:val="clear" w:color="auto" w:fill="auto"/>
          </w:tcPr>
          <w:p w14:paraId="030FD0C7">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3A96FAB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3ED81CED">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76B9A064">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Aqueous Extract</w:t>
            </w:r>
          </w:p>
        </w:tc>
        <w:tc>
          <w:tcPr>
            <w:tcW w:w="0" w:type="auto"/>
            <w:shd w:val="clear" w:color="auto" w:fill="auto"/>
          </w:tcPr>
          <w:p w14:paraId="3A541B03">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62CC932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4BB6390F">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384FD780">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Distilled Water (Control)</w:t>
            </w:r>
          </w:p>
        </w:tc>
        <w:tc>
          <w:tcPr>
            <w:tcW w:w="0" w:type="auto"/>
            <w:shd w:val="clear" w:color="auto" w:fill="auto"/>
          </w:tcPr>
          <w:p w14:paraId="1B48BF06">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539B240C">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736D21F0">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1829A1BC">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8" w:name="_Toc203225924"/>
      <w:r>
        <w:rPr>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8"/>
    </w:p>
    <w:p w14:paraId="70593295">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9" w:name="_Toc203225925"/>
      <w:r>
        <w:rPr>
          <w:rFonts w:ascii="Times New Roman" w:hAnsi="Times New Roman" w:eastAsia="Times New Roman" w:cs="Times New Roman"/>
          <w:b/>
          <w:iCs/>
          <w:color w:val="000000" w:themeColor="text1"/>
          <w:sz w:val="28"/>
          <w:szCs w:val="28"/>
          <w14:textFill>
            <w14:solidFill>
              <w14:schemeClr w14:val="tx1"/>
            </w14:solidFill>
          </w14:textFill>
        </w:rPr>
        <w:t xml:space="preserve">Table 2: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9"/>
    </w:p>
    <w:tbl>
      <w:tblPr>
        <w:tblStyle w:val="18"/>
        <w:tblW w:w="0" w:type="auto"/>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776"/>
        <w:gridCol w:w="2200"/>
        <w:gridCol w:w="3118"/>
      </w:tblGrid>
      <w:tr w14:paraId="261E64C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46FF8FF1">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shd w:val="clear" w:color="auto" w:fill="auto"/>
          </w:tcPr>
          <w:p w14:paraId="4D58751E">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shd w:val="clear" w:color="auto" w:fill="auto"/>
          </w:tcPr>
          <w:p w14:paraId="741A9EC9">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00BB69D2">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579DA03D">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6578EF51">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Ethanolic Extract</w:t>
            </w:r>
          </w:p>
        </w:tc>
        <w:tc>
          <w:tcPr>
            <w:tcW w:w="0" w:type="auto"/>
            <w:shd w:val="clear" w:color="auto" w:fill="auto"/>
          </w:tcPr>
          <w:p w14:paraId="55845384">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5F7B347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056B92E6">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3F9136AF">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 (Control)</w:t>
            </w:r>
          </w:p>
        </w:tc>
        <w:tc>
          <w:tcPr>
            <w:tcW w:w="0" w:type="auto"/>
            <w:shd w:val="clear" w:color="auto" w:fill="auto"/>
          </w:tcPr>
          <w:p w14:paraId="31648482">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6D52FE33">
      <w:pPr>
        <w:pStyle w:val="2"/>
        <w:rPr>
          <w:rFonts w:ascii="Times New Roman" w:hAnsi="Times New Roman" w:eastAsia="Times New Roman" w:cs="Times New Roman"/>
          <w:color w:val="000000" w:themeColor="text1"/>
          <w:sz w:val="28"/>
          <w:szCs w:val="28"/>
          <w14:textFill>
            <w14:solidFill>
              <w14:schemeClr w14:val="tx1"/>
            </w14:solidFill>
          </w14:textFill>
        </w:rPr>
      </w:pPr>
    </w:p>
    <w:p w14:paraId="14BB2C0F">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0" w:name="_Toc203225926"/>
      <w:r>
        <w:rPr>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bookmarkEnd w:id="20"/>
    </w:p>
    <w:p w14:paraId="495F1DA4">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1" w:name="_Toc203225927"/>
      <w:r>
        <w:rPr>
          <w:rFonts w:ascii="Times New Roman" w:hAnsi="Times New Roman" w:eastAsia="Times New Roman" w:cs="Times New Roman"/>
          <w:b/>
          <w:color w:val="000000" w:themeColor="text1"/>
          <w:sz w:val="28"/>
          <w:szCs w:val="28"/>
          <w14:textFill>
            <w14:solidFill>
              <w14:schemeClr w14:val="tx1"/>
            </w14:solidFill>
          </w14:textFill>
        </w:rPr>
        <w:t>Table 3 Comparative Antimicrobial Activity of Aqueous and Ethanolic Extracts</w:t>
      </w:r>
      <w:bookmarkEnd w:id="21"/>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5"/>
        <w:gridCol w:w="3872"/>
      </w:tblGrid>
      <w:tr w14:paraId="72235C5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179CC7E2">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auto"/>
          </w:tcPr>
          <w:p w14:paraId="71614CB3">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Mean Zone of Inhibition (mm)</w:t>
            </w:r>
          </w:p>
        </w:tc>
      </w:tr>
      <w:tr w14:paraId="0860C7D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144D5386">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Aqueous Extract</w:t>
            </w:r>
          </w:p>
        </w:tc>
        <w:tc>
          <w:tcPr>
            <w:tcW w:w="0" w:type="auto"/>
            <w:shd w:val="clear" w:color="auto" w:fill="auto"/>
          </w:tcPr>
          <w:p w14:paraId="1DE8DB96">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584F6C6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14C9BD69">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Ethanolic Extract</w:t>
            </w:r>
          </w:p>
        </w:tc>
        <w:tc>
          <w:tcPr>
            <w:tcW w:w="0" w:type="auto"/>
            <w:shd w:val="clear" w:color="auto" w:fill="auto"/>
          </w:tcPr>
          <w:p w14:paraId="09DF8D3F">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5832BDE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537E33F6">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Control (Water/Ethanol)</w:t>
            </w:r>
          </w:p>
        </w:tc>
        <w:tc>
          <w:tcPr>
            <w:tcW w:w="0" w:type="auto"/>
            <w:shd w:val="clear" w:color="auto" w:fill="auto"/>
          </w:tcPr>
          <w:p w14:paraId="4F31875B">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33A415EA">
      <w:pPr>
        <w:pStyle w:val="11"/>
        <w:spacing w:line="480" w:lineRule="auto"/>
        <w:jc w:val="both"/>
        <w:rPr>
          <w:b/>
          <w:color w:val="000000" w:themeColor="text1"/>
          <w:sz w:val="28"/>
          <w:szCs w:val="28"/>
          <w14:textFill>
            <w14:solidFill>
              <w14:schemeClr w14:val="tx1"/>
            </w14:solidFill>
          </w14:textFill>
        </w:rPr>
      </w:pPr>
    </w:p>
    <w:p w14:paraId="472DC0E0">
      <w:pPr>
        <w:pStyle w:val="11"/>
        <w:spacing w:line="480" w:lineRule="auto"/>
        <w:jc w:val="both"/>
        <w:rPr>
          <w:color w:val="000000" w:themeColor="text1"/>
          <w:sz w:val="28"/>
          <w:szCs w:val="28"/>
          <w14:textFill>
            <w14:solidFill>
              <w14:schemeClr w14:val="tx1"/>
            </w14:solidFill>
          </w14:textFill>
        </w:rPr>
      </w:pPr>
    </w:p>
    <w:p w14:paraId="7AB30291">
      <w:pPr>
        <w:pStyle w:val="2"/>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bookmarkStart w:id="22" w:name="_Toc203225928"/>
      <w:r>
        <w:rPr>
          <w:rFonts w:ascii="Times New Roman" w:hAnsi="Times New Roman" w:cs="Times New Roman"/>
          <w:b/>
          <w:color w:val="000000" w:themeColor="text1"/>
          <w:sz w:val="28"/>
          <w:szCs w:val="28"/>
          <w14:textFill>
            <w14:solidFill>
              <w14:schemeClr w14:val="tx1"/>
            </w14:solidFill>
          </w14:textFill>
        </w:rPr>
        <w:t>CHAPTER FOUR</w:t>
      </w:r>
      <w:bookmarkEnd w:id="22"/>
    </w:p>
    <w:p w14:paraId="26DE14D0">
      <w:pPr>
        <w:pStyle w:val="2"/>
        <w:rPr>
          <w:rFonts w:ascii="Times New Roman" w:hAnsi="Times New Roman" w:cs="Times New Roman"/>
          <w:b/>
          <w:color w:val="000000" w:themeColor="text1"/>
          <w:sz w:val="28"/>
          <w:szCs w:val="28"/>
          <w14:textFill>
            <w14:solidFill>
              <w14:schemeClr w14:val="tx1"/>
            </w14:solidFill>
          </w14:textFill>
        </w:rPr>
      </w:pPr>
      <w:bookmarkStart w:id="23" w:name="_Toc203225929"/>
      <w:r>
        <w:rPr>
          <w:rFonts w:ascii="Times New Roman" w:hAnsi="Times New Roman" w:cs="Times New Roman"/>
          <w:b/>
          <w:color w:val="000000" w:themeColor="text1"/>
          <w:sz w:val="28"/>
          <w:szCs w:val="28"/>
          <w14:textFill>
            <w14:solidFill>
              <w14:schemeClr w14:val="tx1"/>
            </w14:solidFill>
          </w14:textFill>
        </w:rPr>
        <w:t>4.0 DISCUSSION AND CONCLUSION</w:t>
      </w:r>
      <w:bookmarkEnd w:id="23"/>
    </w:p>
    <w:p w14:paraId="5187C2F4">
      <w:pPr>
        <w:pStyle w:val="2"/>
        <w:rPr>
          <w:rFonts w:ascii="Times New Roman" w:hAnsi="Times New Roman" w:cs="Times New Roman"/>
          <w:b/>
          <w:color w:val="000000" w:themeColor="text1"/>
          <w:sz w:val="28"/>
          <w:szCs w:val="28"/>
          <w14:textFill>
            <w14:solidFill>
              <w14:schemeClr w14:val="tx1"/>
            </w14:solidFill>
          </w14:textFill>
        </w:rPr>
      </w:pPr>
      <w:bookmarkStart w:id="24" w:name="_Toc203225930"/>
      <w:r>
        <w:rPr>
          <w:rFonts w:ascii="Times New Roman" w:hAnsi="Times New Roman" w:cs="Times New Roman"/>
          <w:b/>
          <w:color w:val="000000" w:themeColor="text1"/>
          <w:sz w:val="28"/>
          <w:szCs w:val="28"/>
          <w14:textFill>
            <w14:solidFill>
              <w14:schemeClr w14:val="tx1"/>
            </w14:solidFill>
          </w14:textFill>
        </w:rPr>
        <w:t>4.1 DISCUSSION</w:t>
      </w:r>
      <w:bookmarkEnd w:id="24"/>
    </w:p>
    <w:p w14:paraId="3B00E313">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antimicrobial activity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extracts against </w:t>
      </w:r>
      <w:r>
        <w:rPr>
          <w:rStyle w:val="7"/>
          <w:rFonts w:eastAsiaTheme="majorEastAsia"/>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was evaluated using the agar well diffusion method. The results presented in </w:t>
      </w:r>
      <w:r>
        <w:rPr>
          <w:rStyle w:val="12"/>
          <w:b w:val="0"/>
          <w:color w:val="000000" w:themeColor="text1"/>
          <w:sz w:val="28"/>
          <w:szCs w:val="28"/>
          <w14:textFill>
            <w14:solidFill>
              <w14:schemeClr w14:val="tx1"/>
            </w14:solidFill>
          </w14:textFill>
        </w:rPr>
        <w:t>Table 3.1</w:t>
      </w:r>
      <w:r>
        <w:rPr>
          <w:color w:val="000000" w:themeColor="text1"/>
          <w:sz w:val="28"/>
          <w:szCs w:val="28"/>
          <w14:textFill>
            <w14:solidFill>
              <w14:schemeClr w14:val="tx1"/>
            </w14:solidFill>
          </w14:textFill>
        </w:rPr>
        <w:t xml:space="preserve"> and </w:t>
      </w:r>
      <w:r>
        <w:rPr>
          <w:rStyle w:val="12"/>
          <w:b w:val="0"/>
          <w:color w:val="000000" w:themeColor="text1"/>
          <w:sz w:val="28"/>
          <w:szCs w:val="28"/>
          <w14:textFill>
            <w14:solidFill>
              <w14:schemeClr w14:val="tx1"/>
            </w14:solidFill>
          </w14:textFill>
        </w:rPr>
        <w:t>Table 3.2</w:t>
      </w:r>
      <w:r>
        <w:rPr>
          <w:color w:val="000000" w:themeColor="text1"/>
          <w:sz w:val="28"/>
          <w:szCs w:val="28"/>
          <w14:textFill>
            <w14:solidFill>
              <w14:schemeClr w14:val="tx1"/>
            </w14:solidFill>
          </w14:textFill>
        </w:rPr>
        <w:t xml:space="preserve"> show that both aqueous and ethanolic extracts exhibited inhibitory effects on the growth of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09C69CB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findings suggest that ethanol is a more efficient solvent for extracting antimicrobial compounds from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This observation aligns with the work of Ogundele et al. (2023), who reported that ethanolic extracts of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14:paraId="40489F56">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 in </w:t>
      </w:r>
      <w:r>
        <w:rPr>
          <w:rStyle w:val="12"/>
          <w:b w:val="0"/>
          <w:color w:val="000000" w:themeColor="text1"/>
          <w:sz w:val="28"/>
          <w:szCs w:val="28"/>
          <w14:textFill>
            <w14:solidFill>
              <w14:schemeClr w14:val="tx1"/>
            </w14:solidFill>
          </w14:textFill>
        </w:rPr>
        <w:t>Table 3.3</w:t>
      </w:r>
      <w:r>
        <w:rPr>
          <w:color w:val="000000" w:themeColor="text1"/>
          <w:sz w:val="28"/>
          <w:szCs w:val="28"/>
          <w14:textFill>
            <w14:solidFill>
              <w14:schemeClr w14:val="tx1"/>
            </w14:solidFill>
          </w14:textFill>
        </w:rPr>
        <w:t xml:space="preserve">, which summarizes the comparative activity of both extracts, reinforces the effectiveness of the ethanolic extract. Similar trends were documented by Musa et al. (2021), who observed that the ethanolic leaf extract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demonstrated significant antimicrobial activity against </w:t>
      </w:r>
      <w:r>
        <w:rPr>
          <w:rStyle w:val="7"/>
          <w:rFonts w:eastAsiaTheme="majorEastAsia"/>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rFonts w:eastAsiaTheme="majorEastAsia"/>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These pathogens were notably inhibited by the plant's secondary metabolites, particularly terpenoids and saponins, which may be responsible for the antimicrobial mechanism through membrane lysis and enzyme denaturation.</w:t>
      </w:r>
    </w:p>
    <w:p w14:paraId="0708144A">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Pr>
          <w:rStyle w:val="12"/>
          <w:b w:val="0"/>
          <w:color w:val="000000" w:themeColor="text1"/>
          <w:sz w:val="28"/>
          <w:szCs w:val="28"/>
          <w14:textFill>
            <w14:solidFill>
              <w14:schemeClr w14:val="tx1"/>
            </w14:solidFill>
          </w14:textFill>
        </w:rPr>
        <w:t>Table 3.1</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for the aqueous extract. Nonetheless, the activity still indicates the presence of water-soluble antimicrobial compounds in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supporting its use in traditional herbal medicine.</w:t>
      </w:r>
    </w:p>
    <w:p w14:paraId="46FA43E1">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also corroborate Ibrahim et al. (2022), who demonstrated that combining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other herbal agents enhanced antimicrobial effects. Although this study focused on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xml:space="preserve"> alone, the effectiveness of the ethanolic extract suggests that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may have broad-spectrum antimicrobial potential, especially if formulated synergistically or processed into nanoparticle-based delivery systems, as reported by Lawal et al. (2024).</w:t>
      </w:r>
    </w:p>
    <w:p w14:paraId="033A5260">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from this study confirm the antimicrobial potential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166B5AE1">
      <w:pPr>
        <w:pStyle w:val="11"/>
        <w:spacing w:line="480" w:lineRule="auto"/>
        <w:jc w:val="both"/>
        <w:rPr>
          <w:color w:val="000000" w:themeColor="text1"/>
          <w:sz w:val="28"/>
          <w:szCs w:val="28"/>
          <w14:textFill>
            <w14:solidFill>
              <w14:schemeClr w14:val="tx1"/>
            </w14:solidFill>
          </w14:textFill>
        </w:rPr>
      </w:pPr>
    </w:p>
    <w:p w14:paraId="7890FF0A">
      <w:pPr>
        <w:pStyle w:val="2"/>
        <w:rPr>
          <w:rFonts w:ascii="Times New Roman" w:hAnsi="Times New Roman" w:cs="Times New Roman"/>
          <w:b/>
          <w:color w:val="000000" w:themeColor="text1"/>
          <w:sz w:val="28"/>
          <w:szCs w:val="28"/>
          <w14:textFill>
            <w14:solidFill>
              <w14:schemeClr w14:val="tx1"/>
            </w14:solidFill>
          </w14:textFill>
        </w:rPr>
      </w:pPr>
      <w:bookmarkStart w:id="25" w:name="_Toc203225931"/>
      <w:r>
        <w:rPr>
          <w:rFonts w:ascii="Times New Roman" w:hAnsi="Times New Roman" w:cs="Times New Roman"/>
          <w:b/>
          <w:color w:val="000000" w:themeColor="text1"/>
          <w:sz w:val="28"/>
          <w:szCs w:val="28"/>
          <w14:textFill>
            <w14:solidFill>
              <w14:schemeClr w14:val="tx1"/>
            </w14:solidFill>
          </w14:textFill>
        </w:rPr>
        <w:t>4.2 Conclusion</w:t>
      </w:r>
      <w:bookmarkEnd w:id="25"/>
    </w:p>
    <w:p w14:paraId="45735316">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This study has demonstrated that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possesses notable antimicrobial activity against </w:t>
      </w:r>
      <w:r>
        <w:rPr>
          <w:rStyle w:val="7"/>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contains phytochemicals such as flavonoids, tannins, saponins, and alkaloids that can act as natural antimicrobial agents. These findings support the traditional use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in herbal medicine and highlight its potential as an alternative treatment for bacterial infections.</w:t>
      </w:r>
    </w:p>
    <w:p w14:paraId="48DDDC79">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br w:type="page"/>
      </w:r>
    </w:p>
    <w:p w14:paraId="2A43E5F0">
      <w:pPr>
        <w:pStyle w:val="2"/>
        <w:jc w:val="center"/>
        <w:rPr>
          <w:rFonts w:ascii="Times New Roman" w:hAnsi="Times New Roman" w:cs="Times New Roman"/>
          <w:b/>
          <w:color w:val="000000" w:themeColor="text1"/>
          <w:sz w:val="28"/>
          <w:szCs w:val="28"/>
          <w14:textFill>
            <w14:solidFill>
              <w14:schemeClr w14:val="tx1"/>
            </w14:solidFill>
          </w14:textFill>
        </w:rPr>
      </w:pPr>
      <w:bookmarkStart w:id="26" w:name="_Toc203225932"/>
      <w:r>
        <w:rPr>
          <w:rFonts w:ascii="Times New Roman" w:hAnsi="Times New Roman" w:cs="Times New Roman"/>
          <w:b/>
          <w:color w:val="000000" w:themeColor="text1"/>
          <w:sz w:val="28"/>
          <w:szCs w:val="28"/>
          <w14:textFill>
            <w14:solidFill>
              <w14:schemeClr w14:val="tx1"/>
            </w14:solidFill>
          </w14:textFill>
        </w:rPr>
        <w:t>REFERENCES</w:t>
      </w:r>
      <w:bookmarkEnd w:id="26"/>
    </w:p>
    <w:p w14:paraId="428E41D0">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Abdullahi, M. I., Usman, H., &amp; Yelwa, M. (2021). </w:t>
      </w:r>
      <w:r>
        <w:rPr>
          <w:rFonts w:ascii="Times New Roman" w:hAnsi="Times New Roman" w:eastAsia="Times New Roman" w:cs="Times New Roman"/>
          <w:i/>
          <w:iCs/>
          <w:color w:val="000000" w:themeColor="text1"/>
          <w:sz w:val="28"/>
          <w:szCs w:val="28"/>
          <w14:textFill>
            <w14:solidFill>
              <w14:schemeClr w14:val="tx1"/>
            </w14:solidFill>
          </w14:textFill>
        </w:rPr>
        <w:t>Phytochemical and antimicrobial activity of Calotropis procera leaf extracts</w:t>
      </w:r>
      <w:r>
        <w:rPr>
          <w:rFonts w:ascii="Times New Roman" w:hAnsi="Times New Roman" w:eastAsia="Times New Roman" w:cs="Times New Roman"/>
          <w:color w:val="000000" w:themeColor="text1"/>
          <w:sz w:val="28"/>
          <w:szCs w:val="28"/>
          <w14:textFill>
            <w14:solidFill>
              <w14:schemeClr w14:val="tx1"/>
            </w14:solidFill>
          </w14:textFill>
        </w:rPr>
        <w:t>. Nigerian Journal of Basic and Applied Sciences, 29(2), 123–130.</w:t>
      </w:r>
    </w:p>
    <w:p w14:paraId="6444E005">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Ayoade, J. A., Kareem, K. T., &amp; Olowolafe, T. A. (2020). </w:t>
      </w:r>
      <w:r>
        <w:rPr>
          <w:rFonts w:ascii="Times New Roman" w:hAnsi="Times New Roman" w:eastAsia="Times New Roman" w:cs="Times New Roman"/>
          <w:i/>
          <w:iCs/>
          <w:color w:val="000000" w:themeColor="text1"/>
          <w:sz w:val="28"/>
          <w:szCs w:val="28"/>
          <w14:textFill>
            <w14:solidFill>
              <w14:schemeClr w14:val="tx1"/>
            </w14:solidFill>
          </w14:textFill>
        </w:rPr>
        <w:t>Evaluation of antifungal activity of Calotropis procera latex</w:t>
      </w:r>
      <w:r>
        <w:rPr>
          <w:rFonts w:ascii="Times New Roman" w:hAnsi="Times New Roman" w:eastAsia="Times New Roman" w:cs="Times New Roman"/>
          <w:color w:val="000000" w:themeColor="text1"/>
          <w:sz w:val="28"/>
          <w:szCs w:val="28"/>
          <w14:textFill>
            <w14:solidFill>
              <w14:schemeClr w14:val="tx1"/>
            </w14:solidFill>
          </w14:textFill>
        </w:rPr>
        <w:t>. African Journal of Plant Science, 14(4), 89–95.</w:t>
      </w:r>
    </w:p>
    <w:p w14:paraId="293990BE">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Baba, A. A., Sulaiman, A. M., &amp; Rabiu, B. (2021). </w:t>
      </w:r>
      <w:r>
        <w:rPr>
          <w:rFonts w:ascii="Times New Roman" w:hAnsi="Times New Roman" w:eastAsia="Times New Roman" w:cs="Times New Roman"/>
          <w:i/>
          <w:iCs/>
          <w:color w:val="000000" w:themeColor="text1"/>
          <w:sz w:val="28"/>
          <w:szCs w:val="28"/>
          <w14:textFill>
            <w14:solidFill>
              <w14:schemeClr w14:val="tx1"/>
            </w14:solidFill>
          </w14:textFill>
        </w:rPr>
        <w:t>Ethnobotanical survey of medicinal plants used for skin infections in Kwara State, Nigeria</w:t>
      </w:r>
      <w:r>
        <w:rPr>
          <w:rFonts w:ascii="Times New Roman" w:hAnsi="Times New Roman" w:eastAsia="Times New Roman" w:cs="Times New Roman"/>
          <w:color w:val="000000" w:themeColor="text1"/>
          <w:sz w:val="28"/>
          <w:szCs w:val="28"/>
          <w14:textFill>
            <w14:solidFill>
              <w14:schemeClr w14:val="tx1"/>
            </w14:solidFill>
          </w14:textFill>
        </w:rPr>
        <w:t>. Journal of Herbal Medicine, 27, 100429.</w:t>
      </w:r>
    </w:p>
    <w:p w14:paraId="4581EF40">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Chikere, C. B., Umeh, R. E., &amp; Okeke, E. C. (2022). </w:t>
      </w:r>
      <w:r>
        <w:rPr>
          <w:rFonts w:ascii="Times New Roman" w:hAnsi="Times New Roman" w:eastAsia="Times New Roman" w:cs="Times New Roman"/>
          <w:i/>
          <w:iCs/>
          <w:color w:val="000000" w:themeColor="text1"/>
          <w:sz w:val="28"/>
          <w:szCs w:val="28"/>
          <w14:textFill>
            <w14:solidFill>
              <w14:schemeClr w14:val="tx1"/>
            </w14:solidFill>
          </w14:textFill>
        </w:rPr>
        <w:t>Emerging resistance in pathogenic fungi: A Nigerian perspective</w:t>
      </w:r>
      <w:r>
        <w:rPr>
          <w:rFonts w:ascii="Times New Roman" w:hAnsi="Times New Roman" w:eastAsia="Times New Roman" w:cs="Times New Roman"/>
          <w:color w:val="000000" w:themeColor="text1"/>
          <w:sz w:val="28"/>
          <w:szCs w:val="28"/>
          <w14:textFill>
            <w14:solidFill>
              <w14:schemeClr w14:val="tx1"/>
            </w14:solidFill>
          </w14:textFill>
        </w:rPr>
        <w:t>. Clinical Mycology Reports, 4(1), 25–33.</w:t>
      </w:r>
    </w:p>
    <w:p w14:paraId="5947484C">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Eze, P. C., Ani, J. C., &amp; Odoemelam, E. O. (2023). </w:t>
      </w:r>
      <w:r>
        <w:rPr>
          <w:rFonts w:ascii="Times New Roman" w:hAnsi="Times New Roman" w:eastAsia="Times New Roman" w:cs="Times New Roman"/>
          <w:i/>
          <w:iCs/>
          <w:color w:val="000000" w:themeColor="text1"/>
          <w:sz w:val="28"/>
          <w:szCs w:val="28"/>
          <w14:textFill>
            <w14:solidFill>
              <w14:schemeClr w14:val="tx1"/>
            </w14:solidFill>
          </w14:textFill>
        </w:rPr>
        <w:t>Comparative antimicrobial activity of Calotropis procera leaf and bark extracts</w:t>
      </w:r>
      <w:r>
        <w:rPr>
          <w:rFonts w:ascii="Times New Roman" w:hAnsi="Times New Roman" w:eastAsia="Times New Roman" w:cs="Times New Roman"/>
          <w:color w:val="000000" w:themeColor="text1"/>
          <w:sz w:val="28"/>
          <w:szCs w:val="28"/>
          <w14:textFill>
            <w14:solidFill>
              <w14:schemeClr w14:val="tx1"/>
            </w14:solidFill>
          </w14:textFill>
        </w:rPr>
        <w:t>. Journal of Applied Biology &amp; Biotechnology, 11(3), 77–84.</w:t>
      </w:r>
    </w:p>
    <w:p w14:paraId="0EBE48F2">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w:t>
      </w:r>
      <w:r>
        <w:rPr>
          <w:rFonts w:ascii="Times New Roman" w:hAnsi="Times New Roman" w:eastAsia="Times New Roman" w:cs="Times New Roman"/>
          <w:i/>
          <w:iCs/>
          <w:color w:val="000000" w:themeColor="text1"/>
          <w:sz w:val="28"/>
          <w:szCs w:val="28"/>
          <w14:textFill>
            <w14:solidFill>
              <w14:schemeClr w14:val="tx1"/>
            </w14:solidFill>
          </w14:textFill>
        </w:rPr>
        <w:t>Synergistic antifungal effect of Calotropis procera and other medicinal plant extracts</w:t>
      </w:r>
      <w:r>
        <w:rPr>
          <w:rFonts w:ascii="Times New Roman" w:hAnsi="Times New Roman" w:eastAsia="Times New Roman" w:cs="Times New Roman"/>
          <w:color w:val="000000" w:themeColor="text1"/>
          <w:sz w:val="28"/>
          <w:szCs w:val="28"/>
          <w14:textFill>
            <w14:solidFill>
              <w14:schemeClr w14:val="tx1"/>
            </w14:solidFill>
          </w14:textFill>
        </w:rPr>
        <w:t>. West African Journal of Pharmacology, 38(2), 145–152.</w:t>
      </w:r>
    </w:p>
    <w:p w14:paraId="0B44DDBD">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Synergistic antifungal effect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and other medicinal plant extracts. </w:t>
      </w:r>
      <w:r>
        <w:rPr>
          <w:rFonts w:ascii="Times New Roman" w:hAnsi="Times New Roman" w:eastAsia="Times New Roman" w:cs="Times New Roman"/>
          <w:i/>
          <w:iCs/>
          <w:color w:val="000000" w:themeColor="text1"/>
          <w:sz w:val="28"/>
          <w:szCs w:val="28"/>
          <w14:textFill>
            <w14:solidFill>
              <w14:schemeClr w14:val="tx1"/>
            </w14:solidFill>
          </w14:textFill>
        </w:rPr>
        <w:t>West African Journal of Pharmacology</w:t>
      </w:r>
      <w:r>
        <w:rPr>
          <w:rFonts w:ascii="Times New Roman" w:hAnsi="Times New Roman" w:eastAsia="Times New Roman" w:cs="Times New Roman"/>
          <w:color w:val="000000" w:themeColor="text1"/>
          <w:sz w:val="28"/>
          <w:szCs w:val="28"/>
          <w14:textFill>
            <w14:solidFill>
              <w14:schemeClr w14:val="tx1"/>
            </w14:solidFill>
          </w14:textFill>
        </w:rPr>
        <w:t>, 38(2), 145–152.</w:t>
      </w:r>
    </w:p>
    <w:p w14:paraId="6F24089F">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Ibrahim, A. M., Danjuma, A. K., &amp; Haruna, H. (2022). Synergistic antifungal effect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other medicinal plant extracts. </w:t>
      </w:r>
      <w:r>
        <w:rPr>
          <w:rStyle w:val="7"/>
          <w:color w:val="000000" w:themeColor="text1"/>
          <w:sz w:val="28"/>
          <w:szCs w:val="28"/>
          <w14:textFill>
            <w14:solidFill>
              <w14:schemeClr w14:val="tx1"/>
            </w14:solidFill>
          </w14:textFill>
        </w:rPr>
        <w:t>West African Journal of Pharmacology</w:t>
      </w:r>
      <w:r>
        <w:rPr>
          <w:color w:val="000000" w:themeColor="text1"/>
          <w:sz w:val="28"/>
          <w:szCs w:val="28"/>
          <w14:textFill>
            <w14:solidFill>
              <w14:schemeClr w14:val="tx1"/>
            </w14:solidFill>
          </w14:textFill>
        </w:rPr>
        <w:t>, 38(2), 145–152.</w:t>
      </w:r>
    </w:p>
    <w:p w14:paraId="563C7F2D">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w:t>
      </w:r>
      <w:r>
        <w:rPr>
          <w:rFonts w:ascii="Times New Roman" w:hAnsi="Times New Roman" w:eastAsia="Times New Roman" w:cs="Times New Roman"/>
          <w:i/>
          <w:iCs/>
          <w:color w:val="000000" w:themeColor="text1"/>
          <w:sz w:val="28"/>
          <w:szCs w:val="28"/>
          <w14:textFill>
            <w14:solidFill>
              <w14:schemeClr w14:val="tx1"/>
            </w14:solidFill>
          </w14:textFill>
        </w:rPr>
        <w:t>Phytochemical screening and biological activity of Calotropis procera extracts</w:t>
      </w:r>
      <w:r>
        <w:rPr>
          <w:rFonts w:ascii="Times New Roman" w:hAnsi="Times New Roman" w:eastAsia="Times New Roman" w:cs="Times New Roman"/>
          <w:color w:val="000000" w:themeColor="text1"/>
          <w:sz w:val="28"/>
          <w:szCs w:val="28"/>
          <w14:textFill>
            <w14:solidFill>
              <w14:schemeClr w14:val="tx1"/>
            </w14:solidFill>
          </w14:textFill>
        </w:rPr>
        <w:t>. Journal of Pharmacognosy and Phytochemistry, 12(1), 98–104.</w:t>
      </w:r>
    </w:p>
    <w:p w14:paraId="06086E1C">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Phytochemical screening and biological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extracts. </w:t>
      </w:r>
      <w:r>
        <w:rPr>
          <w:rFonts w:ascii="Times New Roman" w:hAnsi="Times New Roman" w:eastAsia="Times New Roman" w:cs="Times New Roman"/>
          <w:i/>
          <w:iCs/>
          <w:color w:val="000000" w:themeColor="text1"/>
          <w:sz w:val="28"/>
          <w:szCs w:val="28"/>
          <w14:textFill>
            <w14:solidFill>
              <w14:schemeClr w14:val="tx1"/>
            </w14:solidFill>
          </w14:textFill>
        </w:rPr>
        <w:t>Journal of Pharmacognosy and Phytochemistry</w:t>
      </w:r>
      <w:r>
        <w:rPr>
          <w:rFonts w:ascii="Times New Roman" w:hAnsi="Times New Roman" w:eastAsia="Times New Roman" w:cs="Times New Roman"/>
          <w:color w:val="000000" w:themeColor="text1"/>
          <w:sz w:val="28"/>
          <w:szCs w:val="28"/>
          <w14:textFill>
            <w14:solidFill>
              <w14:schemeClr w14:val="tx1"/>
            </w14:solidFill>
          </w14:textFill>
        </w:rPr>
        <w:t>, 12(1), 98–104.</w:t>
      </w:r>
    </w:p>
    <w:p w14:paraId="03CB1AF8">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Kazeem, M. I., Oyetunde, T. T., &amp; Shoyombo, A. J. (2023). Phytochemical screening and biological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extracts. </w:t>
      </w:r>
      <w:r>
        <w:rPr>
          <w:rStyle w:val="7"/>
          <w:color w:val="000000" w:themeColor="text1"/>
          <w:sz w:val="28"/>
          <w:szCs w:val="28"/>
          <w14:textFill>
            <w14:solidFill>
              <w14:schemeClr w14:val="tx1"/>
            </w14:solidFill>
          </w14:textFill>
        </w:rPr>
        <w:t>Journal of Pharmacognosy and Phytochemistry</w:t>
      </w:r>
      <w:r>
        <w:rPr>
          <w:color w:val="000000" w:themeColor="text1"/>
          <w:sz w:val="28"/>
          <w:szCs w:val="28"/>
          <w14:textFill>
            <w14:solidFill>
              <w14:schemeClr w14:val="tx1"/>
            </w14:solidFill>
          </w14:textFill>
        </w:rPr>
        <w:t>, 12(1), 98–104.</w:t>
      </w:r>
    </w:p>
    <w:p w14:paraId="2E3BADF0">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w:t>
      </w:r>
      <w:r>
        <w:rPr>
          <w:rFonts w:ascii="Times New Roman" w:hAnsi="Times New Roman" w:eastAsia="Times New Roman" w:cs="Times New Roman"/>
          <w:i/>
          <w:iCs/>
          <w:color w:val="000000" w:themeColor="text1"/>
          <w:sz w:val="28"/>
          <w:szCs w:val="28"/>
          <w14:textFill>
            <w14:solidFill>
              <w14:schemeClr w14:val="tx1"/>
            </w14:solidFill>
          </w14:textFill>
        </w:rPr>
        <w:t>Green synthesis of silver nanoparticles using Calotropis procera extract and their antifungal efficacy</w:t>
      </w:r>
      <w:r>
        <w:rPr>
          <w:rFonts w:ascii="Times New Roman" w:hAnsi="Times New Roman" w:eastAsia="Times New Roman" w:cs="Times New Roman"/>
          <w:color w:val="000000" w:themeColor="text1"/>
          <w:sz w:val="28"/>
          <w:szCs w:val="28"/>
          <w14:textFill>
            <w14:solidFill>
              <w14:schemeClr w14:val="tx1"/>
            </w14:solidFill>
          </w14:textFill>
        </w:rPr>
        <w:t>. Nano Biomedicine and Engineering, 16(2), 101–110.</w:t>
      </w:r>
    </w:p>
    <w:p w14:paraId="7025392C">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Green synthesis of silver nanoparticles using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 and their antifungal efficacy. </w:t>
      </w:r>
      <w:r>
        <w:rPr>
          <w:rFonts w:ascii="Times New Roman" w:hAnsi="Times New Roman" w:eastAsia="Times New Roman" w:cs="Times New Roman"/>
          <w:i/>
          <w:iCs/>
          <w:color w:val="000000" w:themeColor="text1"/>
          <w:sz w:val="28"/>
          <w:szCs w:val="28"/>
          <w14:textFill>
            <w14:solidFill>
              <w14:schemeClr w14:val="tx1"/>
            </w14:solidFill>
          </w14:textFill>
        </w:rPr>
        <w:t>Nano Biomedicine and Engineering</w:t>
      </w:r>
      <w:r>
        <w:rPr>
          <w:rFonts w:ascii="Times New Roman" w:hAnsi="Times New Roman" w:eastAsia="Times New Roman" w:cs="Times New Roman"/>
          <w:color w:val="000000" w:themeColor="text1"/>
          <w:sz w:val="28"/>
          <w:szCs w:val="28"/>
          <w14:textFill>
            <w14:solidFill>
              <w14:schemeClr w14:val="tx1"/>
            </w14:solidFill>
          </w14:textFill>
        </w:rPr>
        <w:t>, 16(2), 101–110.</w:t>
      </w:r>
    </w:p>
    <w:p w14:paraId="201FAB1F">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Lawal, A. F., Musa, A. K., &amp; Adedayo, A. A. (2024). Green synthesis of silver nanoparticles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and their antifungal efficacy. </w:t>
      </w:r>
      <w:r>
        <w:rPr>
          <w:rStyle w:val="7"/>
          <w:color w:val="000000" w:themeColor="text1"/>
          <w:sz w:val="28"/>
          <w:szCs w:val="28"/>
          <w14:textFill>
            <w14:solidFill>
              <w14:schemeClr w14:val="tx1"/>
            </w14:solidFill>
          </w14:textFill>
        </w:rPr>
        <w:t>Nano Biomedicine and Engineering</w:t>
      </w:r>
      <w:r>
        <w:rPr>
          <w:color w:val="000000" w:themeColor="text1"/>
          <w:sz w:val="28"/>
          <w:szCs w:val="28"/>
          <w14:textFill>
            <w14:solidFill>
              <w14:schemeClr w14:val="tx1"/>
            </w14:solidFill>
          </w14:textFill>
        </w:rPr>
        <w:t>, 16(2), 101–110.</w:t>
      </w:r>
    </w:p>
    <w:p w14:paraId="06834CD0">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Musa, A. R., Adegoke, A. A., &amp; Tijani, A. A. (2021). Evaluation of antifungal activity of ethanolic extract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on dermatophytes. </w:t>
      </w:r>
      <w:r>
        <w:rPr>
          <w:rFonts w:ascii="Times New Roman" w:hAnsi="Times New Roman" w:eastAsia="Times New Roman" w:cs="Times New Roman"/>
          <w:i/>
          <w:iCs/>
          <w:color w:val="000000" w:themeColor="text1"/>
          <w:sz w:val="28"/>
          <w:szCs w:val="28"/>
          <w14:textFill>
            <w14:solidFill>
              <w14:schemeClr w14:val="tx1"/>
            </w14:solidFill>
          </w14:textFill>
        </w:rPr>
        <w:t>African Journal of Microbiology Research</w:t>
      </w:r>
      <w:r>
        <w:rPr>
          <w:rFonts w:ascii="Times New Roman" w:hAnsi="Times New Roman" w:eastAsia="Times New Roman" w:cs="Times New Roman"/>
          <w:color w:val="000000" w:themeColor="text1"/>
          <w:sz w:val="28"/>
          <w:szCs w:val="28"/>
          <w14:textFill>
            <w14:solidFill>
              <w14:schemeClr w14:val="tx1"/>
            </w14:solidFill>
          </w14:textFill>
        </w:rPr>
        <w:t>, 15(6), 204–210.</w:t>
      </w:r>
    </w:p>
    <w:p w14:paraId="5780D45D">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A. R., Adegoke, A. A., &amp; Tijani, A. A. (2021). Evaluation of antifungal activity of ethanolic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w:t>
      </w:r>
      <w:r>
        <w:rPr>
          <w:rStyle w:val="7"/>
          <w:color w:val="000000" w:themeColor="text1"/>
          <w:sz w:val="28"/>
          <w:szCs w:val="28"/>
          <w14:textFill>
            <w14:solidFill>
              <w14:schemeClr w14:val="tx1"/>
            </w14:solidFill>
          </w14:textFill>
        </w:rPr>
        <w:t>African Journal of Microbiology Research</w:t>
      </w:r>
      <w:r>
        <w:rPr>
          <w:color w:val="000000" w:themeColor="text1"/>
          <w:sz w:val="28"/>
          <w:szCs w:val="28"/>
          <w14:textFill>
            <w14:solidFill>
              <w14:schemeClr w14:val="tx1"/>
            </w14:solidFill>
          </w14:textFill>
        </w:rPr>
        <w:t>, 15(6), 204–210.</w:t>
      </w:r>
    </w:p>
    <w:p w14:paraId="4E408EAD">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w:t>
      </w:r>
      <w:r>
        <w:rPr>
          <w:rFonts w:ascii="Times New Roman" w:hAnsi="Times New Roman" w:eastAsia="Times New Roman" w:cs="Times New Roman"/>
          <w:i/>
          <w:iCs/>
          <w:color w:val="000000" w:themeColor="text1"/>
          <w:sz w:val="28"/>
          <w:szCs w:val="28"/>
          <w14:textFill>
            <w14:solidFill>
              <w14:schemeClr w14:val="tx1"/>
            </w14:solidFill>
          </w14:textFill>
        </w:rPr>
        <w:t>Effect of different solvents on antifungal activity of Calotropis procera leaf extract</w:t>
      </w:r>
      <w:r>
        <w:rPr>
          <w:rFonts w:ascii="Times New Roman" w:hAnsi="Times New Roman" w:eastAsia="Times New Roman" w:cs="Times New Roman"/>
          <w:color w:val="000000" w:themeColor="text1"/>
          <w:sz w:val="28"/>
          <w:szCs w:val="28"/>
          <w14:textFill>
            <w14:solidFill>
              <w14:schemeClr w14:val="tx1"/>
            </w14:solidFill>
          </w14:textFill>
        </w:rPr>
        <w:t>. Nigerian Journal of Natural Products and Medicine, 27(1), 41–49.</w:t>
      </w:r>
    </w:p>
    <w:p w14:paraId="01C22944">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Effect of different solvents on antifungal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w:t>
      </w:r>
      <w:r>
        <w:rPr>
          <w:rFonts w:ascii="Times New Roman" w:hAnsi="Times New Roman" w:eastAsia="Times New Roman" w:cs="Times New Roman"/>
          <w:i/>
          <w:iCs/>
          <w:color w:val="000000" w:themeColor="text1"/>
          <w:sz w:val="28"/>
          <w:szCs w:val="28"/>
          <w14:textFill>
            <w14:solidFill>
              <w14:schemeClr w14:val="tx1"/>
            </w14:solidFill>
          </w14:textFill>
        </w:rPr>
        <w:t>Nigerian Journal of Natural Products and Medicine</w:t>
      </w:r>
      <w:r>
        <w:rPr>
          <w:rFonts w:ascii="Times New Roman" w:hAnsi="Times New Roman" w:eastAsia="Times New Roman" w:cs="Times New Roman"/>
          <w:color w:val="000000" w:themeColor="text1"/>
          <w:sz w:val="28"/>
          <w:szCs w:val="28"/>
          <w14:textFill>
            <w14:solidFill>
              <w14:schemeClr w14:val="tx1"/>
            </w14:solidFill>
          </w14:textFill>
        </w:rPr>
        <w:t>, 27(1), 41–49.</w:t>
      </w:r>
    </w:p>
    <w:p w14:paraId="51F55349">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Ogundele, O. S., Ogunlana, E. O., &amp; Adebayo, O. J. (2023). Effect of different solvents on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leaf extract. </w:t>
      </w:r>
      <w:r>
        <w:rPr>
          <w:rStyle w:val="7"/>
          <w:color w:val="000000" w:themeColor="text1"/>
          <w:sz w:val="28"/>
          <w:szCs w:val="28"/>
          <w14:textFill>
            <w14:solidFill>
              <w14:schemeClr w14:val="tx1"/>
            </w14:solidFill>
          </w14:textFill>
        </w:rPr>
        <w:t>Nigerian Journal of Natural Products and Medicine</w:t>
      </w:r>
      <w:r>
        <w:rPr>
          <w:color w:val="000000" w:themeColor="text1"/>
          <w:sz w:val="28"/>
          <w:szCs w:val="28"/>
          <w14:textFill>
            <w14:solidFill>
              <w14:schemeClr w14:val="tx1"/>
            </w14:solidFill>
          </w14:textFill>
        </w:rPr>
        <w:t>, 27(1), 41–49.</w:t>
      </w:r>
    </w:p>
    <w:p w14:paraId="796B28A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Okonkwo, C. C., Iwu, C. D., &amp; Eke, I. E. (2020). </w:t>
      </w:r>
      <w:r>
        <w:rPr>
          <w:rFonts w:ascii="Times New Roman" w:hAnsi="Times New Roman" w:eastAsia="Times New Roman" w:cs="Times New Roman"/>
          <w:i/>
          <w:iCs/>
          <w:color w:val="000000" w:themeColor="text1"/>
          <w:sz w:val="28"/>
          <w:szCs w:val="28"/>
          <w14:textFill>
            <w14:solidFill>
              <w14:schemeClr w14:val="tx1"/>
            </w14:solidFill>
          </w14:textFill>
        </w:rPr>
        <w:t>Phytochemical constituents and antimicrobial activity of Calotropis procera</w:t>
      </w:r>
      <w:r>
        <w:rPr>
          <w:rFonts w:ascii="Times New Roman" w:hAnsi="Times New Roman" w:eastAsia="Times New Roman" w:cs="Times New Roman"/>
          <w:color w:val="000000" w:themeColor="text1"/>
          <w:sz w:val="28"/>
          <w:szCs w:val="28"/>
          <w14:textFill>
            <w14:solidFill>
              <w14:schemeClr w14:val="tx1"/>
            </w14:solidFill>
          </w14:textFill>
        </w:rPr>
        <w:t>. International Journal of Biological Research, 8(2), 112–118.</w:t>
      </w:r>
    </w:p>
    <w:p w14:paraId="2BFDFFB1">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Suleiman, A. A., Danlami, M. A., &amp; Okereke, A. C. (2022). </w:t>
      </w:r>
      <w:r>
        <w:rPr>
          <w:rFonts w:ascii="Times New Roman" w:hAnsi="Times New Roman" w:eastAsia="Times New Roman" w:cs="Times New Roman"/>
          <w:i/>
          <w:iCs/>
          <w:color w:val="000000" w:themeColor="text1"/>
          <w:sz w:val="28"/>
          <w:szCs w:val="28"/>
          <w14:textFill>
            <w14:solidFill>
              <w14:schemeClr w14:val="tx1"/>
            </w14:solidFill>
          </w14:textFill>
        </w:rPr>
        <w:t>Mechanisms of action of plant-derived antifungal compounds</w:t>
      </w:r>
      <w:r>
        <w:rPr>
          <w:rFonts w:ascii="Times New Roman" w:hAnsi="Times New Roman" w:eastAsia="Times New Roman" w:cs="Times New Roman"/>
          <w:color w:val="000000" w:themeColor="text1"/>
          <w:sz w:val="28"/>
          <w:szCs w:val="28"/>
          <w14:textFill>
            <w14:solidFill>
              <w14:schemeClr w14:val="tx1"/>
            </w14:solidFill>
          </w14:textFill>
        </w:rPr>
        <w:t>. African Journal of Microbial Research, 16(3), 87–94.</w:t>
      </w:r>
    </w:p>
    <w:p w14:paraId="4B6489A6">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w:t>
      </w:r>
      <w:r>
        <w:rPr>
          <w:rFonts w:ascii="Times New Roman" w:hAnsi="Times New Roman" w:eastAsia="Times New Roman" w:cs="Times New Roman"/>
          <w:i/>
          <w:iCs/>
          <w:color w:val="000000" w:themeColor="text1"/>
          <w:sz w:val="28"/>
          <w:szCs w:val="28"/>
          <w14:textFill>
            <w14:solidFill>
              <w14:schemeClr w14:val="tx1"/>
            </w14:solidFill>
          </w14:textFill>
        </w:rPr>
        <w:t>Toxicological evaluation of Calotropis procera leaf extract in Wistar rats</w:t>
      </w:r>
      <w:r>
        <w:rPr>
          <w:rFonts w:ascii="Times New Roman" w:hAnsi="Times New Roman" w:eastAsia="Times New Roman" w:cs="Times New Roman"/>
          <w:color w:val="000000" w:themeColor="text1"/>
          <w:sz w:val="28"/>
          <w:szCs w:val="28"/>
          <w14:textFill>
            <w14:solidFill>
              <w14:schemeClr w14:val="tx1"/>
            </w14:solidFill>
          </w14:textFill>
        </w:rPr>
        <w:t>. Journal of Toxicological Studies, 19(4), 221–229.</w:t>
      </w:r>
    </w:p>
    <w:p w14:paraId="0D837992">
      <w:pPr>
        <w:spacing w:before="100" w:beforeAutospacing="1" w:after="100" w:afterAutospacing="1" w:line="480" w:lineRule="auto"/>
        <w:ind w:left="720" w:hanging="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Toxicological evaluation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in Wistar rats. </w:t>
      </w:r>
      <w:r>
        <w:rPr>
          <w:rFonts w:ascii="Times New Roman" w:hAnsi="Times New Roman" w:eastAsia="Times New Roman" w:cs="Times New Roman"/>
          <w:i/>
          <w:iCs/>
          <w:color w:val="000000" w:themeColor="text1"/>
          <w:sz w:val="28"/>
          <w:szCs w:val="28"/>
          <w14:textFill>
            <w14:solidFill>
              <w14:schemeClr w14:val="tx1"/>
            </w14:solidFill>
          </w14:textFill>
        </w:rPr>
        <w:t>Journal of Toxicological Studies</w:t>
      </w:r>
      <w:r>
        <w:rPr>
          <w:rFonts w:ascii="Times New Roman" w:hAnsi="Times New Roman" w:eastAsia="Times New Roman" w:cs="Times New Roman"/>
          <w:color w:val="000000" w:themeColor="text1"/>
          <w:sz w:val="28"/>
          <w:szCs w:val="28"/>
          <w14:textFill>
            <w14:solidFill>
              <w14:schemeClr w14:val="tx1"/>
            </w14:solidFill>
          </w14:textFill>
        </w:rPr>
        <w:t>, 19(4), 221–229.</w:t>
      </w:r>
      <w:r>
        <w:rPr>
          <w:rFonts w:ascii="Times New Roman" w:hAnsi="Times New Roman" w:cs="Times New Roman"/>
          <w:color w:val="000000" w:themeColor="text1"/>
          <w:sz w:val="28"/>
          <w:szCs w:val="28"/>
          <w14:textFill>
            <w14:solidFill>
              <w14:schemeClr w14:val="tx1"/>
            </w14:solidFill>
          </w14:textFill>
        </w:rPr>
        <w:t xml:space="preserve"> </w:t>
      </w:r>
    </w:p>
    <w:sectPr>
      <w:pgSz w:w="11520" w:h="14400"/>
      <w:pgMar w:top="1440" w:right="1440" w:bottom="1440" w:left="1440" w:header="706" w:footer="706"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61270"/>
      <w:docPartObj>
        <w:docPartGallery w:val="AutoText"/>
      </w:docPartObj>
    </w:sdtPr>
    <w:sdtContent>
      <w:p w14:paraId="5A9D45AE">
        <w:pPr>
          <w:pStyle w:val="8"/>
          <w:jc w:val="center"/>
        </w:pPr>
        <w:r>
          <w:fldChar w:fldCharType="begin"/>
        </w:r>
        <w:r>
          <w:instrText xml:space="preserve"> PAGE   \* MERGEFORMAT </w:instrText>
        </w:r>
        <w:r>
          <w:fldChar w:fldCharType="separate"/>
        </w:r>
        <w:r>
          <w:t>i</w:t>
        </w:r>
        <w:r>
          <w:fldChar w:fldCharType="end"/>
        </w:r>
      </w:p>
    </w:sdtContent>
  </w:sdt>
  <w:p w14:paraId="5E742673">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A6BAC"/>
    <w:multiLevelType w:val="multilevel"/>
    <w:tmpl w:val="217A6B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607B9A"/>
    <w:multiLevelType w:val="multilevel"/>
    <w:tmpl w:val="25607B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107089"/>
    <w:rsid w:val="001151F8"/>
    <w:rsid w:val="00172098"/>
    <w:rsid w:val="00191234"/>
    <w:rsid w:val="00280381"/>
    <w:rsid w:val="002B0BB5"/>
    <w:rsid w:val="00331D47"/>
    <w:rsid w:val="00531202"/>
    <w:rsid w:val="00645FF4"/>
    <w:rsid w:val="00701FA4"/>
    <w:rsid w:val="0078606D"/>
    <w:rsid w:val="007A5C16"/>
    <w:rsid w:val="007D1476"/>
    <w:rsid w:val="008E05E5"/>
    <w:rsid w:val="0098466D"/>
    <w:rsid w:val="00A561EC"/>
    <w:rsid w:val="00B52347"/>
    <w:rsid w:val="00C77AD7"/>
    <w:rsid w:val="00D30C73"/>
    <w:rsid w:val="00D415F8"/>
    <w:rsid w:val="00DA0F41"/>
    <w:rsid w:val="00DF28FE"/>
    <w:rsid w:val="00E6797D"/>
    <w:rsid w:val="00E71726"/>
    <w:rsid w:val="00EE5127"/>
    <w:rsid w:val="00F57D6E"/>
    <w:rsid w:val="00F630FF"/>
    <w:rsid w:val="00FB3D52"/>
    <w:rsid w:val="00FD0443"/>
    <w:rsid w:val="2E4C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1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qFormat/>
    <w:uiPriority w:val="99"/>
    <w:pPr>
      <w:tabs>
        <w:tab w:val="center" w:pos="4680"/>
        <w:tab w:val="right" w:pos="9360"/>
      </w:tabs>
      <w:spacing w:after="0" w:line="240" w:lineRule="auto"/>
    </w:pPr>
  </w:style>
  <w:style w:type="paragraph" w:styleId="9">
    <w:name w:val="header"/>
    <w:basedOn w:val="1"/>
    <w:link w:val="21"/>
    <w:unhideWhenUsed/>
    <w:uiPriority w:val="99"/>
    <w:pPr>
      <w:tabs>
        <w:tab w:val="center" w:pos="4680"/>
        <w:tab w:val="right" w:pos="9360"/>
      </w:tabs>
      <w:spacing w:after="0" w:line="240" w:lineRule="auto"/>
    </w:pPr>
  </w:style>
  <w:style w:type="character" w:styleId="10">
    <w:name w:val="Hyperlink"/>
    <w:basedOn w:val="5"/>
    <w:unhideWhenUsed/>
    <w:uiPriority w:val="99"/>
    <w:rPr>
      <w:color w:val="0563C1" w:themeColor="hyperlink"/>
      <w:u w:val="single"/>
      <w14:textFill>
        <w14:solidFill>
          <w14:schemeClr w14:val="hlink"/>
        </w14:solidFill>
      </w14:textFill>
    </w:r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paragraph" w:styleId="13">
    <w:name w:val="toc 1"/>
    <w:basedOn w:val="1"/>
    <w:next w:val="1"/>
    <w:autoRedefine/>
    <w:unhideWhenUsed/>
    <w:uiPriority w:val="39"/>
    <w:pPr>
      <w:spacing w:after="100"/>
    </w:pPr>
  </w:style>
  <w:style w:type="paragraph" w:styleId="14">
    <w:name w:val="List Paragraph"/>
    <w:basedOn w:val="1"/>
    <w:qFormat/>
    <w:uiPriority w:val="34"/>
    <w:pPr>
      <w:ind w:left="720"/>
      <w:contextualSpacing/>
    </w:pPr>
  </w:style>
  <w:style w:type="character" w:customStyle="1" w:styleId="15">
    <w:name w:val="Heading 1 Char"/>
    <w:basedOn w:val="5"/>
    <w:link w:val="2"/>
    <w:uiPriority w:val="9"/>
    <w:rPr>
      <w:rFonts w:asciiTheme="majorHAnsi" w:hAnsiTheme="majorHAnsi" w:eastAsiaTheme="majorEastAsia" w:cstheme="majorBidi"/>
      <w:color w:val="2E75B6" w:themeColor="accent1" w:themeShade="BF"/>
      <w:sz w:val="32"/>
      <w:szCs w:val="32"/>
    </w:rPr>
  </w:style>
  <w:style w:type="character" w:customStyle="1" w:styleId="16">
    <w:name w:val="Heading 2 Char"/>
    <w:basedOn w:val="5"/>
    <w:link w:val="3"/>
    <w:uiPriority w:val="9"/>
    <w:rPr>
      <w:rFonts w:ascii="Times New Roman" w:hAnsi="Times New Roman" w:eastAsia="Times New Roman" w:cs="Times New Roman"/>
      <w:b/>
      <w:bCs/>
      <w:sz w:val="36"/>
      <w:szCs w:val="36"/>
    </w:rPr>
  </w:style>
  <w:style w:type="character" w:customStyle="1" w:styleId="17">
    <w:name w:val="Heading 3 Char"/>
    <w:basedOn w:val="5"/>
    <w:link w:val="4"/>
    <w:uiPriority w:val="9"/>
    <w:rPr>
      <w:rFonts w:ascii="Times New Roman" w:hAnsi="Times New Roman" w:eastAsia="Times New Roman" w:cs="Times New Roman"/>
      <w:b/>
      <w:bCs/>
      <w:sz w:val="27"/>
      <w:szCs w:val="27"/>
    </w:rPr>
  </w:style>
  <w:style w:type="table" w:customStyle="1" w:styleId="18">
    <w:name w:val="List Table 2"/>
    <w:basedOn w:val="6"/>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9">
    <w:name w:val="List Table 6 Colorful"/>
    <w:basedOn w:val="6"/>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0">
    <w:name w:val="TOC Heading"/>
    <w:basedOn w:val="2"/>
    <w:next w:val="1"/>
    <w:unhideWhenUsed/>
    <w:qFormat/>
    <w:uiPriority w:val="39"/>
    <w:pPr>
      <w:outlineLvl w:val="9"/>
    </w:pPr>
  </w:style>
  <w:style w:type="character" w:customStyle="1" w:styleId="21">
    <w:name w:val="Header Char"/>
    <w:basedOn w:val="5"/>
    <w:link w:val="9"/>
    <w:qFormat/>
    <w:uiPriority w:val="99"/>
  </w:style>
  <w:style w:type="character" w:customStyle="1" w:styleId="22">
    <w:name w:val="Footer Char"/>
    <w:basedOn w:val="5"/>
    <w:link w:val="8"/>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C4C5F-EDA9-4D1E-96B9-33EA860D7225}">
  <ds:schemaRefs/>
</ds:datastoreItem>
</file>

<file path=docProps/app.xml><?xml version="1.0" encoding="utf-8"?>
<Properties xmlns="http://schemas.openxmlformats.org/officeDocument/2006/extended-properties" xmlns:vt="http://schemas.openxmlformats.org/officeDocument/2006/docPropsVTypes">
  <Template>Normal</Template>
  <Pages>34</Pages>
  <Words>4748</Words>
  <Characters>27067</Characters>
  <Lines>225</Lines>
  <Paragraphs>63</Paragraphs>
  <TotalTime>3</TotalTime>
  <ScaleCrop>false</ScaleCrop>
  <LinksUpToDate>false</LinksUpToDate>
  <CharactersWithSpaces>31752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2025-07-12T14:47:00Z</dcterms:created>
  <dc:creator>Microsoft account</dc:creator>
  <cp:lastModifiedBy>USER</cp:lastModifiedBy>
  <dcterms:modified xsi:type="dcterms:W3CDTF">2025-08-05T11:10:02Z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9F8EEF3E237B4AA596E4944641114A88_12</vt:lpwstr>
  </property>
</Properties>
</file>