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6E477CF0" w:rsidR="00F95749" w:rsidRPr="0015257B" w:rsidRDefault="00F20778" w:rsidP="00F95749">
      <w:pPr>
        <w:ind w:right="4"/>
        <w:jc w:val="center"/>
        <w:rPr>
          <w:rFonts w:ascii="Times New Roman" w:hAnsi="Times New Roman"/>
          <w:b/>
          <w:bCs/>
          <w:sz w:val="28"/>
          <w:szCs w:val="28"/>
        </w:rPr>
      </w:pPr>
      <w:r>
        <w:rPr>
          <w:rFonts w:ascii="Times New Roman" w:hAnsi="Times New Roman"/>
          <w:b/>
          <w:bCs/>
          <w:sz w:val="28"/>
          <w:szCs w:val="28"/>
        </w:rPr>
        <w:t>ROBERT</w:t>
      </w:r>
      <w:r w:rsidR="00F95749" w:rsidRPr="0015257B">
        <w:rPr>
          <w:rFonts w:ascii="Times New Roman" w:hAnsi="Times New Roman"/>
          <w:b/>
          <w:bCs/>
          <w:sz w:val="28"/>
          <w:szCs w:val="28"/>
        </w:rPr>
        <w:t xml:space="preserve"> </w:t>
      </w:r>
      <w:r>
        <w:rPr>
          <w:rFonts w:ascii="Times New Roman" w:hAnsi="Times New Roman"/>
          <w:b/>
          <w:bCs/>
          <w:sz w:val="28"/>
          <w:szCs w:val="28"/>
        </w:rPr>
        <w:t>ANUOLUWAPO</w:t>
      </w:r>
    </w:p>
    <w:p w14:paraId="57EDAD1B" w14:textId="3FC7F274" w:rsidR="009627A0" w:rsidRPr="0015257B" w:rsidRDefault="00F20778" w:rsidP="00F95749">
      <w:pPr>
        <w:ind w:right="4"/>
        <w:jc w:val="center"/>
        <w:rPr>
          <w:rFonts w:ascii="Times New Roman" w:hAnsi="Times New Roman"/>
          <w:b/>
          <w:bCs/>
          <w:sz w:val="28"/>
          <w:szCs w:val="28"/>
        </w:rPr>
      </w:pPr>
      <w:r>
        <w:rPr>
          <w:rFonts w:ascii="Times New Roman" w:hAnsi="Times New Roman"/>
          <w:b/>
          <w:bCs/>
          <w:sz w:val="28"/>
          <w:szCs w:val="28"/>
        </w:rPr>
        <w:t>HND/23/SLT/FT/0845</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6F55732F" w14:textId="24B68595" w:rsidR="00EB1F09" w:rsidRPr="00AF157D" w:rsidRDefault="00C86AF3" w:rsidP="00EB1F09">
      <w:pPr>
        <w:spacing w:line="360" w:lineRule="auto"/>
        <w:ind w:right="27"/>
        <w:jc w:val="center"/>
        <w:rPr>
          <w:b/>
          <w:bCs/>
          <w:sz w:val="28"/>
          <w:szCs w:val="28"/>
        </w:rPr>
      </w:pPr>
      <w:r>
        <w:rPr>
          <w:noProof/>
        </w:rPr>
        <w:lastRenderedPageBreak/>
        <w:drawing>
          <wp:anchor distT="0" distB="0" distL="114300" distR="114300" simplePos="0" relativeHeight="251659264" behindDoc="0" locked="0" layoutInCell="1" allowOverlap="1" wp14:anchorId="1DF7897F" wp14:editId="5F0DB4CC">
            <wp:simplePos x="0" y="0"/>
            <wp:positionH relativeFrom="column">
              <wp:posOffset>-914400</wp:posOffset>
            </wp:positionH>
            <wp:positionV relativeFrom="paragraph">
              <wp:posOffset>-609600</wp:posOffset>
            </wp:positionV>
            <wp:extent cx="7080885" cy="8426450"/>
            <wp:effectExtent l="0" t="0" r="5715" b="6350"/>
            <wp:wrapTopAndBottom/>
            <wp:docPr id="84344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43200" name=""/>
                    <pic:cNvPicPr/>
                  </pic:nvPicPr>
                  <pic:blipFill>
                    <a:blip r:embed="rId8"/>
                    <a:stretch>
                      <a:fillRect/>
                    </a:stretch>
                  </pic:blipFill>
                  <pic:spPr>
                    <a:xfrm>
                      <a:off x="0" y="0"/>
                      <a:ext cx="7080885" cy="8426450"/>
                    </a:xfrm>
                    <a:prstGeom prst="rect">
                      <a:avLst/>
                    </a:prstGeom>
                  </pic:spPr>
                </pic:pic>
              </a:graphicData>
            </a:graphic>
            <wp14:sizeRelH relativeFrom="margin">
              <wp14:pctWidth>0</wp14:pctWidth>
            </wp14:sizeRelH>
            <wp14:sizeRelV relativeFrom="margin">
              <wp14:pctHeight>0</wp14:pctHeight>
            </wp14:sizeRelV>
          </wp:anchor>
        </w:drawing>
      </w:r>
    </w:p>
    <w:p w14:paraId="77AD6CE0" w14:textId="7D60ED66" w:rsidR="00323C2A" w:rsidRPr="00323C2A" w:rsidRDefault="00323C2A" w:rsidP="00323C2A">
      <w:pPr>
        <w:jc w:val="center"/>
        <w:rPr>
          <w:sz w:val="28"/>
          <w:szCs w:val="28"/>
        </w:rPr>
      </w:pPr>
      <w:r>
        <w:rPr>
          <w:b/>
          <w:bCs/>
          <w:sz w:val="28"/>
          <w:szCs w:val="28"/>
        </w:rPr>
        <w:lastRenderedPageBreak/>
        <w:t>DEDICATION</w:t>
      </w:r>
    </w:p>
    <w:p w14:paraId="421E1855" w14:textId="2BDDD126" w:rsidR="001A7B61" w:rsidRPr="001A7B61" w:rsidRDefault="001A7B61" w:rsidP="001A7B61">
      <w:pPr>
        <w:jc w:val="both"/>
        <w:rPr>
          <w:sz w:val="28"/>
          <w:szCs w:val="28"/>
        </w:rPr>
      </w:pPr>
      <w:r w:rsidRPr="001A7B61">
        <w:rPr>
          <w:sz w:val="28"/>
          <w:szCs w:val="28"/>
        </w:rPr>
        <w:t xml:space="preserve">I dedicated this project to almighty God for He is the one that makes this </w:t>
      </w:r>
      <w:proofErr w:type="spellStart"/>
      <w:r w:rsidRPr="001A7B61">
        <w:rPr>
          <w:sz w:val="28"/>
          <w:szCs w:val="28"/>
        </w:rPr>
        <w:t>programme</w:t>
      </w:r>
      <w:proofErr w:type="spellEnd"/>
      <w:r w:rsidRPr="001A7B61">
        <w:rPr>
          <w:sz w:val="28"/>
          <w:szCs w:val="28"/>
        </w:rPr>
        <w:t xml:space="preserve"> completion a reality and also to my family as a whole.</w:t>
      </w:r>
    </w:p>
    <w:p w14:paraId="3C30D44D" w14:textId="7DA51B87" w:rsidR="00EB1F09" w:rsidRPr="001E5ABD" w:rsidRDefault="00EB1F09" w:rsidP="00EB1F09">
      <w:pPr>
        <w:spacing w:line="360" w:lineRule="auto"/>
        <w:ind w:right="27" w:firstLine="720"/>
        <w:jc w:val="both"/>
        <w:rPr>
          <w:rFonts w:asciiTheme="minorHAnsi" w:hAnsiTheme="minorHAnsi" w:cstheme="minorHAnsi"/>
          <w:sz w:val="28"/>
          <w:szCs w:val="28"/>
        </w:rPr>
      </w:pPr>
    </w:p>
    <w:p w14:paraId="384D5C20" w14:textId="77777777" w:rsidR="00EB1F09" w:rsidRDefault="00EB1F09" w:rsidP="00EB1F09">
      <w:pPr>
        <w:spacing w:line="360" w:lineRule="auto"/>
        <w:rPr>
          <w:rFonts w:ascii="Times New Roman" w:hAnsi="Times New Roman"/>
          <w:b/>
          <w:color w:val="000000" w:themeColor="text1"/>
          <w:sz w:val="26"/>
          <w:szCs w:val="26"/>
        </w:rPr>
      </w:pPr>
    </w:p>
    <w:p w14:paraId="0AD3FC6A" w14:textId="77777777" w:rsidR="003D548D" w:rsidRDefault="003D548D" w:rsidP="00775AC8">
      <w:pPr>
        <w:spacing w:line="360" w:lineRule="auto"/>
        <w:jc w:val="center"/>
        <w:rPr>
          <w:rFonts w:ascii="Times New Roman" w:hAnsi="Times New Roman"/>
          <w:b/>
          <w:color w:val="000000" w:themeColor="text1"/>
          <w:sz w:val="26"/>
          <w:szCs w:val="26"/>
        </w:rPr>
      </w:pPr>
    </w:p>
    <w:p w14:paraId="0187183F" w14:textId="77777777" w:rsidR="003D548D" w:rsidRDefault="003D548D" w:rsidP="00775AC8">
      <w:pPr>
        <w:spacing w:line="360" w:lineRule="auto"/>
        <w:jc w:val="center"/>
        <w:rPr>
          <w:rFonts w:ascii="Times New Roman" w:hAnsi="Times New Roman"/>
          <w:b/>
          <w:color w:val="000000" w:themeColor="text1"/>
          <w:sz w:val="26"/>
          <w:szCs w:val="26"/>
        </w:rPr>
      </w:pPr>
    </w:p>
    <w:p w14:paraId="36B9E308" w14:textId="77777777" w:rsidR="003D548D" w:rsidRDefault="003D548D" w:rsidP="00775AC8">
      <w:pPr>
        <w:spacing w:line="360" w:lineRule="auto"/>
        <w:jc w:val="center"/>
        <w:rPr>
          <w:rFonts w:ascii="Times New Roman" w:hAnsi="Times New Roman"/>
          <w:b/>
          <w:color w:val="000000" w:themeColor="text1"/>
          <w:sz w:val="26"/>
          <w:szCs w:val="26"/>
        </w:rPr>
      </w:pPr>
    </w:p>
    <w:p w14:paraId="144781F3" w14:textId="77777777" w:rsidR="003D548D" w:rsidRDefault="003D548D" w:rsidP="00775AC8">
      <w:pPr>
        <w:spacing w:line="360" w:lineRule="auto"/>
        <w:jc w:val="center"/>
        <w:rPr>
          <w:rFonts w:ascii="Times New Roman" w:hAnsi="Times New Roman"/>
          <w:b/>
          <w:color w:val="000000" w:themeColor="text1"/>
          <w:sz w:val="26"/>
          <w:szCs w:val="26"/>
        </w:rPr>
      </w:pPr>
    </w:p>
    <w:p w14:paraId="165116A1" w14:textId="77777777" w:rsidR="003D548D" w:rsidRDefault="003D548D" w:rsidP="00775AC8">
      <w:pPr>
        <w:spacing w:line="360" w:lineRule="auto"/>
        <w:jc w:val="center"/>
        <w:rPr>
          <w:rFonts w:ascii="Times New Roman" w:hAnsi="Times New Roman"/>
          <w:b/>
          <w:color w:val="000000" w:themeColor="text1"/>
          <w:sz w:val="26"/>
          <w:szCs w:val="26"/>
        </w:rPr>
      </w:pPr>
    </w:p>
    <w:p w14:paraId="3FDDDFAD" w14:textId="77777777" w:rsidR="003D548D" w:rsidRDefault="003D548D" w:rsidP="00775AC8">
      <w:pPr>
        <w:spacing w:line="360" w:lineRule="auto"/>
        <w:jc w:val="center"/>
        <w:rPr>
          <w:rFonts w:ascii="Times New Roman" w:hAnsi="Times New Roman"/>
          <w:b/>
          <w:color w:val="000000" w:themeColor="text1"/>
          <w:sz w:val="26"/>
          <w:szCs w:val="26"/>
        </w:rPr>
      </w:pPr>
    </w:p>
    <w:p w14:paraId="3DDACABC" w14:textId="77777777" w:rsidR="003D548D" w:rsidRDefault="003D548D" w:rsidP="00775AC8">
      <w:pPr>
        <w:spacing w:line="360" w:lineRule="auto"/>
        <w:jc w:val="center"/>
        <w:rPr>
          <w:rFonts w:ascii="Times New Roman" w:hAnsi="Times New Roman"/>
          <w:b/>
          <w:color w:val="000000" w:themeColor="text1"/>
          <w:sz w:val="26"/>
          <w:szCs w:val="26"/>
        </w:rPr>
      </w:pPr>
    </w:p>
    <w:p w14:paraId="0DA074CD" w14:textId="77777777" w:rsidR="003D548D" w:rsidRDefault="003D548D" w:rsidP="00775AC8">
      <w:pPr>
        <w:spacing w:line="360" w:lineRule="auto"/>
        <w:jc w:val="center"/>
        <w:rPr>
          <w:rFonts w:ascii="Times New Roman" w:hAnsi="Times New Roman"/>
          <w:b/>
          <w:color w:val="000000" w:themeColor="text1"/>
          <w:sz w:val="26"/>
          <w:szCs w:val="26"/>
        </w:rPr>
      </w:pPr>
    </w:p>
    <w:p w14:paraId="5FADA287" w14:textId="77777777" w:rsidR="003D548D" w:rsidRDefault="003D548D" w:rsidP="00775AC8">
      <w:pPr>
        <w:spacing w:line="360" w:lineRule="auto"/>
        <w:jc w:val="center"/>
        <w:rPr>
          <w:rFonts w:ascii="Times New Roman" w:hAnsi="Times New Roman"/>
          <w:b/>
          <w:color w:val="000000" w:themeColor="text1"/>
          <w:sz w:val="26"/>
          <w:szCs w:val="26"/>
        </w:rPr>
      </w:pPr>
    </w:p>
    <w:p w14:paraId="23410EE1" w14:textId="77777777" w:rsidR="003D548D" w:rsidRDefault="003D548D" w:rsidP="00775AC8">
      <w:pPr>
        <w:spacing w:line="360" w:lineRule="auto"/>
        <w:jc w:val="center"/>
        <w:rPr>
          <w:rFonts w:ascii="Times New Roman" w:hAnsi="Times New Roman"/>
          <w:b/>
          <w:color w:val="000000" w:themeColor="text1"/>
          <w:sz w:val="26"/>
          <w:szCs w:val="26"/>
        </w:rPr>
      </w:pPr>
    </w:p>
    <w:p w14:paraId="0C342D6B" w14:textId="77777777" w:rsidR="00DF68E6" w:rsidRDefault="00DF68E6" w:rsidP="00775AC8">
      <w:pPr>
        <w:spacing w:line="360" w:lineRule="auto"/>
        <w:jc w:val="center"/>
        <w:rPr>
          <w:rFonts w:ascii="Times New Roman" w:hAnsi="Times New Roman"/>
          <w:b/>
          <w:color w:val="000000" w:themeColor="text1"/>
          <w:sz w:val="26"/>
          <w:szCs w:val="26"/>
        </w:rPr>
      </w:pPr>
    </w:p>
    <w:p w14:paraId="11E48E8E" w14:textId="77777777" w:rsidR="003D548D" w:rsidRDefault="003D548D" w:rsidP="00775AC8">
      <w:pPr>
        <w:spacing w:line="360" w:lineRule="auto"/>
        <w:jc w:val="center"/>
        <w:rPr>
          <w:rFonts w:ascii="Times New Roman" w:hAnsi="Times New Roman"/>
          <w:b/>
          <w:color w:val="000000" w:themeColor="text1"/>
          <w:sz w:val="26"/>
          <w:szCs w:val="26"/>
        </w:rPr>
      </w:pPr>
    </w:p>
    <w:p w14:paraId="192D0729" w14:textId="77777777" w:rsidR="00CD4007" w:rsidRDefault="00CD4007" w:rsidP="00775AC8">
      <w:pPr>
        <w:spacing w:line="360" w:lineRule="auto"/>
        <w:jc w:val="center"/>
        <w:rPr>
          <w:rFonts w:ascii="Times New Roman" w:hAnsi="Times New Roman"/>
          <w:b/>
          <w:color w:val="000000" w:themeColor="text1"/>
          <w:sz w:val="26"/>
          <w:szCs w:val="26"/>
        </w:rPr>
      </w:pPr>
    </w:p>
    <w:p w14:paraId="083D95A3" w14:textId="77777777" w:rsidR="0005701F" w:rsidRDefault="00775AC8" w:rsidP="00775AC8">
      <w:pPr>
        <w:spacing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ACKNOWLEDGEMENT</w:t>
      </w:r>
    </w:p>
    <w:p w14:paraId="0CAB694F" w14:textId="77777777" w:rsidR="001A7B61" w:rsidRPr="001A7B61" w:rsidRDefault="001A7B61" w:rsidP="001A7B61">
      <w:pPr>
        <w:jc w:val="both"/>
        <w:rPr>
          <w:sz w:val="28"/>
          <w:szCs w:val="28"/>
        </w:rPr>
      </w:pPr>
      <w:r w:rsidRPr="001A7B61">
        <w:rPr>
          <w:sz w:val="28"/>
          <w:szCs w:val="28"/>
        </w:rPr>
        <w:t xml:space="preserve">        I give glory and honor to the immortal, invisible, the only wise God. The beginning and the end, the master of the universe, the one who was, who is, and yet to come. For His faithfulness and unfailing love over my life, indeed God is a promise keeper. What would I have done without my smile and golden dad" Mr and Mrs David </w:t>
      </w:r>
      <w:proofErr w:type="spellStart"/>
      <w:r w:rsidRPr="001A7B61">
        <w:rPr>
          <w:sz w:val="28"/>
          <w:szCs w:val="28"/>
        </w:rPr>
        <w:t>Inubiraye</w:t>
      </w:r>
      <w:proofErr w:type="spellEnd"/>
      <w:r w:rsidRPr="001A7B61">
        <w:rPr>
          <w:sz w:val="28"/>
          <w:szCs w:val="28"/>
        </w:rPr>
        <w:t xml:space="preserve"> Robert"( my wonderful parent) for their prayers, support, love, financial support, words of encouragement and thank you for believing in me. You will eat the fruit of your labor in good health in Jesus name (amen)  to My loving siblings Mr </w:t>
      </w:r>
      <w:proofErr w:type="spellStart"/>
      <w:r w:rsidRPr="001A7B61">
        <w:rPr>
          <w:sz w:val="28"/>
          <w:szCs w:val="28"/>
        </w:rPr>
        <w:t>Eyitayo</w:t>
      </w:r>
      <w:proofErr w:type="spellEnd"/>
      <w:r w:rsidRPr="001A7B61">
        <w:rPr>
          <w:sz w:val="28"/>
          <w:szCs w:val="28"/>
        </w:rPr>
        <w:t xml:space="preserve"> Robert, pastor T.D Robert, mr and mrs kolawole, and Mrs </w:t>
      </w:r>
      <w:proofErr w:type="spellStart"/>
      <w:r w:rsidRPr="001A7B61">
        <w:rPr>
          <w:sz w:val="28"/>
          <w:szCs w:val="28"/>
        </w:rPr>
        <w:t>olorundare</w:t>
      </w:r>
      <w:proofErr w:type="spellEnd"/>
      <w:r w:rsidRPr="001A7B61">
        <w:rPr>
          <w:sz w:val="28"/>
          <w:szCs w:val="28"/>
        </w:rPr>
        <w:t xml:space="preserve"> </w:t>
      </w:r>
      <w:proofErr w:type="spellStart"/>
      <w:r w:rsidRPr="001A7B61">
        <w:rPr>
          <w:sz w:val="28"/>
          <w:szCs w:val="28"/>
        </w:rPr>
        <w:t>oluwakemi</w:t>
      </w:r>
      <w:proofErr w:type="spellEnd"/>
      <w:r w:rsidRPr="001A7B61">
        <w:rPr>
          <w:sz w:val="28"/>
          <w:szCs w:val="28"/>
        </w:rPr>
        <w:t xml:space="preserve"> ( my irreplaceable siblings). Thank you for joining hands together to support me, God bless you all and our love will never die, the baby of the house is grateful. </w:t>
      </w:r>
    </w:p>
    <w:p w14:paraId="26F3AAD5" w14:textId="77777777" w:rsidR="001A7B61" w:rsidRPr="001A7B61" w:rsidRDefault="001A7B61" w:rsidP="001A7B61">
      <w:pPr>
        <w:jc w:val="both"/>
        <w:rPr>
          <w:sz w:val="28"/>
          <w:szCs w:val="28"/>
        </w:rPr>
      </w:pPr>
      <w:r w:rsidRPr="001A7B61">
        <w:rPr>
          <w:sz w:val="28"/>
          <w:szCs w:val="28"/>
        </w:rPr>
        <w:t xml:space="preserve">        My lovely friends, I appreciate all you do, I love you all. To my humble and great supervisor Mrs otuyo </w:t>
      </w:r>
      <w:proofErr w:type="spellStart"/>
      <w:r w:rsidRPr="001A7B61">
        <w:rPr>
          <w:sz w:val="28"/>
          <w:szCs w:val="28"/>
        </w:rPr>
        <w:t>mujibat</w:t>
      </w:r>
      <w:proofErr w:type="spellEnd"/>
      <w:r w:rsidRPr="001A7B61">
        <w:rPr>
          <w:sz w:val="28"/>
          <w:szCs w:val="28"/>
        </w:rPr>
        <w:t xml:space="preserve"> thank you ma for your support and motherly love. God bless you. Thank you everyone for your support and thanks for trusting me to makes you proud indeed God is a promise keeper that makes me says " this is the testament that God is good".</w:t>
      </w:r>
    </w:p>
    <w:p w14:paraId="36C9CC92" w14:textId="4C8B077F" w:rsidR="004810EF" w:rsidRPr="00DF68E6" w:rsidRDefault="004810EF" w:rsidP="00DF68E6">
      <w:pPr>
        <w:spacing w:after="0"/>
        <w:jc w:val="both"/>
        <w:rPr>
          <w:rFonts w:asciiTheme="minorHAnsi" w:hAnsiTheme="minorHAnsi" w:cstheme="minorHAnsi"/>
          <w:color w:val="222222"/>
          <w:sz w:val="28"/>
          <w:szCs w:val="28"/>
          <w:shd w:val="clear" w:color="auto" w:fill="FFFFFF"/>
        </w:rPr>
      </w:pPr>
      <w:r w:rsidRPr="00DF68E6">
        <w:rPr>
          <w:rFonts w:asciiTheme="minorHAnsi" w:hAnsiTheme="minorHAnsi" w:cstheme="minorHAnsi"/>
          <w:b/>
          <w:color w:val="000000" w:themeColor="text1"/>
          <w:sz w:val="28"/>
          <w:szCs w:val="28"/>
        </w:rPr>
        <w:br w:type="page"/>
      </w: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iv</w:t>
      </w:r>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6F86CCB7" w14:textId="00C994F7" w:rsidR="00DC6872" w:rsidRPr="005F65CA" w:rsidRDefault="004810EF" w:rsidP="00DF68E6">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br w:type="page"/>
      </w:r>
      <w:r w:rsidR="00DC6872"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This study evaluated the microbiological and physicochemical quality of borehole water samples from three selected areas (</w:t>
      </w:r>
      <w:proofErr w:type="spellStart"/>
      <w:r w:rsidRPr="005F65CA">
        <w:rPr>
          <w:rFonts w:asciiTheme="majorBidi" w:hAnsiTheme="majorBidi" w:cstheme="majorBidi"/>
          <w:sz w:val="26"/>
          <w:szCs w:val="26"/>
        </w:rPr>
        <w:t>Egbejila</w:t>
      </w:r>
      <w:proofErr w:type="spellEnd"/>
      <w:r w:rsidRPr="005F65CA">
        <w:rPr>
          <w:rFonts w:asciiTheme="majorBidi" w:hAnsiTheme="majorBidi" w:cstheme="majorBidi"/>
          <w:sz w:val="26"/>
          <w:szCs w:val="26"/>
        </w:rPr>
        <w:t xml:space="preserve">, </w:t>
      </w:r>
      <w:proofErr w:type="spellStart"/>
      <w:r w:rsidRPr="005F65CA">
        <w:rPr>
          <w:rFonts w:asciiTheme="majorBidi" w:hAnsiTheme="majorBidi" w:cstheme="majorBidi"/>
          <w:sz w:val="26"/>
          <w:szCs w:val="26"/>
        </w:rPr>
        <w:t>Elekoyangan</w:t>
      </w:r>
      <w:proofErr w:type="spellEnd"/>
      <w:r w:rsidRPr="005F65CA">
        <w:rPr>
          <w:rFonts w:asciiTheme="majorBidi" w:hAnsiTheme="majorBidi" w:cstheme="majorBidi"/>
          <w:sz w:val="26"/>
          <w:szCs w:val="26"/>
        </w:rPr>
        <w:t xml:space="preserve">, and Akuo) in Ilorin, </w:t>
      </w:r>
      <w:proofErr w:type="spellStart"/>
      <w:r w:rsidRPr="005F65CA">
        <w:rPr>
          <w:rFonts w:asciiTheme="majorBidi" w:hAnsiTheme="majorBidi" w:cstheme="majorBidi"/>
          <w:sz w:val="26"/>
          <w:szCs w:val="26"/>
        </w:rPr>
        <w:t>Kwara</w:t>
      </w:r>
      <w:proofErr w:type="spellEnd"/>
      <w:r w:rsidRPr="005F65CA">
        <w:rPr>
          <w:rFonts w:asciiTheme="majorBidi" w:hAnsiTheme="majorBidi" w:cstheme="majorBidi"/>
          <w:sz w:val="26"/>
          <w:szCs w:val="26"/>
        </w:rPr>
        <w:t xml:space="preserve">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Enterobacter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w:t>
      </w:r>
      <w:proofErr w:type="spellStart"/>
      <w:r w:rsidRPr="005F65CA">
        <w:rPr>
          <w:rFonts w:asciiTheme="majorBidi" w:hAnsiTheme="majorBidi" w:cstheme="majorBidi"/>
          <w:sz w:val="26"/>
          <w:szCs w:val="26"/>
        </w:rPr>
        <w:t>faecal</w:t>
      </w:r>
      <w:proofErr w:type="spellEnd"/>
      <w:r w:rsidRPr="005F65CA">
        <w:rPr>
          <w:rFonts w:asciiTheme="majorBidi" w:hAnsiTheme="majorBidi" w:cstheme="majorBidi"/>
          <w:sz w:val="26"/>
          <w:szCs w:val="26"/>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9"/>
          <w:footerReference w:type="first" r:id="rId10"/>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w:t>
      </w:r>
      <w:proofErr w:type="spellStart"/>
      <w:r w:rsidRPr="005F65CA">
        <w:rPr>
          <w:rFonts w:ascii="Times New Roman" w:hAnsi="Times New Roman" w:cs="Times New Roman"/>
          <w:color w:val="000000" w:themeColor="text1"/>
          <w:sz w:val="26"/>
          <w:szCs w:val="26"/>
        </w:rPr>
        <w:t>Kwara</w:t>
      </w:r>
      <w:proofErr w:type="spellEnd"/>
      <w:r w:rsidRPr="005F65CA">
        <w:rPr>
          <w:rFonts w:ascii="Times New Roman" w:hAnsi="Times New Roman" w:cs="Times New Roman"/>
          <w:color w:val="000000" w:themeColor="text1"/>
          <w:sz w:val="26"/>
          <w:szCs w:val="26"/>
        </w:rPr>
        <w:t xml:space="preserve"> State, North Central is </w:t>
      </w:r>
      <w:r w:rsidRPr="005F65CA">
        <w:rPr>
          <w:rFonts w:ascii="Times New Roman" w:hAnsi="Times New Roman" w:cs="Times New Roman"/>
          <w:color w:val="000000" w:themeColor="text1"/>
          <w:sz w:val="26"/>
          <w:szCs w:val="26"/>
        </w:rPr>
        <w:lastRenderedPageBreak/>
        <w:t xml:space="preserve">a typical example. The 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 xml:space="preserve">but we’re going to discuss about Borehole (Abdulsalam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w:t>
      </w:r>
      <w:r w:rsidR="00924494" w:rsidRPr="005F65CA">
        <w:rPr>
          <w:rFonts w:ascii="Times New Roman" w:hAnsi="Times New Roman" w:cs="Times New Roman"/>
          <w:sz w:val="26"/>
          <w:szCs w:val="26"/>
        </w:rPr>
        <w:lastRenderedPageBreak/>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3A8270C7" w14:textId="5150259A" w:rsidR="005E1D28" w:rsidRPr="00F90A83" w:rsidRDefault="00E842D1" w:rsidP="005E1D28">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sidRPr="005F65CA">
        <w:rPr>
          <w:rFonts w:ascii="Times New Roman" w:hAnsi="Times New Roman"/>
          <w:sz w:val="26"/>
          <w:szCs w:val="26"/>
        </w:rPr>
        <w:lastRenderedPageBreak/>
        <w:t>chemical and biological materials in the water distribution system and water packing company piping and storage tanks</w:t>
      </w:r>
      <w:r w:rsidR="00F43822" w:rsidRPr="005F65CA">
        <w:rPr>
          <w:rFonts w:ascii="Times New Roman" w:hAnsi="Times New Roman"/>
          <w:sz w:val="26"/>
          <w:szCs w:val="26"/>
        </w:rPr>
        <w:t xml:space="preserve"> (</w:t>
      </w:r>
      <w:r w:rsidR="00F43822" w:rsidRPr="005F65CA">
        <w:rPr>
          <w:rFonts w:ascii="Times New Roman" w:hAnsi="Times New Roman"/>
          <w:bCs/>
          <w:color w:val="000000" w:themeColor="text1"/>
          <w:sz w:val="26"/>
          <w:szCs w:val="26"/>
        </w:rPr>
        <w:t xml:space="preserve">Idowu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helminth, </w:t>
      </w:r>
      <w:r w:rsidR="00C9784A" w:rsidRPr="005F65CA">
        <w:rPr>
          <w:rFonts w:ascii="Times New Roman" w:hAnsi="Times New Roman"/>
          <w:i/>
          <w:color w:val="000000" w:themeColor="text1"/>
          <w:sz w:val="26"/>
          <w:szCs w:val="26"/>
        </w:rPr>
        <w:t>schistosomiasis</w:t>
      </w:r>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w:t>
      </w:r>
      <w:proofErr w:type="spellStart"/>
      <w:r w:rsidR="005E1D28" w:rsidRPr="00F90A83">
        <w:rPr>
          <w:rFonts w:asciiTheme="majorBidi" w:hAnsiTheme="majorBidi" w:cstheme="majorBidi"/>
          <w:sz w:val="26"/>
          <w:szCs w:val="26"/>
        </w:rPr>
        <w:t>Kwara</w:t>
      </w:r>
      <w:proofErr w:type="spellEnd"/>
      <w:r w:rsidR="005E1D28" w:rsidRPr="00F90A83">
        <w:rPr>
          <w:rFonts w:asciiTheme="majorBidi" w:hAnsiTheme="majorBidi" w:cstheme="majorBidi"/>
          <w:sz w:val="26"/>
          <w:szCs w:val="26"/>
        </w:rPr>
        <w:t xml:space="preserve"> State, especially in Ilorin, the availability of potable water is a significant concern. Many residents rely on </w:t>
      </w:r>
      <w:r w:rsidR="005E1D28" w:rsidRPr="00F90A83">
        <w:rPr>
          <w:rFonts w:asciiTheme="majorBidi" w:hAnsiTheme="majorBidi" w:cstheme="majorBidi"/>
          <w:sz w:val="26"/>
          <w:szCs w:val="26"/>
        </w:rPr>
        <w:lastRenderedPageBreak/>
        <w:t>borehole water due to the unreliability of public water supply systems. Boreholes 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6E9332ED" w14:textId="77777777" w:rsidR="00D23569" w:rsidRPr="00CE6C57" w:rsidRDefault="00D23569" w:rsidP="00CE6C57">
      <w:pPr>
        <w:pStyle w:val="Default"/>
        <w:spacing w:after="240" w:line="360" w:lineRule="auto"/>
        <w:ind w:firstLine="567"/>
        <w:jc w:val="both"/>
        <w:rPr>
          <w:rFonts w:ascii="Times New Roman" w:hAnsi="Times New Roman" w:cs="Times New Roman"/>
          <w:color w:val="000000" w:themeColor="text1"/>
          <w:sz w:val="26"/>
          <w:szCs w:val="26"/>
        </w:rPr>
      </w:pPr>
    </w:p>
    <w:p w14:paraId="199C53E6" w14:textId="77777777" w:rsidR="005E1D28" w:rsidRDefault="005E1D28" w:rsidP="00B11A72">
      <w:pPr>
        <w:spacing w:line="360" w:lineRule="auto"/>
        <w:rPr>
          <w:rFonts w:ascii="Times New Roman" w:hAnsi="Times New Roman"/>
          <w:b/>
          <w:color w:val="000000" w:themeColor="text1"/>
          <w:sz w:val="2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sidRPr="005F65CA">
        <w:rPr>
          <w:rFonts w:ascii="Times New Roman" w:hAnsi="Times New Roman"/>
          <w:sz w:val="26"/>
          <w:szCs w:val="26"/>
        </w:rPr>
        <w:lastRenderedPageBreak/>
        <w:t>local water quality standards is vital for protecting public health and promoting sustainable water management practices.</w:t>
      </w: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Akuo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Kwara</w:t>
      </w:r>
      <w:proofErr w:type="spellEnd"/>
      <w:r w:rsidR="005E1D28">
        <w:rPr>
          <w:rFonts w:ascii="Times New Roman" w:hAnsi="Times New Roman"/>
          <w:color w:val="000000" w:themeColor="text1"/>
          <w:sz w:val="26"/>
          <w:szCs w:val="26"/>
        </w:rPr>
        <w:t xml:space="preserve">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Default="005E1D28" w:rsidP="005E1D28">
      <w:pPr>
        <w:spacing w:after="0" w:line="360" w:lineRule="auto"/>
        <w:jc w:val="both"/>
        <w:rPr>
          <w:rFonts w:asciiTheme="majorBidi" w:hAnsiTheme="majorBidi" w:cstheme="majorBidi"/>
          <w:b/>
          <w:bCs/>
          <w:sz w:val="2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lastRenderedPageBreak/>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w:t>
      </w:r>
      <w:r w:rsidRPr="005F65CA">
        <w:rPr>
          <w:rFonts w:ascii="Times New Roman" w:hAnsi="Times New Roman"/>
          <w:sz w:val="26"/>
          <w:szCs w:val="26"/>
        </w:rPr>
        <w:lastRenderedPageBreak/>
        <w:t>(e.g.,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w:t>
      </w:r>
      <w:r w:rsidRPr="005F65CA">
        <w:rPr>
          <w:rFonts w:ascii="Times New Roman" w:hAnsi="Times New Roman"/>
          <w:sz w:val="26"/>
          <w:szCs w:val="26"/>
        </w:rPr>
        <w:lastRenderedPageBreak/>
        <w:t>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Water is a vital resource for almost every living thing on earth. Most living things, including humans, need water to survive. Once the water is contaminated, it has </w:t>
      </w:r>
      <w:r w:rsidRPr="005F65CA">
        <w:rPr>
          <w:rFonts w:ascii="Times New Roman" w:hAnsi="Times New Roman"/>
          <w:sz w:val="26"/>
          <w:szCs w:val="26"/>
        </w:rPr>
        <w:lastRenderedPageBreak/>
        <w:t>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sidRPr="005F65CA">
        <w:rPr>
          <w:rFonts w:ascii="Times New Roman" w:hAnsi="Times New Roman"/>
          <w:sz w:val="26"/>
          <w:szCs w:val="26"/>
        </w:rPr>
        <w:lastRenderedPageBreak/>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w:t>
      </w: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w:t>
      </w:r>
      <w:r w:rsidRPr="005F65CA">
        <w:rPr>
          <w:rFonts w:ascii="Times New Roman" w:hAnsi="Times New Roman"/>
          <w:sz w:val="26"/>
          <w:szCs w:val="26"/>
        </w:rPr>
        <w:lastRenderedPageBreak/>
        <w:t xml:space="preserve">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fergusonii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r w:rsidRPr="005F65CA">
        <w:rPr>
          <w:rFonts w:ascii="Times New Roman" w:hAnsi="Times New Roman"/>
          <w:sz w:val="26"/>
          <w:szCs w:val="26"/>
        </w:rPr>
        <w:t xml:space="preserve">was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2018). It could be 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r w:rsidRPr="00402706">
        <w:rPr>
          <w:rFonts w:ascii="Times New Roman" w:hAnsi="Times New Roman"/>
          <w:i/>
          <w:sz w:val="26"/>
          <w:szCs w:val="26"/>
        </w:rPr>
        <w:t>enterotoxigenic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 xml:space="preserve">(EIEC, also known as O124). ETEC could be found in cattle feces and human feces (Bako </w:t>
      </w:r>
      <w:r w:rsidR="00266706" w:rsidRPr="00266706">
        <w:rPr>
          <w:rFonts w:ascii="Times New Roman" w:hAnsi="Times New Roman"/>
          <w:i/>
          <w:sz w:val="26"/>
          <w:szCs w:val="26"/>
        </w:rPr>
        <w:t>et al</w:t>
      </w:r>
      <w:r w:rsidRPr="005F65CA">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w:t>
      </w:r>
      <w:r w:rsidRPr="005F65CA">
        <w:rPr>
          <w:rFonts w:ascii="Times New Roman" w:hAnsi="Times New Roman"/>
          <w:sz w:val="26"/>
          <w:szCs w:val="26"/>
        </w:rPr>
        <w:lastRenderedPageBreak/>
        <w:t xml:space="preserve">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gastroenteritis. Brackish and marine waters were the natural environment for the 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lastRenderedPageBreak/>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(IIIa),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(IIIb),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indica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Wain, 2017).</w:t>
      </w:r>
    </w:p>
    <w:p w14:paraId="1A60AB6C" w14:textId="3AB822F1"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Shigella</w:t>
      </w:r>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r w:rsidRPr="00402706">
        <w:rPr>
          <w:rFonts w:ascii="Times New Roman" w:hAnsi="Times New Roman"/>
          <w:i/>
          <w:sz w:val="26"/>
          <w:szCs w:val="26"/>
        </w:rPr>
        <w:t xml:space="preserve">Shigella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Shigella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r w:rsidRPr="00402706">
        <w:rPr>
          <w:rFonts w:ascii="Times New Roman" w:hAnsi="Times New Roman"/>
          <w:i/>
          <w:sz w:val="26"/>
          <w:szCs w:val="26"/>
        </w:rPr>
        <w:t>Shigella</w:t>
      </w:r>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r w:rsidRPr="00402706">
        <w:rPr>
          <w:rFonts w:ascii="Times New Roman" w:hAnsi="Times New Roman"/>
          <w:i/>
          <w:sz w:val="26"/>
          <w:szCs w:val="26"/>
        </w:rPr>
        <w:t>Shigella</w:t>
      </w:r>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r w:rsidRPr="00402706">
        <w:rPr>
          <w:rFonts w:ascii="Times New Roman" w:hAnsi="Times New Roman"/>
          <w:i/>
          <w:sz w:val="26"/>
          <w:szCs w:val="26"/>
        </w:rPr>
        <w:t>Shigella</w:t>
      </w:r>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w:t>
      </w:r>
      <w:r w:rsidRPr="005F65CA">
        <w:rPr>
          <w:rFonts w:ascii="Times New Roman" w:hAnsi="Times New Roman"/>
          <w:sz w:val="26"/>
          <w:szCs w:val="26"/>
        </w:rPr>
        <w:lastRenderedPageBreak/>
        <w:t xml:space="preserve">transmitted to humans mostly by the direct fecal–oral route, such as drinking water that was contaminated by Shigella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enteroviruses,</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(enteroviruses)</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sidRPr="005F65CA">
        <w:rPr>
          <w:rFonts w:ascii="Times New Roman" w:hAnsi="Times New Roman"/>
          <w:sz w:val="26"/>
          <w:szCs w:val="26"/>
        </w:rPr>
        <w:lastRenderedPageBreak/>
        <w:t>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lastRenderedPageBreak/>
        <w:t>3. Parasites: Parasites could be transmitted to humans in many ways, including direct consumption of contaminated water. They account for 842,000 deaths each 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sidRPr="004D2CBA">
        <w:rPr>
          <w:rFonts w:ascii="Times New Roman" w:hAnsi="Times New Roman"/>
          <w:i/>
          <w:sz w:val="26"/>
          <w:szCs w:val="26"/>
        </w:rPr>
        <w:t>Entamoeba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w:t>
      </w:r>
      <w:r w:rsidRPr="005F65CA">
        <w:rPr>
          <w:rFonts w:ascii="Times New Roman" w:hAnsi="Times New Roman"/>
          <w:sz w:val="26"/>
          <w:szCs w:val="26"/>
        </w:rPr>
        <w:lastRenderedPageBreak/>
        <w:t xml:space="preserve">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sidRPr="004D2CBA">
        <w:rPr>
          <w:rFonts w:ascii="Times New Roman" w:hAnsi="Times New Roman"/>
          <w:i/>
          <w:sz w:val="26"/>
          <w:szCs w:val="26"/>
        </w:rPr>
        <w:t xml:space="preserve">Ascaris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spp</w:t>
      </w:r>
      <w:proofErr w:type="spellEnd"/>
      <w:r w:rsidRPr="004D2CBA">
        <w:rPr>
          <w:rFonts w:ascii="Times New Roman" w:hAnsi="Times New Roman"/>
          <w:i/>
          <w:sz w:val="26"/>
          <w:szCs w:val="26"/>
        </w:rPr>
        <w:t xml:space="preserve">.,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Bishop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Shigella,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Cryptosporidium.</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Acute diarrhea, dehydration, and malnutrition. These diseases are particularly severe in children under five years </w:t>
      </w:r>
      <w:r w:rsidRPr="005F65CA">
        <w:rPr>
          <w:rFonts w:ascii="Times New Roman" w:hAnsi="Times New Roman"/>
          <w:sz w:val="26"/>
          <w:szCs w:val="26"/>
        </w:rPr>
        <w:lastRenderedPageBreak/>
        <w:t xml:space="preserve">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Severe diarrhea, especially in immunocompromised individuals (e.g., HIV/AIDS patients). (7). </w:t>
      </w:r>
      <w:r w:rsidRPr="00E74996">
        <w:rPr>
          <w:rFonts w:ascii="Times New Roman" w:hAnsi="Times New Roman"/>
          <w:i/>
          <w:sz w:val="26"/>
          <w:szCs w:val="26"/>
        </w:rPr>
        <w:t>Schistosomiasis</w:t>
      </w:r>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w:t>
      </w:r>
      <w:r w:rsidRPr="005F65CA">
        <w:rPr>
          <w:rFonts w:ascii="Times New Roman" w:hAnsi="Times New Roman"/>
          <w:sz w:val="26"/>
          <w:szCs w:val="26"/>
        </w:rPr>
        <w:lastRenderedPageBreak/>
        <w:t xml:space="preserve">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sidR="00266706" w:rsidRPr="00266706">
        <w:rPr>
          <w:rFonts w:ascii="Times New Roman" w:hAnsi="Times New Roman"/>
          <w:i/>
          <w:sz w:val="26"/>
          <w:szCs w:val="26"/>
        </w:rPr>
        <w:t>et al</w:t>
      </w:r>
      <w:r w:rsidRPr="005F65CA">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43E9651B"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w:t>
      </w:r>
      <w:proofErr w:type="spellStart"/>
      <w:r w:rsidRPr="007A0DBB">
        <w:rPr>
          <w:rFonts w:asciiTheme="majorBidi" w:hAnsiTheme="majorBidi" w:cstheme="majorBidi"/>
          <w:sz w:val="26"/>
          <w:szCs w:val="26"/>
        </w:rPr>
        <w:t>Kwara</w:t>
      </w:r>
      <w:proofErr w:type="spellEnd"/>
      <w:r w:rsidRPr="007A0DBB">
        <w:rPr>
          <w:rFonts w:asciiTheme="majorBidi" w:hAnsiTheme="majorBidi" w:cstheme="majorBidi"/>
          <w:sz w:val="26"/>
          <w:szCs w:val="26"/>
        </w:rPr>
        <w:t xml:space="preserve">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lastRenderedPageBreak/>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Microbial assessment of the borehole water samples was conducted using membrane filtration methods as described by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lastRenderedPageBreak/>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0" w:name="_Toc109025352"/>
      <w:bookmarkStart w:id="1"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0"/>
    </w:p>
    <w:bookmarkEnd w:id="1"/>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2" w:name="_Toc109025353"/>
      <w:r w:rsidRPr="007A0DBB">
        <w:rPr>
          <w:rFonts w:asciiTheme="majorBidi" w:hAnsiTheme="majorBidi"/>
          <w:color w:val="auto"/>
        </w:rPr>
        <w:lastRenderedPageBreak/>
        <w:t>3.5</w:t>
      </w:r>
      <w:r w:rsidRPr="007A0DBB">
        <w:rPr>
          <w:rFonts w:asciiTheme="majorBidi" w:hAnsiTheme="majorBidi"/>
          <w:color w:val="auto"/>
        </w:rPr>
        <w:tab/>
        <w:t>Characteristics of Microbial Isolates</w:t>
      </w:r>
      <w:bookmarkEnd w:id="2"/>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3"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3"/>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5"/>
      <w:r w:rsidRPr="007A0DBB">
        <w:rPr>
          <w:rFonts w:asciiTheme="majorBidi" w:hAnsiTheme="majorBidi"/>
          <w:color w:val="auto"/>
          <w:sz w:val="26"/>
          <w:szCs w:val="26"/>
        </w:rPr>
        <w:t>3.5.2</w:t>
      </w:r>
      <w:bookmarkStart w:id="5" w:name="_Toc84222896"/>
      <w:r w:rsidRPr="007A0DBB">
        <w:rPr>
          <w:rFonts w:asciiTheme="majorBidi" w:hAnsiTheme="majorBidi"/>
          <w:color w:val="auto"/>
          <w:sz w:val="26"/>
          <w:szCs w:val="26"/>
        </w:rPr>
        <w:tab/>
        <w:t>Gram Staining</w:t>
      </w:r>
      <w:bookmarkEnd w:id="4"/>
      <w:bookmarkEnd w:id="5"/>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safranin for 60 seconds and rinsed with water. The smear was mounted on a microscope and observed under oil </w:t>
      </w:r>
      <w:r w:rsidRPr="007A0DBB">
        <w:rPr>
          <w:rFonts w:ascii="Times New Roman" w:hAnsi="Times New Roman"/>
          <w:color w:val="000000"/>
          <w:sz w:val="26"/>
          <w:szCs w:val="26"/>
        </w:rPr>
        <w:lastRenderedPageBreak/>
        <w:t>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6" w:name="_Toc84222897"/>
      <w:bookmarkStart w:id="7"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6"/>
      <w:bookmarkEnd w:id="7"/>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Indole, Methyl red, Voges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8" w:name="_Toc84222898"/>
      <w:bookmarkStart w:id="9"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t>Indole Test</w:t>
      </w:r>
      <w:bookmarkEnd w:id="8"/>
      <w:bookmarkEnd w:id="9"/>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0"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1" w:name="_Toc109025358"/>
      <w:r w:rsidRPr="007A0DBB">
        <w:rPr>
          <w:rFonts w:asciiTheme="majorBidi" w:hAnsiTheme="majorBidi"/>
          <w:color w:val="auto"/>
          <w:sz w:val="26"/>
          <w:szCs w:val="26"/>
        </w:rPr>
        <w:lastRenderedPageBreak/>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2" w:name="_Toc84222900"/>
      <w:bookmarkStart w:id="13" w:name="_Toc82388610"/>
      <w:bookmarkEnd w:id="10"/>
      <w:bookmarkEnd w:id="11"/>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pH.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4"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2"/>
      <w:bookmarkEnd w:id="13"/>
      <w:bookmarkEnd w:id="14"/>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5" w:name="_Toc84222902"/>
      <w:bookmarkStart w:id="16" w:name="_Toc49215409"/>
      <w:bookmarkStart w:id="17" w:name="_Toc82388613"/>
      <w:bookmarkStart w:id="18" w:name="_Toc109025361"/>
      <w:r w:rsidRPr="007A0DBB">
        <w:rPr>
          <w:rFonts w:ascii="Times New Roman" w:eastAsia="Calibri" w:hAnsi="Times New Roman" w:cs="Times New Roman"/>
          <w:color w:val="auto"/>
          <w:sz w:val="26"/>
          <w:szCs w:val="26"/>
        </w:rPr>
        <w:lastRenderedPageBreak/>
        <w:t>3.6.4</w:t>
      </w:r>
      <w:r w:rsidRPr="007A0DBB">
        <w:rPr>
          <w:rFonts w:ascii="Times New Roman" w:eastAsia="Calibri" w:hAnsi="Times New Roman" w:cs="Times New Roman"/>
          <w:color w:val="auto"/>
          <w:sz w:val="26"/>
          <w:szCs w:val="26"/>
        </w:rPr>
        <w:tab/>
        <w:t>Oxidase Test</w:t>
      </w:r>
      <w:bookmarkEnd w:id="15"/>
      <w:bookmarkEnd w:id="16"/>
      <w:bookmarkEnd w:id="17"/>
      <w:bookmarkEnd w:id="18"/>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19" w:name="_Toc84222903"/>
      <w:bookmarkStart w:id="20"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19"/>
      <w:bookmarkEnd w:id="20"/>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30A016F2" w14:textId="77777777" w:rsidR="007A0DBB" w:rsidRDefault="007A0DBB" w:rsidP="005F65CA">
      <w:pPr>
        <w:pStyle w:val="Heading2"/>
        <w:spacing w:before="0" w:line="480" w:lineRule="auto"/>
        <w:ind w:left="720" w:hanging="720"/>
        <w:jc w:val="center"/>
        <w:rPr>
          <w:rFonts w:asciiTheme="majorBidi" w:hAnsiTheme="majorBidi"/>
          <w:color w:val="auto"/>
        </w:rPr>
      </w:pPr>
    </w:p>
    <w:p w14:paraId="089D1B02" w14:textId="77777777" w:rsidR="007A0DBB" w:rsidRDefault="007A0DBB" w:rsidP="005F65CA">
      <w:pPr>
        <w:pStyle w:val="Heading2"/>
        <w:spacing w:before="0" w:line="480" w:lineRule="auto"/>
        <w:ind w:left="720" w:hanging="720"/>
        <w:jc w:val="center"/>
        <w:rPr>
          <w:rFonts w:asciiTheme="majorBidi" w:hAnsiTheme="majorBidi"/>
          <w:color w:val="auto"/>
        </w:rPr>
      </w:pPr>
    </w:p>
    <w:p w14:paraId="0E21CE15" w14:textId="77777777" w:rsidR="007A0DBB" w:rsidRDefault="007A0DBB" w:rsidP="005F65CA">
      <w:pPr>
        <w:pStyle w:val="Heading2"/>
        <w:spacing w:before="0" w:line="480" w:lineRule="auto"/>
        <w:ind w:left="720" w:hanging="720"/>
        <w:jc w:val="center"/>
        <w:rPr>
          <w:rFonts w:asciiTheme="majorBidi" w:hAnsiTheme="majorBidi"/>
          <w:color w:val="auto"/>
        </w:rPr>
      </w:pPr>
    </w:p>
    <w:p w14:paraId="41EBB181" w14:textId="77777777" w:rsidR="007A0DBB" w:rsidRDefault="007A0DBB" w:rsidP="005F65CA">
      <w:pPr>
        <w:pStyle w:val="Heading2"/>
        <w:spacing w:before="0" w:line="480" w:lineRule="auto"/>
        <w:ind w:left="720" w:hanging="720"/>
        <w:jc w:val="center"/>
        <w:rPr>
          <w:rFonts w:asciiTheme="majorBidi" w:hAnsiTheme="majorBidi"/>
          <w:color w:val="auto"/>
        </w:rPr>
      </w:pPr>
    </w:p>
    <w:p w14:paraId="0A056C58" w14:textId="77777777" w:rsidR="007A0DBB" w:rsidRDefault="007A0DBB" w:rsidP="007A0DBB">
      <w:pPr>
        <w:pStyle w:val="Heading2"/>
        <w:spacing w:before="0" w:line="480" w:lineRule="auto"/>
        <w:rPr>
          <w:rFonts w:asciiTheme="majorBidi" w:hAnsiTheme="majorBidi"/>
          <w:color w:val="auto"/>
        </w:rPr>
      </w:pP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1"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1"/>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2"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2"/>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lastRenderedPageBreak/>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C-Akuo</w:t>
      </w:r>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Enterobacter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IND-Indole, CIT-Citrate, MR-MethylRed, VP-</w:t>
      </w:r>
      <w:r w:rsidRPr="00D60CCE">
        <w:rPr>
          <w:rFonts w:asciiTheme="majorBidi" w:hAnsiTheme="majorBidi" w:cstheme="majorBidi"/>
          <w:b/>
          <w:bCs/>
          <w:sz w:val="24"/>
          <w:szCs w:val="24"/>
        </w:rPr>
        <w:t xml:space="preserve">Voges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7D41AB88" w14:textId="77777777" w:rsidR="005E1D28" w:rsidRDefault="005E1D28" w:rsidP="005F65CA">
      <w:pPr>
        <w:pStyle w:val="Heading1"/>
        <w:jc w:val="center"/>
        <w:rPr>
          <w:rFonts w:asciiTheme="majorBidi" w:hAnsiTheme="majorBidi"/>
          <w:color w:val="auto"/>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Akuo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Orji</w:t>
      </w:r>
      <w:proofErr w:type="spellEnd"/>
      <w:r w:rsidRPr="004F1818">
        <w:rPr>
          <w:rFonts w:asciiTheme="majorBidi" w:hAnsiTheme="majorBidi" w:cstheme="majorBidi"/>
          <w:sz w:val="26"/>
          <w:szCs w:val="26"/>
        </w:rPr>
        <w:t xml:space="preserve">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 xml:space="preserve">Staphylococcus </w:t>
      </w:r>
      <w:r w:rsidRPr="004F1818">
        <w:rPr>
          <w:rFonts w:asciiTheme="majorBidi" w:hAnsiTheme="majorBidi" w:cstheme="majorBidi"/>
          <w:i/>
          <w:iCs/>
          <w:sz w:val="26"/>
          <w:szCs w:val="26"/>
        </w:rPr>
        <w:lastRenderedPageBreak/>
        <w:t>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detected here suggest environmental contamination, possibly from soil or human handling, as noted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Akuo in Ilorin, </w:t>
      </w:r>
      <w:proofErr w:type="spellStart"/>
      <w:r w:rsidRPr="004F1818">
        <w:rPr>
          <w:rFonts w:asciiTheme="majorBidi" w:hAnsiTheme="majorBidi" w:cstheme="majorBidi"/>
          <w:sz w:val="26"/>
          <w:szCs w:val="26"/>
        </w:rPr>
        <w:t>Kwara</w:t>
      </w:r>
      <w:proofErr w:type="spellEnd"/>
      <w:r w:rsidRPr="004F1818">
        <w:rPr>
          <w:rFonts w:asciiTheme="majorBidi" w:hAnsiTheme="majorBidi" w:cstheme="majorBidi"/>
          <w:sz w:val="26"/>
          <w:szCs w:val="26"/>
        </w:rPr>
        <w:t xml:space="preserve">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w:t>
      </w:r>
      <w:r w:rsidRPr="004F1818">
        <w:rPr>
          <w:rFonts w:asciiTheme="majorBidi" w:hAnsiTheme="majorBidi" w:cstheme="majorBidi"/>
          <w:sz w:val="26"/>
          <w:szCs w:val="26"/>
        </w:rPr>
        <w:lastRenderedPageBreak/>
        <w:t xml:space="preserve">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Abdulsalam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 </w:t>
      </w:r>
      <w:r w:rsidRPr="005F65CA">
        <w:rPr>
          <w:rFonts w:ascii="Times New Roman" w:hAnsi="Times New Roman" w:cs="Times New Roman"/>
          <w:bCs/>
          <w:color w:val="000000" w:themeColor="text1"/>
          <w:sz w:val="26"/>
          <w:szCs w:val="26"/>
        </w:rPr>
        <w:t xml:space="preserve">Assessment Of The Potability Of Water Sources In Some Rural Communities In Ilorin East,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 xml:space="preserve">Abu-Sini,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xml:space="preserve">, D.H.; </w:t>
      </w:r>
      <w:proofErr w:type="spellStart"/>
      <w:r w:rsidRPr="00AF7347">
        <w:rPr>
          <w:rFonts w:asciiTheme="majorBidi" w:hAnsiTheme="majorBidi" w:cstheme="majorBidi"/>
          <w:sz w:val="24"/>
          <w:szCs w:val="24"/>
        </w:rPr>
        <w:t>Al-Sabi</w:t>
      </w:r>
      <w:proofErr w:type="spellEnd"/>
      <w:r w:rsidRPr="00AF7347">
        <w:rPr>
          <w:rFonts w:asciiTheme="majorBidi" w:hAnsiTheme="majorBidi" w:cstheme="majorBidi"/>
          <w:sz w:val="24"/>
          <w:szCs w:val="24"/>
        </w:rPr>
        <w:t>, M.N.S. Isolation and Identification of Coliform Bacteria and Multidrug-Resistant Escherichia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Kalu, A.U (2013). The assessment of drinking water sources in </w:t>
      </w:r>
      <w:proofErr w:type="spellStart"/>
      <w:r w:rsidRPr="005F65CA">
        <w:rPr>
          <w:rFonts w:ascii="Times New Roman" w:hAnsi="Times New Roman"/>
          <w:color w:val="000000"/>
          <w:sz w:val="26"/>
          <w:szCs w:val="26"/>
        </w:rPr>
        <w:t>aba</w:t>
      </w:r>
      <w:proofErr w:type="spellEnd"/>
      <w:r w:rsidRPr="005F65CA">
        <w:rPr>
          <w:rFonts w:ascii="Times New Roman" w:hAnsi="Times New Roman"/>
          <w:color w:val="000000"/>
          <w:sz w:val="26"/>
          <w:szCs w:val="26"/>
        </w:rPr>
        <w:t xml:space="preserve">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Abiodun, P. O. (2023).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xml:space="preserve">, </w:t>
      </w:r>
      <w:r w:rsidRPr="001436FD">
        <w:rPr>
          <w:rFonts w:asciiTheme="majorBidi" w:hAnsiTheme="majorBidi" w:cstheme="majorBidi"/>
          <w:sz w:val="24"/>
          <w:szCs w:val="24"/>
        </w:rPr>
        <w:lastRenderedPageBreak/>
        <w:t>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Taiwo, A., Adedamola,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xml:space="preserve">, C. (2021). An investigation on the epidemiology and risk factors associated with soil-transmitted helminth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M. A., </w:t>
      </w:r>
      <w:proofErr w:type="spellStart"/>
      <w:r w:rsidRPr="005F65CA">
        <w:rPr>
          <w:rFonts w:ascii="Times New Roman" w:hAnsi="Times New Roman"/>
          <w:sz w:val="26"/>
          <w:szCs w:val="26"/>
        </w:rPr>
        <w:t>Bin-Jumah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xml:space="preserve">, S. (2021). Investigation of biological accumulation and </w:t>
      </w:r>
      <w:proofErr w:type="spellStart"/>
      <w:r w:rsidRPr="005F65CA">
        <w:rPr>
          <w:rFonts w:ascii="Times New Roman" w:hAnsi="Times New Roman"/>
          <w:sz w:val="26"/>
          <w:szCs w:val="26"/>
        </w:rPr>
        <w:t>eco-genotoxicity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 Journal of King Saud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Bako,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Afolabi, R. O. (2018). Assessment of bacteriological quality of borehole water in </w:t>
      </w:r>
      <w:proofErr w:type="spellStart"/>
      <w:r w:rsidRPr="002F196F">
        <w:rPr>
          <w:rFonts w:asciiTheme="majorBidi" w:hAnsiTheme="majorBidi" w:cstheme="majorBidi"/>
          <w:sz w:val="24"/>
          <w:szCs w:val="24"/>
        </w:rPr>
        <w:lastRenderedPageBreak/>
        <w:t>Wamakko</w:t>
      </w:r>
      <w:proofErr w:type="spellEnd"/>
      <w:r w:rsidRPr="002F196F">
        <w:rPr>
          <w:rFonts w:asciiTheme="majorBidi" w:hAnsiTheme="majorBidi" w:cstheme="majorBidi"/>
          <w:sz w:val="24"/>
          <w:szCs w:val="24"/>
        </w:rPr>
        <w:t xml:space="preserve"> local government, Sokoto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xml:space="preserve">, H. I. (2015). Incidence of Entamoeba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Samaru-Zaria</w:t>
      </w:r>
      <w:proofErr w:type="spellEnd"/>
      <w:r w:rsidRPr="005F65CA">
        <w:rPr>
          <w:rFonts w:ascii="Times New Roman" w:hAnsi="Times New Roman"/>
          <w:sz w:val="26"/>
          <w:szCs w:val="26"/>
        </w:rPr>
        <w:t>,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Assessment of physicochemical parameters of water from selected boreholes 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Am. J. Environ. Sci. Eng</w:t>
      </w:r>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G. (2021). Water quality assessment of roof-collected rainwater in Miri.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J. V. (2018).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lastRenderedPageBreak/>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xml:space="preserve">, E. and Deere, D. (2003). Surveillance and investigation of contamination incidents and water borne outbreaks. In: Dufour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Koster W, </w:t>
      </w:r>
      <w:proofErr w:type="spellStart"/>
      <w:r w:rsidRPr="005F65CA">
        <w:rPr>
          <w:rFonts w:ascii="Times New Roman" w:hAnsi="Times New Roman"/>
          <w:color w:val="000000"/>
          <w:sz w:val="26"/>
          <w:szCs w:val="26"/>
        </w:rPr>
        <w:t>Bartram</w:t>
      </w:r>
      <w:proofErr w:type="spellEnd"/>
      <w:r w:rsidRPr="005F65CA">
        <w:rPr>
          <w:rFonts w:ascii="Times New Roman" w:hAnsi="Times New Roman"/>
          <w:color w:val="000000"/>
          <w:sz w:val="26"/>
          <w:szCs w:val="26"/>
        </w:rPr>
        <w:t xml:space="preserve">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r w:rsidRPr="005F65CA">
        <w:rPr>
          <w:rFonts w:ascii="Times New Roman" w:hAnsi="Times New Roman" w:cs="Times New Roman"/>
          <w:bCs/>
          <w:color w:val="000000" w:themeColor="text1"/>
          <w:sz w:val="26"/>
          <w:szCs w:val="26"/>
        </w:rPr>
        <w:t xml:space="preserve">Idowu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And </w:t>
      </w:r>
      <w:proofErr w:type="spellStart"/>
      <w:r w:rsidRPr="005F65CA">
        <w:rPr>
          <w:rFonts w:ascii="Times New Roman" w:hAnsi="Times New Roman" w:cs="Times New Roman"/>
          <w:bCs/>
          <w:color w:val="000000" w:themeColor="text1"/>
          <w:sz w:val="26"/>
          <w:szCs w:val="26"/>
        </w:rPr>
        <w:t>Physico-Chemical</w:t>
      </w:r>
      <w:proofErr w:type="spellEnd"/>
      <w:r w:rsidRPr="005F65CA">
        <w:rPr>
          <w:rFonts w:ascii="Times New Roman" w:hAnsi="Times New Roman" w:cs="Times New Roman"/>
          <w:bCs/>
          <w:color w:val="000000" w:themeColor="text1"/>
          <w:sz w:val="26"/>
          <w:szCs w:val="26"/>
        </w:rPr>
        <w:t xml:space="preserve"> Quality Of Borehole Water From The Mini And Main Campus Of The Federal Polytechnics Offa,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International Research Journal of Modernization in Engineering 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r w:rsidRPr="005F65CA">
        <w:rPr>
          <w:rFonts w:ascii="Times New Roman" w:hAnsi="Times New Roman"/>
          <w:bCs/>
          <w:sz w:val="26"/>
          <w:szCs w:val="26"/>
        </w:rPr>
        <w:t>Physico-Chemical</w:t>
      </w:r>
      <w:proofErr w:type="spellEnd"/>
      <w:r w:rsidRPr="005F65CA">
        <w:rPr>
          <w:rFonts w:ascii="Times New Roman" w:hAnsi="Times New Roman"/>
          <w:bCs/>
          <w:sz w:val="26"/>
          <w:szCs w:val="26"/>
        </w:rPr>
        <w:t xml:space="preserve"> and Microbial Analysis of Selected Borehole Water in Mahikeng,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8619-8630; doi:10.3390/ijerph120808619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lastRenderedPageBreak/>
        <w:t>Nwaiwu</w:t>
      </w:r>
      <w:proofErr w:type="spellEnd"/>
      <w:r w:rsidRPr="005F65CA">
        <w:rPr>
          <w:rFonts w:ascii="Times New Roman" w:hAnsi="Times New Roman"/>
          <w:color w:val="000000"/>
          <w:sz w:val="26"/>
          <w:szCs w:val="26"/>
        </w:rPr>
        <w:t xml:space="preserve">, O. (2018). 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xml:space="preserve">, M. (2023).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t>Awka-South</w:t>
      </w:r>
      <w:proofErr w:type="spellEnd"/>
      <w:r w:rsidRPr="001436FD">
        <w:rPr>
          <w:rFonts w:asciiTheme="majorBidi" w:hAnsiTheme="majorBidi" w:cstheme="majorBidi"/>
          <w:sz w:val="24"/>
          <w:szCs w:val="24"/>
        </w:rPr>
        <w:t xml:space="preserve">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Orji</w:t>
      </w:r>
      <w:proofErr w:type="spellEnd"/>
      <w:r w:rsidRPr="00952128">
        <w:rPr>
          <w:rFonts w:asciiTheme="majorBidi" w:hAnsiTheme="majorBidi" w:cstheme="majorBidi"/>
          <w:sz w:val="24"/>
          <w:szCs w:val="24"/>
        </w:rPr>
        <w:t xml:space="preserve">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 Effects of Effluents’ Discharge from Some Paint Industries on Soil’s Physicochemical Properties and </w:t>
      </w:r>
      <w:proofErr w:type="spellStart"/>
      <w:r w:rsidRPr="00952128">
        <w:rPr>
          <w:rFonts w:asciiTheme="majorBidi" w:hAnsiTheme="majorBidi" w:cstheme="majorBidi"/>
          <w:sz w:val="24"/>
          <w:szCs w:val="24"/>
        </w:rPr>
        <w:t>Bioattenuation</w:t>
      </w:r>
      <w:proofErr w:type="spellEnd"/>
      <w:r w:rsidRPr="00952128">
        <w:rPr>
          <w:rFonts w:asciiTheme="majorBidi" w:hAnsiTheme="majorBidi" w:cstheme="majorBidi"/>
          <w:sz w:val="24"/>
          <w:szCs w:val="24"/>
        </w:rPr>
        <w:t xml:space="preserve">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w:t>
      </w:r>
      <w:proofErr w:type="spellStart"/>
      <w:r w:rsidRPr="00E37446">
        <w:rPr>
          <w:rFonts w:asciiTheme="majorBidi" w:hAnsiTheme="majorBidi" w:cstheme="majorBidi"/>
          <w:sz w:val="24"/>
          <w:szCs w:val="24"/>
        </w:rPr>
        <w:t>Orji</w:t>
      </w:r>
      <w:proofErr w:type="spellEnd"/>
      <w:r w:rsidRPr="00E37446">
        <w:rPr>
          <w:rFonts w:asciiTheme="majorBidi" w:hAnsiTheme="majorBidi" w:cstheme="majorBidi"/>
          <w:sz w:val="24"/>
          <w:szCs w:val="24"/>
        </w:rPr>
        <w:t xml:space="preserve">, M.U. (2022). Assessment of Paint-Pigment Degrading Microorganisms from Paint Industries Effluent-Contaminated Sites in Aba,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xml:space="preserve">, U.C., Anastasia, O.N. and Dike, U.N. (2023). Microbiological Quality and </w:t>
      </w:r>
      <w:proofErr w:type="spellStart"/>
      <w:r w:rsidRPr="00A32819">
        <w:rPr>
          <w:rFonts w:asciiTheme="majorBidi" w:hAnsiTheme="majorBidi" w:cstheme="majorBidi"/>
          <w:sz w:val="24"/>
          <w:szCs w:val="24"/>
        </w:rPr>
        <w:t>Physico-chemical</w:t>
      </w:r>
      <w:proofErr w:type="spellEnd"/>
      <w:r w:rsidRPr="00A32819">
        <w:rPr>
          <w:rFonts w:asciiTheme="majorBidi" w:hAnsiTheme="majorBidi" w:cstheme="majorBidi"/>
          <w:sz w:val="24"/>
          <w:szCs w:val="24"/>
        </w:rPr>
        <w:t xml:space="preserve">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xml:space="preserve">, K. (2018). Protozoan parasites in drinking water: A system approach for </w:t>
      </w:r>
      <w:r w:rsidRPr="005F65CA">
        <w:rPr>
          <w:rFonts w:ascii="Times New Roman" w:hAnsi="Times New Roman"/>
          <w:sz w:val="26"/>
          <w:szCs w:val="26"/>
        </w:rPr>
        <w:lastRenderedPageBreak/>
        <w:t>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xml:space="preserve">, O. U. (2024). 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r w:rsidRPr="005F65CA">
        <w:rPr>
          <w:rFonts w:ascii="Times New Roman" w:hAnsi="Times New Roman"/>
          <w:color w:val="000000" w:themeColor="text1"/>
          <w:sz w:val="26"/>
          <w:szCs w:val="26"/>
        </w:rPr>
        <w:t>Physico-Chemical</w:t>
      </w:r>
      <w:proofErr w:type="spellEnd"/>
      <w:r w:rsidRPr="005F65CA">
        <w:rPr>
          <w:rFonts w:ascii="Times New Roman" w:hAnsi="Times New Roman"/>
          <w:color w:val="000000" w:themeColor="text1"/>
          <w:sz w:val="26"/>
          <w:szCs w:val="26"/>
        </w:rPr>
        <w:t xml:space="preserve"> and Microbial Analysis of Selected Borehole Water in Mahikeng, South Africa. Int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U. D. (2016). Rotavirus vaccines. In B. R. Bloom &amp; P. H. Lambert (Eds.), The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Peng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Hebei Province, P.R. China. Environ Sci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lastRenderedPageBreak/>
        <w:t>Rezny</w:t>
      </w:r>
      <w:proofErr w:type="spellEnd"/>
      <w:r w:rsidRPr="005F65CA">
        <w:rPr>
          <w:rFonts w:ascii="Times New Roman" w:hAnsi="Times New Roman"/>
          <w:sz w:val="26"/>
          <w:szCs w:val="26"/>
        </w:rPr>
        <w:t xml:space="preserve">, B. R., &amp; Evans, D. S. (2020). 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StatPearls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Hervio-Heath</w:t>
      </w:r>
      <w:proofErr w:type="spellEnd"/>
      <w:r w:rsidRPr="005F65CA">
        <w:rPr>
          <w:rFonts w:ascii="Times New Roman" w:hAnsi="Times New Roman"/>
          <w:sz w:val="26"/>
          <w:szCs w:val="26"/>
        </w:rPr>
        <w:t xml:space="preserve">,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Sharma, S., &amp; Bhattacharya,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Shigella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Scott’s </w:t>
      </w:r>
      <w:r>
        <w:rPr>
          <w:rFonts w:asciiTheme="majorBidi" w:hAnsiTheme="majorBidi" w:cstheme="majorBidi"/>
          <w:sz w:val="24"/>
          <w:szCs w:val="24"/>
        </w:rPr>
        <w:t xml:space="preserve"> (</w:t>
      </w:r>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Usman,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xml:space="preserve">, O. D., &amp; Adigun, M. A. (2024). Evaluation of Microbiological and Physicochemical Quality of Borehole Water in Mini-Campus, Federal Polytechnic, Offa, </w:t>
      </w:r>
      <w:proofErr w:type="spellStart"/>
      <w:r w:rsidRPr="005F65CA">
        <w:rPr>
          <w:rFonts w:ascii="Times New Roman" w:hAnsi="Times New Roman"/>
          <w:color w:val="000000" w:themeColor="text1"/>
          <w:sz w:val="26"/>
          <w:szCs w:val="26"/>
        </w:rPr>
        <w:t>Kwara</w:t>
      </w:r>
      <w:proofErr w:type="spellEnd"/>
      <w:r w:rsidRPr="005F65CA">
        <w:rPr>
          <w:rFonts w:ascii="Times New Roman" w:hAnsi="Times New Roman"/>
          <w:color w:val="000000" w:themeColor="text1"/>
          <w:sz w:val="26"/>
          <w:szCs w:val="26"/>
        </w:rPr>
        <w:t xml:space="preserve">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 19–</w:t>
      </w:r>
      <w:r w:rsidRPr="005F65CA">
        <w:rPr>
          <w:rFonts w:ascii="Times New Roman" w:hAnsi="Times New Roman"/>
          <w:color w:val="000000" w:themeColor="text1"/>
          <w:sz w:val="26"/>
          <w:szCs w:val="26"/>
        </w:rPr>
        <w:lastRenderedPageBreak/>
        <w:t xml:space="preserve">26. Retrieved from </w:t>
      </w:r>
      <w:hyperlink r:id="rId11" w:history="1">
        <w:r w:rsidRPr="00146090">
          <w:rPr>
            <w:rStyle w:val="Hyperlink"/>
            <w:rFonts w:ascii="Times New Roman" w:hAnsi="Times New Roman"/>
            <w:sz w:val="26"/>
            <w:szCs w:val="26"/>
          </w:rPr>
          <w:t>https://fnasjournals.com/index.php/FNAS-JSI/article/view/554</w:t>
        </w:r>
      </w:hyperlink>
    </w:p>
    <w:p w14:paraId="1E19783C" w14:textId="77777777" w:rsidR="001436FD" w:rsidRPr="006874F7" w:rsidRDefault="001436FD" w:rsidP="00C236D2">
      <w:pPr>
        <w:spacing w:line="480" w:lineRule="auto"/>
        <w:ind w:left="720" w:hanging="720"/>
        <w:jc w:val="both"/>
        <w:rPr>
          <w:rFonts w:asciiTheme="majorBidi" w:hAnsiTheme="majorBidi" w:cstheme="majorBidi"/>
          <w:sz w:val="24"/>
          <w:szCs w:val="24"/>
        </w:rPr>
      </w:pPr>
    </w:p>
    <w:p w14:paraId="3F57D740" w14:textId="77777777" w:rsidR="003C7050" w:rsidRPr="004F1818" w:rsidRDefault="003C7050" w:rsidP="00C236D2">
      <w:pPr>
        <w:spacing w:line="480" w:lineRule="auto"/>
        <w:ind w:left="567" w:hanging="567"/>
        <w:jc w:val="both"/>
        <w:rPr>
          <w:rFonts w:ascii="Times New Roman" w:hAnsi="Times New Roman"/>
          <w:sz w:val="26"/>
          <w:szCs w:val="26"/>
        </w:rPr>
      </w:pPr>
    </w:p>
    <w:sectPr w:rsidR="003C7050" w:rsidRPr="004F1818"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4D3E" w14:textId="77777777" w:rsidR="007A3817" w:rsidRDefault="007A3817" w:rsidP="00B11A72">
      <w:pPr>
        <w:spacing w:after="0" w:line="240" w:lineRule="auto"/>
      </w:pPr>
      <w:r>
        <w:separator/>
      </w:r>
    </w:p>
  </w:endnote>
  <w:endnote w:type="continuationSeparator" w:id="0">
    <w:p w14:paraId="416801EC" w14:textId="77777777" w:rsidR="007A3817" w:rsidRDefault="007A3817"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1A7B61">
          <w:rPr>
            <w:noProof/>
          </w:rPr>
          <w:t>v</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F20778">
          <w:rPr>
            <w:noProof/>
          </w:rPr>
          <w:t>i</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5241" w14:textId="77777777" w:rsidR="007A3817" w:rsidRDefault="007A3817" w:rsidP="00B11A72">
      <w:pPr>
        <w:spacing w:after="0" w:line="240" w:lineRule="auto"/>
      </w:pPr>
      <w:r>
        <w:separator/>
      </w:r>
    </w:p>
  </w:footnote>
  <w:footnote w:type="continuationSeparator" w:id="0">
    <w:p w14:paraId="2985260A" w14:textId="77777777" w:rsidR="007A3817" w:rsidRDefault="007A3817" w:rsidP="00B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574779">
    <w:abstractNumId w:val="4"/>
  </w:num>
  <w:num w:numId="2" w16cid:durableId="1520922464">
    <w:abstractNumId w:val="1"/>
  </w:num>
  <w:num w:numId="3" w16cid:durableId="391270178">
    <w:abstractNumId w:val="5"/>
  </w:num>
  <w:num w:numId="4" w16cid:durableId="2033066354">
    <w:abstractNumId w:val="3"/>
  </w:num>
  <w:num w:numId="5" w16cid:durableId="2113040062">
    <w:abstractNumId w:val="2"/>
  </w:num>
  <w:num w:numId="6" w16cid:durableId="50262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drawingGridHorizontalSpacing w:val="110"/>
  <w:displayHorizontalDrawingGridEvery w:val="2"/>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2D"/>
    <w:rsid w:val="00020B68"/>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A7B61"/>
    <w:rsid w:val="001E5ABD"/>
    <w:rsid w:val="001F1A19"/>
    <w:rsid w:val="001F1DBC"/>
    <w:rsid w:val="00265349"/>
    <w:rsid w:val="00266706"/>
    <w:rsid w:val="002817DE"/>
    <w:rsid w:val="0028732C"/>
    <w:rsid w:val="002978D3"/>
    <w:rsid w:val="00323C2A"/>
    <w:rsid w:val="00324B13"/>
    <w:rsid w:val="00340BDD"/>
    <w:rsid w:val="00355806"/>
    <w:rsid w:val="003643D1"/>
    <w:rsid w:val="00375277"/>
    <w:rsid w:val="003C7050"/>
    <w:rsid w:val="003D47C9"/>
    <w:rsid w:val="003D548D"/>
    <w:rsid w:val="003F566E"/>
    <w:rsid w:val="00402706"/>
    <w:rsid w:val="00437E09"/>
    <w:rsid w:val="00441F5F"/>
    <w:rsid w:val="004739D7"/>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75AC8"/>
    <w:rsid w:val="00782B1D"/>
    <w:rsid w:val="007A0DBB"/>
    <w:rsid w:val="007A3817"/>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86AF3"/>
    <w:rsid w:val="00C9784A"/>
    <w:rsid w:val="00CD4007"/>
    <w:rsid w:val="00CE6C57"/>
    <w:rsid w:val="00D23569"/>
    <w:rsid w:val="00D35B67"/>
    <w:rsid w:val="00D739E0"/>
    <w:rsid w:val="00DB25F7"/>
    <w:rsid w:val="00DC6872"/>
    <w:rsid w:val="00DE50D3"/>
    <w:rsid w:val="00DF06D2"/>
    <w:rsid w:val="00DF3440"/>
    <w:rsid w:val="00DF68E6"/>
    <w:rsid w:val="00E101E8"/>
    <w:rsid w:val="00E14FB7"/>
    <w:rsid w:val="00E27BA0"/>
    <w:rsid w:val="00E30048"/>
    <w:rsid w:val="00E377F9"/>
    <w:rsid w:val="00E74996"/>
    <w:rsid w:val="00E842D1"/>
    <w:rsid w:val="00EA0878"/>
    <w:rsid w:val="00EB1F09"/>
    <w:rsid w:val="00EC57BA"/>
    <w:rsid w:val="00F10353"/>
    <w:rsid w:val="00F20778"/>
    <w:rsid w:val="00F43822"/>
    <w:rsid w:val="00F72D2A"/>
    <w:rsid w:val="00F77C72"/>
    <w:rsid w:val="00F95749"/>
    <w:rsid w:val="00FA00AB"/>
    <w:rsid w:val="00FA3B90"/>
    <w:rsid w:val="00FD78A7"/>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6FD049"/>
  <w15:docId w15:val="{9FA259AD-35AC-6D4B-9BEC-C8C71B99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8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asjournals.com/index.php/FNAS-JSI/article/view/554"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8498</Words>
  <Characters>49414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ahmedtemmy80@gmail.com</cp:lastModifiedBy>
  <cp:revision>2</cp:revision>
  <dcterms:created xsi:type="dcterms:W3CDTF">2025-08-04T19:11:00Z</dcterms:created>
  <dcterms:modified xsi:type="dcterms:W3CDTF">2025-08-04T19:11:00Z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