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noProof/>
        </w:rPr>
        <w:drawing>
          <wp:anchor distT="0" distB="0" distL="114300" distR="114300" simplePos="false" relativeHeight="2" behindDoc="false" locked="false" layoutInCell="true" allowOverlap="true">
            <wp:simplePos x="0" y="0"/>
            <wp:positionH relativeFrom="margin">
              <wp:posOffset>2220595</wp:posOffset>
            </wp:positionH>
            <wp:positionV relativeFrom="paragraph">
              <wp:posOffset>0</wp:posOffset>
            </wp:positionV>
            <wp:extent cx="1311275" cy="990600"/>
            <wp:effectExtent l="0" t="0" r="3175" b="0"/>
            <wp:wrapThrough wrapText="bothSides">
              <wp:wrapPolygon edited="false">
                <wp:start x="0" y="0"/>
                <wp:lineTo x="0" y="21185"/>
                <wp:lineTo x="21338" y="21185"/>
                <wp:lineTo x="21338" y="0"/>
                <wp:lineTo x="0" y="0"/>
              </wp:wrapPolygon>
            </wp:wrapThrough>
            <wp:docPr id="1026" name="Picture 209715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097151"/>
                    <pic:cNvPicPr/>
                  </pic:nvPicPr>
                  <pic:blipFill>
                    <a:blip r:embed="rId2" cstate="print"/>
                    <a:srcRect l="0" t="0" r="0" b="0"/>
                    <a:stretch/>
                  </pic:blipFill>
                  <pic:spPr>
                    <a:xfrm rot="0">
                      <a:off x="0" y="0"/>
                      <a:ext cx="1311275" cy="990600"/>
                    </a:xfrm>
                    <a:prstGeom prst="rect"/>
                  </pic:spPr>
                </pic:pic>
              </a:graphicData>
            </a:graphic>
            <wp14:sizeRelH relativeFrom="page">
              <wp14:pctWidth>0</wp14:pctWidth>
            </wp14:sizeRelH>
            <wp14:sizeRelV relativeFrom="page">
              <wp14:pctHeight>0</wp14:pctHeight>
            </wp14:sizeRelV>
          </wp:anchor>
        </w:drawing>
      </w:r>
    </w:p>
    <w:p>
      <w:pPr>
        <w:pStyle w:val="style0"/>
        <w:ind w:right="4"/>
        <w:jc w:val="center"/>
        <w:rPr>
          <w:rFonts w:ascii="Times New Roman" w:hAnsi="Times New Roman"/>
          <w:b/>
          <w:bCs/>
          <w:sz w:val="24"/>
          <w:szCs w:val="24"/>
        </w:rPr>
      </w:pPr>
    </w:p>
    <w:p>
      <w:pPr>
        <w:pStyle w:val="style0"/>
        <w:ind w:right="4"/>
        <w:jc w:val="center"/>
        <w:rPr>
          <w:rFonts w:ascii="Times New Roman" w:hAnsi="Times New Roman"/>
          <w:b/>
          <w:bCs/>
          <w:sz w:val="24"/>
          <w:szCs w:val="24"/>
        </w:rPr>
      </w:pPr>
    </w:p>
    <w:p>
      <w:pPr>
        <w:pStyle w:val="style0"/>
        <w:ind w:left="2160" w:right="4" w:firstLine="720"/>
        <w:rPr>
          <w:rFonts w:ascii="Times New Roman" w:hAnsi="Times New Roman"/>
          <w:b/>
          <w:bCs/>
          <w:sz w:val="24"/>
          <w:szCs w:val="24"/>
        </w:rPr>
      </w:pPr>
      <w:r>
        <w:rPr>
          <w:rFonts w:ascii="Times New Roman" w:hAnsi="Times New Roman"/>
          <w:b/>
          <w:bCs/>
          <w:sz w:val="24"/>
          <w:szCs w:val="24"/>
        </w:rPr>
        <w:t>PROJECT RESEARCH WORK</w:t>
      </w:r>
    </w:p>
    <w:p>
      <w:pPr>
        <w:pStyle w:val="style0"/>
        <w:tabs>
          <w:tab w:val="center" w:leader="none" w:pos="4153"/>
          <w:tab w:val="right" w:leader="none" w:pos="8307"/>
        </w:tabs>
        <w:ind w:right="4"/>
        <w:jc w:val="center"/>
        <w:rPr>
          <w:rFonts w:ascii="Times New Roman" w:hAnsi="Times New Roman"/>
          <w:b/>
          <w:bCs/>
          <w:sz w:val="24"/>
          <w:szCs w:val="24"/>
        </w:rPr>
      </w:pPr>
      <w:r>
        <w:rPr>
          <w:rFonts w:ascii="Times New Roman" w:hAnsi="Times New Roman"/>
          <w:b/>
          <w:bCs/>
          <w:sz w:val="24"/>
          <w:szCs w:val="24"/>
        </w:rPr>
        <w:t>ON</w:t>
      </w:r>
    </w:p>
    <w:p>
      <w:pPr>
        <w:pStyle w:val="style0"/>
        <w:spacing w:after="0" w:lineRule="auto" w:line="360"/>
        <w:jc w:val="center"/>
        <w:rPr>
          <w:rFonts w:ascii="Times New Roman" w:hAnsi="Times New Roman"/>
          <w:b/>
          <w:sz w:val="24"/>
          <w:szCs w:val="24"/>
        </w:rPr>
      </w:pPr>
      <w:r>
        <w:rPr>
          <w:rFonts w:ascii="Times New Roman" w:hAnsi="Times New Roman"/>
          <w:b/>
          <w:sz w:val="24"/>
          <w:szCs w:val="24"/>
        </w:rPr>
        <w:t>QUANTITATIVE AND QUALITATIVE ANALYSIS OF MICROBIAL LOADS IN SOME HERBAL MEDICINES SOLD IN ILORIN</w:t>
      </w:r>
    </w:p>
    <w:p>
      <w:pPr>
        <w:pStyle w:val="style0"/>
        <w:ind w:right="4"/>
        <w:jc w:val="center"/>
        <w:rPr>
          <w:rFonts w:ascii="Times New Roman" w:hAnsi="Times New Roman"/>
          <w:b/>
          <w:bCs/>
          <w:sz w:val="24"/>
          <w:szCs w:val="24"/>
        </w:rPr>
      </w:pPr>
      <w:r>
        <w:rPr>
          <w:rFonts w:ascii="Times New Roman" w:hAnsi="Times New Roman"/>
          <w:b/>
          <w:bCs/>
          <w:sz w:val="24"/>
          <w:szCs w:val="24"/>
        </w:rPr>
        <w:t xml:space="preserve">PRESENTED BY: </w:t>
      </w:r>
      <w:r>
        <w:rPr>
          <w:rFonts w:ascii="Times New Roman" w:hAnsi="Times New Roman"/>
          <w:b/>
          <w:bCs/>
          <w:sz w:val="24"/>
          <w:szCs w:val="24"/>
          <w:lang w:val="en-US"/>
        </w:rPr>
        <w:t>HAMMED KAFILAT APEKE</w:t>
      </w:r>
    </w:p>
    <w:p>
      <w:pPr>
        <w:pStyle w:val="style0"/>
        <w:spacing w:before="240" w:after="0"/>
        <w:ind w:right="4"/>
        <w:jc w:val="center"/>
        <w:rPr>
          <w:rFonts w:ascii="Times New Roman" w:hAnsi="Times New Roman"/>
          <w:b/>
          <w:bCs/>
          <w:sz w:val="24"/>
          <w:szCs w:val="24"/>
        </w:rPr>
      </w:pPr>
      <w:r>
        <w:rPr>
          <w:rFonts w:ascii="Times New Roman" w:hAnsi="Times New Roman"/>
          <w:b/>
          <w:bCs/>
          <w:sz w:val="24"/>
          <w:szCs w:val="24"/>
        </w:rPr>
        <w:t>HND/23/SLT/FT/</w:t>
      </w:r>
      <w:r>
        <w:rPr>
          <w:rFonts w:ascii="Times New Roman" w:hAnsi="Times New Roman"/>
          <w:b/>
          <w:bCs/>
          <w:sz w:val="24"/>
          <w:szCs w:val="24"/>
          <w:lang w:val="en-US"/>
        </w:rPr>
        <w:t>1042</w:t>
      </w:r>
      <w:r>
        <w:rPr>
          <w:rFonts w:ascii="Times New Roman" w:hAnsi="Times New Roman"/>
          <w:b/>
          <w:bCs/>
          <w:sz w:val="24"/>
          <w:szCs w:val="24"/>
        </w:rPr>
        <w:tab/>
      </w: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center"/>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p>
    <w:p>
      <w:pPr>
        <w:pStyle w:val="style0"/>
        <w:spacing w:before="240" w:after="0" w:lineRule="auto" w:line="360"/>
        <w:ind w:right="4"/>
        <w:jc w:val="left"/>
        <w:rPr>
          <w:rFonts w:ascii="Times New Roman" w:hAnsi="Times New Roman"/>
          <w:b/>
          <w:bCs/>
          <w:sz w:val="24"/>
          <w:szCs w:val="24"/>
        </w:rPr>
      </w:pPr>
      <w:r>
        <w:rPr>
          <w:rFonts w:ascii="Times New Roman" w:hAnsi="Times New Roman"/>
          <w:b/>
          <w:bCs/>
          <w:sz w:val="24"/>
          <w:szCs w:val="24"/>
          <w:lang w:val="en-US"/>
        </w:rPr>
        <w:t xml:space="preserve">                                                    </w:t>
      </w:r>
      <w:r>
        <w:rPr>
          <w:rFonts w:ascii="Times New Roman" w:hAnsi="Times New Roman"/>
          <w:b/>
          <w:bCs/>
          <w:sz w:val="24"/>
          <w:szCs w:val="24"/>
        </w:rPr>
        <w:t>SUBMITTED TO:</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THE DEPARTMENT OF SCIENCE LABORATORY TECHNOLOGY, INSTITUTE OF APPLIED SCIENCES (IAS),</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KWARA STATE POLYTECHNIC, ILORIN</w:t>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4"/>
          <w:szCs w:val="24"/>
        </w:rPr>
      </w:pPr>
      <w:r>
        <w:rPr>
          <w:rFonts w:ascii="Times New Roman" w:hAnsi="Times New Roman"/>
          <w:b/>
          <w:sz w:val="24"/>
          <w:szCs w:val="24"/>
        </w:rPr>
        <w:t>MAY, 2025</w:t>
      </w:r>
    </w:p>
    <w:p>
      <w:pPr>
        <w:pStyle w:val="style0"/>
        <w:spacing w:lineRule="auto" w:line="360"/>
        <w:ind w:right="4"/>
        <w:jc w:val="left"/>
        <w:rPr>
          <w:rFonts w:ascii="Times New Roman" w:hAnsi="Times New Roman"/>
          <w:b/>
          <w:bCs/>
          <w:sz w:val="24"/>
          <w:szCs w:val="24"/>
        </w:rPr>
      </w:pPr>
      <w:r>
        <w:rPr/>
        <w:drawing>
          <wp:inline distL="114300" distT="0" distB="0" distR="114300">
            <wp:extent cx="6018189" cy="9155183"/>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018189" cy="9155183"/>
                    </a:xfrm>
                    <a:prstGeom prst="rect"/>
                  </pic:spPr>
                </pic:pic>
              </a:graphicData>
            </a:graphic>
          </wp:inline>
        </w:drawing>
      </w:r>
    </w:p>
    <w:p>
      <w:pPr>
        <w:pStyle w:val="style0"/>
        <w:spacing w:lineRule="auto" w:line="360"/>
        <w:ind w:left="720" w:right="4"/>
        <w:jc w:val="center"/>
        <w:rPr>
          <w:rFonts w:ascii="Times New Roman" w:hAnsi="Times New Roman"/>
          <w:b/>
          <w:bCs/>
          <w:sz w:val="24"/>
          <w:szCs w:val="24"/>
        </w:rPr>
      </w:pPr>
      <w:r>
        <w:rPr>
          <w:rFonts w:ascii="Times New Roman" w:hAnsi="Times New Roman"/>
          <w:b/>
          <w:bCs/>
          <w:sz w:val="24"/>
          <w:szCs w:val="24"/>
        </w:rPr>
        <w:t>DEDICATION</w:t>
      </w:r>
    </w:p>
    <w:p>
      <w:pPr>
        <w:pStyle w:val="style0"/>
        <w:spacing w:lineRule="auto" w:line="360"/>
        <w:ind w:right="4"/>
        <w:jc w:val="both"/>
        <w:rPr>
          <w:rFonts w:ascii="Times New Roman" w:hAnsi="Times New Roman"/>
          <w:bCs/>
          <w:sz w:val="24"/>
          <w:szCs w:val="24"/>
        </w:rPr>
      </w:pPr>
      <w:r>
        <w:rPr>
          <w:rFonts w:ascii="Times New Roman" w:hAnsi="Times New Roman"/>
          <w:bCs/>
          <w:sz w:val="24"/>
          <w:szCs w:val="24"/>
        </w:rPr>
        <w:t xml:space="preserve">This project report is dedicated to the Almighty </w:t>
      </w:r>
      <w:r>
        <w:rPr>
          <w:rFonts w:ascii="Times New Roman" w:hAnsi="Times New Roman"/>
          <w:bCs/>
          <w:sz w:val="24"/>
          <w:szCs w:val="24"/>
          <w:lang w:val="en-US"/>
        </w:rPr>
        <w:t>Allah,</w:t>
      </w:r>
      <w:r>
        <w:rPr>
          <w:rFonts w:ascii="Times New Roman" w:hAnsi="Times New Roman"/>
          <w:bCs/>
          <w:sz w:val="24"/>
          <w:szCs w:val="24"/>
        </w:rPr>
        <w:t xml:space="preserve"> The king of kings and the </w:t>
      </w:r>
      <w:r>
        <w:rPr>
          <w:rFonts w:ascii="Times New Roman" w:hAnsi="Times New Roman"/>
          <w:bCs/>
          <w:sz w:val="24"/>
          <w:szCs w:val="24"/>
          <w:lang w:val="en-US"/>
        </w:rPr>
        <w:t xml:space="preserve">merciful God </w:t>
      </w:r>
      <w:r>
        <w:rPr>
          <w:rFonts w:ascii="Times New Roman" w:hAnsi="Times New Roman"/>
          <w:bCs/>
          <w:sz w:val="24"/>
          <w:szCs w:val="24"/>
        </w:rPr>
        <w:t>for his Grace, mercy and enablement throughout this project research. May his name be lifted high.</w:t>
      </w:r>
    </w:p>
    <w:p>
      <w:pPr>
        <w:pStyle w:val="style0"/>
        <w:spacing w:lineRule="auto" w:line="360"/>
        <w:ind w:left="720" w:right="4"/>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720" w:right="4"/>
        <w:jc w:val="center"/>
        <w:rPr>
          <w:rFonts w:ascii="Times New Roman" w:hAnsi="Times New Roman"/>
          <w:b/>
          <w:bCs/>
          <w:sz w:val="24"/>
          <w:szCs w:val="24"/>
        </w:rPr>
      </w:pPr>
    </w:p>
    <w:p>
      <w:pPr>
        <w:pStyle w:val="style0"/>
        <w:spacing w:lineRule="auto" w:line="360"/>
        <w:ind w:left="2160" w:right="4" w:firstLine="720"/>
        <w:rPr>
          <w:rFonts w:ascii="Times New Roman" w:hAnsi="Times New Roman"/>
          <w:sz w:val="28"/>
          <w:szCs w:val="28"/>
        </w:rPr>
      </w:pPr>
      <w:r>
        <w:rPr>
          <w:rFonts w:ascii="Times New Roman" w:hAnsi="Times New Roman"/>
          <w:b/>
          <w:bCs/>
          <w:sz w:val="28"/>
          <w:szCs w:val="28"/>
        </w:rPr>
        <w:br w:type="page"/>
      </w:r>
      <w:r>
        <w:rPr>
          <w:rFonts w:ascii="Times New Roman" w:hAnsi="Times New Roman"/>
          <w:b/>
          <w:bCs/>
          <w:sz w:val="28"/>
          <w:szCs w:val="28"/>
        </w:rPr>
        <w:t xml:space="preserve">ACKNOWLEDGEMENT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My first and foremost appreciation Goes to the Almighty </w:t>
      </w:r>
      <w:r>
        <w:rPr>
          <w:rFonts w:ascii="Times New Roman" w:hAnsi="Times New Roman"/>
          <w:sz w:val="28"/>
          <w:szCs w:val="28"/>
          <w:lang w:val="en-US"/>
        </w:rPr>
        <w:t>Allah</w:t>
      </w:r>
      <w:r>
        <w:rPr>
          <w:rFonts w:ascii="Times New Roman" w:hAnsi="Times New Roman"/>
          <w:sz w:val="28"/>
          <w:szCs w:val="28"/>
        </w:rPr>
        <w:t>, Creator of the universe, the giver of life for the Grace and enablement given unto me on this project report, I give him all glory for the strength, wisdom, and grace to complete this project successfully.</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Also my sincere gratitude goes to my project supervisor </w:t>
      </w:r>
      <w:r>
        <w:rPr>
          <w:rFonts w:ascii="Times New Roman" w:hAnsi="Times New Roman"/>
          <w:b/>
          <w:bCs/>
          <w:sz w:val="28"/>
          <w:szCs w:val="28"/>
        </w:rPr>
        <w:t>MRS. OTUYO MUJIBAT</w:t>
      </w:r>
      <w:r>
        <w:rPr>
          <w:rFonts w:ascii="Times New Roman" w:hAnsi="Times New Roman"/>
          <w:sz w:val="28"/>
          <w:szCs w:val="28"/>
        </w:rPr>
        <w:t xml:space="preserve"> for her valuable guidance, support, and encouragement throughout the course of this work. I also appreciate the Head of Department, lecturers, and staff of the Microbiology unit for their contributions toward my academic growth.</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Special thanks to my ever loving parents</w:t>
      </w:r>
      <w:r>
        <w:rPr>
          <w:rFonts w:ascii="Times New Roman" w:hAnsi="Times New Roman"/>
          <w:b/>
          <w:bCs/>
          <w:sz w:val="28"/>
          <w:szCs w:val="28"/>
        </w:rPr>
        <w:t xml:space="preserve"> MR</w:t>
      </w:r>
      <w:r>
        <w:rPr>
          <w:rFonts w:ascii="Times New Roman" w:hAnsi="Times New Roman"/>
          <w:b/>
          <w:bCs/>
          <w:sz w:val="28"/>
          <w:szCs w:val="28"/>
          <w:lang w:val="en-US"/>
        </w:rPr>
        <w:t>. AND MRS. HAMMED</w:t>
      </w:r>
      <w:r>
        <w:rPr>
          <w:rFonts w:ascii="Times New Roman" w:hAnsi="Times New Roman"/>
          <w:b/>
          <w:bCs/>
          <w:sz w:val="28"/>
          <w:szCs w:val="28"/>
        </w:rPr>
        <w:t xml:space="preserve"> </w:t>
      </w:r>
      <w:r>
        <w:rPr>
          <w:rFonts w:ascii="Times New Roman" w:hAnsi="Times New Roman"/>
          <w:sz w:val="28"/>
          <w:szCs w:val="28"/>
        </w:rPr>
        <w:t xml:space="preserve">for their help and support both financially and  through constant prayers. </w:t>
      </w:r>
    </w:p>
    <w:p>
      <w:pPr>
        <w:pStyle w:val="style0"/>
        <w:spacing w:after="0" w:lineRule="auto" w:line="360"/>
        <w:ind w:right="4"/>
        <w:jc w:val="both"/>
        <w:rPr>
          <w:rFonts w:ascii="Times New Roman" w:hAnsi="Times New Roman"/>
          <w:b w:val="false"/>
          <w:bCs w:val="false"/>
          <w:sz w:val="28"/>
          <w:szCs w:val="28"/>
        </w:rPr>
      </w:pPr>
      <w:r>
        <w:rPr>
          <w:rFonts w:ascii="Times New Roman" w:hAnsi="Times New Roman"/>
          <w:sz w:val="28"/>
          <w:szCs w:val="28"/>
          <w:lang w:val="en-US"/>
        </w:rPr>
        <w:t xml:space="preserve">        And to my siblings </w:t>
      </w:r>
      <w:r>
        <w:rPr>
          <w:rFonts w:ascii="Times New Roman" w:hAnsi="Times New Roman"/>
          <w:b/>
          <w:bCs/>
          <w:sz w:val="28"/>
          <w:szCs w:val="28"/>
          <w:lang w:val="en-US"/>
        </w:rPr>
        <w:t>HAMMED SODIK, HAMMED TOLIAT, ALIY, ABDUL, BASHEET AND AISHAT,</w:t>
      </w:r>
      <w:r>
        <w:rPr>
          <w:rFonts w:ascii="Times New Roman" w:hAnsi="Times New Roman"/>
          <w:b w:val="false"/>
          <w:bCs w:val="false"/>
          <w:sz w:val="28"/>
          <w:szCs w:val="28"/>
          <w:lang w:val="en-US"/>
        </w:rPr>
        <w:t xml:space="preserve"> thanks</w:t>
      </w:r>
      <w:r>
        <w:rPr>
          <w:rFonts w:ascii="Times New Roman" w:hAnsi="Times New Roman"/>
          <w:b/>
          <w:bCs/>
          <w:sz w:val="28"/>
          <w:szCs w:val="28"/>
          <w:lang w:val="en-US"/>
        </w:rPr>
        <w:t xml:space="preserve"> </w:t>
      </w:r>
      <w:r>
        <w:rPr>
          <w:rFonts w:ascii="Times New Roman" w:hAnsi="Times New Roman"/>
          <w:b w:val="false"/>
          <w:bCs w:val="false"/>
          <w:sz w:val="28"/>
          <w:szCs w:val="28"/>
          <w:lang w:val="en-US"/>
        </w:rPr>
        <w:t xml:space="preserve">for your Love and support </w:t>
      </w:r>
    </w:p>
    <w:p>
      <w:pPr>
        <w:pStyle w:val="style0"/>
        <w:spacing w:after="0" w:lineRule="auto" w:line="360"/>
        <w:ind w:right="4"/>
        <w:jc w:val="both"/>
        <w:rPr>
          <w:rFonts w:ascii="Times New Roman" w:hAnsi="Times New Roman"/>
          <w:sz w:val="28"/>
          <w:szCs w:val="28"/>
        </w:rPr>
      </w:pPr>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To</w:t>
      </w:r>
      <w:r>
        <w:rPr>
          <w:rFonts w:ascii="Times New Roman" w:hAnsi="Times New Roman"/>
          <w:sz w:val="28"/>
          <w:szCs w:val="28"/>
        </w:rPr>
        <w:t xml:space="preserve"> my Honourably </w:t>
      </w:r>
      <w:r>
        <w:rPr>
          <w:rFonts w:ascii="Times New Roman" w:hAnsi="Times New Roman"/>
          <w:sz w:val="28"/>
          <w:szCs w:val="28"/>
          <w:lang w:val="en-US"/>
        </w:rPr>
        <w:t xml:space="preserve">and supportive </w:t>
      </w:r>
      <w:r>
        <w:rPr>
          <w:rFonts w:ascii="Times New Roman" w:hAnsi="Times New Roman"/>
          <w:sz w:val="28"/>
          <w:szCs w:val="28"/>
        </w:rPr>
        <w:t>friends and loved ones and everyone who supported me directly or indirectly, I say a big thank you for your constant prayers, support  and motivation. May God bless you all.</w:t>
      </w:r>
    </w:p>
    <w:p>
      <w:pPr>
        <w:pStyle w:val="style0"/>
        <w:spacing w:lineRule="auto" w:line="360"/>
        <w:ind w:left="720" w:right="4"/>
        <w:jc w:val="center"/>
        <w:rPr>
          <w:rFonts w:ascii="Times New Roman" w:hAnsi="Times New Roman"/>
          <w:b/>
          <w:bCs/>
          <w:sz w:val="24"/>
          <w:szCs w:val="24"/>
        </w:rPr>
      </w:pPr>
    </w:p>
    <w:p>
      <w:pPr>
        <w:pStyle w:val="style0"/>
        <w:rPr/>
      </w:pPr>
    </w:p>
    <w:p>
      <w:pPr>
        <w:pStyle w:val="style0"/>
        <w:rPr/>
      </w:pPr>
    </w:p>
    <w:p>
      <w:pPr>
        <w:pStyle w:val="style0"/>
        <w:rPr/>
      </w:pPr>
    </w:p>
    <w:p>
      <w:pPr>
        <w:pStyle w:val="style0"/>
        <w:rPr/>
      </w:pPr>
    </w:p>
    <w:p>
      <w:pPr>
        <w:pStyle w:val="style0"/>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p>
    <w:p>
      <w:pPr>
        <w:pStyle w:val="style0"/>
        <w:jc w:val="center"/>
        <w:rPr>
          <w:rFonts w:ascii="Times New Roman" w:hAnsi="Times New Roman"/>
          <w:b/>
          <w:sz w:val="28"/>
          <w:szCs w:val="28"/>
        </w:rPr>
      </w:pPr>
      <w:r>
        <w:rPr>
          <w:rFonts w:ascii="Times New Roman" w:hAnsi="Times New Roman"/>
          <w:b/>
          <w:sz w:val="28"/>
          <w:szCs w:val="28"/>
        </w:rPr>
        <w:t>TABLE OF CONTENTS</w:t>
      </w:r>
    </w:p>
    <w:p>
      <w:pPr>
        <w:pStyle w:val="style0"/>
        <w:jc w:val="both"/>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0"/>
        <w:jc w:val="both"/>
        <w:rPr>
          <w:rFonts w:ascii="Times New Roman" w:hAnsi="Times New Roman"/>
          <w:sz w:val="28"/>
          <w:szCs w:val="28"/>
        </w:rPr>
      </w:pPr>
      <w:r>
        <w:rPr>
          <w:rFonts w:ascii="Times New Roman" w:hAnsi="Times New Roman"/>
          <w:sz w:val="28"/>
          <w:szCs w:val="28"/>
        </w:rPr>
        <w:t>Chapter 1. 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r>
      <w:r>
        <w:rPr>
          <w:rFonts w:ascii="Times New Roman" w:hAnsi="Times New Roman"/>
          <w:sz w:val="28"/>
          <w:szCs w:val="28"/>
        </w:rPr>
        <w:t>Background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w:t>
      </w:r>
    </w:p>
    <w:p>
      <w:pPr>
        <w:pStyle w:val="style0"/>
        <w:jc w:val="both"/>
        <w:rPr>
          <w:rFonts w:ascii="Times New Roman" w:hAnsi="Times New Roman"/>
          <w:sz w:val="28"/>
          <w:szCs w:val="28"/>
        </w:rPr>
      </w:pPr>
      <w:r>
        <w:rPr>
          <w:rFonts w:ascii="Times New Roman" w:hAnsi="Times New Roman"/>
          <w:sz w:val="28"/>
          <w:szCs w:val="28"/>
        </w:rPr>
        <w:t xml:space="preserve">1.2 </w:t>
      </w:r>
      <w:r>
        <w:rPr>
          <w:rFonts w:ascii="Times New Roman" w:hAnsi="Times New Roman"/>
          <w:sz w:val="28"/>
          <w:szCs w:val="28"/>
        </w:rPr>
        <w:tab/>
      </w:r>
      <w:r>
        <w:rPr>
          <w:rFonts w:ascii="Times New Roman" w:hAnsi="Times New Roman"/>
          <w:sz w:val="28"/>
          <w:szCs w:val="28"/>
        </w:rPr>
        <w:t>Problem Statement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7      </w:t>
      </w:r>
    </w:p>
    <w:p>
      <w:pPr>
        <w:pStyle w:val="style0"/>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rPr>
        <w:tab/>
      </w:r>
      <w:r>
        <w:rPr>
          <w:rFonts w:ascii="Times New Roman" w:hAnsi="Times New Roman"/>
          <w:sz w:val="28"/>
          <w:szCs w:val="28"/>
        </w:rPr>
        <w:t>Aim and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7</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1.4 </w:t>
      </w:r>
      <w:r>
        <w:rPr>
          <w:rFonts w:ascii="Times New Roman" w:hAnsi="Times New Roman"/>
          <w:sz w:val="28"/>
          <w:szCs w:val="28"/>
        </w:rPr>
        <w:tab/>
      </w:r>
      <w:r>
        <w:rPr>
          <w:rFonts w:ascii="Times New Roman" w:hAnsi="Times New Roman"/>
          <w:sz w:val="28"/>
          <w:szCs w:val="28"/>
        </w:rPr>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8</w:t>
      </w:r>
    </w:p>
    <w:p>
      <w:pPr>
        <w:pStyle w:val="style0"/>
        <w:jc w:val="both"/>
        <w:rPr>
          <w:rFonts w:ascii="Times New Roman" w:hAnsi="Times New Roman"/>
          <w:sz w:val="28"/>
          <w:szCs w:val="28"/>
        </w:rPr>
      </w:pPr>
      <w:r>
        <w:rPr>
          <w:rFonts w:ascii="Times New Roman" w:hAnsi="Times New Roman"/>
          <w:sz w:val="28"/>
          <w:szCs w:val="28"/>
        </w:rPr>
        <w:t xml:space="preserve">1.5 </w:t>
      </w:r>
      <w:r>
        <w:rPr>
          <w:rFonts w:ascii="Times New Roman" w:hAnsi="Times New Roman"/>
          <w:sz w:val="28"/>
          <w:szCs w:val="28"/>
        </w:rPr>
        <w:tab/>
      </w:r>
      <w:r>
        <w:rPr>
          <w:rFonts w:ascii="Times New Roman" w:hAnsi="Times New Roman"/>
          <w:sz w:val="28"/>
          <w:szCs w:val="28"/>
        </w:rPr>
        <w:t xml:space="preserve">Types of Herbal medicines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2. 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2.1 </w:t>
      </w:r>
      <w:r>
        <w:rPr>
          <w:rFonts w:ascii="Times New Roman" w:hAnsi="Times New Roman"/>
          <w:sz w:val="28"/>
          <w:szCs w:val="28"/>
        </w:rPr>
        <w:tab/>
      </w:r>
      <w:r>
        <w:rPr>
          <w:rFonts w:ascii="Times New Roman" w:hAnsi="Times New Roman"/>
          <w:sz w:val="28"/>
          <w:szCs w:val="28"/>
        </w:rPr>
        <w:t>Overview of Herbal Medicines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sz w:val="28"/>
          <w:szCs w:val="28"/>
        </w:rPr>
        <w:tab/>
      </w:r>
      <w:r>
        <w:rPr>
          <w:rFonts w:ascii="Times New Roman" w:hAnsi="Times New Roman"/>
          <w:sz w:val="28"/>
          <w:szCs w:val="28"/>
        </w:rPr>
        <w:t>Microbial Contamination in Herbal Products</w:t>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 xml:space="preserve"> 2.3   Regulatory Standards for Microbial Loads in Herbal Medicines</w:t>
      </w:r>
      <w:r>
        <w:rPr>
          <w:rFonts w:ascii="Times New Roman" w:hAnsi="Times New Roman"/>
          <w:sz w:val="28"/>
          <w:szCs w:val="28"/>
        </w:rPr>
        <w:t xml:space="preserve">   </w:t>
      </w:r>
      <w:r>
        <w:rPr>
          <w:rFonts w:ascii="Times New Roman" w:hAnsi="Times New Roman"/>
          <w:sz w:val="28"/>
          <w:szCs w:val="28"/>
        </w:rPr>
        <w:t>23</w:t>
      </w:r>
    </w:p>
    <w:p>
      <w:pPr>
        <w:pStyle w:val="style0"/>
        <w:spacing w:lineRule="auto" w:line="360"/>
        <w:jc w:val="both"/>
        <w:rPr>
          <w:rStyle w:val="style87"/>
          <w:rFonts w:ascii="Times New Roman" w:hAnsi="Times New Roman"/>
          <w:b w:val="false"/>
          <w:sz w:val="28"/>
          <w:szCs w:val="28"/>
        </w:rPr>
      </w:pPr>
      <w:r>
        <w:rPr>
          <w:rFonts w:ascii="Times New Roman" w:hAnsi="Times New Roman"/>
          <w:sz w:val="28"/>
          <w:szCs w:val="28"/>
        </w:rPr>
        <w:t xml:space="preserve">2.4   </w:t>
      </w:r>
      <w:r>
        <w:rPr>
          <w:rStyle w:val="style87"/>
          <w:rFonts w:ascii="Times New Roman" w:hAnsi="Times New Roman"/>
          <w:b w:val="false"/>
          <w:sz w:val="28"/>
          <w:szCs w:val="28"/>
        </w:rPr>
        <w:t>Health Implication of Herbal Medicines</w:t>
      </w:r>
      <w:r>
        <w:rPr>
          <w:rStyle w:val="style87"/>
          <w:rFonts w:ascii="Times New Roman" w:hAnsi="Times New Roman"/>
          <w:sz w:val="28"/>
          <w:szCs w:val="28"/>
        </w:rPr>
        <w:t xml:space="preserve"> </w:t>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ab/>
      </w:r>
      <w:r>
        <w:rPr>
          <w:rStyle w:val="style87"/>
          <w:rFonts w:ascii="Times New Roman" w:hAnsi="Times New Roman"/>
          <w:sz w:val="28"/>
          <w:szCs w:val="28"/>
        </w:rPr>
        <w:t>25</w:t>
      </w:r>
      <w:r>
        <w:rPr>
          <w:rStyle w:val="style87"/>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Chapter 3. Materials and Methods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29</w:t>
      </w:r>
      <w:r>
        <w:rPr>
          <w:rFonts w:ascii="Times New Roman" w:hAnsi="Times New Roman"/>
          <w:sz w:val="28"/>
          <w:szCs w:val="28"/>
        </w:rPr>
        <w:tab/>
      </w:r>
      <w:r>
        <w:rPr>
          <w:rFonts w:ascii="Times New Roman" w:hAnsi="Times New Roman"/>
          <w:sz w:val="28"/>
          <w:szCs w:val="28"/>
        </w:rPr>
        <w:t xml:space="preserve">           </w:t>
      </w:r>
    </w:p>
    <w:p>
      <w:pPr>
        <w:pStyle w:val="style0"/>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rPr>
        <w:tab/>
      </w:r>
      <w:r>
        <w:rPr>
          <w:rFonts w:ascii="Times New Roman" w:hAnsi="Times New Roman"/>
          <w:sz w:val="28"/>
          <w:szCs w:val="28"/>
        </w:rPr>
        <w:t>Study Area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rPr>
        <w:tab/>
      </w:r>
      <w:r>
        <w:rPr>
          <w:rFonts w:ascii="Times New Roman" w:hAnsi="Times New Roman"/>
          <w:bCs/>
          <w:sz w:val="28"/>
          <w:szCs w:val="28"/>
        </w:rPr>
        <w:t>Sample Collection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3.3 </w:t>
      </w:r>
      <w:r>
        <w:rPr>
          <w:rFonts w:ascii="Times New Roman" w:hAnsi="Times New Roman"/>
          <w:sz w:val="28"/>
          <w:szCs w:val="28"/>
        </w:rPr>
        <w:tab/>
      </w:r>
      <w:r>
        <w:rPr>
          <w:rFonts w:ascii="Times New Roman" w:hAnsi="Times New Roman"/>
          <w:bCs/>
          <w:sz w:val="28"/>
          <w:szCs w:val="28"/>
        </w:rPr>
        <w:t>Preparation of Culture Media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3.4 </w:t>
      </w:r>
      <w:r>
        <w:rPr>
          <w:rFonts w:ascii="Times New Roman" w:hAnsi="Times New Roman"/>
          <w:sz w:val="28"/>
          <w:szCs w:val="28"/>
        </w:rPr>
        <w:tab/>
      </w:r>
      <w:r>
        <w:rPr>
          <w:rFonts w:ascii="Times New Roman" w:hAnsi="Times New Roman"/>
          <w:bCs/>
          <w:sz w:val="28"/>
          <w:szCs w:val="28"/>
        </w:rPr>
        <w:t>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29</w:t>
      </w:r>
    </w:p>
    <w:p>
      <w:pPr>
        <w:pStyle w:val="style0"/>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sz w:val="28"/>
          <w:szCs w:val="28"/>
        </w:rPr>
        <w:tab/>
      </w:r>
      <w:r>
        <w:rPr>
          <w:rFonts w:ascii="Times New Roman" w:hAnsi="Times New Roman"/>
          <w:bCs/>
          <w:sz w:val="28"/>
          <w:szCs w:val="28"/>
        </w:rPr>
        <w:t>Bacteriological and Mycological Analysis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30</w:t>
      </w:r>
    </w:p>
    <w:p>
      <w:pPr>
        <w:pStyle w:val="style0"/>
        <w:jc w:val="both"/>
        <w:rPr>
          <w:rFonts w:ascii="Times New Roman" w:eastAsia="Times New Roman" w:hAnsi="Times New Roman"/>
          <w:bCs/>
          <w:color w:val="000000"/>
          <w:sz w:val="28"/>
          <w:szCs w:val="28"/>
        </w:rPr>
      </w:pPr>
      <w:r>
        <w:rPr>
          <w:rFonts w:ascii="Times New Roman" w:hAnsi="Times New Roman"/>
          <w:sz w:val="28"/>
          <w:szCs w:val="28"/>
        </w:rPr>
        <w:t xml:space="preserve">3.6 </w:t>
      </w:r>
      <w:r>
        <w:rPr>
          <w:rFonts w:ascii="Times New Roman" w:hAnsi="Times New Roman"/>
          <w:sz w:val="28"/>
          <w:szCs w:val="28"/>
        </w:rPr>
        <w:tab/>
      </w:r>
      <w:r>
        <w:rPr>
          <w:rFonts w:ascii="Times New Roman" w:eastAsia="Times New Roman" w:hAnsi="Times New Roman"/>
          <w:bCs/>
          <w:color w:val="000000"/>
          <w:sz w:val="28"/>
          <w:szCs w:val="28"/>
        </w:rPr>
        <w:t>Isolation of Microorganisms</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ab/>
      </w:r>
      <w:r>
        <w:rPr>
          <w:rFonts w:ascii="Times New Roman" w:eastAsia="Times New Roman" w:hAnsi="Times New Roman"/>
          <w:bCs/>
          <w:color w:val="000000"/>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3.7</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Characteristics of Microbial Isolates</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31</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3.8</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33</w:t>
      </w:r>
    </w:p>
    <w:p>
      <w:pPr>
        <w:pStyle w:val="style0"/>
        <w:jc w:val="both"/>
        <w:rPr>
          <w:rFonts w:ascii="Times New Roman" w:hAnsi="Times New Roman"/>
          <w:sz w:val="28"/>
          <w:szCs w:val="28"/>
        </w:rPr>
      </w:pPr>
      <w:r>
        <w:rPr>
          <w:rFonts w:ascii="Times New Roman" w:hAnsi="Times New Roman"/>
          <w:sz w:val="28"/>
          <w:szCs w:val="28"/>
        </w:rPr>
        <w:t>Chapter 4. 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4.1</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Bacteria Counts and Total Coliform Counts (CFU/ml)36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4.2</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Total Fungal Counts (CFU/ml)</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lang w:val="en-US"/>
        </w:rPr>
        <w:t xml:space="preserve">          </w:t>
      </w:r>
      <w:r>
        <w:rPr>
          <w:rFonts w:ascii="Times New Roman" w:cs="Times New Roman" w:hAnsi="Times New Roman"/>
          <w:b w:val="false"/>
          <w:color w:val="auto"/>
          <w:sz w:val="28"/>
          <w:szCs w:val="28"/>
        </w:rPr>
        <w:t xml:space="preserve"> 36</w:t>
      </w:r>
    </w:p>
    <w:p>
      <w:pPr>
        <w:pStyle w:val="style2"/>
        <w:spacing w:before="0" w:lineRule="auto" w:line="480"/>
        <w:rPr>
          <w:rFonts w:ascii="Times New Roman" w:cs="Times New Roman" w:hAnsi="Times New Roman"/>
          <w:b w:val="false"/>
          <w:color w:val="auto"/>
          <w:sz w:val="28"/>
          <w:szCs w:val="28"/>
        </w:rPr>
      </w:pPr>
      <w:r>
        <w:rPr>
          <w:rFonts w:ascii="Times New Roman" w:cs="Times New Roman" w:hAnsi="Times New Roman"/>
          <w:b w:val="false"/>
          <w:color w:val="auto"/>
          <w:sz w:val="28"/>
          <w:szCs w:val="28"/>
        </w:rPr>
        <w:t>4.3</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Biochemical Test</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b w:val="false"/>
          <w:color w:val="auto"/>
          <w:sz w:val="28"/>
          <w:szCs w:val="28"/>
        </w:rPr>
        <w:t>4.4</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 xml:space="preserve">Colonial Morphology Characterization </w:t>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ab/>
      </w:r>
      <w:r>
        <w:rPr>
          <w:rFonts w:ascii="Times New Roman" w:cs="Times New Roman" w:hAnsi="Times New Roman"/>
          <w:b w:val="false"/>
          <w:color w:val="auto"/>
          <w:sz w:val="28"/>
          <w:szCs w:val="28"/>
        </w:rPr>
        <w:t>36</w:t>
      </w:r>
    </w:p>
    <w:p>
      <w:pPr>
        <w:pStyle w:val="style0"/>
        <w:jc w:val="both"/>
        <w:rPr>
          <w:rFonts w:ascii="Times New Roman" w:hAnsi="Times New Roman"/>
          <w:sz w:val="28"/>
          <w:szCs w:val="28"/>
        </w:rPr>
      </w:pPr>
      <w:r>
        <w:rPr>
          <w:rFonts w:ascii="Times New Roman" w:hAnsi="Times New Roman"/>
          <w:sz w:val="28"/>
          <w:szCs w:val="28"/>
        </w:rPr>
        <w:t>Chapter 5. Discussion, Conclusion and 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r>
        <w:rPr>
          <w:rFonts w:ascii="Times New Roman" w:hAnsi="Times New Roman"/>
          <w:sz w:val="28"/>
          <w:szCs w:val="28"/>
        </w:rPr>
        <w:tab/>
      </w:r>
    </w:p>
    <w:p>
      <w:pPr>
        <w:pStyle w:val="style0"/>
        <w:jc w:val="both"/>
        <w:rPr>
          <w:rFonts w:ascii="Times New Roman" w:hAnsi="Times New Roman"/>
          <w:sz w:val="28"/>
          <w:szCs w:val="28"/>
        </w:rPr>
      </w:pPr>
      <w:r>
        <w:rPr>
          <w:rFonts w:ascii="Times New Roman" w:hAnsi="Times New Roman"/>
          <w:sz w:val="28"/>
          <w:szCs w:val="28"/>
        </w:rPr>
        <w:t xml:space="preserve">5.1 </w:t>
      </w:r>
      <w:r>
        <w:rPr>
          <w:rFonts w:ascii="Times New Roman" w:hAnsi="Times New Roman"/>
          <w:sz w:val="28"/>
          <w:szCs w:val="28"/>
        </w:rPr>
        <w:tab/>
      </w:r>
      <w:r>
        <w:rPr>
          <w:rFonts w:ascii="Times New Roman" w:hAnsi="Times New Roman"/>
          <w:sz w:val="28"/>
          <w:szCs w:val="28"/>
        </w:rPr>
        <w:t>Discussion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42</w:t>
      </w:r>
    </w:p>
    <w:p>
      <w:pPr>
        <w:pStyle w:val="style0"/>
        <w:jc w:val="both"/>
        <w:rPr>
          <w:rFonts w:ascii="Times New Roman" w:hAnsi="Times New Roman"/>
          <w:sz w:val="28"/>
          <w:szCs w:val="28"/>
        </w:rPr>
      </w:pPr>
      <w:r>
        <w:rPr>
          <w:rFonts w:ascii="Times New Roman" w:hAnsi="Times New Roman"/>
          <w:sz w:val="28"/>
          <w:szCs w:val="28"/>
        </w:rPr>
        <w:t xml:space="preserve">5.2  </w:t>
      </w:r>
      <w:r>
        <w:rPr>
          <w:rFonts w:ascii="Times New Roman" w:hAnsi="Times New Roman"/>
          <w:sz w:val="28"/>
          <w:szCs w:val="28"/>
        </w:rPr>
        <w:tab/>
      </w:r>
      <w:r>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43</w:t>
      </w:r>
    </w:p>
    <w:p>
      <w:pPr>
        <w:pStyle w:val="style0"/>
        <w:jc w:val="both"/>
        <w:rPr>
          <w:rFonts w:ascii="Times New Roman" w:hAnsi="Times New Roman"/>
          <w:sz w:val="28"/>
          <w:szCs w:val="28"/>
        </w:rPr>
      </w:pPr>
      <w:r>
        <w:rPr>
          <w:rFonts w:ascii="Times New Roman" w:hAnsi="Times New Roman"/>
          <w:sz w:val="28"/>
          <w:szCs w:val="28"/>
        </w:rPr>
        <w:t xml:space="preserve">5.3 </w:t>
      </w:r>
      <w:r>
        <w:rPr>
          <w:rFonts w:ascii="Times New Roman" w:hAnsi="Times New Roman"/>
          <w:sz w:val="28"/>
          <w:szCs w:val="28"/>
        </w:rPr>
        <w:tab/>
      </w:r>
      <w:r>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en-US"/>
        </w:rPr>
        <w:t xml:space="preserve">                     </w:t>
      </w:r>
      <w:r>
        <w:rPr>
          <w:rFonts w:ascii="Times New Roman" w:hAnsi="Times New Roman"/>
          <w:sz w:val="28"/>
          <w:szCs w:val="28"/>
        </w:rPr>
        <w:t>44</w:t>
      </w:r>
    </w:p>
    <w:p>
      <w:pPr>
        <w:pStyle w:val="style0"/>
        <w:jc w:val="both"/>
        <w:rPr>
          <w:rFonts w:ascii="Times New Roman" w:hAnsi="Times New Roman"/>
          <w:sz w:val="28"/>
          <w:szCs w:val="28"/>
        </w:rPr>
      </w:pPr>
      <w:r>
        <w:rPr>
          <w:rFonts w:ascii="Times New Roman" w:hAnsi="Times New Roman"/>
          <w:sz w:val="28"/>
          <w:szCs w:val="28"/>
        </w:rPr>
        <w:t>References</w:t>
      </w: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ABSTRACT</w:t>
      </w:r>
    </w:p>
    <w:p>
      <w:pPr>
        <w:pStyle w:val="style0"/>
        <w:spacing w:lineRule="auto" w:line="480"/>
        <w:jc w:val="both"/>
        <w:rPr>
          <w:rFonts w:ascii="Times New Roman" w:hAnsi="Times New Roman"/>
          <w:sz w:val="28"/>
          <w:szCs w:val="28"/>
        </w:rPr>
        <w:sectPr>
          <w:footerReference w:type="default" r:id="rId4"/>
          <w:footerReference w:type="first" r:id="rId5"/>
          <w:pgSz w:w="11520" w:h="14400" w:orient="portrait" w:code="1"/>
          <w:pgMar w:top="1440" w:right="1440" w:bottom="1440" w:left="1440" w:header="720" w:footer="720" w:gutter="0"/>
          <w:pgNumType w:fmt="lowerRoman" w:start="1"/>
          <w:cols w:space="720"/>
          <w:titlePg/>
          <w:docGrid w:linePitch="360"/>
        </w:sectPr>
      </w:pPr>
      <w:r>
        <w:rPr>
          <w:rFonts w:ascii="Times New Roman" w:hAnsi="Times New Roman"/>
          <w:sz w:val="28"/>
          <w:szCs w:val="28"/>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E. coli</w:t>
      </w:r>
      <w:r>
        <w:rPr>
          <w:rFonts w:ascii="Times New Roman" w:hAnsi="Times New Roman"/>
          <w:sz w:val="28"/>
          <w:szCs w:val="28"/>
        </w:rPr>
        <w:t xml:space="preserve">spp. Fungal isolates included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The results revealed microbial loads exceeding acceptable limits for oral herbal preparations, raising public health concerns. The study underscores the need for better regulation and hygienic preparation of herbal products in local markets.</w:t>
      </w:r>
    </w:p>
    <w:p>
      <w:pPr>
        <w:pStyle w:val="style0"/>
        <w:spacing w:lineRule="auto" w:line="360"/>
        <w:jc w:val="center"/>
        <w:rPr>
          <w:rFonts w:ascii="Times New Roman" w:hAnsi="Times New Roman"/>
          <w:b/>
          <w:sz w:val="28"/>
          <w:szCs w:val="28"/>
        </w:rPr>
      </w:pPr>
      <w:r>
        <w:rPr>
          <w:rFonts w:ascii="Times New Roman" w:hAnsi="Times New Roman"/>
          <w:b/>
          <w:sz w:val="28"/>
          <w:szCs w:val="28"/>
        </w:rPr>
        <w:t>CHAPTER ONE</w:t>
      </w:r>
    </w:p>
    <w:p>
      <w:pPr>
        <w:pStyle w:val="style0"/>
        <w:spacing w:lineRule="auto" w:line="360"/>
        <w:jc w:val="center"/>
        <w:rPr>
          <w:rFonts w:ascii="Times New Roman" w:hAnsi="Times New Roman"/>
          <w:b/>
          <w:sz w:val="28"/>
          <w:szCs w:val="28"/>
        </w:rPr>
      </w:pPr>
      <w:r>
        <w:rPr>
          <w:rFonts w:ascii="Times New Roman" w:hAnsi="Times New Roman"/>
          <w:b/>
          <w:sz w:val="28"/>
          <w:szCs w:val="28"/>
        </w:rPr>
        <w:t>INTRODUCTION</w:t>
      </w:r>
    </w:p>
    <w:p>
      <w:pPr>
        <w:pStyle w:val="style0"/>
        <w:spacing w:lineRule="auto" w:line="480"/>
        <w:jc w:val="both"/>
        <w:rPr>
          <w:rFonts w:ascii="Times New Roman" w:hAnsi="Times New Roman"/>
          <w:sz w:val="28"/>
          <w:szCs w:val="28"/>
        </w:rPr>
      </w:pPr>
      <w:r>
        <w:rPr>
          <w:rFonts w:ascii="Times New Roman" w:hAnsi="Times New Roman"/>
          <w:sz w:val="28"/>
          <w:szCs w:val="28"/>
        </w:rPr>
        <w:t>1.1 Background of Study</w:t>
      </w:r>
    </w:p>
    <w:p>
      <w:pPr>
        <w:pStyle w:val="style0"/>
        <w:spacing w:before="240" w:lineRule="auto" w:line="480"/>
        <w:jc w:val="both"/>
        <w:rPr>
          <w:rFonts w:ascii="Times New Roman" w:hAnsi="Times New Roman"/>
          <w:sz w:val="28"/>
          <w:szCs w:val="28"/>
        </w:rPr>
      </w:pPr>
      <w:r>
        <w:rPr>
          <w:rFonts w:ascii="Times New Roman" w:hAnsi="Times New Roman"/>
          <w:sz w:val="28"/>
          <w:szCs w:val="28"/>
        </w:rPr>
        <w:t>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pPr>
        <w:pStyle w:val="style0"/>
        <w:spacing w:before="240" w:lineRule="auto" w:line="480"/>
        <w:jc w:val="both"/>
        <w:rPr>
          <w:rFonts w:ascii="Times New Roman" w:hAnsi="Times New Roman"/>
          <w:sz w:val="28"/>
          <w:szCs w:val="28"/>
        </w:rPr>
      </w:pPr>
      <w:r>
        <w:rPr>
          <w:rFonts w:ascii="Times New Roman" w:hAnsi="Times New Roman"/>
          <w:sz w:val="28"/>
          <w:szCs w:val="28"/>
        </w:rPr>
        <w:t xml:space="preserve">In Nigeria, there appears to be an overwhelming increase in the public awareness and usage of herbal medicinal products in the treatment and/or prevention of diseases. This may not be unconnected to the active mass media </w:t>
      </w:r>
      <w:r>
        <w:rPr>
          <w:rFonts w:ascii="Times New Roman" w:hAnsi="Times New Roman"/>
          <w:sz w:val="28"/>
          <w:szCs w:val="28"/>
        </w:rPr>
        <w:t xml:space="preserve">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w:t>
      </w:r>
      <w:r>
        <w:rPr>
          <w:rFonts w:ascii="Times New Roman" w:hAnsi="Times New Roman"/>
          <w:sz w:val="28"/>
          <w:szCs w:val="28"/>
        </w:rPr>
        <w:t>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pPr>
        <w:pStyle w:val="style4098"/>
        <w:spacing w:lineRule="auto" w:line="480"/>
        <w:ind w:firstLine="280"/>
        <w:jc w:val="both"/>
        <w:rPr>
          <w:rFonts w:ascii="Times New Roman" w:hAnsi="Times New Roman"/>
          <w:sz w:val="28"/>
          <w:szCs w:val="28"/>
        </w:rPr>
      </w:pPr>
      <w:r>
        <w:rPr>
          <w:rFonts w:ascii="Times New Roman" w:hAnsi="Times New Roman"/>
          <w:sz w:val="28"/>
          <w:szCs w:val="28"/>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pPr>
        <w:pStyle w:val="style4098"/>
        <w:spacing w:lineRule="auto" w:line="480"/>
        <w:ind w:firstLine="280"/>
        <w:jc w:val="both"/>
        <w:rPr>
          <w:rFonts w:ascii="Times New Roman" w:hAnsi="Times New Roman"/>
          <w:sz w:val="28"/>
          <w:szCs w:val="28"/>
        </w:rPr>
      </w:pPr>
      <w:r>
        <w:rPr>
          <w:rFonts w:ascii="Times New Roman" w:hAnsi="Times New Roman"/>
          <w:i/>
          <w:iCs/>
          <w:sz w:val="28"/>
          <w:szCs w:val="28"/>
        </w:rPr>
        <w:t xml:space="preserve">Escherichia coli </w:t>
      </w:r>
      <w:r>
        <w:rPr>
          <w:rFonts w:ascii="Times New Roman" w:hAnsi="Times New Roman"/>
          <w:sz w:val="28"/>
          <w:szCs w:val="28"/>
        </w:rPr>
        <w:t xml:space="preserve">and </w:t>
      </w:r>
      <w:r>
        <w:rPr>
          <w:rFonts w:ascii="Times New Roman" w:hAnsi="Times New Roman"/>
          <w:i/>
          <w:iCs/>
          <w:sz w:val="28"/>
          <w:szCs w:val="28"/>
        </w:rPr>
        <w:t xml:space="preserve">Pseudomonas </w:t>
      </w:r>
      <w:r>
        <w:rPr>
          <w:rFonts w:ascii="Times New Roman" w:hAnsi="Times New Roman"/>
          <w:sz w:val="28"/>
          <w:szCs w:val="28"/>
        </w:rPr>
        <w:t xml:space="preserve">spp. are the typical pathogens seen in herbal extract powders. Fungal species such as </w:t>
      </w:r>
      <w:r>
        <w:rPr>
          <w:rFonts w:ascii="Times New Roman" w:hAnsi="Times New Roman"/>
          <w:i/>
          <w:iCs/>
          <w:sz w:val="28"/>
          <w:szCs w:val="28"/>
        </w:rPr>
        <w:t>Rhizhopus, Penicillium</w:t>
      </w:r>
      <w:r>
        <w:rPr>
          <w:rFonts w:ascii="Times New Roman" w:hAnsi="Times New Roman"/>
          <w:sz w:val="28"/>
          <w:szCs w:val="28"/>
        </w:rPr>
        <w:t xml:space="preserve">, </w:t>
      </w:r>
      <w:r>
        <w:rPr>
          <w:rFonts w:ascii="Times New Roman" w:hAnsi="Times New Roman"/>
          <w:i/>
          <w:iCs/>
          <w:sz w:val="28"/>
          <w:szCs w:val="28"/>
        </w:rPr>
        <w:t xml:space="preserve">Aspergillus </w:t>
      </w:r>
      <w:r>
        <w:rPr>
          <w:rFonts w:ascii="Times New Roman" w:hAnsi="Times New Roman"/>
          <w:sz w:val="28"/>
          <w:szCs w:val="28"/>
        </w:rPr>
        <w:t xml:space="preserve">are also reported. Although bacterial endospores and fungal spores are considered as the two </w:t>
      </w:r>
      <w:r>
        <w:rPr>
          <w:rFonts w:ascii="Times New Roman" w:cs="Times New Roman" w:eastAsia="SimSun" w:hAnsi="Times New Roman" w:hint="default"/>
          <w:b w:val="false"/>
          <w:bCs w:val="false"/>
          <w:i w:val="false"/>
          <w:iCs w:val="false"/>
          <w:color w:val="auto"/>
          <w:sz w:val="28"/>
          <w:szCs w:val="28"/>
          <w:highlight w:val="none"/>
          <w:vertAlign w:val="baseline"/>
          <w:em w:val="none"/>
          <w:lang w:val="en-US" w:eastAsia="zh-CN"/>
        </w:rPr>
        <w:t>medicinal</w:t>
      </w:r>
      <w:r>
        <w:rPr>
          <w:rFonts w:ascii="Times New Roman" w:hAnsi="Times New Roman"/>
          <w:sz w:val="28"/>
          <w:szCs w:val="28"/>
        </w:rPr>
        <w:t xml:space="preserve">dominating groups of contaminants seen on  plants, the presence of pathogenic bacteria like </w:t>
      </w:r>
      <w:r>
        <w:rPr>
          <w:rFonts w:ascii="Times New Roman" w:hAnsi="Times New Roman"/>
          <w:i/>
          <w:iCs/>
          <w:sz w:val="28"/>
          <w:szCs w:val="28"/>
        </w:rPr>
        <w:t>B. cereus</w:t>
      </w:r>
      <w:r>
        <w:rPr>
          <w:rFonts w:ascii="Times New Roman" w:hAnsi="Times New Roman"/>
          <w:sz w:val="28"/>
          <w:szCs w:val="28"/>
        </w:rPr>
        <w:t xml:space="preserve">, </w:t>
      </w:r>
      <w:r>
        <w:rPr>
          <w:rFonts w:ascii="Times New Roman" w:hAnsi="Times New Roman"/>
          <w:i/>
          <w:iCs/>
          <w:sz w:val="28"/>
          <w:szCs w:val="28"/>
        </w:rPr>
        <w:t>Aeromonas hydro-phila</w:t>
      </w:r>
      <w:r>
        <w:rPr>
          <w:rFonts w:ascii="Times New Roman" w:hAnsi="Times New Roman"/>
          <w:sz w:val="28"/>
          <w:szCs w:val="28"/>
        </w:rPr>
        <w:t xml:space="preserve">, </w:t>
      </w:r>
      <w:r>
        <w:rPr>
          <w:rFonts w:ascii="Times New Roman" w:hAnsi="Times New Roman"/>
          <w:i/>
          <w:iCs/>
          <w:sz w:val="28"/>
          <w:szCs w:val="28"/>
        </w:rPr>
        <w:t xml:space="preserve">Shigella </w:t>
      </w:r>
      <w:r>
        <w:rPr>
          <w:rFonts w:ascii="Times New Roman" w:hAnsi="Times New Roman"/>
          <w:sz w:val="28"/>
          <w:szCs w:val="28"/>
        </w:rPr>
        <w:t xml:space="preserve">spp., </w:t>
      </w:r>
      <w:r>
        <w:rPr>
          <w:rFonts w:ascii="Times New Roman" w:hAnsi="Times New Roman"/>
          <w:i/>
          <w:iCs/>
          <w:sz w:val="28"/>
          <w:szCs w:val="28"/>
        </w:rPr>
        <w:t>Enterobacter agglomerans</w:t>
      </w:r>
      <w:r>
        <w:rPr>
          <w:rFonts w:ascii="Times New Roman" w:hAnsi="Times New Roman"/>
          <w:sz w:val="28"/>
          <w:szCs w:val="28"/>
        </w:rPr>
        <w:t xml:space="preserve">, </w:t>
      </w:r>
      <w:r>
        <w:rPr>
          <w:rFonts w:ascii="Times New Roman" w:hAnsi="Times New Roman"/>
          <w:i/>
          <w:iCs/>
          <w:sz w:val="28"/>
          <w:szCs w:val="28"/>
        </w:rPr>
        <w:t>E. cloacae</w:t>
      </w:r>
      <w:r>
        <w:rPr>
          <w:rFonts w:ascii="Times New Roman" w:hAnsi="Times New Roman"/>
          <w:sz w:val="28"/>
          <w:szCs w:val="28"/>
        </w:rPr>
        <w:t xml:space="preserve">, </w:t>
      </w:r>
      <w:r>
        <w:rPr>
          <w:rFonts w:ascii="Times New Roman" w:hAnsi="Times New Roman"/>
          <w:i/>
          <w:iCs/>
          <w:sz w:val="28"/>
          <w:szCs w:val="28"/>
        </w:rPr>
        <w:t>Vibrio fluvialis</w:t>
      </w:r>
      <w:r>
        <w:rPr>
          <w:rFonts w:ascii="Times New Roman" w:hAnsi="Times New Roman"/>
          <w:sz w:val="28"/>
          <w:szCs w:val="28"/>
        </w:rPr>
        <w:t xml:space="preserve">, </w:t>
      </w:r>
      <w:r>
        <w:rPr>
          <w:rFonts w:ascii="Times New Roman" w:hAnsi="Times New Roman"/>
          <w:i/>
          <w:iCs/>
          <w:sz w:val="28"/>
          <w:szCs w:val="28"/>
        </w:rPr>
        <w:t>Pasteurella multocida</w:t>
      </w:r>
      <w:r>
        <w:rPr>
          <w:rFonts w:ascii="Times New Roman" w:hAnsi="Times New Roman"/>
          <w:sz w:val="28"/>
          <w:szCs w:val="28"/>
        </w:rPr>
        <w:t xml:space="preserve">, </w:t>
      </w:r>
      <w:r>
        <w:rPr>
          <w:rFonts w:ascii="Times New Roman" w:hAnsi="Times New Roman"/>
          <w:i/>
          <w:iCs/>
          <w:sz w:val="28"/>
          <w:szCs w:val="28"/>
        </w:rPr>
        <w:t>S. epider-midis</w:t>
      </w:r>
      <w:r>
        <w:rPr>
          <w:rFonts w:ascii="Times New Roman" w:hAnsi="Times New Roman"/>
          <w:sz w:val="28"/>
          <w:szCs w:val="28"/>
        </w:rPr>
        <w:t xml:space="preserve">, </w:t>
      </w:r>
      <w:r>
        <w:rPr>
          <w:rFonts w:ascii="Times New Roman" w:hAnsi="Times New Roman"/>
          <w:i/>
          <w:iCs/>
          <w:sz w:val="28"/>
          <w:szCs w:val="28"/>
        </w:rPr>
        <w:t>Acinetobacter iwoffii</w:t>
      </w:r>
      <w:r>
        <w:rPr>
          <w:rFonts w:ascii="Times New Roman" w:hAnsi="Times New Roman"/>
          <w:sz w:val="28"/>
          <w:szCs w:val="28"/>
        </w:rPr>
        <w:t xml:space="preserve">, </w:t>
      </w:r>
      <w:r>
        <w:rPr>
          <w:rFonts w:ascii="Times New Roman" w:hAnsi="Times New Roman"/>
          <w:i/>
          <w:iCs/>
          <w:sz w:val="28"/>
          <w:szCs w:val="28"/>
        </w:rPr>
        <w:t>Klebsiell</w:t>
      </w:r>
      <w:r>
        <w:rPr>
          <w:rFonts w:ascii="Times New Roman" w:hAnsi="Times New Roman"/>
          <w:sz w:val="28"/>
          <w:szCs w:val="28"/>
        </w:rPr>
        <w:t xml:space="preserve">a spp., and </w:t>
      </w:r>
      <w:r>
        <w:rPr>
          <w:rFonts w:ascii="Times New Roman" w:hAnsi="Times New Roman"/>
          <w:i/>
          <w:iCs/>
          <w:sz w:val="28"/>
          <w:szCs w:val="28"/>
        </w:rPr>
        <w:t xml:space="preserve">B. subtilis </w:t>
      </w:r>
      <w:r>
        <w:rPr>
          <w:rFonts w:ascii="Times New Roman" w:hAnsi="Times New Roman"/>
          <w:sz w:val="28"/>
          <w:szCs w:val="28"/>
        </w:rPr>
        <w:t>have been reported in plant samples analyzed recently (Yewale et al. 2020).</w:t>
      </w:r>
    </w:p>
    <w:p>
      <w:pPr>
        <w:pStyle w:val="style0"/>
        <w:spacing w:before="240" w:lineRule="auto" w:line="480"/>
        <w:jc w:val="both"/>
        <w:rPr>
          <w:rFonts w:ascii="Times New Roman" w:hAnsi="Times New Roman"/>
          <w:b/>
          <w:sz w:val="28"/>
          <w:szCs w:val="28"/>
        </w:rPr>
      </w:pPr>
      <w:r>
        <w:rPr>
          <w:rFonts w:ascii="Times New Roman" w:hAnsi="Times New Roman"/>
          <w:b/>
          <w:sz w:val="28"/>
          <w:szCs w:val="28"/>
        </w:rPr>
        <w:t>1.2 Problem Statement</w:t>
      </w:r>
    </w:p>
    <w:p>
      <w:pPr>
        <w:pStyle w:val="style0"/>
        <w:spacing w:lineRule="auto" w:line="480"/>
        <w:jc w:val="both"/>
        <w:rPr>
          <w:rFonts w:ascii="Times New Roman" w:hAnsi="Times New Roman"/>
          <w:sz w:val="28"/>
          <w:szCs w:val="28"/>
        </w:rPr>
      </w:pPr>
      <w:r>
        <w:rPr>
          <w:rFonts w:ascii="Times New Roman" w:hAnsi="Times New Roman"/>
          <w:sz w:val="28"/>
          <w:szCs w:val="28"/>
        </w:rPr>
        <w:t>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pPr>
        <w:pStyle w:val="style0"/>
        <w:spacing w:lineRule="auto" w:line="480"/>
        <w:jc w:val="both"/>
        <w:rPr>
          <w:rFonts w:ascii="Times New Roman" w:hAnsi="Times New Roman"/>
          <w:b/>
          <w:sz w:val="28"/>
          <w:szCs w:val="28"/>
        </w:rPr>
      </w:pPr>
      <w:r>
        <w:rPr>
          <w:rFonts w:ascii="Times New Roman" w:hAnsi="Times New Roman"/>
          <w:b/>
          <w:sz w:val="28"/>
          <w:szCs w:val="28"/>
        </w:rPr>
        <w:t>1.3 Aim and Objectives</w:t>
      </w:r>
    </w:p>
    <w:p>
      <w:pPr>
        <w:pStyle w:val="style0"/>
        <w:spacing w:before="100" w:beforeAutospacing="true" w:after="100" w:afterAutospacing="true" w:lineRule="auto" w:line="480"/>
        <w:rPr>
          <w:rFonts w:ascii="Times New Roman" w:eastAsia="Times New Roman" w:hAnsi="Times New Roman"/>
          <w:sz w:val="28"/>
          <w:szCs w:val="28"/>
          <w:lang w:eastAsia="en-US"/>
        </w:rPr>
      </w:pPr>
      <w:r>
        <w:rPr>
          <w:rFonts w:ascii="Times New Roman" w:eastAsia="Times New Roman" w:hAnsi="Times New Roman"/>
          <w:sz w:val="28"/>
          <w:szCs w:val="28"/>
          <w:lang w:eastAsia="en-US"/>
        </w:rPr>
        <w:t>To assess the microbial loads in selected herbal medicines sold in Ilorin through quantitative and qualitative analysis, with the goal of evaluating their safety and compliance with acceptable microbial standards.</w:t>
      </w:r>
    </w:p>
    <w:p>
      <w:pPr>
        <w:pStyle w:val="style0"/>
        <w:spacing w:before="100" w:beforeAutospacing="true" w:after="100" w:afterAutospacing="true" w:lineRule="auto" w:line="480"/>
        <w:outlineLvl w:val="2"/>
        <w:rPr>
          <w:rFonts w:ascii="Times New Roman" w:eastAsia="Times New Roman" w:hAnsi="Times New Roman"/>
          <w:bCs/>
          <w:sz w:val="28"/>
          <w:szCs w:val="28"/>
          <w:lang w:eastAsia="en-US"/>
        </w:rPr>
      </w:pPr>
      <w:r>
        <w:rPr>
          <w:rFonts w:ascii="Times New Roman" w:eastAsia="Times New Roman" w:hAnsi="Times New Roman"/>
          <w:bCs/>
          <w:sz w:val="28"/>
          <w:szCs w:val="28"/>
          <w:lang w:eastAsia="en-US"/>
        </w:rPr>
        <w:t>Objectives: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quantify microbial loads</w:t>
      </w:r>
      <w:r>
        <w:rPr>
          <w:rFonts w:ascii="Times New Roman" w:eastAsia="Times New Roman" w:hAnsi="Times New Roman"/>
          <w:sz w:val="28"/>
          <w:szCs w:val="28"/>
          <w:lang w:eastAsia="en-US"/>
        </w:rPr>
        <w:t xml:space="preserve"> in herbal medicines using standard microbiological techniques.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identify and characterize microbial contaminants</w:t>
      </w:r>
      <w:r>
        <w:rPr>
          <w:rFonts w:ascii="Times New Roman" w:eastAsia="Times New Roman" w:hAnsi="Times New Roman"/>
          <w:sz w:val="28"/>
          <w:szCs w:val="28"/>
          <w:lang w:eastAsia="en-US"/>
        </w:rPr>
        <w:t xml:space="preserve"> (bacteria and fungi) present in the herbal medicines.</w:t>
      </w:r>
    </w:p>
    <w:p>
      <w:pPr>
        <w:pStyle w:val="style0"/>
        <w:numPr>
          <w:ilvl w:val="0"/>
          <w:numId w:val="1"/>
        </w:numPr>
        <w:tabs>
          <w:tab w:val="clear" w:pos="720"/>
        </w:tabs>
        <w:spacing w:before="100" w:beforeAutospacing="true" w:after="100" w:afterAutospacing="true" w:lineRule="auto" w:line="480"/>
        <w:ind w:left="426"/>
        <w:rPr>
          <w:rFonts w:ascii="Times New Roman" w:eastAsia="Times New Roman" w:hAnsi="Times New Roman"/>
          <w:sz w:val="28"/>
          <w:szCs w:val="28"/>
          <w:lang w:eastAsia="en-US"/>
        </w:rPr>
      </w:pPr>
      <w:r>
        <w:rPr>
          <w:rFonts w:ascii="Times New Roman" w:eastAsia="Times New Roman" w:hAnsi="Times New Roman"/>
          <w:bCs/>
          <w:sz w:val="28"/>
          <w:szCs w:val="28"/>
          <w:lang w:eastAsia="en-US"/>
        </w:rPr>
        <w:t>To evaluate the potential health risks</w:t>
      </w:r>
      <w:r>
        <w:rPr>
          <w:rFonts w:ascii="Times New Roman" w:eastAsia="Times New Roman" w:hAnsi="Times New Roman"/>
          <w:sz w:val="28"/>
          <w:szCs w:val="28"/>
          <w:lang w:eastAsia="en-US"/>
        </w:rPr>
        <w:t xml:space="preserve"> associated with the identified microbial contaminants.</w:t>
      </w:r>
    </w:p>
    <w:p>
      <w:pPr>
        <w:pStyle w:val="style0"/>
        <w:spacing w:lineRule="auto" w:line="480"/>
        <w:jc w:val="both"/>
        <w:rPr>
          <w:rFonts w:ascii="Times New Roman" w:hAnsi="Times New Roman"/>
          <w:b/>
          <w:sz w:val="28"/>
          <w:szCs w:val="28"/>
        </w:rPr>
      </w:pPr>
      <w:r>
        <w:rPr>
          <w:rFonts w:ascii="Times New Roman" w:hAnsi="Times New Roman"/>
          <w:b/>
          <w:sz w:val="28"/>
          <w:szCs w:val="28"/>
        </w:rPr>
        <w:t>1.4 Significance of the Study</w:t>
      </w:r>
    </w:p>
    <w:p>
      <w:pPr>
        <w:pStyle w:val="style94"/>
        <w:spacing w:lineRule="auto" w:line="480"/>
        <w:jc w:val="both"/>
        <w:rPr>
          <w:rFonts w:ascii="Times New Roman" w:hAnsi="Times New Roman"/>
          <w:bCs/>
          <w:sz w:val="28"/>
          <w:szCs w:val="28"/>
        </w:rPr>
      </w:pPr>
      <w:r>
        <w:rPr>
          <w:sz w:val="28"/>
          <w:szCs w:val="28"/>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w:t>
      </w:r>
      <w:r>
        <w:rPr>
          <w:sz w:val="28"/>
          <w:szCs w:val="28"/>
        </w:rPr>
        <w:t>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r>
        <w:rPr>
          <w:sz w:val="28"/>
          <w:szCs w:val="28"/>
          <w:lang w:val="en-US"/>
        </w:rPr>
        <w:t>.</w:t>
      </w:r>
    </w:p>
    <w:p>
      <w:pPr>
        <w:pStyle w:val="style0"/>
        <w:spacing w:lineRule="auto" w:line="360"/>
        <w:rPr>
          <w:rFonts w:ascii="Times New Roman" w:hAnsi="Times New Roman"/>
          <w:b/>
          <w:bCs/>
          <w:sz w:val="28"/>
          <w:szCs w:val="28"/>
        </w:rPr>
      </w:pPr>
    </w:p>
    <w:p>
      <w:pPr>
        <w:pStyle w:val="style0"/>
        <w:spacing w:lineRule="auto" w:line="360"/>
        <w:rPr>
          <w:rFonts w:ascii="Times New Roman" w:hAnsi="Times New Roman"/>
          <w:b/>
          <w:sz w:val="28"/>
          <w:szCs w:val="28"/>
        </w:rPr>
      </w:pPr>
      <w:r>
        <w:rPr>
          <w:rFonts w:ascii="Times New Roman" w:hAnsi="Times New Roman"/>
          <w:b/>
          <w:sz w:val="28"/>
          <w:szCs w:val="28"/>
        </w:rPr>
        <w:t xml:space="preserve">                                                  </w:t>
      </w: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rPr>
          <w:rFonts w:ascii="Times New Roman" w:hAnsi="Times New Roman"/>
          <w:b/>
          <w:sz w:val="28"/>
          <w:szCs w:val="28"/>
        </w:rPr>
      </w:pPr>
    </w:p>
    <w:p>
      <w:pPr>
        <w:pStyle w:val="style0"/>
        <w:spacing w:lineRule="auto" w:line="360"/>
        <w:ind w:left="2160" w:firstLine="720"/>
        <w:rPr>
          <w:rFonts w:ascii="Times New Roman" w:hAnsi="Times New Roman"/>
          <w:b/>
          <w:sz w:val="28"/>
          <w:szCs w:val="28"/>
        </w:rPr>
      </w:pPr>
      <w:r>
        <w:rPr>
          <w:rFonts w:ascii="Times New Roman" w:hAnsi="Times New Roman"/>
          <w:b/>
          <w:sz w:val="28"/>
          <w:szCs w:val="28"/>
        </w:rPr>
        <w:t xml:space="preserve"> CHAPTER 2</w:t>
      </w:r>
    </w:p>
    <w:p>
      <w:pPr>
        <w:pStyle w:val="style0"/>
        <w:spacing w:lineRule="auto" w:line="360"/>
        <w:rPr>
          <w:rFonts w:ascii="Times New Roman" w:hAnsi="Times New Roman"/>
          <w:b/>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LITERATURE REVIEW</w:t>
      </w:r>
    </w:p>
    <w:p>
      <w:pPr>
        <w:pStyle w:val="style0"/>
        <w:spacing w:lineRule="auto" w:line="480"/>
        <w:jc w:val="both"/>
        <w:rPr>
          <w:rFonts w:ascii="Times New Roman" w:hAnsi="Times New Roman"/>
          <w:b/>
          <w:sz w:val="28"/>
          <w:szCs w:val="28"/>
        </w:rPr>
      </w:pPr>
      <w:r>
        <w:rPr>
          <w:rFonts w:ascii="Times New Roman" w:hAnsi="Times New Roman"/>
          <w:b/>
          <w:sz w:val="28"/>
          <w:szCs w:val="28"/>
        </w:rPr>
        <w:t>2.1 Overview of Herbal Medicines</w:t>
      </w:r>
    </w:p>
    <w:p>
      <w:pPr>
        <w:pStyle w:val="style94"/>
        <w:spacing w:lineRule="auto" w:line="480"/>
        <w:jc w:val="both"/>
        <w:rPr>
          <w:sz w:val="28"/>
          <w:szCs w:val="28"/>
        </w:rPr>
      </w:pPr>
      <w:r>
        <w:rPr>
          <w:sz w:val="28"/>
          <w:szCs w:val="28"/>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Pr>
          <w:rStyle w:val="style88"/>
          <w:sz w:val="28"/>
          <w:szCs w:val="28"/>
        </w:rPr>
        <w:t>Shennong Bencao Jing</w:t>
      </w:r>
      <w:r>
        <w:rPr>
          <w:sz w:val="28"/>
          <w:szCs w:val="28"/>
        </w:rPr>
        <w:t xml:space="preserve"> </w:t>
      </w:r>
      <w:r>
        <w:rPr>
          <w:sz w:val="28"/>
          <w:szCs w:val="28"/>
        </w:rPr>
        <w:t>(circa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w:t>
      </w:r>
      <w:r>
        <w:rPr>
          <w:rFonts w:ascii="Times New Roman" w:hAnsi="Times New Roman"/>
          <w:sz w:val="28"/>
          <w:szCs w:val="28"/>
        </w:rPr>
        <w:t xml:space="preserve">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Pr>
          <w:rStyle w:val="style88"/>
          <w:rFonts w:ascii="Times New Roman" w:hAnsi="Times New Roman"/>
          <w:sz w:val="28"/>
          <w:szCs w:val="28"/>
        </w:rPr>
        <w:t>Artemisia annua</w:t>
      </w:r>
      <w:r>
        <w:rPr>
          <w:rFonts w:ascii="Times New Roman" w:hAnsi="Times New Roman"/>
          <w:sz w:val="28"/>
          <w:szCs w:val="28"/>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Pr>
          <w:rStyle w:val="style88"/>
          <w:rFonts w:ascii="Times New Roman" w:hAnsi="Times New Roman"/>
          <w:sz w:val="28"/>
          <w:szCs w:val="28"/>
        </w:rPr>
        <w:t>Taxus brevifolia</w:t>
      </w:r>
      <w:r>
        <w:rPr>
          <w:rFonts w:ascii="Times New Roman" w:hAnsi="Times New Roman"/>
          <w:sz w:val="28"/>
          <w:szCs w:val="28"/>
        </w:rPr>
        <w:t>) revolutionized cancer treatment (Wani et al., 1971). Collaborative efforts between traditional healers and scientists can bridge knowledge gaps, ensuring that valuable traditional remedies are preserved and scientifically validated.</w:t>
      </w:r>
    </w:p>
    <w:p>
      <w:pPr>
        <w:pStyle w:val="style0"/>
        <w:tabs>
          <w:tab w:val="left" w:leader="none" w:pos="3420"/>
        </w:tabs>
        <w:spacing w:lineRule="auto" w:line="360"/>
        <w:jc w:val="both"/>
        <w:rPr>
          <w:rStyle w:val="style4114"/>
          <w:rFonts w:ascii="Times New Roman" w:hAnsi="Times New Roman"/>
          <w:sz w:val="28"/>
          <w:szCs w:val="28"/>
        </w:rPr>
      </w:pPr>
      <w:r>
        <w:rPr>
          <w:rStyle w:val="style4114"/>
          <w:rFonts w:ascii="Times New Roman" w:hAnsi="Times New Roman"/>
          <w:sz w:val="28"/>
          <w:szCs w:val="28"/>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w:t>
      </w:r>
      <w:r>
        <w:rPr>
          <w:rStyle w:val="style4114"/>
          <w:rFonts w:ascii="Times New Roman" w:hAnsi="Times New Roman"/>
          <w:sz w:val="28"/>
          <w:szCs w:val="28"/>
        </w:rPr>
        <w:t>(Akerele,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pPr>
        <w:pStyle w:val="style94"/>
        <w:spacing w:lineRule="auto" w:line="360"/>
        <w:jc w:val="both"/>
        <w:rPr>
          <w:sz w:val="28"/>
          <w:szCs w:val="28"/>
        </w:rPr>
      </w:pPr>
      <w:r>
        <w:rPr>
          <w:sz w:val="28"/>
          <w:szCs w:val="28"/>
        </w:rPr>
        <w:t xml:space="preserve">Herbal medicine is conceived from different points of view depending on the place where it is used, but its definitions have the same conception, that is, it is the use of plants or parts of the plant to treat a disease and achieve health wellness. The </w:t>
      </w:r>
      <w:r>
        <w:rPr>
          <w:rStyle w:val="style4115"/>
          <w:sz w:val="28"/>
          <w:szCs w:val="28"/>
        </w:rPr>
        <w:t>herbal medicines</w:t>
      </w:r>
      <w:r>
        <w:rPr>
          <w:sz w:val="28"/>
          <w:szCs w:val="28"/>
        </w:rPr>
        <w:t xml:space="preserve"> include herbs, herbal materials, herbal preparations, and finished herbal products that contain as active ingredient parts of plants, or other plant materials, or combinations (WHO, 2019).</w:t>
      </w:r>
    </w:p>
    <w:p>
      <w:pPr>
        <w:pStyle w:val="style94"/>
        <w:spacing w:lineRule="auto" w:line="360"/>
        <w:jc w:val="both"/>
        <w:rPr>
          <w:sz w:val="28"/>
          <w:szCs w:val="28"/>
        </w:rPr>
      </w:pPr>
      <w:r>
        <w:rPr>
          <w:sz w:val="28"/>
          <w:szCs w:val="28"/>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w:t>
      </w:r>
      <w:r>
        <w:rPr>
          <w:sz w:val="28"/>
          <w:szCs w:val="28"/>
        </w:rPr>
        <w:t>Lara Caldera, &amp; Ruiz Morales, 2010). Much of the herbal remedies are obtained by alcoholic, acetonic, or aqueous extraction and sometimes without manipulation of seeds, leaves, stem, bark, or roots of these plants (Carrillo Esper et al., 2010).</w:t>
      </w:r>
    </w:p>
    <w:p>
      <w:pPr>
        <w:pStyle w:val="style94"/>
        <w:spacing w:lineRule="auto" w:line="360"/>
        <w:jc w:val="both"/>
        <w:rPr>
          <w:sz w:val="28"/>
          <w:szCs w:val="28"/>
        </w:rPr>
      </w:pPr>
      <w:r>
        <w:rPr>
          <w:sz w:val="28"/>
          <w:szCs w:val="28"/>
        </w:rPr>
        <w:t>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pPr>
        <w:pStyle w:val="style0"/>
        <w:tabs>
          <w:tab w:val="left" w:leader="none" w:pos="3420"/>
        </w:tabs>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Archaeological evidence indicates that the use of </w:t>
      </w:r>
      <w:r>
        <w:rPr/>
        <w:fldChar w:fldCharType="begin"/>
      </w:r>
      <w:r>
        <w:instrText xml:space="preserve"> HYPERLINK "https://en.wikipedia.org/wiki/Medicinal_plant" \o "Medicinal plant" </w:instrText>
      </w:r>
      <w:r>
        <w:rPr/>
        <w:fldChar w:fldCharType="separate"/>
      </w:r>
      <w:r>
        <w:rPr>
          <w:rStyle w:val="style87"/>
          <w:rFonts w:ascii="Times New Roman" w:hAnsi="Times New Roman"/>
          <w:b w:val="false"/>
          <w:sz w:val="28"/>
          <w:szCs w:val="28"/>
        </w:rPr>
        <w:t>medicinal plants</w:t>
      </w:r>
      <w:r>
        <w:rPr/>
        <w:fldChar w:fldCharType="end"/>
      </w:r>
      <w:r>
        <w:rPr>
          <w:rStyle w:val="style87"/>
          <w:rFonts w:ascii="Times New Roman" w:hAnsi="Times New Roman"/>
          <w:b w:val="false"/>
          <w:sz w:val="28"/>
          <w:szCs w:val="28"/>
        </w:rPr>
        <w:t xml:space="preserve"> dates back to the </w:t>
      </w:r>
      <w:r>
        <w:rPr/>
        <w:fldChar w:fldCharType="begin"/>
      </w:r>
      <w:r>
        <w:instrText xml:space="preserve"> HYPERLINK "https://en.wikipedia.org/wiki/Paleolithic" \o "Paleolithic" </w:instrText>
      </w:r>
      <w:r>
        <w:rPr/>
        <w:fldChar w:fldCharType="separate"/>
      </w:r>
      <w:r>
        <w:rPr>
          <w:rStyle w:val="style87"/>
          <w:rFonts w:ascii="Times New Roman" w:hAnsi="Times New Roman"/>
          <w:b w:val="false"/>
          <w:sz w:val="28"/>
          <w:szCs w:val="28"/>
        </w:rPr>
        <w:t>Paleolithic</w:t>
      </w:r>
      <w:r>
        <w:rPr/>
        <w:fldChar w:fldCharType="end"/>
      </w:r>
      <w:r>
        <w:rPr>
          <w:rStyle w:val="style87"/>
          <w:rFonts w:ascii="Times New Roman" w:hAnsi="Times New Roman"/>
          <w:b w:val="false"/>
          <w:sz w:val="28"/>
          <w:szCs w:val="28"/>
        </w:rPr>
        <w:t xml:space="preserve"> age, approximately 60,000 years ago. Written evidence of herbal remedies dates back over 5,000 years to the </w:t>
      </w:r>
      <w:r>
        <w:rPr/>
        <w:fldChar w:fldCharType="begin"/>
      </w:r>
      <w:r>
        <w:instrText xml:space="preserve"> HYPERLINK "https://en.wikipedia.org/wiki/Sumer" \o "Sumer" </w:instrText>
      </w:r>
      <w:r>
        <w:rPr/>
        <w:fldChar w:fldCharType="separate"/>
      </w:r>
      <w:r>
        <w:rPr>
          <w:rStyle w:val="style87"/>
          <w:rFonts w:ascii="Times New Roman" w:hAnsi="Times New Roman"/>
          <w:b w:val="false"/>
          <w:sz w:val="28"/>
          <w:szCs w:val="28"/>
        </w:rPr>
        <w:t>Sumerians</w:t>
      </w:r>
      <w:r>
        <w:rPr/>
        <w:fldChar w:fldCharType="end"/>
      </w:r>
      <w:r>
        <w:rPr>
          <w:rStyle w:val="style87"/>
          <w:rFonts w:ascii="Times New Roman" w:hAnsi="Times New Roman"/>
          <w:b w:val="false"/>
          <w:sz w:val="28"/>
          <w:szCs w:val="28"/>
        </w:rPr>
        <w:t xml:space="preserve">, who compiled lists of plants. Some ancient cultures wrote about plants and their medical uses in books called </w:t>
      </w:r>
      <w:r>
        <w:rPr/>
        <w:fldChar w:fldCharType="begin"/>
      </w:r>
      <w:r>
        <w:instrText xml:space="preserve"> HYPERLINK "https://en.wikipedia.org/wiki/Herbal" \o "Herbal" </w:instrText>
      </w:r>
      <w:r>
        <w:rPr/>
        <w:fldChar w:fldCharType="separate"/>
      </w:r>
      <w:r>
        <w:rPr>
          <w:rStyle w:val="style87"/>
          <w:rFonts w:ascii="Times New Roman" w:hAnsi="Times New Roman"/>
          <w:b w:val="false"/>
          <w:sz w:val="28"/>
          <w:szCs w:val="28"/>
        </w:rPr>
        <w:t>herbals</w:t>
      </w:r>
      <w:r>
        <w:rPr/>
        <w:fldChar w:fldCharType="end"/>
      </w:r>
      <w:r>
        <w:rPr>
          <w:rStyle w:val="style87"/>
          <w:rFonts w:ascii="Times New Roman" w:hAnsi="Times New Roman"/>
          <w:b w:val="false"/>
          <w:sz w:val="28"/>
          <w:szCs w:val="28"/>
        </w:rPr>
        <w:t xml:space="preserve">. In ancient Egypt, herbs were mentioned in </w:t>
      </w:r>
      <w:r>
        <w:rPr/>
        <w:fldChar w:fldCharType="begin"/>
      </w:r>
      <w:r>
        <w:instrText xml:space="preserve"> HYPERLINK "https://en.wikipedia.org/wiki/Egyptian_medical_papyri" \o "Egyptian medical papyri" </w:instrText>
      </w:r>
      <w:r>
        <w:rPr/>
        <w:fldChar w:fldCharType="separate"/>
      </w:r>
      <w:r>
        <w:rPr>
          <w:rStyle w:val="style87"/>
          <w:rFonts w:ascii="Times New Roman" w:hAnsi="Times New Roman"/>
          <w:b w:val="false"/>
          <w:sz w:val="28"/>
          <w:szCs w:val="28"/>
        </w:rPr>
        <w:t>Egyptian medical papyri</w:t>
      </w:r>
      <w:r>
        <w:rPr/>
        <w:fldChar w:fldCharType="end"/>
      </w:r>
      <w:r>
        <w:rPr>
          <w:rStyle w:val="style87"/>
          <w:rFonts w:ascii="Times New Roman" w:hAnsi="Times New Roman"/>
          <w:b w:val="false"/>
          <w:sz w:val="28"/>
          <w:szCs w:val="28"/>
        </w:rPr>
        <w:t xml:space="preserve">, depicted in tomb illustrations, or on rare occasions found in medical jars containing trace amounts of herbs. In ancient Egypt, the </w:t>
      </w:r>
      <w:r>
        <w:rPr/>
        <w:fldChar w:fldCharType="begin"/>
      </w:r>
      <w:r>
        <w:instrText xml:space="preserve"> HYPERLINK "https://en.wikipedia.org/wiki/Ebers_papyrus" \o "Ebers papyrus" </w:instrText>
      </w:r>
      <w:r>
        <w:rPr/>
        <w:fldChar w:fldCharType="separate"/>
      </w:r>
      <w:r>
        <w:rPr>
          <w:rStyle w:val="style87"/>
          <w:rFonts w:ascii="Times New Roman" w:hAnsi="Times New Roman"/>
          <w:b w:val="false"/>
          <w:sz w:val="28"/>
          <w:szCs w:val="28"/>
        </w:rPr>
        <w:t>Ebers</w:t>
      </w:r>
      <w:r>
        <w:rPr>
          <w:rStyle w:val="style87"/>
          <w:rFonts w:ascii="Times New Roman" w:hAnsi="Times New Roman"/>
          <w:b w:val="false"/>
          <w:sz w:val="28"/>
          <w:szCs w:val="28"/>
        </w:rPr>
        <w:t xml:space="preserve"> papyrus</w:t>
      </w:r>
      <w:r>
        <w:rPr/>
        <w:fldChar w:fldCharType="end"/>
      </w:r>
      <w:r>
        <w:rPr>
          <w:rStyle w:val="style87"/>
          <w:rFonts w:ascii="Times New Roman" w:hAnsi="Times New Roman"/>
          <w:b w:val="false"/>
          <w:sz w:val="28"/>
          <w:szCs w:val="28"/>
        </w:rPr>
        <w:t xml:space="preserve"> dates from about 1550  BCE, and covers more than 700 compounds, mainly of plant origin. The earliest known </w:t>
      </w:r>
      <w:r>
        <w:rPr/>
        <w:fldChar w:fldCharType="begin"/>
      </w:r>
      <w:r>
        <w:instrText xml:space="preserve"> HYPERLINK "https://en.wikipedia.org/wiki/Ancient_Greece" \o "Ancient Greece"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herbals came from </w:t>
      </w:r>
      <w:r>
        <w:rPr/>
        <w:fldChar w:fldCharType="begin"/>
      </w:r>
      <w:r>
        <w:instrText xml:space="preserve"> HYPERLINK "https://en.wikipedia.org/wiki/Theophrastus" \o "Theophrastus" </w:instrText>
      </w:r>
      <w:r>
        <w:rPr/>
        <w:fldChar w:fldCharType="separate"/>
      </w:r>
      <w:r>
        <w:rPr>
          <w:rStyle w:val="style87"/>
          <w:rFonts w:ascii="Times New Roman" w:hAnsi="Times New Roman"/>
          <w:b w:val="false"/>
          <w:sz w:val="28"/>
          <w:szCs w:val="28"/>
        </w:rPr>
        <w:t>Theophrastus</w:t>
      </w:r>
      <w:r>
        <w:rPr/>
        <w:fldChar w:fldCharType="end"/>
      </w:r>
      <w:r>
        <w:rPr>
          <w:rStyle w:val="style87"/>
          <w:rFonts w:ascii="Times New Roman" w:hAnsi="Times New Roman"/>
          <w:b w:val="false"/>
          <w:sz w:val="28"/>
          <w:szCs w:val="28"/>
        </w:rPr>
        <w:t xml:space="preserve"> of Eresos who, in the 4th century BCE, wrote in </w:t>
      </w:r>
      <w:r>
        <w:rPr/>
        <w:fldChar w:fldCharType="begin"/>
      </w:r>
      <w:r>
        <w:instrText xml:space="preserve"> HYPERLINK "https://en.wikipedia.org/wiki/Greek_language" \o "Greek language" </w:instrText>
      </w:r>
      <w:r>
        <w:rPr/>
        <w:fldChar w:fldCharType="separate"/>
      </w:r>
      <w:r>
        <w:rPr>
          <w:rStyle w:val="style87"/>
          <w:rFonts w:ascii="Times New Roman" w:hAnsi="Times New Roman"/>
          <w:b w:val="false"/>
          <w:sz w:val="28"/>
          <w:szCs w:val="28"/>
        </w:rPr>
        <w:t>Greek</w:t>
      </w:r>
      <w:r>
        <w:rPr/>
        <w:fldChar w:fldCharType="end"/>
      </w:r>
      <w:r>
        <w:rPr>
          <w:rStyle w:val="style87"/>
          <w:rFonts w:ascii="Times New Roman" w:hAnsi="Times New Roman"/>
          <w:b w:val="false"/>
          <w:sz w:val="28"/>
          <w:szCs w:val="28"/>
        </w:rPr>
        <w:t xml:space="preserve"> </w:t>
      </w:r>
      <w:r>
        <w:rPr/>
        <w:fldChar w:fldCharType="begin"/>
      </w:r>
      <w:r>
        <w:instrText xml:space="preserve"> HYPERLINK "https://en.wikipedia.org/wiki/Historia_Plantarum_(Theophrastus)" \o "Historia Plantarum (Theophrastus)" </w:instrText>
      </w:r>
      <w:r>
        <w:rPr/>
        <w:fldChar w:fldCharType="separate"/>
      </w:r>
      <w:r>
        <w:rPr>
          <w:rStyle w:val="style87"/>
          <w:rFonts w:ascii="Times New Roman" w:hAnsi="Times New Roman"/>
          <w:b w:val="false"/>
          <w:sz w:val="28"/>
          <w:szCs w:val="28"/>
        </w:rPr>
        <w:t>Historia Plantarum</w:t>
      </w:r>
      <w:r>
        <w:rPr/>
        <w:fldChar w:fldCharType="end"/>
      </w:r>
      <w:r>
        <w:rPr>
          <w:rStyle w:val="style87"/>
          <w:rFonts w:ascii="Times New Roman" w:hAnsi="Times New Roman"/>
          <w:b w:val="false"/>
          <w:sz w:val="28"/>
          <w:szCs w:val="28"/>
        </w:rPr>
        <w:t xml:space="preserve">, from </w:t>
      </w:r>
      <w:r>
        <w:rPr/>
        <w:fldChar w:fldCharType="begin"/>
      </w:r>
      <w:r>
        <w:instrText xml:space="preserve"> HYPERLINK "https://en.wikipedia.org/wiki/Diocles_of_Carystus" \o "Diocles of Carystus" </w:instrText>
      </w:r>
      <w:r>
        <w:rPr/>
        <w:fldChar w:fldCharType="separate"/>
      </w:r>
      <w:r>
        <w:rPr>
          <w:rStyle w:val="style87"/>
          <w:rFonts w:ascii="Times New Roman" w:hAnsi="Times New Roman"/>
          <w:b w:val="false"/>
          <w:sz w:val="28"/>
          <w:szCs w:val="28"/>
        </w:rPr>
        <w:t>Diocles</w:t>
      </w:r>
      <w:r>
        <w:rPr>
          <w:rStyle w:val="style87"/>
          <w:rFonts w:ascii="Times New Roman" w:hAnsi="Times New Roman"/>
          <w:b w:val="false"/>
          <w:sz w:val="28"/>
          <w:szCs w:val="28"/>
        </w:rPr>
        <w:t xml:space="preserve"> of </w:t>
      </w:r>
      <w:r>
        <w:rPr>
          <w:rStyle w:val="style87"/>
          <w:rFonts w:ascii="Times New Roman" w:hAnsi="Times New Roman"/>
          <w:b w:val="false"/>
          <w:sz w:val="28"/>
          <w:szCs w:val="28"/>
        </w:rPr>
        <w:t>Carystus</w:t>
      </w:r>
      <w:r>
        <w:rPr/>
        <w:fldChar w:fldCharType="end"/>
      </w:r>
      <w:r>
        <w:rPr>
          <w:rStyle w:val="style87"/>
          <w:rFonts w:ascii="Times New Roman" w:hAnsi="Times New Roman"/>
          <w:b w:val="false"/>
          <w:sz w:val="28"/>
          <w:szCs w:val="28"/>
        </w:rPr>
        <w:t xml:space="preserve"> who wrote during the 3rd century BCE, and from Krateuas who wrote in the 1st century BCE. Only a few fragments </w:t>
      </w:r>
      <w:r>
        <w:rPr>
          <w:rStyle w:val="style87"/>
          <w:rFonts w:ascii="Times New Roman" w:hAnsi="Times New Roman"/>
          <w:b w:val="false"/>
          <w:sz w:val="28"/>
          <w:szCs w:val="28"/>
        </w:rPr>
        <w:t>of these works have survived intact, but from what remains, scholars have noted an overlap with the Egyptian herbals.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(also called herbalism, phytomedicine or phytotherapy) is the study of pharmacognosy and the use of medicinal plants, which are a basis of traditional medicine. Scientific evidence for the effectiveness of many herbal treatments remains limited, prompting ongoing regulatory evaluation and research into their safety and efficacy. Standards for purity or dosage are generally not provided. The scope of herbal medicine sometimes includes fungal and bee products, as well as minerals, shells and certain animal parts.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Since ancient times, herbal medicines have been used by many different counties throughout the world to treat illnesses and to assist bodily functions. The use of herbal medicines in human health care has developed substantially in both developed and developing countries and it is continually expanding. About 60 to 80 % of the population of every country of the developing world relies on herbal or indigenous forms of medicine. The reasons for the patronage of herbal medicine are the high cost of very effective antibiotics and the problem of antibiotic resistance which is very common in developing countries. The World Health Organization survey indicated that about 70–80 % of the world population particularly in developing countries rely on non-conventional medicines mainly of herbal origins for their primary health care.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use of herbal medicine has always been part of human culture, as some plants possess important therapeutic properties, which can be used to cure </w:t>
      </w:r>
      <w:r>
        <w:rPr>
          <w:rStyle w:val="style87"/>
          <w:rFonts w:ascii="Times New Roman" w:hAnsi="Times New Roman"/>
          <w:b w:val="false"/>
          <w:sz w:val="28"/>
          <w:szCs w:val="28"/>
        </w:rPr>
        <w:t xml:space="preserve">human and other animal diseases. The use of these herbal remedies have increased significantly in the last two to three decades in Nigeria. This has led to the production of herbal products with bogus claims that it can cure all forms of ailments. With the ever increasing use of herbal medicines and the global expansion of the herbal medicines market, safety has become a concern for both health authorities and the public at large.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w:t>
      </w:r>
      <w:r>
        <w:rPr>
          <w:rStyle w:val="style87"/>
          <w:rFonts w:ascii="Times New Roman" w:hAnsi="Times New Roman"/>
          <w:b w:val="false"/>
          <w:sz w:val="28"/>
          <w:szCs w:val="28"/>
        </w:rPr>
        <w:t>majority of the people particularly in the rural areas and the reservations by the public due to prevalence of fake, substandard or counterfeit drugs in the market.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this herbal medicines by unlicensed vendors with no or poor educational levels and also poor knowledge of food hygiene.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storage conditions of crude and processed medicinal-plant materials are also not left out in the contamination of this herbal medicine. The presence of microbial contaminant in non-sterile pharmaceutical products can reduce or even inactivate the therapeutic activity of the products and has the potential to adversely affect patients taking the medicines. It is desirable that the microbiological status of medicinal plant which is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w:t>
      </w:r>
      <w:r>
        <w:rPr>
          <w:rStyle w:val="style87"/>
          <w:rFonts w:ascii="Times New Roman" w:hAnsi="Times New Roman"/>
          <w:b w:val="false"/>
          <w:sz w:val="28"/>
          <w:szCs w:val="28"/>
        </w:rPr>
        <w:t>is the same as what is stated on the outside label and that it is free from contaminations.</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Paraherbalism is the pseudoscientific use of plant or animal extracts as medicine, relying on unproven beliefs about the safety and effectiveness of minimally processed natural substances.</w:t>
      </w:r>
    </w:p>
    <w:p>
      <w:pPr>
        <w:pStyle w:val="style0"/>
        <w:spacing w:lineRule="auto" w:line="360"/>
        <w:ind w:firstLine="720"/>
        <w:jc w:val="both"/>
        <w:rPr>
          <w:rStyle w:val="style87"/>
          <w:rFonts w:ascii="Times New Roman" w:hAnsi="Times New Roman"/>
          <w:b w:val="false"/>
          <w:sz w:val="28"/>
          <w:szCs w:val="28"/>
        </w:rPr>
      </w:pPr>
      <w:r>
        <w:rPr>
          <w:rStyle w:val="style87"/>
          <w:rFonts w:ascii="Times New Roman" w:hAnsi="Times New Roman"/>
          <w:b w:val="false"/>
          <w:sz w:val="28"/>
          <w:szCs w:val="28"/>
        </w:rPr>
        <w:t>Herbal medicine has been used since at least the Paleolithic era, with written records from ancient Sumer, Egypt, Greece, China, and India documenting its development and application over millennia.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Herbalists believe that plants, having evolved defenses against environmental stressors, produce beneficial phytochemicals, often extracted from roots or leaves, that can be used in medicine.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Sick animals often seek out and eat plants containing compounds like tannins and alkaloids to help purge parasites—a behavior observed by scientists and sometimes cited by indigenous healers as the source of their knowledge.</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w:t>
      </w:r>
      <w:r>
        <w:rPr>
          <w:rStyle w:val="style87"/>
          <w:rFonts w:ascii="Times New Roman" w:hAnsi="Times New Roman"/>
          <w:b w:val="false"/>
          <w:sz w:val="28"/>
          <w:szCs w:val="28"/>
        </w:rPr>
        <w:t xml:space="preserve">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Pr>
          <w:rStyle w:val="style4113"/>
          <w:rFonts w:ascii="Times New Roman" w:hAnsi="Times New Roman"/>
          <w:sz w:val="28"/>
          <w:szCs w:val="28"/>
        </w:rPr>
        <w:t>(Osuntokun OT, et al., Duan Q, Zhou M, etal.,)</w:t>
      </w:r>
    </w:p>
    <w:p>
      <w:pPr>
        <w:pStyle w:val="style0"/>
        <w:spacing w:lineRule="auto" w:line="360"/>
        <w:jc w:val="both"/>
        <w:rPr>
          <w:rStyle w:val="style87"/>
          <w:rFonts w:ascii="Times New Roman" w:hAnsi="Times New Roman"/>
          <w:b w:val="false"/>
          <w:sz w:val="28"/>
          <w:szCs w:val="28"/>
        </w:rPr>
      </w:pPr>
    </w:p>
    <w:p>
      <w:pPr>
        <w:pStyle w:val="style0"/>
        <w:spacing w:lineRule="auto" w:line="360"/>
        <w:jc w:val="both"/>
        <w:rPr>
          <w:rStyle w:val="style87"/>
          <w:rFonts w:ascii="Times New Roman" w:hAnsi="Times New Roman"/>
          <w:b w:val="false"/>
          <w:sz w:val="28"/>
          <w:szCs w:val="28"/>
        </w:rPr>
      </w:pPr>
      <w:r>
        <w:rPr>
          <w:rStyle w:val="style87"/>
          <w:rFonts w:ascii="Times New Roman" w:hAnsi="Times New Roman"/>
          <w:b w:val="false"/>
          <w:sz w:val="28"/>
          <w:szCs w:val="28"/>
        </w:rPr>
        <w:t>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pPr>
        <w:pStyle w:val="style0"/>
        <w:spacing w:lineRule="auto" w:line="480"/>
        <w:jc w:val="both"/>
        <w:rPr>
          <w:rFonts w:ascii="Times New Roman" w:hAnsi="Times New Roman"/>
          <w:sz w:val="28"/>
          <w:szCs w:val="28"/>
        </w:rPr>
      </w:pPr>
      <w:r>
        <w:rPr>
          <w:rFonts w:ascii="Times New Roman" w:hAnsi="Times New Roman"/>
          <w:sz w:val="28"/>
          <w:szCs w:val="28"/>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w:t>
      </w:r>
      <w:r>
        <w:rPr>
          <w:rFonts w:ascii="Times New Roman" w:hAnsi="Times New Roman"/>
          <w:sz w:val="28"/>
          <w:szCs w:val="28"/>
        </w:rPr>
        <w:t>rapid decline in the Western countries when more predictable synthetic drugs were made commonly available. In contrast, many developing countries continued to get benefit from the rich knowledge of medical herbalist.</w:t>
      </w:r>
    </w:p>
    <w:p>
      <w:pPr>
        <w:pStyle w:val="style0"/>
        <w:spacing w:lineRule="auto" w:line="480"/>
        <w:jc w:val="both"/>
        <w:rPr>
          <w:rFonts w:ascii="Times New Roman" w:hAnsi="Times New Roman"/>
          <w:b/>
          <w:sz w:val="28"/>
          <w:szCs w:val="28"/>
        </w:rPr>
      </w:pPr>
      <w:r>
        <w:rPr>
          <w:rFonts w:ascii="Times New Roman" w:hAnsi="Times New Roman"/>
          <w:b/>
          <w:sz w:val="28"/>
          <w:szCs w:val="28"/>
        </w:rPr>
        <w:t>2.2 Microbial Contamination in Herbal Products</w:t>
      </w:r>
    </w:p>
    <w:p>
      <w:pPr>
        <w:pStyle w:val="style0"/>
        <w:spacing w:lineRule="auto" w:line="480"/>
        <w:jc w:val="both"/>
        <w:rPr>
          <w:rFonts w:ascii="Times New Roman" w:hAnsi="Times New Roman"/>
          <w:sz w:val="28"/>
          <w:szCs w:val="28"/>
        </w:rPr>
      </w:pPr>
      <w:r>
        <w:rPr>
          <w:rFonts w:ascii="Times New Roman" w:hAnsi="Times New Roman"/>
          <w:sz w:val="28"/>
          <w:szCs w:val="28"/>
        </w:rPr>
        <w:t>Herbal products, often marketed as natural remedies, are susceptible to microbial contamination during cultivation, processing, storage, and distribution. Contaminants may include bacteria, fungi, or their metabolites, posing risks to consumer health.</w:t>
      </w:r>
    </w:p>
    <w:tbl>
      <w:tblPr>
        <w:tblStyle w:val="style154"/>
        <w:tblW w:w="0" w:type="auto"/>
        <w:tblLook w:val="04A0" w:firstRow="1" w:lastRow="0" w:firstColumn="1" w:lastColumn="0" w:noHBand="0" w:noVBand="1"/>
      </w:tblPr>
      <w:tblGrid>
        <w:gridCol w:w="703"/>
        <w:gridCol w:w="1909"/>
        <w:gridCol w:w="2069"/>
        <w:gridCol w:w="3961"/>
      </w:tblGrid>
      <w:tr>
        <w:trPr/>
        <w:tc>
          <w:tcPr>
            <w:tcW w:w="652"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S/N</w:t>
            </w:r>
          </w:p>
        </w:tc>
        <w:tc>
          <w:tcPr>
            <w:tcW w:w="1943"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ORGANISMS</w:t>
            </w:r>
          </w:p>
        </w:tc>
        <w:tc>
          <w:tcPr>
            <w:tcW w:w="2237"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EXAMPLES</w:t>
            </w:r>
          </w:p>
        </w:tc>
        <w:tc>
          <w:tcPr>
            <w:tcW w:w="4744" w:type="dxa"/>
            <w:tcBorders/>
          </w:tcPr>
          <w:p>
            <w:pPr>
              <w:pStyle w:val="style0"/>
              <w:spacing w:after="0" w:lineRule="auto" w:line="480"/>
              <w:jc w:val="center"/>
              <w:rPr>
                <w:rFonts w:ascii="Times New Roman" w:hAnsi="Times New Roman"/>
                <w:b/>
                <w:sz w:val="28"/>
                <w:szCs w:val="28"/>
              </w:rPr>
            </w:pPr>
            <w:r>
              <w:rPr>
                <w:rFonts w:ascii="Times New Roman" w:hAnsi="Times New Roman"/>
                <w:b/>
                <w:sz w:val="28"/>
                <w:szCs w:val="28"/>
              </w:rPr>
              <w:t>RISK POSTING</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1</w:t>
            </w:r>
          </w:p>
        </w:tc>
        <w:tc>
          <w:tcPr>
            <w:tcW w:w="1943" w:type="dxa"/>
            <w:vMerge w:val="restart"/>
            <w:tcBorders/>
          </w:tcPr>
          <w:p>
            <w:pPr>
              <w:pStyle w:val="style0"/>
              <w:spacing w:after="0" w:lineRule="auto" w:line="480"/>
              <w:jc w:val="center"/>
              <w:rPr>
                <w:rFonts w:ascii="Times New Roman" w:hAnsi="Times New Roman"/>
                <w:sz w:val="28"/>
                <w:szCs w:val="28"/>
              </w:rPr>
            </w:pPr>
            <w:r>
              <w:rPr>
                <w:rStyle w:val="style87"/>
                <w:rFonts w:ascii="Times New Roman" w:hAnsi="Times New Roman"/>
                <w:sz w:val="28"/>
                <w:szCs w:val="28"/>
              </w:rPr>
              <w:t>Bacteria</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Escherichia coli</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Indicates fecal contamination and poor hygiene during production.</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Salmonella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cause severe gastrointestinal infections</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before="100" w:beforeAutospacing="true" w:after="0" w:lineRule="auto" w:line="480"/>
              <w:jc w:val="center"/>
              <w:rPr>
                <w:rFonts w:ascii="Times New Roman" w:hAnsi="Times New Roman"/>
                <w:b/>
                <w:sz w:val="28"/>
                <w:szCs w:val="28"/>
              </w:rPr>
            </w:pPr>
            <w:r>
              <w:rPr>
                <w:rStyle w:val="style88"/>
                <w:rFonts w:ascii="Times New Roman" w:hAnsi="Times New Roman"/>
                <w:b/>
                <w:sz w:val="28"/>
                <w:szCs w:val="28"/>
              </w:rPr>
              <w:t>Clostridium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Known for toxin production leading to botulism in extreme cases.</w:t>
            </w:r>
          </w:p>
        </w:tc>
      </w:tr>
      <w:tr>
        <w:tblPrEx/>
        <w:trPr/>
        <w:tc>
          <w:tcPr>
            <w:tcW w:w="652" w:type="dxa"/>
            <w:vMerge w:val="restart"/>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2</w:t>
            </w:r>
          </w:p>
        </w:tc>
        <w:tc>
          <w:tcPr>
            <w:tcW w:w="1943" w:type="dxa"/>
            <w:vMerge w:val="restart"/>
            <w:tcBorders/>
          </w:tcPr>
          <w:p>
            <w:pPr>
              <w:pStyle w:val="style94"/>
              <w:spacing w:after="0" w:afterAutospacing="false" w:lineRule="auto" w:line="480"/>
              <w:jc w:val="center"/>
              <w:rPr>
                <w:sz w:val="28"/>
                <w:szCs w:val="28"/>
              </w:rPr>
            </w:pPr>
            <w:r>
              <w:rPr>
                <w:rStyle w:val="style87"/>
                <w:sz w:val="28"/>
                <w:szCs w:val="28"/>
              </w:rPr>
              <w:t>Fungi</w:t>
            </w: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Aspergillus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Produces aflatoxins, which are carcinogenic and hepatotoxic (Martins et al. 2012).</w:t>
            </w:r>
          </w:p>
        </w:tc>
      </w:tr>
      <w:tr>
        <w:tblPrEx/>
        <w:trPr/>
        <w:tc>
          <w:tcPr>
            <w:tcW w:w="652" w:type="dxa"/>
            <w:vMerge w:val="continue"/>
            <w:tcBorders/>
          </w:tcPr>
          <w:p>
            <w:pPr>
              <w:pStyle w:val="style0"/>
              <w:spacing w:after="0" w:lineRule="auto" w:line="480"/>
              <w:jc w:val="center"/>
              <w:rPr>
                <w:rFonts w:ascii="Times New Roman" w:hAnsi="Times New Roman"/>
                <w:sz w:val="28"/>
                <w:szCs w:val="28"/>
              </w:rPr>
            </w:pPr>
          </w:p>
        </w:tc>
        <w:tc>
          <w:tcPr>
            <w:tcW w:w="1943" w:type="dxa"/>
            <w:vMerge w:val="continue"/>
            <w:tcBorders/>
          </w:tcPr>
          <w:p>
            <w:pPr>
              <w:pStyle w:val="style0"/>
              <w:spacing w:after="0" w:lineRule="auto" w:line="480"/>
              <w:jc w:val="center"/>
              <w:rPr>
                <w:rFonts w:ascii="Times New Roman" w:hAnsi="Times New Roman"/>
                <w:sz w:val="28"/>
                <w:szCs w:val="28"/>
              </w:rPr>
            </w:pPr>
          </w:p>
        </w:tc>
        <w:tc>
          <w:tcPr>
            <w:tcW w:w="2237" w:type="dxa"/>
            <w:tcBorders/>
          </w:tcPr>
          <w:p>
            <w:pPr>
              <w:pStyle w:val="style0"/>
              <w:spacing w:after="0" w:lineRule="auto" w:line="480"/>
              <w:jc w:val="center"/>
              <w:rPr>
                <w:rFonts w:ascii="Times New Roman" w:hAnsi="Times New Roman"/>
                <w:b/>
                <w:sz w:val="28"/>
                <w:szCs w:val="28"/>
              </w:rPr>
            </w:pPr>
            <w:r>
              <w:rPr>
                <w:rStyle w:val="style88"/>
                <w:rFonts w:ascii="Times New Roman" w:hAnsi="Times New Roman"/>
                <w:b/>
                <w:sz w:val="28"/>
                <w:szCs w:val="28"/>
              </w:rPr>
              <w:t>Penicillium spp.</w:t>
            </w:r>
          </w:p>
        </w:tc>
        <w:tc>
          <w:tcPr>
            <w:tcW w:w="4744" w:type="dxa"/>
            <w:tcBorders/>
          </w:tcPr>
          <w:p>
            <w:pPr>
              <w:pStyle w:val="style0"/>
              <w:spacing w:after="0" w:lineRule="auto" w:line="480"/>
              <w:jc w:val="both"/>
              <w:rPr>
                <w:rFonts w:ascii="Times New Roman" w:hAnsi="Times New Roman"/>
                <w:sz w:val="28"/>
                <w:szCs w:val="28"/>
              </w:rPr>
            </w:pPr>
            <w:r>
              <w:rPr>
                <w:rFonts w:ascii="Times New Roman" w:hAnsi="Times New Roman"/>
                <w:sz w:val="28"/>
                <w:szCs w:val="28"/>
              </w:rPr>
              <w:t>Can produce harmful mycotoxins under improper storage conditions.</w:t>
            </w:r>
          </w:p>
        </w:tc>
      </w:tr>
      <w:tr>
        <w:tblPrEx/>
        <w:trPr/>
        <w:tc>
          <w:tcPr>
            <w:tcW w:w="652" w:type="dxa"/>
            <w:tcBorders/>
          </w:tcPr>
          <w:p>
            <w:pPr>
              <w:pStyle w:val="style0"/>
              <w:spacing w:after="0" w:lineRule="auto" w:line="480"/>
              <w:jc w:val="center"/>
              <w:rPr>
                <w:rFonts w:ascii="Times New Roman" w:hAnsi="Times New Roman"/>
                <w:sz w:val="28"/>
                <w:szCs w:val="28"/>
              </w:rPr>
            </w:pPr>
            <w:r>
              <w:rPr>
                <w:rFonts w:ascii="Times New Roman" w:hAnsi="Times New Roman"/>
                <w:sz w:val="28"/>
                <w:szCs w:val="28"/>
              </w:rPr>
              <w:t>3</w:t>
            </w:r>
          </w:p>
        </w:tc>
        <w:tc>
          <w:tcPr>
            <w:tcW w:w="1943" w:type="dxa"/>
            <w:tcBorders/>
          </w:tcPr>
          <w:p>
            <w:pPr>
              <w:pStyle w:val="style94"/>
              <w:spacing w:after="0" w:afterAutospacing="false" w:lineRule="auto" w:line="480"/>
              <w:jc w:val="center"/>
              <w:rPr>
                <w:sz w:val="28"/>
                <w:szCs w:val="28"/>
              </w:rPr>
            </w:pPr>
            <w:r>
              <w:rPr>
                <w:rStyle w:val="style87"/>
                <w:sz w:val="28"/>
                <w:szCs w:val="28"/>
              </w:rPr>
              <w:t>Yeasts and Molds</w:t>
            </w:r>
          </w:p>
        </w:tc>
        <w:tc>
          <w:tcPr>
            <w:tcW w:w="2237" w:type="dxa"/>
            <w:tcBorders/>
          </w:tcPr>
          <w:p>
            <w:pPr>
              <w:pStyle w:val="style0"/>
              <w:spacing w:after="0" w:lineRule="auto" w:line="480"/>
              <w:jc w:val="center"/>
              <w:rPr>
                <w:rFonts w:ascii="Times New Roman" w:hAnsi="Times New Roman"/>
                <w:b/>
                <w:sz w:val="28"/>
                <w:szCs w:val="28"/>
              </w:rPr>
            </w:pPr>
          </w:p>
        </w:tc>
        <w:tc>
          <w:tcPr>
            <w:tcW w:w="4744" w:type="dxa"/>
            <w:tcBorders/>
          </w:tcPr>
          <w:p>
            <w:pPr>
              <w:pStyle w:val="style0"/>
              <w:spacing w:before="100" w:beforeAutospacing="true" w:after="0" w:lineRule="auto" w:line="480"/>
              <w:rPr>
                <w:rFonts w:ascii="Times New Roman" w:hAnsi="Times New Roman"/>
                <w:sz w:val="28"/>
                <w:szCs w:val="28"/>
              </w:rPr>
            </w:pPr>
            <w:r>
              <w:rPr>
                <w:rFonts w:ascii="Times New Roman" w:hAnsi="Times New Roman"/>
                <w:sz w:val="28"/>
                <w:szCs w:val="28"/>
              </w:rPr>
              <w:t>These can grow during storage, especially in high-moisture environments, leading to spoilage and potential allergic reactions (Prakash et al. 2014).</w:t>
            </w:r>
          </w:p>
        </w:tc>
      </w:tr>
    </w:tbl>
    <w:p>
      <w:pPr>
        <w:pStyle w:val="style0"/>
        <w:spacing w:after="0" w:lineRule="auto" w:line="480"/>
        <w:jc w:val="both"/>
        <w:rPr>
          <w:rFonts w:ascii="Times New Roman" w:hAnsi="Times New Roman"/>
          <w:sz w:val="28"/>
          <w:szCs w:val="28"/>
        </w:rPr>
      </w:pPr>
    </w:p>
    <w:p>
      <w:pPr>
        <w:pStyle w:val="style0"/>
        <w:autoSpaceDE w:val="false"/>
        <w:autoSpaceDN w:val="false"/>
        <w:adjustRightInd w:val="false"/>
        <w:spacing w:before="240" w:lineRule="auto" w:line="480"/>
        <w:jc w:val="both"/>
        <w:rPr>
          <w:rFonts w:ascii="Times New Roman" w:hAnsi="Times New Roman"/>
          <w:sz w:val="28"/>
          <w:szCs w:val="28"/>
        </w:rPr>
      </w:pPr>
      <w:r>
        <w:rPr>
          <w:rFonts w:ascii="Times New Roman" w:hAnsi="Times New Roman"/>
          <w:sz w:val="28"/>
          <w:szCs w:val="28"/>
        </w:rPr>
        <w:t>Methods prescribed in the British Pharmacopoeia (2004) were used to test microbial quality of the herbal medicines</w:t>
      </w:r>
      <w:r>
        <w:rPr>
          <w:rFonts w:ascii="Times New Roman" w:hAnsi="Times New Roman"/>
          <w:b/>
          <w:bCs/>
          <w:sz w:val="28"/>
          <w:szCs w:val="28"/>
        </w:rPr>
        <w:t>10</w:t>
      </w:r>
      <w:r>
        <w:rPr>
          <w:rFonts w:ascii="Times New Roman" w:hAnsi="Times New Roman"/>
          <w:sz w:val="28"/>
          <w:szCs w:val="28"/>
        </w:rPr>
        <w:t xml:space="preserve">. In this general method, certain </w:t>
      </w:r>
      <w:r>
        <w:rPr>
          <w:rFonts w:ascii="Times New Roman" w:hAnsi="Times New Roman"/>
          <w:sz w:val="28"/>
          <w:szCs w:val="28"/>
        </w:rPr>
        <w:t xml:space="preserve">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Pr>
          <w:rFonts w:ascii="Times New Roman" w:hAnsi="Times New Roman"/>
          <w:i/>
          <w:iCs/>
          <w:sz w:val="28"/>
          <w:szCs w:val="28"/>
        </w:rPr>
        <w:t xml:space="preserve">Salmonella </w:t>
      </w:r>
      <w:r>
        <w:rPr>
          <w:rFonts w:ascii="Times New Roman" w:hAnsi="Times New Roman"/>
          <w:sz w:val="28"/>
          <w:szCs w:val="28"/>
        </w:rPr>
        <w:t xml:space="preserve">spp. and </w:t>
      </w:r>
      <w:r>
        <w:rPr>
          <w:rFonts w:ascii="Times New Roman" w:hAnsi="Times New Roman"/>
          <w:i/>
          <w:iCs/>
          <w:sz w:val="28"/>
          <w:szCs w:val="28"/>
        </w:rPr>
        <w:t xml:space="preserve">Shigella </w:t>
      </w:r>
      <w:r>
        <w:rPr>
          <w:rFonts w:ascii="Times New Roman" w:hAnsi="Times New Roman"/>
          <w:sz w:val="28"/>
          <w:szCs w:val="28"/>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Pr>
          <w:rFonts w:ascii="Times New Roman" w:hAnsi="Times New Roman"/>
          <w:sz w:val="28"/>
          <w:szCs w:val="28"/>
          <w:shd w:val="clear" w:color="auto" w:fill="ffffff"/>
        </w:rPr>
        <w:t>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pPr>
        <w:pStyle w:val="style0"/>
        <w:spacing w:lineRule="auto" w:line="480"/>
        <w:jc w:val="both"/>
        <w:rPr>
          <w:rFonts w:ascii="Times New Roman" w:hAnsi="Times New Roman"/>
          <w:b/>
          <w:sz w:val="28"/>
          <w:szCs w:val="28"/>
        </w:rPr>
      </w:pPr>
      <w:r>
        <w:rPr>
          <w:rFonts w:ascii="Times New Roman" w:hAnsi="Times New Roman"/>
          <w:b/>
          <w:sz w:val="28"/>
          <w:szCs w:val="28"/>
        </w:rPr>
        <w:t>2.3 Regulatory Standards for Microbial Loads in Herbal Medicines</w:t>
      </w:r>
    </w:p>
    <w:p>
      <w:pPr>
        <w:pStyle w:val="style0"/>
        <w:spacing w:lineRule="auto" w:line="480"/>
        <w:jc w:val="both"/>
        <w:rPr>
          <w:rFonts w:ascii="Times New Roman" w:hAnsi="Times New Roman"/>
          <w:sz w:val="28"/>
          <w:szCs w:val="28"/>
        </w:rPr>
      </w:pPr>
      <w:r>
        <w:rPr>
          <w:rFonts w:ascii="Times New Roman" w:hAnsi="Times New Roman"/>
          <w:sz w:val="28"/>
          <w:szCs w:val="28"/>
        </w:rPr>
        <w:t>The purpose of this document is to propose to Member States</w:t>
      </w:r>
      <w:r>
        <w:rPr>
          <w:rFonts w:ascii="Times New Roman" w:hAnsi="Times New Roman"/>
          <w:b/>
          <w:sz w:val="28"/>
          <w:szCs w:val="28"/>
        </w:rPr>
        <w:t xml:space="preserve"> a </w:t>
      </w:r>
      <w:r>
        <w:rPr>
          <w:rStyle w:val="style87"/>
          <w:rFonts w:ascii="Times New Roman" w:hAnsi="Times New Roman"/>
          <w:b w:val="false"/>
          <w:sz w:val="28"/>
          <w:szCs w:val="28"/>
        </w:rPr>
        <w:t>framework for facilitating the registration of traditional medicines</w:t>
      </w:r>
      <w:r>
        <w:rPr>
          <w:rFonts w:ascii="Times New Roman" w:hAnsi="Times New Roman"/>
          <w:b/>
          <w:sz w:val="28"/>
          <w:szCs w:val="28"/>
        </w:rPr>
        <w:t xml:space="preserve">. </w:t>
      </w:r>
      <w:r>
        <w:rPr>
          <w:rFonts w:ascii="Times New Roman" w:hAnsi="Times New Roman"/>
          <w:sz w:val="28"/>
          <w:szCs w:val="28"/>
        </w:rPr>
        <w:t>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w:t>
      </w:r>
    </w:p>
    <w:p>
      <w:pPr>
        <w:pStyle w:val="style94"/>
        <w:shd w:val="clear" w:color="auto" w:fill="ffffff"/>
        <w:spacing w:before="0" w:beforeAutospacing="false" w:after="286" w:afterAutospacing="false" w:lineRule="auto" w:line="480"/>
        <w:jc w:val="both"/>
        <w:rPr>
          <w:sz w:val="28"/>
          <w:szCs w:val="28"/>
        </w:rPr>
      </w:pPr>
      <w:r>
        <w:rPr>
          <w:sz w:val="28"/>
          <w:szCs w:val="28"/>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Many countries in the WHO African Region are encountering problems in providing their people with equitable access to health care; at present, only about one half of the population in the Region has access to conventional health care. Such considerations aside, traditional medicines continue to be popular for </w:t>
      </w:r>
      <w:r>
        <w:rPr>
          <w:sz w:val="28"/>
          <w:szCs w:val="28"/>
        </w:rPr>
        <w:t>both historical and cultural reasons. It has been estimated that around 80% of the population living in the WHO African Region rely on traditional forms of medicine to meet their health care needs. In countries for which more detailed data are available, the percentage of the population that uses traditional medicine ranges from 90% in Burundi and Ethiopia, to 80% in Burkina Faso, the Democratic Republic of Congo and South Africa; 70% in Benin, Cote d'Ivoire, Ghana, Mali and Rwanda and 60% in Tanzania and Uganda.</w:t>
      </w: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48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bookmarkStart w:id="0" w:name="_GoBack"/>
    <w:bookmarkEnd w:id="0"/>
    <w:p>
      <w:pPr>
        <w:pStyle w:val="style0"/>
        <w:spacing w:lineRule="auto" w:line="360"/>
        <w:jc w:val="both"/>
        <w:rPr>
          <w:rFonts w:ascii="Times New Roman" w:hAnsi="Times New Roman"/>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3</w:t>
      </w:r>
    </w:p>
    <w:p>
      <w:pPr>
        <w:pStyle w:val="style0"/>
        <w:spacing w:lineRule="auto" w:line="360"/>
        <w:jc w:val="center"/>
        <w:rPr>
          <w:rFonts w:ascii="Times New Roman" w:hAnsi="Times New Roman"/>
          <w:b/>
          <w:sz w:val="28"/>
          <w:szCs w:val="28"/>
        </w:rPr>
      </w:pPr>
      <w:r>
        <w:rPr>
          <w:rFonts w:ascii="Times New Roman" w:hAnsi="Times New Roman"/>
          <w:b/>
          <w:sz w:val="28"/>
          <w:szCs w:val="28"/>
        </w:rPr>
        <w:t>MATERIALS AND METHODS</w:t>
      </w:r>
    </w:p>
    <w:bookmarkStart w:id="1" w:name="_Toc16994170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3.1</w:t>
      </w:r>
      <w:r>
        <w:rPr>
          <w:rFonts w:ascii="Times New Roman" w:cs="Times New Roman" w:hAnsi="Times New Roman"/>
          <w:color w:val="auto"/>
          <w:sz w:val="28"/>
          <w:szCs w:val="28"/>
        </w:rPr>
        <w:tab/>
      </w:r>
      <w:r>
        <w:rPr>
          <w:rFonts w:ascii="Times New Roman" w:cs="Times New Roman" w:hAnsi="Times New Roman"/>
          <w:color w:val="auto"/>
          <w:sz w:val="28"/>
          <w:szCs w:val="28"/>
        </w:rPr>
        <w:t>Study Area</w:t>
      </w:r>
      <w:bookmarkEnd w:id="1"/>
    </w:p>
    <w:p>
      <w:pPr>
        <w:pStyle w:val="style66"/>
        <w:spacing w:lineRule="auto" w:line="480"/>
        <w:ind w:right="-46" w:firstLine="720"/>
        <w:jc w:val="both"/>
        <w:rPr>
          <w:sz w:val="28"/>
          <w:szCs w:val="28"/>
        </w:rPr>
      </w:pPr>
      <w:r>
        <w:rPr>
          <w:sz w:val="28"/>
          <w:szCs w:val="28"/>
        </w:rPr>
        <w:t xml:space="preserve">This study was carried out on a sealed herbal mixture sold in Ilorin, Kwara State. </w:t>
      </w:r>
    </w:p>
    <w:bookmarkStart w:id="2" w:name="_Toc169941709"/>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3.2</w:t>
      </w:r>
      <w:r>
        <w:rPr>
          <w:rFonts w:ascii="Times New Roman" w:cs="Times New Roman" w:hAnsi="Times New Roman"/>
          <w:color w:val="auto"/>
          <w:sz w:val="28"/>
          <w:szCs w:val="28"/>
        </w:rPr>
        <w:tab/>
      </w:r>
      <w:r>
        <w:rPr>
          <w:rFonts w:ascii="Times New Roman" w:cs="Times New Roman" w:hAnsi="Times New Roman"/>
          <w:color w:val="auto"/>
          <w:sz w:val="28"/>
          <w:szCs w:val="28"/>
        </w:rPr>
        <w:t>Sample Collection</w:t>
      </w:r>
      <w:bookmarkEnd w:id="2"/>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 (4) herbal concoction samples were randomly collected from four different herbal vendors in Ilorin, Kwara State. The herbal products includes were J, K,O and F. The samples were carefully and aseptically transported to the laboratory in their packages for analysis.</w:t>
      </w:r>
    </w:p>
    <w:bookmarkStart w:id="3" w:name="_Toc16994171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3.3</w:t>
      </w:r>
      <w:r>
        <w:rPr>
          <w:rFonts w:ascii="Times New Roman" w:cs="Times New Roman" w:hAnsi="Times New Roman"/>
          <w:color w:val="auto"/>
          <w:sz w:val="28"/>
          <w:szCs w:val="28"/>
        </w:rPr>
        <w:tab/>
      </w:r>
      <w:r>
        <w:rPr>
          <w:rFonts w:ascii="Times New Roman" w:cs="Times New Roman" w:hAnsi="Times New Roman"/>
          <w:color w:val="auto"/>
          <w:sz w:val="28"/>
          <w:szCs w:val="28"/>
        </w:rPr>
        <w:t>Preparation of Culture Media</w:t>
      </w:r>
      <w:bookmarkEnd w:id="3"/>
    </w:p>
    <w:p>
      <w:pPr>
        <w:pStyle w:val="style66"/>
        <w:kinsoku w:val="false"/>
        <w:overflowPunct w:val="false"/>
        <w:spacing w:lineRule="auto" w:line="480"/>
        <w:ind w:right="163" w:firstLine="700"/>
        <w:jc w:val="both"/>
        <w:rPr>
          <w:rFonts w:eastAsia="Georgia"/>
          <w:spacing w:val="-11"/>
          <w:sz w:val="28"/>
          <w:szCs w:val="28"/>
        </w:rPr>
      </w:pPr>
      <w:r>
        <w:rPr>
          <w:rFonts w:eastAsia="Georgia"/>
          <w:sz w:val="28"/>
          <w:szCs w:val="28"/>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w:t>
      </w:r>
      <w:r>
        <w:rPr>
          <w:color w:val="000000"/>
          <w:sz w:val="28"/>
          <w:szCs w:val="28"/>
        </w:rPr>
        <w:t>Potato Dextrose Agar</w:t>
      </w:r>
      <w:r>
        <w:rPr>
          <w:rFonts w:eastAsia="Georgia"/>
          <w:sz w:val="28"/>
          <w:szCs w:val="28"/>
        </w:rPr>
        <w:t>.</w:t>
      </w:r>
    </w:p>
    <w:bookmarkStart w:id="4" w:name="_Toc169941711"/>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3.4</w:t>
      </w:r>
      <w:r>
        <w:rPr>
          <w:rFonts w:ascii="Times New Roman" w:cs="Times New Roman" w:hAnsi="Times New Roman"/>
          <w:color w:val="auto"/>
          <w:sz w:val="28"/>
          <w:szCs w:val="28"/>
        </w:rPr>
        <w:tab/>
      </w:r>
      <w:r>
        <w:rPr>
          <w:rFonts w:ascii="Times New Roman" w:cs="Times New Roman" w:hAnsi="Times New Roman"/>
          <w:color w:val="auto"/>
          <w:sz w:val="28"/>
          <w:szCs w:val="28"/>
        </w:rPr>
        <w:t>Materials</w:t>
      </w:r>
      <w:bookmarkEnd w:id="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bookmarkStart w:id="5" w:name="_Toc84222888"/>
    <w:bookmarkStart w:id="6" w:name="_Toc169941712"/>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3.5</w:t>
      </w:r>
      <w:r>
        <w:rPr>
          <w:rFonts w:ascii="Times New Roman" w:cs="Times New Roman" w:hAnsi="Times New Roman"/>
          <w:color w:val="auto"/>
          <w:sz w:val="28"/>
          <w:szCs w:val="28"/>
        </w:rPr>
        <w:tab/>
      </w:r>
      <w:r>
        <w:rPr>
          <w:rFonts w:ascii="Times New Roman" w:cs="Times New Roman" w:hAnsi="Times New Roman"/>
          <w:color w:val="auto"/>
          <w:sz w:val="28"/>
          <w:szCs w:val="28"/>
        </w:rPr>
        <w:t>Bacteriological and Mycological Analysis</w:t>
      </w:r>
      <w:bookmarkEnd w:id="5"/>
      <w:bookmarkEnd w:id="6"/>
    </w:p>
    <w:bookmarkStart w:id="7" w:name="_Toc169941713"/>
    <w:p>
      <w:pPr>
        <w:pStyle w:val="style3"/>
        <w:spacing w:before="0" w:after="0" w:lineRule="auto" w:line="480"/>
        <w:rPr>
          <w:rFonts w:eastAsia="Calibri"/>
          <w:b w:val="false"/>
          <w:bCs w:val="false"/>
          <w:sz w:val="28"/>
          <w:szCs w:val="28"/>
        </w:rPr>
      </w:pPr>
      <w:r>
        <w:rPr>
          <w:sz w:val="28"/>
          <w:szCs w:val="28"/>
        </w:rPr>
        <w:t>3.5.1</w:t>
      </w:r>
      <w:r>
        <w:rPr>
          <w:sz w:val="28"/>
          <w:szCs w:val="28"/>
        </w:rPr>
        <w:tab/>
      </w:r>
      <w:r>
        <w:rPr>
          <w:sz w:val="28"/>
          <w:szCs w:val="28"/>
        </w:rPr>
        <w:t>Total Bacterial and Fungal Count</w:t>
      </w:r>
      <w:bookmarkEnd w:id="7"/>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Fourfold serial dilutions were carried out in (four) 4 test tubes. Nine milliliters (9 ml) of distilled water were pipette into the tubes and plugged with stopper and sterilized by autoclaving at 121</w:t>
      </w:r>
      <w:r>
        <w:rPr>
          <w:rFonts w:ascii="Times New Roman" w:hAnsi="Times New Roman"/>
          <w:sz w:val="28"/>
          <w:szCs w:val="28"/>
          <w:vertAlign w:val="superscript"/>
        </w:rPr>
        <w:t>o</w:t>
      </w:r>
      <w:r>
        <w:rPr>
          <w:rFonts w:ascii="Times New Roman" w:hAnsi="Times New Roman"/>
          <w:sz w:val="28"/>
          <w:szCs w:val="28"/>
        </w:rPr>
        <w:t>C at 15psi for 15 minutes and allowed to cool after it has been brought out from the autoclave. One milliliter (1 ml) of the sample was diluted serially using a sterile pipette. Test tubes 10</w:t>
      </w:r>
      <w:r>
        <w:rPr>
          <w:rFonts w:ascii="Times New Roman" w:hAnsi="Times New Roman"/>
          <w:sz w:val="28"/>
          <w:szCs w:val="28"/>
          <w:vertAlign w:val="superscript"/>
        </w:rPr>
        <w:t>3</w:t>
      </w:r>
      <w:r>
        <w:rPr>
          <w:rFonts w:ascii="Times New Roman" w:hAnsi="Times New Roman"/>
          <w:sz w:val="28"/>
          <w:szCs w:val="28"/>
        </w:rPr>
        <w:t xml:space="preserve"> were plated on the Potato Dextrsoe Agar (PDA) agar, test tube 10</w:t>
      </w:r>
      <w:r>
        <w:rPr>
          <w:rFonts w:ascii="Times New Roman" w:hAnsi="Times New Roman"/>
          <w:sz w:val="28"/>
          <w:szCs w:val="28"/>
          <w:vertAlign w:val="superscript"/>
        </w:rPr>
        <w:t>3</w:t>
      </w:r>
      <w:r>
        <w:rPr>
          <w:rFonts w:ascii="Times New Roman" w:hAnsi="Times New Roman"/>
          <w:sz w:val="28"/>
          <w:szCs w:val="28"/>
        </w:rPr>
        <w:t xml:space="preserve"> were plated on the Nutrient Agar (NA) agar all the volume of culture plated </w:t>
      </w:r>
      <w:r>
        <w:rPr>
          <w:rFonts w:ascii="Times New Roman" w:hAnsi="Times New Roman"/>
          <w:sz w:val="28"/>
          <w:szCs w:val="28"/>
        </w:rPr>
        <w:t>were 1ml. The plates were then incubated at 37</w:t>
      </w:r>
      <w:r>
        <w:rPr>
          <w:rFonts w:ascii="Times New Roman" w:hAnsi="Times New Roman"/>
          <w:sz w:val="28"/>
          <w:szCs w:val="28"/>
          <w:vertAlign w:val="superscript"/>
        </w:rPr>
        <w:t>o</w:t>
      </w:r>
      <w:r>
        <w:rPr>
          <w:rFonts w:ascii="Times New Roman" w:hAnsi="Times New Roman"/>
          <w:sz w:val="28"/>
          <w:szCs w:val="28"/>
        </w:rPr>
        <w:t>C for 24 hours for bacteria and fungi incubated at 27</w:t>
      </w:r>
      <w:r>
        <w:rPr>
          <w:rFonts w:ascii="Times New Roman" w:hAnsi="Times New Roman"/>
          <w:sz w:val="28"/>
          <w:szCs w:val="28"/>
          <w:vertAlign w:val="superscript"/>
        </w:rPr>
        <w:t>o</w:t>
      </w:r>
      <w:r>
        <w:rPr>
          <w:rFonts w:ascii="Times New Roman" w:hAnsi="Times New Roman"/>
          <w:sz w:val="28"/>
          <w:szCs w:val="28"/>
        </w:rPr>
        <w:t xml:space="preserve">C for 3-5 days respectively. At the end of 24 hours of incubation for bacteria and 3-5 days for fungi, standard bacterial count and fungal count were recorded. The count was expressed as colony forming units (CFU) as described by Okafo </w:t>
      </w:r>
      <w:r>
        <w:rPr>
          <w:rFonts w:ascii="Times New Roman" w:hAnsi="Times New Roman"/>
          <w:i/>
          <w:iCs/>
          <w:sz w:val="28"/>
          <w:szCs w:val="28"/>
        </w:rPr>
        <w:t xml:space="preserve">et al. </w:t>
      </w:r>
      <w:r>
        <w:rPr>
          <w:rFonts w:ascii="Times New Roman" w:hAnsi="Times New Roman"/>
          <w:sz w:val="28"/>
          <w:szCs w:val="28"/>
        </w:rPr>
        <w:t>(2019) and Anie (2018).</w:t>
      </w:r>
    </w:p>
    <w:bookmarkStart w:id="8" w:name="_Toc169941714"/>
    <w:bookmarkStart w:id="9" w:name="_Toc8422289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3.6</w:t>
      </w:r>
      <w:r>
        <w:rPr>
          <w:rFonts w:ascii="Times New Roman" w:cs="Times New Roman" w:eastAsia="Times New Roman" w:hAnsi="Times New Roman"/>
          <w:color w:val="000000"/>
          <w:sz w:val="28"/>
          <w:szCs w:val="28"/>
        </w:rPr>
        <w:tab/>
      </w:r>
      <w:r>
        <w:rPr>
          <w:rFonts w:ascii="Times New Roman" w:cs="Times New Roman" w:eastAsia="Times New Roman" w:hAnsi="Times New Roman"/>
          <w:color w:val="000000"/>
          <w:sz w:val="28"/>
          <w:szCs w:val="28"/>
        </w:rPr>
        <w:t>Isolation of Microorganisms</w:t>
      </w:r>
      <w:bookmarkEnd w:id="8"/>
    </w:p>
    <w:bookmarkEnd w:id="9"/>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8"/>
          <w:szCs w:val="28"/>
          <w:vertAlign w:val="superscript"/>
        </w:rPr>
        <w:t>o</w:t>
      </w:r>
      <w:r>
        <w:rPr>
          <w:rFonts w:ascii="Times New Roman" w:hAnsi="Times New Roman"/>
          <w:sz w:val="28"/>
          <w:szCs w:val="28"/>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8"/>
          <w:szCs w:val="28"/>
          <w:vertAlign w:val="superscript"/>
        </w:rPr>
        <w:t>o</w:t>
      </w:r>
      <w:r>
        <w:rPr>
          <w:rFonts w:ascii="Times New Roman" w:hAnsi="Times New Roman"/>
          <w:sz w:val="28"/>
          <w:szCs w:val="28"/>
        </w:rPr>
        <w:t>C and stored in the refrigerator at 4</w:t>
      </w:r>
      <w:r>
        <w:rPr>
          <w:rFonts w:ascii="Times New Roman" w:hAnsi="Times New Roman"/>
          <w:sz w:val="28"/>
          <w:szCs w:val="28"/>
          <w:vertAlign w:val="superscript"/>
        </w:rPr>
        <w:t>o</w:t>
      </w:r>
      <w:r>
        <w:rPr>
          <w:rFonts w:ascii="Times New Roman" w:hAnsi="Times New Roman"/>
          <w:sz w:val="28"/>
          <w:szCs w:val="28"/>
        </w:rPr>
        <w:t>C. The stock cultures were to serve as a source of reference whenever tests would be carried out on the isolates.</w:t>
      </w:r>
    </w:p>
    <w:bookmarkStart w:id="10" w:name="_Toc169941715"/>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3.7</w:t>
      </w:r>
      <w:r>
        <w:rPr>
          <w:rFonts w:ascii="Times New Roman" w:cs="Times New Roman" w:hAnsi="Times New Roman"/>
          <w:color w:val="auto"/>
          <w:sz w:val="28"/>
          <w:szCs w:val="28"/>
        </w:rPr>
        <w:tab/>
      </w:r>
      <w:r>
        <w:rPr>
          <w:rFonts w:ascii="Times New Roman" w:cs="Times New Roman" w:hAnsi="Times New Roman"/>
          <w:color w:val="auto"/>
          <w:sz w:val="28"/>
          <w:szCs w:val="28"/>
        </w:rPr>
        <w:t>Characteristics of Microbial Isolates</w:t>
      </w:r>
      <w:bookmarkEnd w:id="10"/>
    </w:p>
    <w:bookmarkStart w:id="11" w:name="_Toc169941716"/>
    <w:p>
      <w:pPr>
        <w:pStyle w:val="style3"/>
        <w:spacing w:before="0" w:after="0" w:lineRule="auto" w:line="480"/>
        <w:rPr>
          <w:b w:val="false"/>
          <w:bCs w:val="false"/>
          <w:sz w:val="28"/>
          <w:szCs w:val="28"/>
        </w:rPr>
      </w:pPr>
      <w:r>
        <w:rPr>
          <w:sz w:val="28"/>
          <w:szCs w:val="28"/>
        </w:rPr>
        <w:t>3.7.1</w:t>
      </w:r>
      <w:r>
        <w:rPr>
          <w:sz w:val="28"/>
          <w:szCs w:val="28"/>
        </w:rPr>
        <w:tab/>
      </w:r>
      <w:r>
        <w:rPr>
          <w:sz w:val="28"/>
          <w:szCs w:val="28"/>
        </w:rPr>
        <w:t>Bacterial Characterization of Isolates</w:t>
      </w:r>
      <w:bookmarkEnd w:id="1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12" w:name="_Toc169941717"/>
    <w:p>
      <w:pPr>
        <w:pStyle w:val="style3"/>
        <w:spacing w:before="0" w:after="0" w:lineRule="auto" w:line="480"/>
        <w:rPr>
          <w:b w:val="false"/>
          <w:bCs w:val="false"/>
          <w:sz w:val="28"/>
          <w:szCs w:val="28"/>
        </w:rPr>
      </w:pPr>
      <w:r>
        <w:rPr>
          <w:sz w:val="28"/>
          <w:szCs w:val="28"/>
        </w:rPr>
        <w:t>3.7.2</w:t>
      </w:r>
      <w:bookmarkStart w:id="13" w:name="_Toc84222896"/>
      <w:r>
        <w:rPr>
          <w:sz w:val="28"/>
          <w:szCs w:val="28"/>
        </w:rPr>
        <w:tab/>
      </w:r>
      <w:r>
        <w:rPr>
          <w:sz w:val="28"/>
          <w:szCs w:val="28"/>
        </w:rPr>
        <w:t>Gram Staining</w:t>
      </w:r>
      <w:bookmarkEnd w:id="12"/>
      <w:bookmarkEnd w:id="13"/>
    </w:p>
    <w:p>
      <w:pPr>
        <w:pStyle w:val="style0"/>
        <w:spacing w:after="0" w:lineRule="auto" w:line="480"/>
        <w:ind w:firstLine="720"/>
        <w:jc w:val="both"/>
        <w:rPr>
          <w:rFonts w:ascii="Times New Roman" w:hAnsi="Times New Roman"/>
          <w:color w:val="000000"/>
          <w:sz w:val="28"/>
          <w:szCs w:val="28"/>
        </w:rPr>
      </w:pPr>
      <w:r>
        <w:rPr>
          <w:rFonts w:ascii="Times New Roman" w:hAnsi="Times New Roman"/>
          <w:sz w:val="28"/>
          <w:szCs w:val="28"/>
        </w:rPr>
        <w:t xml:space="preserve">Gram stain is one of the differential stains that are used to characterize bacteria into: either Gram positive bacteria or Gram-negative bacteria. </w:t>
      </w:r>
      <w:r>
        <w:rPr>
          <w:rFonts w:ascii="Times New Roman" w:hAnsi="Times New Roman"/>
          <w:color w:val="000000"/>
          <w:sz w:val="28"/>
          <w:szCs w:val="28"/>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w:t>
      </w:r>
      <w:r>
        <w:rPr>
          <w:rFonts w:ascii="Times New Roman" w:hAnsi="Times New Roman"/>
          <w:color w:val="000000"/>
          <w:sz w:val="28"/>
          <w:szCs w:val="28"/>
        </w:rPr>
        <w:t>slide was counter stained with safranin for 60 seconds and rinsed with water. The smear was mounted on a microscope and observed under oil immersion objective lens. Gram negative cells appeared pink or red while Gram positive organisms appeared purple.</w:t>
      </w:r>
    </w:p>
    <w:bookmarkStart w:id="14" w:name="_Toc84222897"/>
    <w:bookmarkStart w:id="15" w:name="_Toc16994171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3.8</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14"/>
      <w:bookmarkEnd w:id="15"/>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Different bacterial isolates were carried out on the basis of the result of four tests; Indole, Methyl red, Voges Proskauer, Catalse, Oxidase, Citrate utilization, with their standard methods.</w:t>
      </w:r>
    </w:p>
    <w:bookmarkStart w:id="16" w:name="_Toc84222898"/>
    <w:bookmarkStart w:id="17" w:name="_Toc169941719"/>
    <w:p>
      <w:pPr>
        <w:pStyle w:val="style3"/>
        <w:spacing w:before="0" w:after="0" w:lineRule="auto" w:line="480"/>
        <w:rPr>
          <w:b w:val="false"/>
          <w:bCs w:val="false"/>
          <w:sz w:val="28"/>
          <w:szCs w:val="28"/>
        </w:rPr>
      </w:pPr>
      <w:r>
        <w:rPr>
          <w:sz w:val="28"/>
          <w:szCs w:val="28"/>
        </w:rPr>
        <w:t>3.8.1</w:t>
      </w:r>
      <w:r>
        <w:rPr>
          <w:sz w:val="28"/>
          <w:szCs w:val="28"/>
        </w:rPr>
        <w:tab/>
      </w:r>
      <w:r>
        <w:rPr>
          <w:sz w:val="28"/>
          <w:szCs w:val="28"/>
        </w:rPr>
        <w:t>Indole Test</w:t>
      </w:r>
      <w:bookmarkEnd w:id="16"/>
      <w:bookmarkEnd w:id="17"/>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8"/>
          <w:szCs w:val="28"/>
          <w:vertAlign w:val="superscript"/>
        </w:rPr>
        <w:t>o</w:t>
      </w:r>
      <w:r>
        <w:rPr>
          <w:rFonts w:ascii="Times New Roman" w:eastAsia="Times New Roman" w:hAnsi="Times New Roman"/>
          <w:color w:val="000000"/>
          <w:sz w:val="28"/>
          <w:szCs w:val="28"/>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w:t>
      </w:r>
      <w:r>
        <w:rPr>
          <w:rFonts w:ascii="Times New Roman" w:eastAsia="Times New Roman" w:hAnsi="Times New Roman"/>
          <w:color w:val="000000"/>
          <w:sz w:val="28"/>
          <w:szCs w:val="28"/>
        </w:rPr>
        <w:t>percent tryptophan broth and inoculated by fresh pure culture obtained from pure colonies. Formations of red colouration at the top layer indicated positive while yellow colouration indicated negative results, respectively.</w:t>
      </w:r>
      <w:bookmarkStart w:id="18" w:name="_Toc84222899"/>
    </w:p>
    <w:bookmarkStart w:id="19" w:name="_Toc169941720"/>
    <w:p>
      <w:pPr>
        <w:pStyle w:val="style3"/>
        <w:spacing w:before="0" w:after="0" w:lineRule="auto" w:line="480"/>
        <w:rPr>
          <w:b w:val="false"/>
          <w:bCs w:val="false"/>
          <w:sz w:val="28"/>
          <w:szCs w:val="28"/>
        </w:rPr>
      </w:pPr>
      <w:r>
        <w:rPr>
          <w:sz w:val="28"/>
          <w:szCs w:val="28"/>
        </w:rPr>
        <w:t>3.8.2</w:t>
      </w:r>
      <w:r>
        <w:rPr>
          <w:sz w:val="28"/>
          <w:szCs w:val="28"/>
        </w:rPr>
        <w:tab/>
      </w:r>
      <w:r>
        <w:rPr>
          <w:sz w:val="28"/>
          <w:szCs w:val="28"/>
        </w:rPr>
        <w:t>Methylred Test</w:t>
      </w:r>
      <w:bookmarkStart w:id="20" w:name="_Toc84222900"/>
      <w:bookmarkStart w:id="21" w:name="_Toc82388610"/>
      <w:bookmarkEnd w:id="18"/>
      <w:bookmarkEnd w:id="19"/>
    </w:p>
    <w:p>
      <w:pPr>
        <w:pStyle w:val="style0"/>
        <w:spacing w:after="0"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8"/>
          <w:szCs w:val="28"/>
          <w:vertAlign w:val="superscript"/>
        </w:rPr>
        <w:t>o</w:t>
      </w:r>
      <w:r>
        <w:rPr>
          <w:rFonts w:ascii="Times New Roman" w:eastAsia="Times New Roman" w:hAnsi="Times New Roman"/>
          <w:color w:val="000000"/>
          <w:sz w:val="28"/>
          <w:szCs w:val="28"/>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22" w:name="_Toc169941721"/>
    <w:p>
      <w:pPr>
        <w:pStyle w:val="style3"/>
        <w:spacing w:before="0" w:after="0" w:lineRule="auto" w:line="480"/>
        <w:rPr>
          <w:sz w:val="28"/>
          <w:szCs w:val="28"/>
        </w:rPr>
      </w:pPr>
    </w:p>
    <w:p>
      <w:pPr>
        <w:pStyle w:val="style3"/>
        <w:spacing w:before="0" w:after="0" w:lineRule="auto" w:line="480"/>
        <w:rPr>
          <w:b w:val="false"/>
          <w:bCs w:val="false"/>
          <w:sz w:val="28"/>
          <w:szCs w:val="28"/>
        </w:rPr>
      </w:pPr>
      <w:r>
        <w:rPr>
          <w:sz w:val="28"/>
          <w:szCs w:val="28"/>
        </w:rPr>
        <w:t>3.8.3</w:t>
      </w:r>
      <w:r>
        <w:rPr>
          <w:sz w:val="28"/>
          <w:szCs w:val="28"/>
        </w:rPr>
        <w:tab/>
      </w:r>
      <w:r>
        <w:rPr>
          <w:sz w:val="28"/>
          <w:szCs w:val="28"/>
        </w:rPr>
        <w:t>Catalase Test</w:t>
      </w:r>
      <w:bookmarkEnd w:id="20"/>
      <w:bookmarkEnd w:id="21"/>
      <w:bookmarkEnd w:id="22"/>
    </w:p>
    <w:p>
      <w:pPr>
        <w:pStyle w:val="style0"/>
        <w:spacing w:after="0" w:lineRule="auto" w:line="48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Catalase test was done according to the procedure described by Ahmed </w:t>
      </w:r>
      <w:r>
        <w:rPr>
          <w:rFonts w:ascii="Times New Roman" w:eastAsia="Times New Roman" w:hAnsi="Times New Roman"/>
          <w:i/>
          <w:iCs/>
          <w:color w:val="000000"/>
          <w:sz w:val="28"/>
          <w:szCs w:val="28"/>
        </w:rPr>
        <w:t>et al</w:t>
      </w:r>
      <w:r>
        <w:rPr>
          <w:rFonts w:ascii="Times New Roman" w:eastAsia="Times New Roman" w:hAnsi="Times New Roman"/>
          <w:color w:val="000000"/>
          <w:sz w:val="28"/>
          <w:szCs w:val="28"/>
        </w:rPr>
        <w:t xml:space="preserve">. (2017) to determine aerobic and anaerobic bacteria and it was important in differentiating morphologically similar Enterococcus </w:t>
      </w:r>
      <w:r>
        <w:rPr>
          <w:rFonts w:ascii="Times New Roman" w:eastAsia="Times New Roman" w:hAnsi="Times New Roman"/>
          <w:i/>
          <w:iCs/>
          <w:color w:val="000000"/>
          <w:sz w:val="28"/>
          <w:szCs w:val="28"/>
        </w:rPr>
        <w:t xml:space="preserve">Staphylococcus (catalase positive) </w:t>
      </w:r>
      <w:r>
        <w:rPr>
          <w:rFonts w:ascii="Times New Roman" w:eastAsia="Times New Roman" w:hAnsi="Times New Roman"/>
          <w:color w:val="000000"/>
          <w:sz w:val="28"/>
          <w:szCs w:val="28"/>
        </w:rPr>
        <w:t xml:space="preserve">and </w:t>
      </w:r>
      <w:r>
        <w:rPr>
          <w:rFonts w:ascii="Times New Roman" w:eastAsia="Times New Roman" w:hAnsi="Times New Roman"/>
          <w:i/>
          <w:iCs/>
          <w:color w:val="000000"/>
          <w:sz w:val="28"/>
          <w:szCs w:val="28"/>
        </w:rPr>
        <w:t xml:space="preserve">Streptococcus </w:t>
      </w:r>
      <w:r>
        <w:rPr>
          <w:rFonts w:ascii="Times New Roman" w:eastAsia="Times New Roman" w:hAnsi="Times New Roman"/>
          <w:color w:val="000000"/>
          <w:sz w:val="28"/>
          <w:szCs w:val="28"/>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23" w:name="_Toc84222902"/>
    <w:bookmarkStart w:id="24" w:name="_Toc49215409"/>
    <w:bookmarkStart w:id="25" w:name="_Toc82388613"/>
    <w:bookmarkStart w:id="26" w:name="_Toc169941722"/>
    <w:p>
      <w:pPr>
        <w:pStyle w:val="style3"/>
        <w:spacing w:before="0" w:after="0" w:lineRule="auto" w:line="480"/>
        <w:rPr>
          <w:b w:val="false"/>
          <w:bCs w:val="false"/>
          <w:sz w:val="28"/>
          <w:szCs w:val="28"/>
        </w:rPr>
      </w:pPr>
      <w:r>
        <w:rPr>
          <w:rFonts w:eastAsia="Calibri"/>
          <w:sz w:val="28"/>
          <w:szCs w:val="28"/>
        </w:rPr>
        <w:t>3.8.4</w:t>
      </w:r>
      <w:r>
        <w:rPr>
          <w:rFonts w:eastAsia="Calibri"/>
          <w:sz w:val="28"/>
          <w:szCs w:val="28"/>
        </w:rPr>
        <w:tab/>
      </w:r>
      <w:bookmarkStart w:id="27" w:name="_Toc84222903"/>
      <w:bookmarkStart w:id="28" w:name="_Toc169941723"/>
      <w:bookmarkEnd w:id="23"/>
      <w:bookmarkEnd w:id="24"/>
      <w:bookmarkEnd w:id="25"/>
      <w:bookmarkEnd w:id="26"/>
      <w:r>
        <w:rPr>
          <w:sz w:val="28"/>
          <w:szCs w:val="28"/>
        </w:rPr>
        <w:t>Citrate Test</w:t>
      </w:r>
      <w:bookmarkEnd w:id="27"/>
      <w:bookmarkEnd w:id="28"/>
    </w:p>
    <w:p>
      <w:pPr>
        <w:pStyle w:val="style0"/>
        <w:spacing w:lineRule="auto" w:line="480"/>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This test was performed according to procedure described by </w:t>
      </w:r>
      <w:r>
        <w:rPr>
          <w:rFonts w:ascii="Times New Roman" w:eastAsia="Times New Roman" w:hAnsi="Times New Roman"/>
          <w:color w:val="222222"/>
          <w:sz w:val="28"/>
          <w:szCs w:val="28"/>
        </w:rPr>
        <w:t xml:space="preserve">Aligwekwe (2018) </w:t>
      </w:r>
      <w:r>
        <w:rPr>
          <w:rFonts w:ascii="Times New Roman" w:eastAsia="Times New Roman" w:hAnsi="Times New Roman"/>
          <w:color w:val="000000"/>
          <w:sz w:val="28"/>
          <w:szCs w:val="28"/>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w:t>
      </w:r>
      <w:r>
        <w:rPr>
          <w:rFonts w:ascii="Times New Roman" w:eastAsia="Times New Roman" w:hAnsi="Times New Roman"/>
          <w:color w:val="000000"/>
          <w:sz w:val="28"/>
          <w:szCs w:val="28"/>
        </w:rPr>
        <w:t>from green to blue then the bacteria was citrate positive while if the media retained the green colour after incubation period it indicated citrate negative bacteria.</w:t>
      </w:r>
    </w:p>
    <w:p>
      <w:pPr>
        <w:pStyle w:val="style0"/>
        <w:spacing w:lineRule="auto" w:line="360"/>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t>CHAPTER 4</w:t>
      </w:r>
    </w:p>
    <w:p>
      <w:pPr>
        <w:pStyle w:val="style0"/>
        <w:spacing w:lineRule="auto" w:line="360"/>
        <w:jc w:val="center"/>
        <w:rPr>
          <w:rFonts w:ascii="Times New Roman" w:hAnsi="Times New Roman"/>
          <w:b/>
          <w:sz w:val="28"/>
          <w:szCs w:val="28"/>
        </w:rPr>
      </w:pPr>
      <w:r>
        <w:rPr>
          <w:rFonts w:ascii="Times New Roman" w:hAnsi="Times New Roman"/>
          <w:b/>
          <w:sz w:val="28"/>
          <w:szCs w:val="28"/>
        </w:rPr>
        <w:t>RESULTS</w:t>
      </w:r>
    </w:p>
    <w:bookmarkStart w:id="29" w:name="_Toc109025368"/>
    <w:bookmarkStart w:id="30" w:name="_Toc169941727"/>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4.1</w:t>
      </w:r>
      <w:r>
        <w:rPr>
          <w:rFonts w:ascii="Times New Roman" w:cs="Times New Roman" w:hAnsi="Times New Roman"/>
          <w:color w:val="auto"/>
          <w:sz w:val="28"/>
          <w:szCs w:val="28"/>
        </w:rPr>
        <w:tab/>
      </w:r>
      <w:r>
        <w:rPr>
          <w:rFonts w:ascii="Times New Roman" w:cs="Times New Roman" w:hAnsi="Times New Roman"/>
          <w:color w:val="auto"/>
          <w:sz w:val="28"/>
          <w:szCs w:val="28"/>
        </w:rPr>
        <w:t>Total Bacteria Counts and Total Coliform Counts (CFU/ml)</w:t>
      </w:r>
      <w:bookmarkEnd w:id="29"/>
      <w:bookmarkEnd w:id="30"/>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bacteria count of herbs samples are reported in Table 4.1 which has the</w:t>
      </w:r>
      <w:r>
        <w:rPr>
          <w:rFonts w:ascii="Times New Roman" w:hAnsi="Times New Roman"/>
          <w:sz w:val="28"/>
          <w:szCs w:val="28"/>
        </w:rPr>
        <w:t xml:space="preserve"> ranged from 5.0x10</w:t>
      </w:r>
      <w:r>
        <w:rPr>
          <w:rFonts w:ascii="Times New Roman" w:hAnsi="Times New Roman"/>
          <w:sz w:val="28"/>
          <w:szCs w:val="28"/>
          <w:vertAlign w:val="superscript"/>
        </w:rPr>
        <w:t>4</w:t>
      </w:r>
      <w:r>
        <w:rPr>
          <w:rFonts w:ascii="Times New Roman" w:hAnsi="Times New Roman"/>
          <w:sz w:val="28"/>
          <w:szCs w:val="28"/>
        </w:rPr>
        <w:t>cfu/ml to 15.0x10</w:t>
      </w:r>
      <w:r>
        <w:rPr>
          <w:rFonts w:ascii="Times New Roman" w:hAnsi="Times New Roman"/>
          <w:sz w:val="28"/>
          <w:szCs w:val="28"/>
          <w:vertAlign w:val="superscript"/>
        </w:rPr>
        <w:t xml:space="preserve">5 </w:t>
      </w:r>
      <w:r>
        <w:rPr>
          <w:rFonts w:ascii="Times New Roman" w:hAnsi="Times New Roman"/>
          <w:sz w:val="28"/>
          <w:szCs w:val="28"/>
        </w:rPr>
        <w:t>cfu/ml with sample K having the highest value while sample J had the lowest value respectively.</w:t>
      </w:r>
    </w:p>
    <w:bookmarkStart w:id="31" w:name="_Toc169941728"/>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4.2</w:t>
      </w:r>
      <w:r>
        <w:rPr>
          <w:rFonts w:ascii="Times New Roman" w:cs="Times New Roman" w:hAnsi="Times New Roman"/>
          <w:color w:val="auto"/>
          <w:sz w:val="28"/>
          <w:szCs w:val="28"/>
        </w:rPr>
        <w:tab/>
      </w:r>
      <w:r>
        <w:rPr>
          <w:rFonts w:ascii="Times New Roman" w:cs="Times New Roman" w:hAnsi="Times New Roman"/>
          <w:color w:val="auto"/>
          <w:sz w:val="28"/>
          <w:szCs w:val="28"/>
        </w:rPr>
        <w:t>Total Fungal Counts (CFU/ml)</w:t>
      </w:r>
      <w:bookmarkEnd w:id="31"/>
    </w:p>
    <w:p>
      <w:pPr>
        <w:pStyle w:val="style0"/>
        <w:spacing w:after="0" w:lineRule="auto" w:line="480"/>
        <w:ind w:firstLine="720"/>
        <w:jc w:val="both"/>
        <w:rPr>
          <w:rFonts w:ascii="Times New Roman" w:hAnsi="Times New Roman"/>
          <w:color w:val="0d0d0d"/>
          <w:sz w:val="28"/>
          <w:szCs w:val="28"/>
        </w:rPr>
      </w:pPr>
      <w:r>
        <w:rPr>
          <w:rFonts w:ascii="Times New Roman" w:hAnsi="Times New Roman"/>
          <w:color w:val="0d0d0d"/>
          <w:sz w:val="28"/>
          <w:szCs w:val="28"/>
        </w:rPr>
        <w:t>The results obtained from the total fungal count of herbs samples are reported in Table 4.2 which has the</w:t>
      </w:r>
      <w:r>
        <w:rPr>
          <w:rFonts w:ascii="Times New Roman" w:hAnsi="Times New Roman"/>
          <w:sz w:val="28"/>
          <w:szCs w:val="28"/>
        </w:rPr>
        <w:t xml:space="preserve"> ranged from 2.0x10</w:t>
      </w:r>
      <w:r>
        <w:rPr>
          <w:rFonts w:ascii="Times New Roman" w:hAnsi="Times New Roman"/>
          <w:sz w:val="28"/>
          <w:szCs w:val="28"/>
          <w:vertAlign w:val="superscript"/>
        </w:rPr>
        <w:t>3</w:t>
      </w:r>
      <w:r>
        <w:rPr>
          <w:rFonts w:ascii="Times New Roman" w:hAnsi="Times New Roman"/>
          <w:sz w:val="28"/>
          <w:szCs w:val="28"/>
        </w:rPr>
        <w:t>cfu/ml to 0 x10</w:t>
      </w:r>
      <w:r>
        <w:rPr>
          <w:rFonts w:ascii="Times New Roman" w:hAnsi="Times New Roman"/>
          <w:sz w:val="28"/>
          <w:szCs w:val="28"/>
          <w:vertAlign w:val="superscript"/>
        </w:rPr>
        <w:t xml:space="preserve">3 </w:t>
      </w:r>
      <w:r>
        <w:rPr>
          <w:rFonts w:ascii="Times New Roman" w:hAnsi="Times New Roman"/>
          <w:sz w:val="28"/>
          <w:szCs w:val="28"/>
        </w:rPr>
        <w:t>cfu/ml with sample O and F having the highest value of 2.0x10</w:t>
      </w:r>
      <w:r>
        <w:rPr>
          <w:rFonts w:ascii="Times New Roman" w:hAnsi="Times New Roman"/>
          <w:sz w:val="28"/>
          <w:szCs w:val="28"/>
          <w:vertAlign w:val="superscript"/>
        </w:rPr>
        <w:t>3</w:t>
      </w:r>
      <w:r>
        <w:rPr>
          <w:rFonts w:ascii="Times New Roman" w:hAnsi="Times New Roman"/>
          <w:sz w:val="28"/>
          <w:szCs w:val="28"/>
        </w:rPr>
        <w:t>cfu/ml while sample K had no growth.</w:t>
      </w:r>
    </w:p>
    <w:bookmarkStart w:id="32" w:name="_Toc109025370"/>
    <w:bookmarkStart w:id="33" w:name="_Toc169941729"/>
    <w:p>
      <w:pPr>
        <w:pStyle w:val="style2"/>
        <w:spacing w:before="0" w:lineRule="auto" w:line="480"/>
        <w:rPr>
          <w:rFonts w:ascii="Times New Roman" w:cs="Times New Roman" w:eastAsia="Times New Roman" w:hAnsi="Times New Roman"/>
          <w:b w:val="false"/>
          <w:bCs w:val="false"/>
          <w:color w:val="auto"/>
          <w:sz w:val="28"/>
          <w:szCs w:val="28"/>
        </w:rPr>
      </w:pPr>
      <w:r>
        <w:rPr>
          <w:rFonts w:ascii="Times New Roman" w:cs="Times New Roman" w:hAnsi="Times New Roman"/>
          <w:color w:val="auto"/>
          <w:sz w:val="28"/>
          <w:szCs w:val="28"/>
        </w:rPr>
        <w:t>4.3</w:t>
      </w:r>
      <w:r>
        <w:rPr>
          <w:rFonts w:ascii="Times New Roman" w:cs="Times New Roman" w:hAnsi="Times New Roman"/>
          <w:color w:val="auto"/>
          <w:sz w:val="28"/>
          <w:szCs w:val="28"/>
        </w:rPr>
        <w:tab/>
      </w:r>
      <w:r>
        <w:rPr>
          <w:rFonts w:ascii="Times New Roman" w:cs="Times New Roman" w:hAnsi="Times New Roman"/>
          <w:color w:val="auto"/>
          <w:sz w:val="28"/>
          <w:szCs w:val="28"/>
        </w:rPr>
        <w:t>Biochemical Test</w:t>
      </w:r>
      <w:bookmarkEnd w:id="32"/>
      <w:bookmarkEnd w:id="33"/>
    </w:p>
    <w:p>
      <w:pPr>
        <w:pStyle w:val="style0"/>
        <w:spacing w:after="0" w:lineRule="auto" w:line="480"/>
        <w:ind w:firstLine="720"/>
        <w:rPr>
          <w:rFonts w:ascii="Times New Roman" w:hAnsi="Times New Roman"/>
          <w:sz w:val="28"/>
          <w:szCs w:val="28"/>
        </w:rPr>
      </w:pPr>
      <w:r>
        <w:rPr>
          <w:rFonts w:ascii="Times New Roman" w:hAnsi="Times New Roman"/>
          <w:sz w:val="28"/>
          <w:szCs w:val="28"/>
        </w:rPr>
        <w:t>Table 4.3 shows the various biochemical test carried out on different isolates ranging from indole to citrate and others as shown in the table.</w:t>
      </w:r>
    </w:p>
    <w:bookmarkStart w:id="34" w:name="_Toc169941730"/>
    <w:p>
      <w:pPr>
        <w:pStyle w:val="style2"/>
        <w:spacing w:before="0"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4.4</w:t>
      </w:r>
      <w:r>
        <w:rPr>
          <w:rFonts w:ascii="Times New Roman" w:cs="Times New Roman" w:hAnsi="Times New Roman"/>
          <w:color w:val="auto"/>
          <w:sz w:val="28"/>
          <w:szCs w:val="28"/>
        </w:rPr>
        <w:tab/>
      </w:r>
      <w:r>
        <w:rPr>
          <w:rFonts w:ascii="Times New Roman" w:cs="Times New Roman" w:hAnsi="Times New Roman"/>
          <w:color w:val="auto"/>
          <w:sz w:val="28"/>
          <w:szCs w:val="28"/>
        </w:rPr>
        <w:t>Colonial Morphology Characterization</w:t>
      </w:r>
      <w:bookmarkEnd w:id="34"/>
    </w:p>
    <w:bookmarkStart w:id="35" w:name="_Toc109025371"/>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Table 4.4a presented the colonial morphology of the bacteria isolates gotten from the herbal samples. Table 4.4b show the colonial morphology of the fungi isolates respectively.</w:t>
      </w:r>
    </w:p>
    <w:bookmarkStart w:id="36" w:name="_Toc169941627"/>
    <w:bookmarkEnd w:id="35"/>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p>
    <w:p>
      <w:pPr>
        <w:pStyle w:val="style34"/>
        <w:keepNext/>
        <w:spacing w:lineRule="auto" w:line="48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1</w:t>
      </w:r>
      <w:r>
        <w:rPr>
          <w:rFonts w:ascii="Times New Roman" w:cs="Times New Roman" w:hAnsi="Times New Roman"/>
          <w:color w:val="auto"/>
          <w:sz w:val="28"/>
          <w:szCs w:val="28"/>
        </w:rPr>
        <w:fldChar w:fldCharType="end"/>
      </w:r>
      <w:r>
        <w:rPr>
          <w:rFonts w:ascii="Times New Roman" w:cs="Times New Roman" w:hAnsi="Times New Roman"/>
          <w:noProof/>
          <w:color w:val="auto"/>
          <w:sz w:val="28"/>
          <w:szCs w:val="28"/>
        </w:rPr>
        <w:t>: Total Bacterial Counts (CFU/ml)</w:t>
      </w:r>
      <w:bookmarkEnd w:id="36"/>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TBC (x10</w:t>
            </w:r>
            <w:r>
              <w:rPr>
                <w:rFonts w:ascii="Times New Roman" w:hAnsi="Times New Roman"/>
                <w:b/>
                <w:bCs/>
                <w:sz w:val="28"/>
                <w:szCs w:val="28"/>
                <w:vertAlign w:val="superscript"/>
              </w:rPr>
              <w:t>4</w:t>
            </w:r>
            <w:r>
              <w:rPr>
                <w:rFonts w:ascii="Times New Roman" w:hAnsi="Times New Roman"/>
                <w:b/>
                <w:bCs/>
                <w:sz w:val="28"/>
                <w:szCs w:val="28"/>
              </w:rPr>
              <w:t>)</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15</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13</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7</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TBC -Total Bacteria Counts</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bookmarkStart w:id="37" w:name="_Toc169941628"/>
    </w:p>
    <w:p>
      <w:pPr>
        <w:pStyle w:val="style0"/>
        <w:spacing w:lineRule="auto" w:line="480"/>
        <w:rPr>
          <w:rFonts w:ascii="Times New Roman" w:hAnsi="Times New Roman"/>
          <w:b/>
          <w:bCs/>
          <w:sz w:val="28"/>
          <w:szCs w:val="28"/>
        </w:rPr>
      </w:pPr>
      <w:r>
        <w:rPr>
          <w:rFonts w:ascii="Times New Roman" w:hAnsi="Times New Roman"/>
          <w:b/>
          <w:bCs/>
          <w:sz w:val="28"/>
          <w:szCs w:val="28"/>
        </w:rPr>
        <w:t>Table 4.</w:t>
      </w:r>
      <w:r>
        <w:rPr>
          <w:rFonts w:ascii="Times New Roman" w:hAnsi="Times New Roman"/>
          <w:b/>
          <w:bCs/>
          <w:sz w:val="28"/>
          <w:szCs w:val="28"/>
        </w:rPr>
        <w:fldChar w:fldCharType="begin"/>
      </w:r>
      <w:r>
        <w:rPr>
          <w:rFonts w:ascii="Times New Roman" w:hAnsi="Times New Roman"/>
          <w:b/>
          <w:bCs/>
          <w:sz w:val="28"/>
          <w:szCs w:val="28"/>
        </w:rPr>
        <w:instrText xml:space="preserve"> SEQ Table \* ARABIC </w:instrText>
      </w:r>
      <w:r>
        <w:rPr>
          <w:rFonts w:ascii="Times New Roman" w:hAnsi="Times New Roman"/>
          <w:b/>
          <w:bCs/>
          <w:sz w:val="28"/>
          <w:szCs w:val="28"/>
        </w:rPr>
        <w:fldChar w:fldCharType="separate"/>
      </w:r>
      <w:r>
        <w:rPr>
          <w:rFonts w:ascii="Times New Roman" w:hAnsi="Times New Roman"/>
          <w:b/>
          <w:bCs/>
          <w:noProof/>
          <w:sz w:val="28"/>
          <w:szCs w:val="28"/>
        </w:rPr>
        <w:t>2</w:t>
      </w:r>
      <w:r>
        <w:rPr>
          <w:rFonts w:ascii="Times New Roman" w:hAnsi="Times New Roman"/>
          <w:b/>
          <w:bCs/>
          <w:sz w:val="28"/>
          <w:szCs w:val="28"/>
        </w:rPr>
        <w:fldChar w:fldCharType="end"/>
      </w:r>
      <w:r>
        <w:rPr>
          <w:rFonts w:ascii="Times New Roman" w:hAnsi="Times New Roman"/>
          <w:b/>
          <w:bCs/>
          <w:sz w:val="28"/>
          <w:szCs w:val="28"/>
        </w:rPr>
        <w:t>:</w:t>
      </w:r>
      <w:r>
        <w:rPr>
          <w:rFonts w:ascii="Times New Roman" w:hAnsi="Times New Roman"/>
          <w:b/>
          <w:bCs/>
          <w:noProof/>
          <w:sz w:val="28"/>
          <w:szCs w:val="28"/>
        </w:rPr>
        <w:t xml:space="preserve"> Total Fungal Counts (CFU/ml)</w:t>
      </w:r>
      <w:bookmarkEnd w:id="37"/>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2160"/>
      </w:tblGrid>
      <w:tr>
        <w:trPr/>
        <w:tc>
          <w:tcPr>
            <w:tcW w:w="504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Samples</w:t>
            </w:r>
          </w:p>
        </w:tc>
        <w:tc>
          <w:tcPr>
            <w:tcW w:w="2160" w:type="dxa"/>
            <w:tcBorders>
              <w:top w:val="single" w:sz="4" w:space="0" w:color="auto"/>
              <w:bottom w:val="single" w:sz="4" w:space="0" w:color="auto"/>
            </w:tcBorders>
          </w:tcPr>
          <w:p>
            <w:pPr>
              <w:pStyle w:val="style0"/>
              <w:spacing w:lineRule="auto" w:line="480"/>
              <w:rPr>
                <w:rFonts w:ascii="Times New Roman" w:hAnsi="Times New Roman"/>
                <w:b/>
                <w:bCs/>
                <w:sz w:val="28"/>
                <w:szCs w:val="28"/>
              </w:rPr>
            </w:pPr>
            <w:r>
              <w:rPr>
                <w:rFonts w:ascii="Times New Roman" w:hAnsi="Times New Roman"/>
                <w:b/>
                <w:bCs/>
                <w:sz w:val="28"/>
                <w:szCs w:val="28"/>
              </w:rPr>
              <w:t>TFC (x103)</w:t>
            </w:r>
          </w:p>
        </w:tc>
      </w:tr>
      <w:tr>
        <w:tblPrEx/>
        <w:trPr/>
        <w:tc>
          <w:tcPr>
            <w:tcW w:w="504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J</w:t>
            </w:r>
          </w:p>
        </w:tc>
        <w:tc>
          <w:tcPr>
            <w:tcW w:w="2160" w:type="dxa"/>
            <w:tcBorders>
              <w:top w:val="single" w:sz="4" w:space="0" w:color="auto"/>
            </w:tcBorders>
          </w:tcPr>
          <w:p>
            <w:pPr>
              <w:pStyle w:val="style0"/>
              <w:spacing w:lineRule="auto" w:line="480"/>
              <w:rPr>
                <w:rFonts w:ascii="Times New Roman" w:hAnsi="Times New Roman"/>
                <w:sz w:val="28"/>
                <w:szCs w:val="28"/>
              </w:rPr>
            </w:pPr>
            <w:r>
              <w:rPr>
                <w:rFonts w:ascii="Times New Roman" w:hAnsi="Times New Roman"/>
                <w:sz w:val="28"/>
                <w:szCs w:val="28"/>
              </w:rPr>
              <w:t>1</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K</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0</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O</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r>
        <w:tblPrEx/>
        <w:trPr/>
        <w:tc>
          <w:tcPr>
            <w:tcW w:w="5040" w:type="dxa"/>
            <w:tcBorders/>
          </w:tcPr>
          <w:p>
            <w:pPr>
              <w:pStyle w:val="style0"/>
              <w:spacing w:lineRule="auto" w:line="480"/>
              <w:rPr>
                <w:rFonts w:ascii="Times New Roman" w:hAnsi="Times New Roman"/>
                <w:sz w:val="28"/>
                <w:szCs w:val="28"/>
              </w:rPr>
            </w:pPr>
            <w:r>
              <w:rPr>
                <w:rFonts w:ascii="Times New Roman" w:hAnsi="Times New Roman"/>
                <w:sz w:val="28"/>
                <w:szCs w:val="28"/>
              </w:rPr>
              <w:t>F</w:t>
            </w:r>
          </w:p>
        </w:tc>
        <w:tc>
          <w:tcPr>
            <w:tcW w:w="2160" w:type="dxa"/>
            <w:tcBorders/>
          </w:tcPr>
          <w:p>
            <w:pPr>
              <w:pStyle w:val="style0"/>
              <w:spacing w:lineRule="auto" w:line="480"/>
              <w:rPr>
                <w:rFonts w:ascii="Times New Roman" w:hAnsi="Times New Roman"/>
                <w:sz w:val="28"/>
                <w:szCs w:val="28"/>
              </w:rPr>
            </w:pPr>
            <w:r>
              <w:rPr>
                <w:rFonts w:ascii="Times New Roman" w:hAnsi="Times New Roman"/>
                <w:sz w:val="28"/>
                <w:szCs w:val="28"/>
              </w:rPr>
              <w:t>2</w:t>
            </w:r>
          </w:p>
        </w:tc>
      </w:tr>
    </w:tbl>
    <w:p>
      <w:pPr>
        <w:pStyle w:val="style0"/>
        <w:rPr>
          <w:rFonts w:ascii="Times New Roman" w:hAnsi="Times New Roman"/>
          <w:b/>
          <w:bCs/>
          <w:sz w:val="28"/>
          <w:szCs w:val="28"/>
        </w:rPr>
      </w:pPr>
      <w:r>
        <w:rPr>
          <w:rFonts w:ascii="Times New Roman" w:hAnsi="Times New Roman"/>
          <w:b/>
          <w:bCs/>
          <w:sz w:val="28"/>
          <w:szCs w:val="28"/>
        </w:rPr>
        <w:t xml:space="preserve">KEYS: </w:t>
      </w:r>
      <w:r>
        <w:rPr>
          <w:rFonts w:ascii="Times New Roman" w:hAnsi="Times New Roman"/>
          <w:sz w:val="28"/>
          <w:szCs w:val="28"/>
        </w:rPr>
        <w:t>TFC -Total Fungal Counts</w:t>
      </w: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p>
      <w:pPr>
        <w:pStyle w:val="style0"/>
        <w:spacing w:lineRule="auto" w:line="480"/>
        <w:rPr>
          <w:rFonts w:ascii="Times New Roman" w:hAnsi="Times New Roman"/>
          <w:b/>
          <w:bCs/>
          <w:color w:val="365f91"/>
          <w:sz w:val="28"/>
          <w:szCs w:val="28"/>
        </w:rPr>
      </w:pPr>
    </w:p>
    <w:bookmarkStart w:id="38" w:name="_Toc169941629"/>
    <w:p>
      <w:pPr>
        <w:pStyle w:val="style34"/>
        <w:keepNext/>
        <w:spacing w:lineRule="auto" w:line="480"/>
        <w:ind w:left="720" w:hanging="720"/>
        <w:jc w:val="both"/>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3</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 Biochemical and Microscopic Characterization of Bacteria Isolated from the Herbs Sample</w:t>
      </w:r>
      <w:bookmarkEnd w:id="38"/>
    </w:p>
    <w:tbl>
      <w:tblPr>
        <w:tblStyle w:val="style154"/>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00"/>
        <w:gridCol w:w="990"/>
        <w:gridCol w:w="630"/>
        <w:gridCol w:w="990"/>
        <w:gridCol w:w="810"/>
        <w:gridCol w:w="1080"/>
        <w:gridCol w:w="990"/>
        <w:gridCol w:w="2790"/>
      </w:tblGrid>
      <w:tr>
        <w:trPr>
          <w:cantSplit/>
          <w:trHeight w:val="935" w:hRule="atLeast"/>
        </w:trPr>
        <w:tc>
          <w:tcPr>
            <w:tcW w:w="1283"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Isolates  </w:t>
            </w:r>
          </w:p>
        </w:tc>
        <w:tc>
          <w:tcPr>
            <w:tcW w:w="90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Ind</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MR</w:t>
            </w:r>
          </w:p>
        </w:tc>
        <w:tc>
          <w:tcPr>
            <w:tcW w:w="63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VP</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Cit</w:t>
            </w:r>
          </w:p>
        </w:tc>
        <w:tc>
          <w:tcPr>
            <w:tcW w:w="81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Cat</w:t>
            </w:r>
          </w:p>
        </w:tc>
        <w:tc>
          <w:tcPr>
            <w:tcW w:w="108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Gram reaction</w:t>
            </w:r>
          </w:p>
        </w:tc>
        <w:tc>
          <w:tcPr>
            <w:tcW w:w="9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Shape</w:t>
            </w:r>
          </w:p>
        </w:tc>
        <w:tc>
          <w:tcPr>
            <w:tcW w:w="2790" w:type="dxa"/>
            <w:tcBorders/>
          </w:tcPr>
          <w:p>
            <w:pPr>
              <w:pStyle w:val="style0"/>
              <w:autoSpaceDE w:val="false"/>
              <w:autoSpaceDN w:val="false"/>
              <w:adjustRightInd w:val="false"/>
              <w:spacing w:lineRule="auto" w:line="480"/>
              <w:jc w:val="both"/>
              <w:rPr>
                <w:rFonts w:ascii="Times New Roman" w:hAnsi="Times New Roman"/>
                <w:b/>
                <w:bCs/>
                <w:sz w:val="28"/>
                <w:szCs w:val="28"/>
              </w:rPr>
            </w:pPr>
            <w:r>
              <w:rPr>
                <w:rFonts w:ascii="Times New Roman" w:hAnsi="Times New Roman"/>
                <w:b/>
                <w:bCs/>
                <w:sz w:val="28"/>
                <w:szCs w:val="28"/>
              </w:rPr>
              <w:t xml:space="preserve">Probable Organism </w:t>
            </w:r>
          </w:p>
        </w:tc>
      </w:tr>
      <w:tr>
        <w:tblPrEx/>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1</w:t>
            </w:r>
          </w:p>
        </w:tc>
        <w:tc>
          <w:tcPr>
            <w:tcW w:w="90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Cocci</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E. coli</w:t>
            </w:r>
          </w:p>
        </w:tc>
      </w:tr>
      <w:tr>
        <w:tblPrEx/>
        <w:trPr>
          <w:trHeight w:val="402"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2</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703"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3</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4</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i/>
                <w:iCs/>
                <w:sz w:val="28"/>
                <w:szCs w:val="28"/>
              </w:rPr>
              <w:t>Staphylococcus sp.</w:t>
            </w:r>
          </w:p>
        </w:tc>
      </w:tr>
      <w:tr>
        <w:tblPrEx/>
        <w:trPr>
          <w:trHeight w:val="435" w:hRule="atLeast"/>
        </w:trPr>
        <w:tc>
          <w:tcPr>
            <w:tcW w:w="1283"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5</w:t>
            </w:r>
          </w:p>
        </w:tc>
        <w:tc>
          <w:tcPr>
            <w:tcW w:w="90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630" w:type="dxa"/>
            <w:tcBorders/>
          </w:tcPr>
          <w:p>
            <w:pPr>
              <w:pStyle w:val="style0"/>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81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108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w:t>
            </w:r>
          </w:p>
        </w:tc>
        <w:tc>
          <w:tcPr>
            <w:tcW w:w="990" w:type="dxa"/>
            <w:tcBorders/>
          </w:tcPr>
          <w:p>
            <w:pPr>
              <w:pStyle w:val="style0"/>
              <w:autoSpaceDE w:val="false"/>
              <w:autoSpaceDN w:val="false"/>
              <w:adjustRightInd w:val="false"/>
              <w:spacing w:lineRule="auto" w:line="480"/>
              <w:jc w:val="center"/>
              <w:rPr>
                <w:rFonts w:ascii="Times New Roman" w:hAnsi="Times New Roman"/>
                <w:sz w:val="28"/>
                <w:szCs w:val="28"/>
              </w:rPr>
            </w:pPr>
            <w:r>
              <w:rPr>
                <w:rFonts w:ascii="Times New Roman" w:hAnsi="Times New Roman"/>
                <w:sz w:val="28"/>
                <w:szCs w:val="28"/>
              </w:rPr>
              <w:t>Rod</w:t>
            </w:r>
          </w:p>
        </w:tc>
        <w:tc>
          <w:tcPr>
            <w:tcW w:w="2790" w:type="dxa"/>
            <w:tcBorders/>
          </w:tcPr>
          <w:p>
            <w:pPr>
              <w:pStyle w:val="style0"/>
              <w:autoSpaceDE w:val="false"/>
              <w:autoSpaceDN w:val="false"/>
              <w:adjustRightInd w:val="false"/>
              <w:spacing w:lineRule="auto" w:line="480"/>
              <w:jc w:val="center"/>
              <w:rPr>
                <w:rFonts w:ascii="Times New Roman" w:hAnsi="Times New Roman"/>
                <w:i/>
                <w:iCs/>
                <w:sz w:val="28"/>
                <w:szCs w:val="28"/>
              </w:rPr>
            </w:pPr>
            <w:r>
              <w:rPr>
                <w:rFonts w:ascii="Times New Roman" w:hAnsi="Times New Roman"/>
                <w:i/>
                <w:iCs/>
                <w:sz w:val="28"/>
                <w:szCs w:val="28"/>
              </w:rPr>
              <w:t>Pseudomonas sp.</w:t>
            </w:r>
          </w:p>
        </w:tc>
      </w:tr>
    </w:tbl>
    <w:p>
      <w:pPr>
        <w:pStyle w:val="style0"/>
        <w:spacing w:lineRule="auto" w:line="480"/>
        <w:rPr>
          <w:rFonts w:ascii="Times New Roman" w:hAnsi="Times New Roman"/>
          <w:b/>
          <w:bCs/>
          <w:sz w:val="28"/>
          <w:szCs w:val="28"/>
        </w:rPr>
      </w:pPr>
      <w:r>
        <w:rPr>
          <w:rFonts w:ascii="Times New Roman" w:hAnsi="Times New Roman"/>
          <w:b/>
          <w:bCs/>
          <w:sz w:val="28"/>
          <w:szCs w:val="28"/>
        </w:rPr>
        <w:t>Keys: - = negative + = positive</w:t>
      </w:r>
    </w:p>
    <w:p>
      <w:pPr>
        <w:pStyle w:val="style0"/>
        <w:spacing w:lineRule="auto" w:line="480"/>
        <w:rPr>
          <w:rFonts w:ascii="Times New Roman" w:hAnsi="Times New Roman"/>
          <w:b/>
          <w:bCs/>
          <w:sz w:val="28"/>
          <w:szCs w:val="28"/>
        </w:rPr>
      </w:pPr>
      <w:r>
        <w:rPr>
          <w:rFonts w:ascii="Times New Roman" w:hAnsi="Times New Roman"/>
          <w:b/>
          <w:bCs/>
          <w:sz w:val="28"/>
          <w:szCs w:val="28"/>
        </w:rPr>
        <w:br w:type="page"/>
      </w:r>
    </w:p>
    <w:bookmarkStart w:id="39" w:name="_Toc169941630"/>
    <w:p>
      <w:pPr>
        <w:pStyle w:val="style34"/>
        <w:keepNext/>
        <w:spacing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w:t>
      </w:r>
      <w:r>
        <w:rPr>
          <w:rFonts w:ascii="Times New Roman" w:cs="Times New Roman" w:hAnsi="Times New Roman"/>
          <w:color w:val="auto"/>
          <w:sz w:val="28"/>
          <w:szCs w:val="28"/>
        </w:rPr>
        <w:fldChar w:fldCharType="begin"/>
      </w:r>
      <w:r>
        <w:rPr>
          <w:rFonts w:ascii="Times New Roman" w:cs="Times New Roman" w:hAnsi="Times New Roman"/>
          <w:color w:val="auto"/>
          <w:sz w:val="28"/>
          <w:szCs w:val="28"/>
        </w:rPr>
        <w:instrText xml:space="preserve"> SEQ Table \* ARABIC </w:instrText>
      </w:r>
      <w:r>
        <w:rPr>
          <w:rFonts w:ascii="Times New Roman" w:cs="Times New Roman" w:hAnsi="Times New Roman"/>
          <w:color w:val="auto"/>
          <w:sz w:val="28"/>
          <w:szCs w:val="28"/>
        </w:rPr>
        <w:fldChar w:fldCharType="separate"/>
      </w:r>
      <w:r>
        <w:rPr>
          <w:rFonts w:ascii="Times New Roman" w:cs="Times New Roman" w:hAnsi="Times New Roman"/>
          <w:noProof/>
          <w:color w:val="auto"/>
          <w:sz w:val="28"/>
          <w:szCs w:val="28"/>
        </w:rPr>
        <w:t>4</w:t>
      </w:r>
      <w:r>
        <w:rPr>
          <w:rFonts w:ascii="Times New Roman" w:cs="Times New Roman" w:hAnsi="Times New Roman"/>
          <w:color w:val="auto"/>
          <w:sz w:val="28"/>
          <w:szCs w:val="28"/>
        </w:rPr>
        <w:fldChar w:fldCharType="end"/>
      </w:r>
      <w:r>
        <w:rPr>
          <w:rFonts w:ascii="Times New Roman" w:cs="Times New Roman" w:hAnsi="Times New Roman"/>
          <w:color w:val="auto"/>
          <w:sz w:val="28"/>
          <w:szCs w:val="28"/>
        </w:rPr>
        <w:t>a: Colonial Morphology Characterization of Bacterial Isolates</w:t>
      </w:r>
      <w:bookmarkEnd w:id="39"/>
    </w:p>
    <w:bookmarkStart w:id="40" w:name="_Toc169941732"/>
    <w:tbl>
      <w:tblPr>
        <w:tblW w:w="10188" w:type="dxa"/>
        <w:tblBorders>
          <w:top w:val="single" w:sz="8" w:space="0" w:color="000000"/>
          <w:bottom w:val="single" w:sz="8" w:space="0" w:color="000000"/>
        </w:tblBorders>
        <w:shd w:val="clear" w:color="auto" w:fill="ffffff"/>
        <w:tblLayout w:type="fixed"/>
        <w:tblLook w:val="0000" w:firstRow="0" w:lastRow="0" w:firstColumn="0" w:lastColumn="0" w:noHBand="0" w:noVBand="0"/>
      </w:tblPr>
      <w:tblGrid>
        <w:gridCol w:w="1284"/>
        <w:gridCol w:w="1590"/>
        <w:gridCol w:w="1737"/>
        <w:gridCol w:w="1350"/>
        <w:gridCol w:w="1427"/>
        <w:gridCol w:w="2800"/>
      </w:tblGrid>
      <w:tr>
        <w:trPr>
          <w:trHeight w:val="819" w:hRule="atLeast"/>
        </w:trPr>
        <w:tc>
          <w:tcPr>
            <w:tcW w:w="1284"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Isolate</w:t>
            </w:r>
            <w:bookmarkEnd w:id="40"/>
          </w:p>
          <w:bookmarkStart w:id="41" w:name="_Toc169941733"/>
        </w:tc>
        <w:tc>
          <w:tcPr>
            <w:tcW w:w="159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Colour</w:t>
            </w:r>
            <w:bookmarkEnd w:id="41"/>
          </w:p>
          <w:bookmarkStart w:id="42" w:name="_Toc169941734"/>
        </w:tc>
        <w:tc>
          <w:tcPr>
            <w:tcW w:w="173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Elevation</w:t>
            </w:r>
            <w:bookmarkEnd w:id="42"/>
          </w:p>
        </w:tc>
        <w:tc>
          <w:tcPr>
            <w:tcW w:w="135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Form</w:t>
            </w:r>
          </w:p>
        </w:tc>
        <w:tc>
          <w:tcPr>
            <w:tcW w:w="1427"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Surface</w:t>
            </w:r>
          </w:p>
        </w:tc>
        <w:tc>
          <w:tcPr>
            <w:tcW w:w="2800" w:type="dxa"/>
            <w:tcBorders>
              <w:top w:val="single" w:sz="8" w:space="0" w:color="000000"/>
              <w:left w:val="nil"/>
              <w:bottom w:val="single" w:sz="8" w:space="0" w:color="000000"/>
              <w:right w:val="nil"/>
            </w:tcBorders>
            <w:shd w:val="clear" w:color="auto" w:fill="ffffff"/>
          </w:tcPr>
          <w:p>
            <w:pPr>
              <w:pStyle w:val="style1"/>
              <w:spacing w:before="0" w:lineRule="auto" w:line="480"/>
              <w:jc w:val="both"/>
              <w:rPr>
                <w:rFonts w:ascii="Times New Roman" w:cs="Times New Roman" w:hAnsi="Times New Roman"/>
                <w:b w:val="false"/>
                <w:bCs w:val="false"/>
                <w:color w:val="auto"/>
              </w:rPr>
            </w:pPr>
            <w:r>
              <w:rPr>
                <w:rFonts w:ascii="Times New Roman" w:cs="Times New Roman" w:hAnsi="Times New Roman"/>
                <w:color w:val="auto"/>
              </w:rPr>
              <w:t>Size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1</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Off-white</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Convex</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Mucoid</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Small</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2</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Milkish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3</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40"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4</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Yellow-whitish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Smooth</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r>
        <w:tblPrEx/>
        <w:trPr>
          <w:trHeight w:val="422" w:hRule="atLeast"/>
        </w:trPr>
        <w:tc>
          <w:tcPr>
            <w:tcW w:w="1284" w:type="dxa"/>
            <w:tcBorders/>
            <w:shd w:val="clear" w:color="auto" w:fill="ffffff"/>
          </w:tcPr>
          <w:p>
            <w:pPr>
              <w:pStyle w:val="style0"/>
              <w:spacing w:after="0" w:lineRule="auto" w:line="480"/>
              <w:jc w:val="both"/>
              <w:rPr>
                <w:rFonts w:ascii="Times New Roman" w:hAnsi="Times New Roman"/>
                <w:b/>
                <w:bCs/>
                <w:color w:val="000000"/>
                <w:sz w:val="28"/>
                <w:szCs w:val="28"/>
              </w:rPr>
            </w:pPr>
            <w:r>
              <w:rPr>
                <w:rFonts w:ascii="Times New Roman" w:hAnsi="Times New Roman"/>
                <w:b/>
                <w:bCs/>
                <w:color w:val="000000"/>
                <w:sz w:val="28"/>
                <w:szCs w:val="28"/>
              </w:rPr>
              <w:t>5</w:t>
            </w:r>
          </w:p>
        </w:tc>
        <w:tc>
          <w:tcPr>
            <w:tcW w:w="159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Whitish</w:t>
            </w:r>
          </w:p>
        </w:tc>
        <w:tc>
          <w:tcPr>
            <w:tcW w:w="173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Raised</w:t>
            </w:r>
          </w:p>
        </w:tc>
        <w:tc>
          <w:tcPr>
            <w:tcW w:w="135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Circular</w:t>
            </w:r>
          </w:p>
        </w:tc>
        <w:tc>
          <w:tcPr>
            <w:tcW w:w="1427"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Moist</w:t>
            </w:r>
          </w:p>
        </w:tc>
        <w:tc>
          <w:tcPr>
            <w:tcW w:w="2800" w:type="dxa"/>
            <w:tcBorders/>
            <w:shd w:val="clear" w:color="auto" w:fill="ffffff"/>
          </w:tcPr>
          <w:p>
            <w:pPr>
              <w:pStyle w:val="style0"/>
              <w:spacing w:after="0" w:lineRule="auto" w:line="480"/>
              <w:jc w:val="both"/>
              <w:rPr>
                <w:rFonts w:ascii="Times New Roman" w:hAnsi="Times New Roman"/>
                <w:color w:val="000000"/>
                <w:sz w:val="28"/>
                <w:szCs w:val="28"/>
              </w:rPr>
            </w:pPr>
            <w:r>
              <w:rPr>
                <w:rFonts w:ascii="Times New Roman" w:hAnsi="Times New Roman"/>
                <w:color w:val="000000"/>
                <w:sz w:val="28"/>
                <w:szCs w:val="28"/>
              </w:rPr>
              <w:t>Large</w:t>
            </w:r>
          </w:p>
        </w:tc>
      </w:tr>
    </w:tbl>
    <w:p>
      <w:pPr>
        <w:pStyle w:val="style2"/>
        <w:spacing w:lineRule="auto" w:line="480"/>
        <w:rPr>
          <w:rFonts w:ascii="Times New Roman" w:cs="Times New Roman" w:hAnsi="Times New Roman"/>
          <w:color w:val="auto"/>
          <w:sz w:val="28"/>
          <w:szCs w:val="28"/>
        </w:rPr>
      </w:pPr>
    </w:p>
    <w:p>
      <w:pPr>
        <w:pStyle w:val="style0"/>
        <w:spacing w:lineRule="auto" w:line="480"/>
        <w:rPr>
          <w:rFonts w:ascii="Times New Roman" w:hAnsi="Times New Roman"/>
          <w:sz w:val="28"/>
          <w:szCs w:val="28"/>
        </w:rPr>
      </w:pPr>
      <w:r>
        <w:rPr>
          <w:rFonts w:ascii="Times New Roman" w:hAnsi="Times New Roman"/>
          <w:sz w:val="28"/>
          <w:szCs w:val="28"/>
        </w:rPr>
        <w:br w:type="page"/>
      </w:r>
    </w:p>
    <w:p>
      <w:pPr>
        <w:pStyle w:val="style34"/>
        <w:keepNext/>
        <w:spacing w:after="0" w:lineRule="auto" w:line="480"/>
        <w:rPr>
          <w:rFonts w:ascii="Times New Roman" w:cs="Times New Roman" w:hAnsi="Times New Roman"/>
          <w:color w:val="auto"/>
          <w:sz w:val="28"/>
          <w:szCs w:val="28"/>
        </w:rPr>
      </w:pPr>
      <w:r>
        <w:rPr>
          <w:rFonts w:ascii="Times New Roman" w:cs="Times New Roman" w:hAnsi="Times New Roman"/>
          <w:color w:val="auto"/>
          <w:sz w:val="28"/>
          <w:szCs w:val="28"/>
        </w:rPr>
        <w:t>Table 4.4b: Colonial Morphology Characterization of Fungal Isolates</w:t>
      </w:r>
    </w:p>
    <w:tbl>
      <w:tblPr>
        <w:tblW w:w="9576" w:type="dxa"/>
        <w:tblLook w:val="04A0" w:firstRow="1" w:lastRow="0" w:firstColumn="1" w:lastColumn="0" w:noHBand="0" w:noVBand="1"/>
      </w:tblPr>
      <w:tblGrid>
        <w:gridCol w:w="2376"/>
        <w:gridCol w:w="4111"/>
        <w:gridCol w:w="3089"/>
      </w:tblGrid>
      <w:tr>
        <w:trPr>
          <w:trHeight w:val="517" w:hRule="atLeast"/>
        </w:trPr>
        <w:tc>
          <w:tcPr>
            <w:tcW w:w="2376"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ISOLATES</w:t>
            </w:r>
          </w:p>
        </w:tc>
        <w:tc>
          <w:tcPr>
            <w:tcW w:w="4111" w:type="dxa"/>
            <w:tcBorders>
              <w:top w:val="single" w:sz="4" w:space="0" w:color="auto"/>
              <w:bottom w:val="single" w:sz="4" w:space="0" w:color="auto"/>
            </w:tcBorders>
            <w:vAlign w:val="center"/>
            <w:hideMark/>
          </w:tcPr>
          <w:p>
            <w:pPr>
              <w:pStyle w:val="style0"/>
              <w:spacing w:after="0" w:lineRule="auto" w:line="480"/>
              <w:jc w:val="center"/>
              <w:rPr>
                <w:rFonts w:ascii="Times New Roman" w:eastAsia="Calibri" w:hAnsi="Times New Roman"/>
                <w:b/>
                <w:bCs/>
                <w:sz w:val="28"/>
                <w:szCs w:val="28"/>
              </w:rPr>
            </w:pPr>
            <w:r>
              <w:rPr>
                <w:rFonts w:ascii="Times New Roman" w:hAnsi="Times New Roman"/>
                <w:b/>
                <w:bCs/>
                <w:sz w:val="28"/>
                <w:szCs w:val="28"/>
              </w:rPr>
              <w:t>COLONIAL DESCRIPTION</w:t>
            </w:r>
          </w:p>
        </w:tc>
        <w:tc>
          <w:tcPr>
            <w:tcW w:w="3089" w:type="dxa"/>
            <w:tcBorders>
              <w:top w:val="single" w:sz="4" w:space="0" w:color="auto"/>
              <w:bottom w:val="single" w:sz="4" w:space="0" w:color="auto"/>
            </w:tcBorders>
          </w:tcPr>
          <w:p>
            <w:pPr>
              <w:pStyle w:val="style0"/>
              <w:spacing w:after="0" w:lineRule="auto" w:line="480"/>
              <w:jc w:val="center"/>
              <w:rPr>
                <w:rFonts w:ascii="Times New Roman" w:hAnsi="Times New Roman"/>
                <w:b/>
                <w:bCs/>
                <w:sz w:val="28"/>
                <w:szCs w:val="28"/>
              </w:rPr>
            </w:pPr>
            <w:r>
              <w:rPr>
                <w:rFonts w:ascii="Times New Roman" w:hAnsi="Times New Roman"/>
                <w:b/>
                <w:bCs/>
                <w:sz w:val="28"/>
                <w:szCs w:val="28"/>
              </w:rPr>
              <w:t>LIKELY ORGANISMS</w:t>
            </w:r>
          </w:p>
        </w:tc>
      </w:tr>
      <w:tr>
        <w:tblPrEx/>
        <w:trPr>
          <w:trHeight w:val="674" w:hRule="atLeast"/>
        </w:trPr>
        <w:tc>
          <w:tcPr>
            <w:tcW w:w="2376" w:type="dxa"/>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1</w:t>
            </w:r>
          </w:p>
        </w:tc>
        <w:tc>
          <w:tcPr>
            <w:tcW w:w="4111" w:type="dxa"/>
            <w:tcBorders/>
            <w:hideMark/>
          </w:tcPr>
          <w:p>
            <w:pPr>
              <w:pStyle w:val="style4097"/>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Colony exhibited white mycelium growth initially with black centre which spread or increases with time. The margins of the fungi were whitish. The colony had The reverse face of the plate was yellowish. </w:t>
            </w:r>
          </w:p>
        </w:tc>
        <w:tc>
          <w:tcPr>
            <w:tcW w:w="3089" w:type="dxa"/>
            <w:tcBorders/>
          </w:tcPr>
          <w:p>
            <w:pPr>
              <w:pStyle w:val="style0"/>
              <w:spacing w:after="0" w:lineRule="auto" w:line="480"/>
              <w:rPr>
                <w:rFonts w:ascii="Times New Roman" w:hAnsi="Times New Roman"/>
                <w:bCs/>
                <w:sz w:val="28"/>
                <w:szCs w:val="28"/>
              </w:rPr>
            </w:pPr>
            <w:r>
              <w:rPr>
                <w:rFonts w:ascii="Times New Roman" w:hAnsi="Times New Roman"/>
                <w:bCs/>
                <w:i/>
                <w:iCs/>
                <w:sz w:val="28"/>
                <w:szCs w:val="28"/>
              </w:rPr>
              <w:t>Aspergillus niger</w:t>
            </w:r>
          </w:p>
        </w:tc>
      </w:tr>
      <w:tr>
        <w:tblPrEx/>
        <w:trPr>
          <w:trHeight w:val="782" w:hRule="atLeast"/>
        </w:trPr>
        <w:tc>
          <w:tcPr>
            <w:tcW w:w="2376" w:type="dxa"/>
            <w:tcBorders>
              <w:bottom w:val="single" w:sz="4" w:space="0" w:color="auto"/>
            </w:tcBorders>
          </w:tcPr>
          <w:p>
            <w:pPr>
              <w:pStyle w:val="style0"/>
              <w:spacing w:lineRule="auto" w:line="480"/>
              <w:jc w:val="center"/>
              <w:rPr>
                <w:rFonts w:ascii="Times New Roman" w:eastAsia="Calibri" w:hAnsi="Times New Roman"/>
                <w:bCs/>
                <w:sz w:val="28"/>
                <w:szCs w:val="28"/>
              </w:rPr>
            </w:pPr>
            <w:r>
              <w:rPr>
                <w:rFonts w:ascii="Times New Roman" w:eastAsia="Calibri" w:hAnsi="Times New Roman"/>
                <w:bCs/>
                <w:sz w:val="28"/>
                <w:szCs w:val="28"/>
              </w:rPr>
              <w:t>2</w:t>
            </w:r>
          </w:p>
        </w:tc>
        <w:tc>
          <w:tcPr>
            <w:tcW w:w="4111" w:type="dxa"/>
            <w:tcBorders>
              <w:bottom w:val="single" w:sz="4" w:space="0" w:color="auto"/>
            </w:tcBorders>
            <w:hideMark/>
          </w:tcPr>
          <w:p>
            <w:pPr>
              <w:pStyle w:val="style4097"/>
              <w:spacing w:lineRule="auto" w:line="480"/>
              <w:rPr>
                <w:rFonts w:ascii="Times New Roman" w:cs="Times New Roman" w:hAnsi="Times New Roman"/>
                <w:sz w:val="28"/>
                <w:szCs w:val="28"/>
              </w:rPr>
            </w:pPr>
            <w:r>
              <w:rPr>
                <w:rFonts w:ascii="Times New Roman" w:cs="Times New Roman" w:hAnsi="Times New Roman"/>
                <w:sz w:val="28"/>
                <w:szCs w:val="28"/>
              </w:rPr>
              <w:t xml:space="preserve">Yellow-brown and powdery with whitish mycelium at the edges </w:t>
            </w:r>
          </w:p>
        </w:tc>
        <w:tc>
          <w:tcPr>
            <w:tcW w:w="3089" w:type="dxa"/>
            <w:tcBorders>
              <w:bottom w:val="single" w:sz="4" w:space="0" w:color="auto"/>
            </w:tcBorders>
          </w:tcPr>
          <w:p>
            <w:pPr>
              <w:pStyle w:val="style0"/>
              <w:spacing w:lineRule="auto" w:line="480"/>
              <w:rPr>
                <w:rFonts w:ascii="Times New Roman" w:hAnsi="Times New Roman"/>
                <w:bCs/>
                <w:i/>
                <w:sz w:val="28"/>
                <w:szCs w:val="28"/>
              </w:rPr>
            </w:pPr>
            <w:r>
              <w:rPr>
                <w:rFonts w:ascii="Times New Roman" w:hAnsi="Times New Roman"/>
                <w:bCs/>
                <w:i/>
                <w:sz w:val="28"/>
                <w:szCs w:val="28"/>
              </w:rPr>
              <w:t>Aspergillus flavus</w:t>
            </w:r>
          </w:p>
        </w:tc>
      </w:tr>
    </w:tbl>
    <w:p>
      <w:pPr>
        <w:pStyle w:val="style0"/>
        <w:spacing w:lineRule="auto" w:line="480"/>
        <w:rPr>
          <w:rFonts w:ascii="Times New Roman" w:hAnsi="Times New Roman"/>
          <w:b/>
          <w:bCs/>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Cs/>
          <w:color w:val="000000"/>
          <w:sz w:val="28"/>
          <w:szCs w:val="28"/>
        </w:rPr>
      </w:pPr>
    </w:p>
    <w:p>
      <w:pPr>
        <w:pStyle w:val="style0"/>
        <w:spacing w:lineRule="auto" w:line="480"/>
        <w:rPr>
          <w:rFonts w:ascii="Times New Roman" w:eastAsia="Times New Roman" w:hAnsi="Times New Roman"/>
          <w:b/>
          <w:color w:val="000000"/>
          <w:sz w:val="28"/>
          <w:szCs w:val="28"/>
        </w:rPr>
      </w:pPr>
    </w:p>
    <w:p>
      <w:pPr>
        <w:pStyle w:val="style0"/>
        <w:spacing w:lineRule="auto" w:line="360"/>
        <w:jc w:val="center"/>
        <w:rPr>
          <w:rFonts w:ascii="Times New Roman" w:hAnsi="Times New Roman"/>
          <w:b/>
          <w:sz w:val="28"/>
          <w:szCs w:val="28"/>
        </w:rPr>
      </w:pPr>
      <w:r>
        <w:rPr>
          <w:rFonts w:ascii="Times New Roman" w:hAnsi="Times New Roman"/>
          <w:b/>
          <w:sz w:val="28"/>
          <w:szCs w:val="28"/>
        </w:rPr>
        <w:t>CHAPTER 5</w:t>
      </w:r>
    </w:p>
    <w:p>
      <w:pPr>
        <w:pStyle w:val="style0"/>
        <w:spacing w:lineRule="auto" w:line="360"/>
        <w:jc w:val="center"/>
        <w:rPr>
          <w:rFonts w:ascii="Times New Roman" w:hAnsi="Times New Roman"/>
          <w:b/>
          <w:sz w:val="28"/>
          <w:szCs w:val="28"/>
        </w:rPr>
      </w:pPr>
      <w:r>
        <w:rPr>
          <w:rFonts w:ascii="Times New Roman" w:hAnsi="Times New Roman"/>
          <w:b/>
          <w:sz w:val="28"/>
          <w:szCs w:val="28"/>
        </w:rPr>
        <w:t>DISCUSSION, CONCLUSION AND RECOMMENDATIONS</w:t>
      </w:r>
    </w:p>
    <w:bookmarkStart w:id="43" w:name="_Toc169941739"/>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5.1</w:t>
      </w:r>
      <w:r>
        <w:rPr>
          <w:rFonts w:ascii="Times New Roman" w:cs="Times New Roman" w:hAnsi="Times New Roman"/>
          <w:color w:val="auto"/>
          <w:sz w:val="28"/>
          <w:szCs w:val="28"/>
        </w:rPr>
        <w:tab/>
      </w:r>
      <w:r>
        <w:rPr>
          <w:rFonts w:ascii="Times New Roman" w:cs="Times New Roman" w:hAnsi="Times New Roman"/>
          <w:color w:val="auto"/>
          <w:sz w:val="28"/>
          <w:szCs w:val="28"/>
        </w:rPr>
        <w:t>Discussion</w:t>
      </w:r>
      <w:bookmarkEnd w:id="43"/>
    </w:p>
    <w:bookmarkStart w:id="44" w:name="_Toc169941740"/>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Among the bacterial isolates identified were </w:t>
      </w:r>
      <w:r>
        <w:rPr>
          <w:rFonts w:ascii="Times New Roman" w:hAnsi="Times New Roman"/>
          <w:i/>
          <w:iCs/>
          <w:sz w:val="28"/>
          <w:szCs w:val="28"/>
        </w:rPr>
        <w:t>Staphylococcus aureus</w:t>
      </w:r>
      <w:r>
        <w:rPr>
          <w:rFonts w:ascii="Times New Roman" w:hAnsi="Times New Roman"/>
          <w:sz w:val="28"/>
          <w:szCs w:val="28"/>
        </w:rPr>
        <w:t xml:space="preserve">, a known pathogen responsible for foodborne illness and skin infections, </w:t>
      </w:r>
      <w:r>
        <w:rPr>
          <w:rFonts w:ascii="Times New Roman" w:hAnsi="Times New Roman"/>
          <w:i/>
          <w:iCs/>
          <w:sz w:val="28"/>
          <w:szCs w:val="28"/>
        </w:rPr>
        <w:t>E. coli</w:t>
      </w:r>
      <w:r>
        <w:rPr>
          <w:rFonts w:ascii="Times New Roman" w:hAnsi="Times New Roman"/>
          <w:sz w:val="28"/>
          <w:szCs w:val="28"/>
        </w:rPr>
        <w:t xml:space="preserve">, often associated with urinary tract infections, and </w:t>
      </w:r>
      <w:r>
        <w:rPr>
          <w:rFonts w:ascii="Times New Roman" w:hAnsi="Times New Roman"/>
          <w:i/>
          <w:iCs/>
          <w:sz w:val="28"/>
          <w:szCs w:val="28"/>
        </w:rPr>
        <w:t>Pseudomonas spp.</w:t>
      </w:r>
      <w:r>
        <w:rPr>
          <w:rFonts w:ascii="Times New Roman" w:hAnsi="Times New Roman"/>
          <w:sz w:val="28"/>
          <w:szCs w:val="28"/>
        </w:rPr>
        <w:t xml:space="preserve">, an opportunistic pathogen. These findings align with previous studies. For instance, Adeyemi </w:t>
      </w:r>
      <w:r>
        <w:rPr>
          <w:rFonts w:ascii="Times New Roman" w:hAnsi="Times New Roman"/>
          <w:i/>
          <w:iCs/>
          <w:sz w:val="28"/>
          <w:szCs w:val="28"/>
        </w:rPr>
        <w:t>et al.</w:t>
      </w:r>
      <w:r>
        <w:rPr>
          <w:rFonts w:ascii="Times New Roman" w:hAnsi="Times New Roman"/>
          <w:sz w:val="28"/>
          <w:szCs w:val="28"/>
        </w:rPr>
        <w:t xml:space="preserve"> (2020) isolated </w:t>
      </w:r>
      <w:r>
        <w:rPr>
          <w:rFonts w:ascii="Times New Roman" w:hAnsi="Times New Roman"/>
          <w:i/>
          <w:iCs/>
          <w:sz w:val="28"/>
          <w:szCs w:val="28"/>
        </w:rPr>
        <w:t>Staphylococcus aureus</w:t>
      </w:r>
      <w:r>
        <w:rPr>
          <w:rFonts w:ascii="Times New Roman" w:hAnsi="Times New Roman"/>
          <w:sz w:val="28"/>
          <w:szCs w:val="28"/>
        </w:rPr>
        <w:t xml:space="preserve"> and </w:t>
      </w:r>
      <w:r>
        <w:rPr>
          <w:rFonts w:ascii="Times New Roman" w:hAnsi="Times New Roman"/>
          <w:i/>
          <w:iCs/>
          <w:sz w:val="28"/>
          <w:szCs w:val="28"/>
        </w:rPr>
        <w:t>Pseudomonas aeruginosa</w:t>
      </w:r>
      <w:r>
        <w:rPr>
          <w:rFonts w:ascii="Times New Roman" w:hAnsi="Times New Roman"/>
          <w:sz w:val="28"/>
          <w:szCs w:val="28"/>
        </w:rPr>
        <w:t xml:space="preserve"> from herbal mixtures sold in Lagos, Nigeria. Similarly, Yakubu and Ighodaro (2021) found </w:t>
      </w:r>
      <w:r>
        <w:rPr>
          <w:rFonts w:ascii="Times New Roman" w:hAnsi="Times New Roman"/>
          <w:i/>
          <w:iCs/>
          <w:sz w:val="28"/>
          <w:szCs w:val="28"/>
        </w:rPr>
        <w:t>Enterobacter spp.</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predominant fungi identified were </w:t>
      </w:r>
      <w:r>
        <w:rPr>
          <w:rFonts w:ascii="Times New Roman" w:hAnsi="Times New Roman"/>
          <w:i/>
          <w:iCs/>
          <w:sz w:val="28"/>
          <w:szCs w:val="28"/>
        </w:rPr>
        <w:t>Aspergillus niger</w:t>
      </w:r>
      <w:r>
        <w:rPr>
          <w:rFonts w:ascii="Times New Roman" w:hAnsi="Times New Roman"/>
          <w:sz w:val="28"/>
          <w:szCs w:val="28"/>
        </w:rPr>
        <w:t xml:space="preserve"> and </w:t>
      </w:r>
      <w:r>
        <w:rPr>
          <w:rFonts w:ascii="Times New Roman" w:hAnsi="Times New Roman"/>
          <w:i/>
          <w:iCs/>
          <w:sz w:val="28"/>
          <w:szCs w:val="28"/>
        </w:rPr>
        <w:t>Aspergillus flavus</w:t>
      </w:r>
      <w:r>
        <w:rPr>
          <w:rFonts w:ascii="Times New Roman" w:hAnsi="Times New Roman"/>
          <w:sz w:val="28"/>
          <w:szCs w:val="28"/>
        </w:rPr>
        <w:t xml:space="preserve">, both of which are capable of producing mycotoxins. </w:t>
      </w:r>
      <w:r>
        <w:rPr>
          <w:rFonts w:ascii="Times New Roman" w:hAnsi="Times New Roman"/>
          <w:i/>
          <w:iCs/>
          <w:sz w:val="28"/>
          <w:szCs w:val="28"/>
        </w:rPr>
        <w:t>A. flavus</w:t>
      </w:r>
      <w:r>
        <w:rPr>
          <w:rFonts w:ascii="Times New Roman" w:hAnsi="Times New Roman"/>
          <w:sz w:val="28"/>
          <w:szCs w:val="28"/>
        </w:rPr>
        <w:t xml:space="preserve">, in particular, produces aflatoxins which are potent hepatocarcinogens. These findings agree with those of Chinedu </w:t>
      </w:r>
      <w:r>
        <w:rPr>
          <w:rFonts w:ascii="Times New Roman" w:hAnsi="Times New Roman"/>
          <w:i/>
          <w:iCs/>
          <w:sz w:val="28"/>
          <w:szCs w:val="28"/>
        </w:rPr>
        <w:t>et al.</w:t>
      </w:r>
      <w:r>
        <w:rPr>
          <w:rFonts w:ascii="Times New Roman" w:hAnsi="Times New Roman"/>
          <w:sz w:val="28"/>
          <w:szCs w:val="28"/>
        </w:rPr>
        <w:t xml:space="preserve"> (2022), who also found </w:t>
      </w:r>
      <w:r>
        <w:rPr>
          <w:rFonts w:ascii="Times New Roman" w:hAnsi="Times New Roman"/>
          <w:i/>
          <w:iCs/>
          <w:sz w:val="28"/>
          <w:szCs w:val="28"/>
        </w:rPr>
        <w:t>Aspergillus spp.</w:t>
      </w:r>
      <w:r>
        <w:rPr>
          <w:rFonts w:ascii="Times New Roman" w:hAnsi="Times New Roman"/>
          <w:sz w:val="28"/>
          <w:szCs w:val="28"/>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Pr>
          <w:rFonts w:ascii="Times New Roman" w:hAnsi="Times New Roman"/>
          <w:i/>
          <w:iCs/>
          <w:sz w:val="28"/>
          <w:szCs w:val="28"/>
        </w:rPr>
        <w:t>Aspergillus flavus</w:t>
      </w:r>
      <w:r>
        <w:rPr>
          <w:rFonts w:ascii="Times New Roman" w:hAnsi="Times New Roman"/>
          <w:sz w:val="28"/>
          <w:szCs w:val="28"/>
        </w:rPr>
        <w:t>.</w:t>
      </w:r>
    </w:p>
    <w:p>
      <w:pPr>
        <w:pStyle w:val="style0"/>
        <w:spacing w:lineRule="auto" w:line="480"/>
        <w:ind w:firstLine="720"/>
        <w:jc w:val="both"/>
        <w:rPr>
          <w:rFonts w:ascii="Times New Roman" w:hAnsi="Times New Roman"/>
          <w:sz w:val="28"/>
          <w:szCs w:val="28"/>
        </w:rPr>
      </w:pPr>
      <w:r>
        <w:rPr>
          <w:rFonts w:ascii="Times New Roman" w:hAnsi="Times New Roman"/>
          <w:sz w:val="28"/>
          <w:szCs w:val="28"/>
        </w:rPr>
        <w:t>These findings highlight the consistent trend of microbial contamination in locally prepared herbal medicines across Nigeria, suggesting systemic issues in production hygiene.</w:t>
      </w:r>
    </w:p>
    <w:p>
      <w:pPr>
        <w:pStyle w:val="style2"/>
        <w:spacing w:lineRule="auto" w:line="480"/>
        <w:rPr>
          <w:rFonts w:ascii="Times New Roman" w:cs="Times New Roman" w:hAnsi="Times New Roman"/>
          <w:b w:val="false"/>
          <w:bCs w:val="false"/>
          <w:color w:val="auto"/>
          <w:sz w:val="28"/>
          <w:szCs w:val="28"/>
        </w:rPr>
      </w:pPr>
      <w:r>
        <w:rPr>
          <w:rFonts w:ascii="Times New Roman" w:cs="Times New Roman" w:hAnsi="Times New Roman"/>
          <w:color w:val="auto"/>
          <w:sz w:val="28"/>
          <w:szCs w:val="28"/>
        </w:rPr>
        <w:t>5.2</w:t>
      </w:r>
      <w:r>
        <w:rPr>
          <w:rFonts w:ascii="Times New Roman" w:cs="Times New Roman" w:hAnsi="Times New Roman"/>
          <w:color w:val="auto"/>
          <w:sz w:val="28"/>
          <w:szCs w:val="28"/>
        </w:rPr>
        <w:tab/>
      </w:r>
      <w:r>
        <w:rPr>
          <w:rFonts w:ascii="Times New Roman" w:cs="Times New Roman" w:hAnsi="Times New Roman"/>
          <w:color w:val="auto"/>
          <w:sz w:val="28"/>
          <w:szCs w:val="28"/>
        </w:rPr>
        <w:t>Conclusion</w:t>
      </w:r>
      <w:bookmarkEnd w:id="44"/>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microbial evaluation of herbal concoctions sold in Ilorin revealed unacceptable levels of bacterial and fungal contamination. The presence of pathogenic organisms such as </w:t>
      </w:r>
      <w:r>
        <w:rPr>
          <w:rFonts w:ascii="Times New Roman" w:hAnsi="Times New Roman"/>
          <w:i/>
          <w:iCs/>
          <w:sz w:val="28"/>
          <w:szCs w:val="28"/>
        </w:rPr>
        <w:t>Staphylococcus aureus</w:t>
      </w:r>
      <w:r>
        <w:rPr>
          <w:rFonts w:ascii="Times New Roman" w:hAnsi="Times New Roman"/>
          <w:sz w:val="28"/>
          <w:szCs w:val="28"/>
        </w:rPr>
        <w:t xml:space="preserve">, </w:t>
      </w:r>
      <w:r>
        <w:rPr>
          <w:rFonts w:ascii="Times New Roman" w:hAnsi="Times New Roman"/>
          <w:i/>
          <w:iCs/>
          <w:sz w:val="28"/>
          <w:szCs w:val="28"/>
        </w:rPr>
        <w:t>Escherichia coli</w:t>
      </w:r>
      <w:r>
        <w:rPr>
          <w:rFonts w:ascii="Times New Roman" w:hAnsi="Times New Roman"/>
          <w:sz w:val="28"/>
          <w:szCs w:val="28"/>
        </w:rPr>
        <w:t xml:space="preserve">, </w:t>
      </w:r>
      <w:r>
        <w:rPr>
          <w:rFonts w:ascii="Times New Roman" w:hAnsi="Times New Roman"/>
          <w:i/>
          <w:iCs/>
          <w:sz w:val="28"/>
          <w:szCs w:val="28"/>
        </w:rPr>
        <w:t>Pseudomonas spp.,</w:t>
      </w:r>
      <w:r>
        <w:rPr>
          <w:rFonts w:ascii="Times New Roman" w:hAnsi="Times New Roman"/>
          <w:sz w:val="28"/>
          <w:szCs w:val="28"/>
        </w:rPr>
        <w:t xml:space="preserve"> and </w:t>
      </w:r>
      <w:r>
        <w:rPr>
          <w:rFonts w:ascii="Times New Roman" w:hAnsi="Times New Roman"/>
          <w:i/>
          <w:iCs/>
          <w:sz w:val="28"/>
          <w:szCs w:val="28"/>
        </w:rPr>
        <w:t>Aspergillus spp</w:t>
      </w:r>
      <w:r>
        <w:rPr>
          <w:rFonts w:ascii="Times New Roman" w:hAnsi="Times New Roman"/>
          <w:sz w:val="28"/>
          <w:szCs w:val="28"/>
        </w:rPr>
        <w:t>. Raises significant health concerns. These findings affirm that many locally sold herbal mixtures do not meet microbiological safety standards and could be harmful, especially to immunocompromised individuals.</w:t>
      </w:r>
      <w:bookmarkStart w:id="45" w:name="_Toc169941741"/>
    </w:p>
    <w:p>
      <w:pPr>
        <w:pStyle w:val="style0"/>
        <w:spacing w:after="0" w:lineRule="auto" w:line="480"/>
        <w:jc w:val="both"/>
        <w:rPr>
          <w:rFonts w:ascii="Times New Roman" w:hAnsi="Times New Roman"/>
          <w:b/>
          <w:bCs/>
          <w:sz w:val="28"/>
          <w:szCs w:val="28"/>
        </w:rPr>
      </w:pPr>
      <w:r>
        <w:rPr>
          <w:rFonts w:ascii="Times New Roman" w:hAnsi="Times New Roman"/>
          <w:b/>
          <w:bCs/>
          <w:sz w:val="28"/>
          <w:szCs w:val="28"/>
        </w:rPr>
        <w:t>5.3</w:t>
      </w:r>
      <w:r>
        <w:rPr>
          <w:rFonts w:ascii="Times New Roman" w:hAnsi="Times New Roman"/>
          <w:b/>
          <w:bCs/>
          <w:sz w:val="28"/>
          <w:szCs w:val="28"/>
        </w:rPr>
        <w:tab/>
      </w:r>
      <w:r>
        <w:rPr>
          <w:rFonts w:ascii="Times New Roman" w:hAnsi="Times New Roman"/>
          <w:b/>
          <w:bCs/>
          <w:sz w:val="28"/>
          <w:szCs w:val="28"/>
        </w:rPr>
        <w:t>Recommendations</w:t>
      </w:r>
      <w:bookmarkEnd w:id="45"/>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Relevant government agencies like NAFDAC should intensify inspections and ensure that herbal products meet microbial safety standards before being sold to the public.</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Consumers should be educated on the potential risks associated with the use of unregulated herbal medicines.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Herbal vendors should be trained on proper hygiene, preparation, and storage of herbal concoctions.</w:t>
      </w:r>
    </w:p>
    <w:p>
      <w:pPr>
        <w:pStyle w:val="style179"/>
        <w:numPr>
          <w:ilvl w:val="0"/>
          <w:numId w:val="1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Future studies should include molecular identification of isolates and screening for antibiotic resistance and mycotoxin production.</w:t>
      </w: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360"/>
        <w:jc w:val="both"/>
        <w:rPr>
          <w:rFonts w:ascii="Times New Roman" w:hAnsi="Times New Roman"/>
          <w:sz w:val="28"/>
          <w:szCs w:val="28"/>
        </w:rPr>
      </w:pPr>
    </w:p>
    <w:p>
      <w:pPr>
        <w:pStyle w:val="style0"/>
        <w:spacing w:lineRule="auto" w:line="480"/>
        <w:jc w:val="center"/>
        <w:rPr>
          <w:rFonts w:ascii="Times New Roman" w:hAnsi="Times New Roman"/>
          <w:b/>
          <w:sz w:val="28"/>
          <w:szCs w:val="28"/>
        </w:rPr>
      </w:pPr>
      <w:r>
        <w:rPr>
          <w:rFonts w:ascii="Times New Roman" w:hAnsi="Times New Roman"/>
          <w:b/>
          <w:sz w:val="28"/>
          <w:szCs w:val="28"/>
        </w:rPr>
        <w:t>REFERENCES</w:t>
      </w:r>
    </w:p>
    <w:p>
      <w:pPr>
        <w:pStyle w:val="style94"/>
        <w:spacing w:lineRule="auto" w:line="480"/>
        <w:ind w:left="567" w:hanging="567"/>
        <w:jc w:val="both"/>
        <w:rPr>
          <w:sz w:val="28"/>
          <w:szCs w:val="28"/>
        </w:rPr>
      </w:pPr>
      <w:r>
        <w:rPr>
          <w:sz w:val="28"/>
          <w:szCs w:val="28"/>
        </w:rPr>
        <w:t xml:space="preserve">Abba, D., Inabo, H. I., Yakubu, S. E., &amp; Olonitola, O. S. (2009). Contamination of herbal medicinal products marketed in Kaduna metropolis with selected pathogenic bacteria. </w:t>
      </w:r>
      <w:r>
        <w:rPr>
          <w:rStyle w:val="style88"/>
          <w:sz w:val="28"/>
          <w:szCs w:val="28"/>
        </w:rPr>
        <w:t>African Journal of Traditional, Complementary and Alternative Medicines</w:t>
      </w:r>
      <w:r>
        <w:rPr>
          <w:sz w:val="28"/>
          <w:szCs w:val="28"/>
        </w:rPr>
        <w:t>, 6(1), 70-77.</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Adeyemi, T. O., Olaniyan, A. M., &amp; Olatunji, O. A. (2020). Microbial analysis of traditional herbal remedies sold in Lagos, Nigeria. </w:t>
      </w:r>
      <w:r>
        <w:rPr>
          <w:rFonts w:ascii="Times New Roman" w:hAnsi="Times New Roman"/>
          <w:i/>
          <w:iCs/>
          <w:sz w:val="28"/>
          <w:szCs w:val="28"/>
        </w:rPr>
        <w:t>African Journal of Microbiology Research,</w:t>
      </w:r>
      <w:r>
        <w:rPr>
          <w:rFonts w:ascii="Times New Roman" w:hAnsi="Times New Roman"/>
          <w:sz w:val="28"/>
          <w:szCs w:val="28"/>
        </w:rPr>
        <w:t xml:space="preserve"> 14(5), 203–209.</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bCs/>
          <w:sz w:val="28"/>
          <w:szCs w:val="28"/>
        </w:rPr>
        <w:t>Adenike Okunlola, Babatunde A. Adewoyin and Oluwatoyin A. Odeku (2007).Evaluation of Pharmaceutical and Microbial Qualitiesof Some Herbal Medicinal Products in South WesternNigeria.</w:t>
      </w:r>
      <w:r>
        <w:rPr>
          <w:rFonts w:ascii="Times New Roman" w:hAnsi="Times New Roman"/>
          <w:sz w:val="28"/>
          <w:szCs w:val="28"/>
        </w:rPr>
        <w:t xml:space="preserve"> Tropical Journal of Pharmaceutical Research, 6 (1): 661-670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Ajayi, A. K., &amp; Alade, T. O. (2023). Mycological profile of commonly used herbal drugs in Ibadan, Nigeria. </w:t>
      </w:r>
      <w:r>
        <w:rPr>
          <w:rFonts w:ascii="Times New Roman" w:hAnsi="Times New Roman"/>
          <w:i/>
          <w:iCs/>
          <w:sz w:val="28"/>
          <w:szCs w:val="28"/>
        </w:rPr>
        <w:t>Nigerian Journal of Mycology,</w:t>
      </w:r>
      <w:r>
        <w:rPr>
          <w:rFonts w:ascii="Times New Roman" w:hAnsi="Times New Roman"/>
          <w:sz w:val="28"/>
          <w:szCs w:val="28"/>
        </w:rPr>
        <w:t xml:space="preserve"> 15(1), 55–63.\</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Aligwekwe, A. I. (2018). Practical guide to biochemical identification of bacteria. </w:t>
      </w:r>
      <w:r>
        <w:rPr>
          <w:rFonts w:ascii="Times New Roman" w:hAnsi="Times New Roman"/>
          <w:i/>
          <w:iCs/>
          <w:sz w:val="28"/>
          <w:szCs w:val="28"/>
        </w:rPr>
        <w:t>Journal of Medical Laboratory Science,</w:t>
      </w:r>
      <w:r>
        <w:rPr>
          <w:rFonts w:ascii="Times New Roman" w:hAnsi="Times New Roman"/>
          <w:sz w:val="28"/>
          <w:szCs w:val="28"/>
        </w:rPr>
        <w:t xml:space="preserve"> 27(3), 45–52.</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Anie, S. O. (2018). Microbiological quality of herbal drugs sold in urban Nigeria. </w:t>
      </w:r>
      <w:r>
        <w:rPr>
          <w:rFonts w:ascii="Times New Roman" w:hAnsi="Times New Roman"/>
          <w:i/>
          <w:iCs/>
          <w:sz w:val="28"/>
          <w:szCs w:val="28"/>
        </w:rPr>
        <w:t>Tropical Journal of Pharmaceutical Research,</w:t>
      </w:r>
      <w:r>
        <w:rPr>
          <w:rFonts w:ascii="Times New Roman" w:hAnsi="Times New Roman"/>
          <w:sz w:val="28"/>
          <w:szCs w:val="28"/>
        </w:rPr>
        <w:t xml:space="preserve"> 17(6), 1123–1130.</w:t>
      </w: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Chinedu, U. B., Bello, T. A., &amp; Okafor, I. O. (2022). Fungal contamination of liquid herbal products: A case study from Abuja. </w:t>
      </w:r>
      <w:r>
        <w:rPr>
          <w:rFonts w:ascii="Times New Roman" w:hAnsi="Times New Roman"/>
          <w:i/>
          <w:iCs/>
          <w:sz w:val="28"/>
          <w:szCs w:val="28"/>
        </w:rPr>
        <w:t>African Mycology Bulletin,</w:t>
      </w:r>
      <w:r>
        <w:rPr>
          <w:rFonts w:ascii="Times New Roman" w:hAnsi="Times New Roman"/>
          <w:sz w:val="28"/>
          <w:szCs w:val="28"/>
        </w:rPr>
        <w:t xml:space="preserve"> 6(2), 76–82.</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shd w:val="clear" w:color="auto" w:fill="ffffff"/>
        </w:rPr>
        <w:t>de Sousa Lima CM, Fujishima MAT, de Paula Lima B, Mastroianni PC, de Sousa FFO, da Silva JO. (2020). Microbial contamination in herbal medicines: a serious health hazard to elderly consumers. BMC Complement Med Ther. 23; 20 (1):17. doi: 10.1186/s12906-019-2723-1.</w:t>
      </w:r>
    </w:p>
    <w:p>
      <w:pPr>
        <w:pStyle w:val="style4100"/>
        <w:spacing w:lineRule="auto" w:line="480"/>
        <w:ind w:left="567" w:hanging="567"/>
        <w:jc w:val="both"/>
        <w:rPr>
          <w:rFonts w:ascii="Times New Roman" w:hAnsi="Times New Roman"/>
          <w:sz w:val="28"/>
          <w:szCs w:val="28"/>
        </w:rPr>
      </w:pPr>
      <w:r>
        <w:rPr>
          <w:rFonts w:ascii="Times New Roman" w:hAnsi="Times New Roman"/>
          <w:bCs/>
          <w:sz w:val="28"/>
          <w:szCs w:val="28"/>
        </w:rPr>
        <w:t>de Freitas Araújo MG, Bauab TM. (2012).</w:t>
      </w:r>
      <w:r>
        <w:rPr>
          <w:rFonts w:ascii="Times New Roman" w:hAnsi="Times New Roman"/>
          <w:sz w:val="28"/>
          <w:szCs w:val="28"/>
        </w:rPr>
        <w:t xml:space="preserve">Microbial quality of medicinal plant materials. In: Akyar I, editor. Latest research into quality control. London (UK): IntechOpen. p. 67–81. </w:t>
      </w:r>
      <w:r>
        <w:rPr/>
        <w:fldChar w:fldCharType="begin"/>
      </w:r>
      <w:r>
        <w:instrText xml:space="preserve"> HYPERLINK "https://doi.org/10.5772/51072" </w:instrText>
      </w:r>
      <w:r>
        <w:rPr/>
        <w:fldChar w:fldCharType="separate"/>
      </w:r>
      <w:r>
        <w:rPr>
          <w:rStyle w:val="style85"/>
          <w:rFonts w:ascii="Times New Roman" w:hAnsi="Times New Roman"/>
          <w:sz w:val="28"/>
          <w:szCs w:val="28"/>
        </w:rPr>
        <w:t>https://doi.org/10.5772/51072</w:t>
      </w:r>
      <w:r>
        <w:rPr/>
        <w:fldChar w:fldCharType="end"/>
      </w:r>
    </w:p>
    <w:p>
      <w:pPr>
        <w:pStyle w:val="style0"/>
        <w:ind w:left="720" w:hanging="720"/>
        <w:rPr>
          <w:rStyle w:val="style87"/>
          <w:rFonts w:ascii="Times New Roman" w:hAnsi="Times New Roman"/>
          <w:b w:val="false"/>
          <w:i/>
          <w:sz w:val="28"/>
          <w:szCs w:val="28"/>
        </w:rPr>
      </w:pPr>
      <w:r>
        <w:rPr>
          <w:rStyle w:val="style4113"/>
          <w:rFonts w:ascii="Times New Roman" w:hAnsi="Times New Roman"/>
          <w:i/>
          <w:sz w:val="28"/>
          <w:szCs w:val="28"/>
        </w:rPr>
        <w:t>Duan Q, Zhou M, Zhu L, Zhu G. Flagella and bacterial pathogenicity. Journal of Basic Microbiology. 2011;53:1-8.</w:t>
      </w:r>
    </w:p>
    <w:p>
      <w:pPr>
        <w:pStyle w:val="style4097"/>
        <w:rPr>
          <w:rFonts w:ascii="Times New Roman" w:cs="Times New Roman" w:hAnsi="Times New Roman"/>
          <w:sz w:val="28"/>
          <w:szCs w:val="28"/>
        </w:rPr>
      </w:pPr>
    </w:p>
    <w:p>
      <w:pPr>
        <w:pStyle w:val="style0"/>
        <w:spacing w:lineRule="auto" w:line="480"/>
        <w:ind w:left="720" w:hanging="720"/>
        <w:rPr>
          <w:rFonts w:ascii="Times New Roman" w:hAnsi="Times New Roman"/>
          <w:sz w:val="28"/>
          <w:szCs w:val="28"/>
        </w:rPr>
      </w:pPr>
      <w:r>
        <w:rPr>
          <w:rFonts w:ascii="Times New Roman" w:hAnsi="Times New Roman"/>
          <w:sz w:val="28"/>
          <w:szCs w:val="28"/>
        </w:rPr>
        <w:t xml:space="preserve">Ellis, D. I., &amp; Goodacre, R. (2016). Metabolic profiling: its role in biomarker discovery and gene function analysis. </w:t>
      </w:r>
      <w:r>
        <w:rPr>
          <w:rFonts w:ascii="Times New Roman" w:hAnsi="Times New Roman"/>
          <w:i/>
          <w:iCs/>
          <w:sz w:val="28"/>
          <w:szCs w:val="28"/>
        </w:rPr>
        <w:t>Clinical and Experimental Pharmacology and Physiology</w:t>
      </w:r>
      <w:r>
        <w:rPr>
          <w:rFonts w:ascii="Times New Roman" w:hAnsi="Times New Roman"/>
          <w:sz w:val="28"/>
          <w:szCs w:val="28"/>
        </w:rPr>
        <w:t>, 43(7), 728–732.</w:t>
      </w:r>
    </w:p>
    <w:p>
      <w:pPr>
        <w:pStyle w:val="style94"/>
        <w:spacing w:lineRule="auto" w:line="480"/>
        <w:ind w:left="567" w:hanging="567"/>
        <w:jc w:val="both"/>
        <w:rPr>
          <w:sz w:val="28"/>
          <w:szCs w:val="28"/>
        </w:rPr>
      </w:pPr>
      <w:r>
        <w:rPr>
          <w:sz w:val="28"/>
          <w:szCs w:val="28"/>
        </w:rPr>
        <w:t xml:space="preserve">Ekor, M. (2014). The growing use of herbal medicines: Issues relating to adverse reactions and challenges in monitoring safety. </w:t>
      </w:r>
      <w:r>
        <w:rPr>
          <w:rStyle w:val="style88"/>
          <w:sz w:val="28"/>
          <w:szCs w:val="28"/>
        </w:rPr>
        <w:t>Frontiers in Pharmacology</w:t>
      </w:r>
      <w:r>
        <w:rPr>
          <w:sz w:val="28"/>
          <w:szCs w:val="28"/>
        </w:rPr>
        <w:t>, 4, 177.</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Islam, M. R. (2018). Microbiological techniques in pharmacognosy. </w:t>
      </w:r>
      <w:r>
        <w:rPr>
          <w:rFonts w:ascii="Times New Roman" w:hAnsi="Times New Roman"/>
          <w:i/>
          <w:iCs/>
          <w:sz w:val="28"/>
          <w:szCs w:val="28"/>
        </w:rPr>
        <w:t>Asian Journal of Biomedical Sciences,</w:t>
      </w:r>
      <w:r>
        <w:rPr>
          <w:rFonts w:ascii="Times New Roman" w:hAnsi="Times New Roman"/>
          <w:sz w:val="28"/>
          <w:szCs w:val="28"/>
        </w:rPr>
        <w:t xml:space="preserve"> 4(2), 34–39.</w:t>
      </w:r>
    </w:p>
    <w:p>
      <w:pPr>
        <w:pStyle w:val="style94"/>
        <w:spacing w:lineRule="auto" w:line="480"/>
        <w:ind w:left="567" w:hanging="567"/>
        <w:jc w:val="both"/>
        <w:rPr>
          <w:sz w:val="28"/>
          <w:szCs w:val="28"/>
        </w:rPr>
      </w:pPr>
      <w:r>
        <w:rPr>
          <w:sz w:val="28"/>
          <w:szCs w:val="28"/>
        </w:rPr>
        <w:t xml:space="preserve">Klayman, D. L. (1985). Qinghaosu (artemisinin): An antimalarial drug from China. </w:t>
      </w:r>
      <w:r>
        <w:rPr>
          <w:rStyle w:val="style88"/>
          <w:sz w:val="28"/>
          <w:szCs w:val="28"/>
        </w:rPr>
        <w:t>Science</w:t>
      </w:r>
      <w:r>
        <w:rPr>
          <w:sz w:val="28"/>
          <w:szCs w:val="28"/>
        </w:rPr>
        <w:t>, 228(4703), 1049-1055.</w:t>
      </w:r>
    </w:p>
    <w:p>
      <w:pPr>
        <w:pStyle w:val="style94"/>
        <w:spacing w:lineRule="auto" w:line="480"/>
        <w:ind w:left="567" w:hanging="567"/>
        <w:jc w:val="both"/>
        <w:rPr>
          <w:sz w:val="28"/>
          <w:szCs w:val="28"/>
        </w:rPr>
      </w:pPr>
      <w:r>
        <w:rPr>
          <w:sz w:val="28"/>
          <w:szCs w:val="28"/>
        </w:rPr>
        <w:t>Martins, H. M., et al. (2012),"Mycobiota and mycotoxins in medicinal plants."</w:t>
      </w:r>
      <w:r>
        <w:rPr>
          <w:rStyle w:val="style88"/>
          <w:sz w:val="28"/>
          <w:szCs w:val="28"/>
        </w:rPr>
        <w:t>Microbiological Research</w:t>
      </w:r>
      <w:r>
        <w:rPr>
          <w:sz w:val="28"/>
          <w:szCs w:val="28"/>
        </w:rPr>
        <w:t>, vol. 167, no. 4, pp. 223–230.</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Musa, A. B., Yakubu, I., &amp; Salami, M. J. (2021). Microbial assessment of herbal preparations sold in Ilorin metropolis. </w:t>
      </w:r>
      <w:r>
        <w:rPr>
          <w:rFonts w:ascii="Times New Roman" w:hAnsi="Times New Roman"/>
          <w:i/>
          <w:iCs/>
          <w:sz w:val="28"/>
          <w:szCs w:val="28"/>
        </w:rPr>
        <w:t>Ilorin Journal of Science</w:t>
      </w:r>
      <w:r>
        <w:rPr>
          <w:rFonts w:ascii="Times New Roman" w:hAnsi="Times New Roman"/>
          <w:sz w:val="28"/>
          <w:szCs w:val="28"/>
        </w:rPr>
        <w:t>, 8(1), 44–52.</w:t>
      </w:r>
    </w:p>
    <w:p>
      <w:pPr>
        <w:pStyle w:val="style0"/>
        <w:autoSpaceDE w:val="false"/>
        <w:autoSpaceDN w:val="false"/>
        <w:adjustRightInd w:val="false"/>
        <w:spacing w:after="0" w:lineRule="auto" w:line="480"/>
        <w:ind w:left="567" w:hanging="567"/>
        <w:jc w:val="both"/>
        <w:rPr>
          <w:rFonts w:ascii="Times New Roman" w:hAnsi="Times New Roman"/>
          <w:bCs/>
          <w:sz w:val="28"/>
          <w:szCs w:val="28"/>
        </w:rPr>
      </w:pPr>
      <w:r>
        <w:rPr>
          <w:rFonts w:ascii="Times New Roman" w:hAnsi="Times New Roman"/>
          <w:sz w:val="28"/>
          <w:szCs w:val="28"/>
        </w:rPr>
        <w:t>Noor R, Huda N, Rahman F, Bashar T, Munshi SK (2013).</w:t>
      </w:r>
      <w:r>
        <w:rPr>
          <w:rFonts w:ascii="Times New Roman" w:hAnsi="Times New Roman"/>
          <w:bCs/>
          <w:sz w:val="28"/>
          <w:szCs w:val="28"/>
        </w:rPr>
        <w:t xml:space="preserve"> Microbial contamination in herbal medicines available in Bangladesh. Bangladesh Med Res Counc Bull. 39: 124-129</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Okafo, C. N., Okonkwo, O. C., &amp; Ibe, S. N. (2019). Microbiological quality of herbal medicinal products marketed in South-East Nigeria. </w:t>
      </w:r>
      <w:r>
        <w:rPr>
          <w:rFonts w:ascii="Times New Roman" w:hAnsi="Times New Roman"/>
          <w:i/>
          <w:iCs/>
          <w:sz w:val="28"/>
          <w:szCs w:val="28"/>
        </w:rPr>
        <w:t>Nigerian Journal of Microbiology</w:t>
      </w:r>
      <w:r>
        <w:rPr>
          <w:rFonts w:ascii="Times New Roman" w:hAnsi="Times New Roman"/>
          <w:sz w:val="28"/>
          <w:szCs w:val="28"/>
        </w:rPr>
        <w:t>, 33(1), 1003–1012.</w:t>
      </w:r>
    </w:p>
    <w:p>
      <w:pPr>
        <w:pStyle w:val="style0"/>
        <w:spacing w:lineRule="auto" w:line="360"/>
        <w:ind w:left="720" w:hanging="720"/>
        <w:jc w:val="both"/>
        <w:rPr>
          <w:rStyle w:val="style4113"/>
          <w:rFonts w:ascii="Times New Roman" w:hAnsi="Times New Roman"/>
          <w:sz w:val="28"/>
          <w:szCs w:val="28"/>
        </w:rPr>
      </w:pPr>
      <w:r>
        <w:rPr>
          <w:rStyle w:val="style4113"/>
          <w:rFonts w:ascii="Times New Roman" w:hAnsi="Times New Roman"/>
          <w:sz w:val="28"/>
          <w:szCs w:val="28"/>
        </w:rPr>
        <w:t>Osuntokun OT, Thonda OA, Akele EO, Adedokun LO, Adedayo SA, Bello OA. Pathogenic bacteria found on surfaces of canned drinks and wines being sold in retail shops in Ondo state, Nigeria, Health Implications, Food Safety and Quality Assessment. South Asian Journal of Parasitology. 2021;5(4):68-94. 15.</w:t>
      </w:r>
    </w:p>
    <w:p>
      <w:pPr>
        <w:pStyle w:val="style94"/>
        <w:spacing w:lineRule="auto" w:line="480"/>
        <w:ind w:left="567" w:hanging="567"/>
        <w:jc w:val="both"/>
        <w:rPr>
          <w:sz w:val="28"/>
          <w:szCs w:val="28"/>
        </w:rPr>
      </w:pPr>
      <w:r>
        <w:rPr>
          <w:sz w:val="28"/>
          <w:szCs w:val="28"/>
        </w:rPr>
        <w:t xml:space="preserve">Patwardhan, B., Warude, D., Pushpangadan, P., &amp; Bhatt, N. (2005). Ayurveda and traditional Chinese medicine: A comparative overview. </w:t>
      </w:r>
      <w:r>
        <w:rPr>
          <w:rStyle w:val="style88"/>
          <w:sz w:val="28"/>
          <w:szCs w:val="28"/>
        </w:rPr>
        <w:t>Evidence-Based Complementary and Alternative Medicine</w:t>
      </w:r>
      <w:r>
        <w:rPr>
          <w:sz w:val="28"/>
          <w:szCs w:val="28"/>
        </w:rPr>
        <w:t>, 2(4), 465-473.</w:t>
      </w:r>
    </w:p>
    <w:p>
      <w:pPr>
        <w:pStyle w:val="style94"/>
        <w:spacing w:lineRule="auto" w:line="480"/>
        <w:ind w:left="567" w:hanging="567"/>
        <w:jc w:val="both"/>
        <w:rPr>
          <w:sz w:val="28"/>
          <w:szCs w:val="28"/>
        </w:rPr>
      </w:pPr>
      <w:r>
        <w:rPr>
          <w:sz w:val="28"/>
          <w:szCs w:val="28"/>
        </w:rPr>
        <w:t xml:space="preserve">Petrovska, B. B. (2012). Historical review of medicinal plants’ usage. </w:t>
      </w:r>
      <w:r>
        <w:rPr>
          <w:rStyle w:val="style88"/>
          <w:sz w:val="28"/>
          <w:szCs w:val="28"/>
        </w:rPr>
        <w:t>Pharmacognosy Reviews</w:t>
      </w:r>
      <w:r>
        <w:rPr>
          <w:sz w:val="28"/>
          <w:szCs w:val="28"/>
        </w:rPr>
        <w:t>, 6(11), 1-5.</w:t>
      </w:r>
    </w:p>
    <w:p>
      <w:pPr>
        <w:pStyle w:val="style94"/>
        <w:spacing w:lineRule="auto" w:line="480"/>
        <w:ind w:left="567" w:hanging="567"/>
        <w:jc w:val="both"/>
        <w:rPr>
          <w:sz w:val="28"/>
          <w:szCs w:val="28"/>
        </w:rPr>
      </w:pPr>
      <w:r>
        <w:rPr>
          <w:sz w:val="28"/>
          <w:szCs w:val="28"/>
        </w:rPr>
        <w:t>Prakash, S., et al. (2014), "Microbial contamination in herbal medicines: A serious health concern."</w:t>
      </w:r>
      <w:r>
        <w:rPr>
          <w:rStyle w:val="style88"/>
          <w:sz w:val="28"/>
          <w:szCs w:val="28"/>
        </w:rPr>
        <w:t>Pharmaceutical Biology</w:t>
      </w:r>
      <w:r>
        <w:rPr>
          <w:sz w:val="28"/>
          <w:szCs w:val="28"/>
        </w:rPr>
        <w:t>, vol. 52, no. 1pp. 74–81.</w:t>
      </w:r>
    </w:p>
    <w:p>
      <w:pPr>
        <w:pStyle w:val="style4100"/>
        <w:spacing w:lineRule="auto" w:line="480"/>
        <w:ind w:left="567" w:hanging="567"/>
        <w:jc w:val="both"/>
        <w:rPr>
          <w:rStyle w:val="style4103"/>
          <w:rFonts w:ascii="Times New Roman" w:cs="Times New Roman" w:hAnsi="Times New Roman"/>
          <w:color w:val="auto"/>
          <w:sz w:val="28"/>
          <w:szCs w:val="28"/>
        </w:rPr>
      </w:pPr>
      <w:r>
        <w:rPr>
          <w:rFonts w:ascii="Times New Roman" w:hAnsi="Times New Roman"/>
          <w:sz w:val="28"/>
          <w:szCs w:val="28"/>
        </w:rPr>
        <w:t xml:space="preserve">Sadan and Yewale, Zeba Farash, Sanman Kolhe, Sasidharan Sakkan, Shrinivas Bhope, Pradnya AmbekarAnd Sriram Padmanabhan (2020). </w:t>
      </w:r>
      <w:r>
        <w:rPr>
          <w:rFonts w:ascii="Times New Roman" w:hAnsi="Times New Roman"/>
          <w:bCs/>
          <w:sz w:val="28"/>
          <w:szCs w:val="28"/>
        </w:rPr>
        <w:t xml:space="preserve">Benefits of Soleris over the Conventional Method for Enumeration of Microbial Load in </w:t>
      </w:r>
      <w:r>
        <w:rPr>
          <w:rFonts w:ascii="Times New Roman" w:hAnsi="Times New Roman"/>
          <w:bCs/>
          <w:i/>
          <w:iCs/>
          <w:sz w:val="28"/>
          <w:szCs w:val="28"/>
        </w:rPr>
        <w:t xml:space="preserve">Salacia </w:t>
      </w:r>
      <w:r>
        <w:rPr>
          <w:rFonts w:ascii="Times New Roman" w:hAnsi="Times New Roman"/>
          <w:bCs/>
          <w:sz w:val="28"/>
          <w:szCs w:val="28"/>
        </w:rPr>
        <w:t>Herbal Extract.</w:t>
      </w:r>
      <w:r>
        <w:rPr>
          <w:rStyle w:val="style4103"/>
          <w:rFonts w:ascii="Times New Roman" w:cs="Times New Roman" w:hAnsi="Times New Roman"/>
          <w:color w:val="auto"/>
          <w:sz w:val="28"/>
          <w:szCs w:val="28"/>
        </w:rPr>
        <w:t xml:space="preserve">Polish Journal of Microbiology, Vol. 69, No 4, 453–462 </w:t>
      </w:r>
      <w:r>
        <w:rPr>
          <w:rFonts w:ascii="Times New Roman" w:hAnsi="Times New Roman"/>
          <w:sz w:val="28"/>
          <w:szCs w:val="28"/>
        </w:rPr>
        <w:t>https://doi.org/10.33073/pjm-2020-048</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 xml:space="preserve">Yakubu, I., &amp; Ighodaro, C. A. (2021). Bacteriological quality of traditional herbal medicines in Northern Nigeria. </w:t>
      </w:r>
      <w:r>
        <w:rPr>
          <w:rFonts w:ascii="Times New Roman" w:hAnsi="Times New Roman"/>
          <w:i/>
          <w:iCs/>
          <w:sz w:val="28"/>
          <w:szCs w:val="28"/>
        </w:rPr>
        <w:t>Journal of Applied Pharmaceutical Science</w:t>
      </w:r>
      <w:r>
        <w:rPr>
          <w:rFonts w:ascii="Times New Roman" w:hAnsi="Times New Roman"/>
          <w:sz w:val="28"/>
          <w:szCs w:val="28"/>
        </w:rPr>
        <w:t>, 11(2), 88–93.</w:t>
      </w:r>
    </w:p>
    <w:p>
      <w:pPr>
        <w:pStyle w:val="style0"/>
        <w:autoSpaceDE w:val="false"/>
        <w:autoSpaceDN w:val="false"/>
        <w:adjustRightInd w:val="false"/>
        <w:spacing w:after="0" w:lineRule="auto" w:line="480"/>
        <w:ind w:left="567" w:hanging="567"/>
        <w:jc w:val="both"/>
        <w:rPr>
          <w:rFonts w:ascii="Times New Roman" w:hAnsi="Times New Roman"/>
          <w:sz w:val="28"/>
          <w:szCs w:val="28"/>
        </w:rPr>
      </w:pPr>
      <w:r>
        <w:rPr>
          <w:rFonts w:ascii="Times New Roman" w:hAnsi="Times New Roman"/>
          <w:sz w:val="28"/>
          <w:szCs w:val="28"/>
        </w:rPr>
        <w:t xml:space="preserve">World Health Organization. WHO, (2000).General guidelines for methodologies on research and evaluation of traditional medicines., Geneva. </w:t>
      </w:r>
    </w:p>
    <w:p>
      <w:pPr>
        <w:pStyle w:val="style94"/>
        <w:spacing w:lineRule="auto" w:line="480"/>
        <w:ind w:left="567" w:hanging="567"/>
        <w:jc w:val="both"/>
        <w:rPr>
          <w:sz w:val="28"/>
          <w:szCs w:val="28"/>
        </w:rPr>
      </w:pPr>
      <w:r>
        <w:rPr>
          <w:sz w:val="28"/>
          <w:szCs w:val="28"/>
        </w:rPr>
        <w:t xml:space="preserve">WHO. (2002). Traditional medicine: Growing needs and potential. </w:t>
      </w:r>
      <w:r>
        <w:rPr>
          <w:rStyle w:val="style88"/>
          <w:sz w:val="28"/>
          <w:szCs w:val="28"/>
        </w:rPr>
        <w:t>World Health Organization Fact Sheet No. 134</w:t>
      </w:r>
      <w:r>
        <w:rPr>
          <w:sz w:val="28"/>
          <w:szCs w:val="28"/>
        </w:rPr>
        <w:t>.</w:t>
      </w:r>
    </w:p>
    <w:p>
      <w:pPr>
        <w:pStyle w:val="style0"/>
        <w:spacing w:lineRule="auto" w:line="480"/>
        <w:ind w:left="720" w:hanging="720"/>
        <w:jc w:val="both"/>
        <w:rPr>
          <w:rFonts w:ascii="Times New Roman" w:hAnsi="Times New Roman"/>
          <w:sz w:val="28"/>
          <w:szCs w:val="28"/>
        </w:rPr>
      </w:pPr>
      <w:r>
        <w:rPr>
          <w:rFonts w:ascii="Times New Roman" w:hAnsi="Times New Roman"/>
          <w:sz w:val="28"/>
          <w:szCs w:val="28"/>
        </w:rPr>
        <w:t>WHO. (2007). Quality Control Methods for Medicinal Plant Materials. World Health Organization Press, Geneva.</w:t>
      </w:r>
    </w:p>
    <w:p>
      <w:pPr>
        <w:pStyle w:val="style94"/>
        <w:spacing w:lineRule="auto" w:line="480"/>
        <w:ind w:left="567" w:hanging="567"/>
        <w:jc w:val="both"/>
        <w:rPr>
          <w:sz w:val="28"/>
          <w:szCs w:val="28"/>
        </w:rPr>
      </w:pPr>
      <w:r>
        <w:rPr>
          <w:sz w:val="28"/>
          <w:szCs w:val="28"/>
        </w:rPr>
        <w:t xml:space="preserve">Wani, M. C., Taylor, H. L., Wall, M. E., Coggon, P., &amp; McPhail, A. T. (1971). Plant antitumor agents. VI. The isolation and structure of taxol, a novel antileukemic and antitumor agent from </w:t>
      </w:r>
      <w:r>
        <w:rPr>
          <w:rStyle w:val="style88"/>
          <w:sz w:val="28"/>
          <w:szCs w:val="28"/>
        </w:rPr>
        <w:t>Taxus brevifolia</w:t>
      </w:r>
      <w:r>
        <w:rPr>
          <w:sz w:val="28"/>
          <w:szCs w:val="28"/>
        </w:rPr>
        <w:t xml:space="preserve">. </w:t>
      </w:r>
      <w:r>
        <w:rPr>
          <w:rStyle w:val="style88"/>
          <w:sz w:val="28"/>
          <w:szCs w:val="28"/>
        </w:rPr>
        <w:t>Journal of the American Chemical Society</w:t>
      </w:r>
      <w:r>
        <w:rPr>
          <w:sz w:val="28"/>
          <w:szCs w:val="28"/>
        </w:rPr>
        <w:t>, 93(9), 2325-2327</w:t>
      </w:r>
    </w:p>
    <w:sectPr>
      <w:pgSz w:w="11520" w:h="14400" w:orient="portrait"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Minion Pro">
    <w:altName w:val="Cambria"/>
    <w:panose1 w:val="00000000000000000000"/>
    <w:charset w:val="00"/>
    <w:family w:val="roman"/>
    <w:pitch w:val="default"/>
    <w:sig w:usb0="00000003" w:usb1="00000000" w:usb2="00000000" w:usb3="00000000" w:csb0="00000001" w:csb1="00000000"/>
  </w:font>
  <w:font w:name="Tahoma">
    <w:altName w:val="Tahoma"/>
    <w:panose1 w:val="020b0604030000040204"/>
    <w:charset w:val="00"/>
    <w:family w:val="swiss"/>
    <w:pitch w:val="variable"/>
    <w:sig w:usb0="E1002EFF" w:usb1="C000605B" w:usb2="00000029" w:usb3="00000000" w:csb0="000101FF" w:csb1="00000000"/>
  </w:font>
  <w:font w:name="Georgia">
    <w:altName w:val="Georgia"/>
    <w:panose1 w:val="02040502050000020303"/>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4DA654C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A98614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1758DA58"/>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982A1C3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multilevel"/>
    <w:tmpl w:val="A866D1CC"/>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56BE3D9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hybridMultilevel"/>
    <w:tmpl w:val="077E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435A422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1FF0C3C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D3C2648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hybridMultilevel"/>
    <w:tmpl w:val="AA782C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000000B"/>
    <w:multiLevelType w:val="multilevel"/>
    <w:tmpl w:val="CA12C8C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hybridMultilevel"/>
    <w:tmpl w:val="B568CF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F94E66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84563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336C1E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0000010"/>
    <w:multiLevelType w:val="hybridMultilevel"/>
    <w:tmpl w:val="F0E2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9EB04CAC"/>
    <w:lvl w:ilvl="0" w:tplc="C4BC12D4">
      <w:start w:val="1"/>
      <w:numFmt w:val="bullet"/>
      <w:lvlText w:val=""/>
      <w:lvlJc w:val="left"/>
      <w:pPr>
        <w:ind w:left="360" w:hanging="360"/>
      </w:pPr>
      <w:rPr>
        <w:rFonts w:ascii="Wingdings" w:hAnsi="Wingdings" w:hint="default"/>
        <w:sz w:val="22"/>
      </w:rPr>
    </w:lvl>
    <w:lvl w:ilvl="1" w:tplc="C57EF49C">
      <w:start w:val="1"/>
      <w:numFmt w:val="decimal"/>
      <w:lvlText w:val=""/>
      <w:lvlJc w:val="left"/>
      <w:pPr/>
    </w:lvl>
    <w:lvl w:ilvl="2" w:tplc="8DD4A308">
      <w:start w:val="1"/>
      <w:numFmt w:val="decimal"/>
      <w:lvlText w:val=""/>
      <w:lvlJc w:val="left"/>
      <w:pPr/>
    </w:lvl>
    <w:lvl w:ilvl="3" w:tplc="FB12930E">
      <w:start w:val="1"/>
      <w:numFmt w:val="decimal"/>
      <w:lvlText w:val=""/>
      <w:lvlJc w:val="left"/>
      <w:pPr/>
    </w:lvl>
    <w:lvl w:ilvl="4" w:tplc="16DC5D26">
      <w:start w:val="1"/>
      <w:numFmt w:val="decimal"/>
      <w:lvlText w:val=""/>
      <w:lvlJc w:val="left"/>
      <w:pPr/>
    </w:lvl>
    <w:lvl w:ilvl="5" w:tplc="14008974">
      <w:start w:val="1"/>
      <w:numFmt w:val="decimal"/>
      <w:lvlText w:val=""/>
      <w:lvlJc w:val="left"/>
      <w:pPr/>
    </w:lvl>
    <w:lvl w:ilvl="6" w:tplc="963ACEA8">
      <w:start w:val="1"/>
      <w:numFmt w:val="decimal"/>
      <w:lvlText w:val=""/>
      <w:lvlJc w:val="left"/>
      <w:pPr/>
    </w:lvl>
    <w:lvl w:ilvl="7" w:tplc="B25852FE">
      <w:start w:val="1"/>
      <w:numFmt w:val="decimal"/>
      <w:lvlText w:val=""/>
      <w:lvlJc w:val="left"/>
      <w:pPr/>
    </w:lvl>
    <w:lvl w:ilvl="8" w:tplc="4CFCBBE2">
      <w:start w:val="1"/>
      <w:numFmt w:val="decimal"/>
      <w:lvlText w:val=""/>
      <w:lvlJc w:val="left"/>
      <w:pPr/>
    </w:lvl>
  </w:abstractNum>
  <w:num w:numId="1">
    <w:abstractNumId w:val="4"/>
  </w:num>
  <w:num w:numId="2">
    <w:abstractNumId w:val="3"/>
  </w:num>
  <w:num w:numId="3">
    <w:abstractNumId w:val="5"/>
  </w:num>
  <w:num w:numId="4">
    <w:abstractNumId w:val="8"/>
  </w:num>
  <w:num w:numId="5">
    <w:abstractNumId w:val="1"/>
  </w:num>
  <w:num w:numId="6">
    <w:abstractNumId w:val="11"/>
  </w:num>
  <w:num w:numId="7">
    <w:abstractNumId w:val="9"/>
  </w:num>
  <w:num w:numId="8">
    <w:abstractNumId w:val="2"/>
  </w:num>
  <w:num w:numId="9">
    <w:abstractNumId w:val="0"/>
  </w:num>
  <w:num w:numId="10">
    <w:abstractNumId w:val="7"/>
  </w:num>
  <w:num w:numId="11">
    <w:abstractNumId w:val="6"/>
  </w:num>
  <w:num w:numId="12">
    <w:abstractNumId w:val="10"/>
  </w:num>
  <w:num w:numId="13">
    <w:abstractNumId w:val="13"/>
  </w:num>
  <w:num w:numId="14">
    <w:abstractNumId w:val="12"/>
  </w:num>
  <w:num w:numId="15">
    <w:abstractNumId w:val="15"/>
  </w:num>
  <w:num w:numId="16">
    <w:abstractNumId w:val="14"/>
  </w:num>
  <w:num w:numId="17">
    <w:abstractNumId w:val="17"/>
    <w:lvlOverride w:ilvl="0">
      <w:startOverride w:val="1"/>
    </w:lvlOverride>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12"/>
    <w:qFormat/>
    <w:uiPriority w:val="9"/>
    <w:pPr>
      <w:keepNext/>
      <w:keepLines/>
      <w:spacing w:before="480" w:after="0"/>
      <w:outlineLvl w:val="0"/>
    </w:pPr>
    <w:rPr>
      <w:rFonts w:ascii="Cambria" w:cs="SimSun" w:hAnsi="Cambria"/>
      <w:b/>
      <w:bCs/>
      <w:color w:val="365f91"/>
      <w:sz w:val="28"/>
      <w:szCs w:val="28"/>
    </w:rPr>
  </w:style>
  <w:style w:type="paragraph" w:styleId="style2">
    <w:name w:val="heading 2"/>
    <w:basedOn w:val="style0"/>
    <w:next w:val="style0"/>
    <w:link w:val="style4110"/>
    <w:qFormat/>
    <w:uiPriority w:val="9"/>
    <w:pPr>
      <w:keepNext/>
      <w:keepLines/>
      <w:spacing w:before="200" w:after="0"/>
      <w:outlineLvl w:val="1"/>
    </w:pPr>
    <w:rPr>
      <w:rFonts w:ascii="Cambria" w:cs="SimSun" w:hAnsi="Cambria"/>
      <w:b/>
      <w:bCs/>
      <w:color w:val="4f81bd"/>
      <w:sz w:val="26"/>
      <w:szCs w:val="26"/>
    </w:rPr>
  </w:style>
  <w:style w:type="paragraph" w:styleId="style3">
    <w:name w:val="heading 3"/>
    <w:basedOn w:val="style0"/>
    <w:next w:val="style3"/>
    <w:link w:val="style4105"/>
    <w:qFormat/>
    <w:uiPriority w:val="9"/>
    <w:pPr>
      <w:spacing w:before="100" w:beforeAutospacing="true" w:after="100" w:afterAutospacing="true" w:lineRule="auto" w:line="240"/>
      <w:outlineLvl w:val="2"/>
    </w:pPr>
    <w:rPr>
      <w:rFonts w:ascii="Times New Roman" w:eastAsia="Times New Roman" w:hAnsi="Times New Roman"/>
      <w:b/>
      <w:bCs/>
      <w:sz w:val="27"/>
      <w:szCs w:val="27"/>
      <w:lang w:eastAsia="en-US"/>
    </w:rPr>
  </w:style>
  <w:style w:type="paragraph" w:styleId="style4">
    <w:name w:val="heading 4"/>
    <w:basedOn w:val="style0"/>
    <w:next w:val="style0"/>
    <w:link w:val="style4106"/>
    <w:qFormat/>
    <w:uiPriority w:val="9"/>
    <w:pPr>
      <w:keepNext/>
      <w:keepLines/>
      <w:spacing w:before="200" w:after="0"/>
      <w:outlineLvl w:val="3"/>
    </w:pPr>
    <w:rPr>
      <w:rFonts w:ascii="Cambria" w:cs="SimSun" w:hAnsi="Cambria"/>
      <w:b/>
      <w:bCs/>
      <w:i/>
      <w:i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Minion Pro" w:cs="Minion Pro" w:hAnsi="Minion Pro"/>
      <w:color w:val="000000"/>
      <w:sz w:val="24"/>
      <w:szCs w:val="24"/>
    </w:rPr>
  </w:style>
  <w:style w:type="paragraph" w:customStyle="1" w:styleId="style4098">
    <w:name w:val="Pa5"/>
    <w:basedOn w:val="style4097"/>
    <w:next w:val="style4097"/>
    <w:uiPriority w:val="99"/>
    <w:pPr>
      <w:spacing w:lineRule="atLeast" w:line="217"/>
    </w:pPr>
    <w:rPr>
      <w:rFonts w:cs="Times New Roman"/>
      <w:color w:val="auto"/>
    </w:rPr>
  </w:style>
  <w:style w:type="paragraph" w:customStyle="1" w:styleId="style4099">
    <w:name w:val="Pa6"/>
    <w:basedOn w:val="style4097"/>
    <w:next w:val="style4097"/>
    <w:uiPriority w:val="99"/>
    <w:pPr>
      <w:spacing w:lineRule="atLeast" w:line="260"/>
    </w:pPr>
    <w:rPr>
      <w:rFonts w:cs="Times New Roman"/>
      <w:color w:val="auto"/>
    </w:rPr>
  </w:style>
  <w:style w:type="paragraph" w:customStyle="1" w:styleId="style4100">
    <w:name w:val="Pa7"/>
    <w:basedOn w:val="style4097"/>
    <w:next w:val="style4097"/>
    <w:uiPriority w:val="99"/>
    <w:pPr>
      <w:spacing w:lineRule="atLeast" w:line="191"/>
    </w:pPr>
    <w:rPr>
      <w:rFonts w:cs="Times New Roman"/>
      <w:color w:val="auto"/>
    </w:rPr>
  </w:style>
  <w:style w:type="character" w:customStyle="1" w:styleId="style4101">
    <w:name w:val="A5"/>
    <w:next w:val="style4101"/>
    <w:uiPriority w:val="99"/>
    <w:rPr>
      <w:rFonts w:cs="Minion Pro"/>
      <w:color w:val="000000"/>
      <w:sz w:val="11"/>
      <w:szCs w:val="11"/>
    </w:rPr>
  </w:style>
  <w:style w:type="paragraph" w:customStyle="1" w:styleId="style4102">
    <w:name w:val="Pa0"/>
    <w:basedOn w:val="style4097"/>
    <w:next w:val="style4097"/>
    <w:uiPriority w:val="99"/>
    <w:pPr>
      <w:spacing w:lineRule="atLeast" w:line="217"/>
    </w:pPr>
    <w:rPr>
      <w:rFonts w:cs="Times New Roman"/>
      <w:color w:val="auto"/>
    </w:rPr>
  </w:style>
  <w:style w:type="character" w:customStyle="1" w:styleId="style4103">
    <w:name w:val="A0"/>
    <w:next w:val="style4103"/>
    <w:uiPriority w:val="99"/>
    <w:rPr>
      <w:rFonts w:cs="Minion Pro"/>
      <w:color w:val="000000"/>
      <w:sz w:val="19"/>
      <w:szCs w:val="19"/>
    </w:rPr>
  </w:style>
  <w:style w:type="paragraph" w:customStyle="1" w:styleId="style4104">
    <w:name w:val="Pa3"/>
    <w:basedOn w:val="style4097"/>
    <w:next w:val="style4097"/>
    <w:uiPriority w:val="99"/>
    <w:pPr>
      <w:spacing w:lineRule="atLeast" w:line="177"/>
    </w:pPr>
    <w:rPr>
      <w:rFonts w:cs="Times New Roman"/>
      <w:color w:val="auto"/>
    </w:rPr>
  </w:style>
  <w:style w:type="character" w:styleId="style85">
    <w:name w:val="Hyperlink"/>
    <w:basedOn w:val="style65"/>
    <w:next w:val="style85"/>
    <w:uiPriority w:val="99"/>
    <w:rPr>
      <w:color w:val="0000ff"/>
      <w:u w:val="single"/>
    </w:rPr>
  </w:style>
  <w:style w:type="character" w:customStyle="1" w:styleId="style4105">
    <w:name w:val="Heading 3 Char_fea6f84c-392e-47db-b0e6-ed7b8f71008f"/>
    <w:basedOn w:val="style65"/>
    <w:next w:val="style4105"/>
    <w:link w:val="style3"/>
    <w:uiPriority w:val="9"/>
    <w:rPr>
      <w:rFonts w:ascii="Times New Roman" w:eastAsia="Times New Roman" w:hAnsi="Times New Roman"/>
      <w:b/>
      <w:bCs/>
      <w:sz w:val="27"/>
      <w:szCs w:val="27"/>
      <w:lang w:eastAsia="en-US"/>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 w:type="character" w:styleId="style88">
    <w:name w:val="Emphasis"/>
    <w:basedOn w:val="style65"/>
    <w:next w:val="style88"/>
    <w:qFormat/>
    <w:uiPriority w:val="20"/>
    <w:rPr>
      <w:i/>
      <w:iCs/>
    </w:rPr>
  </w:style>
  <w:style w:type="character" w:customStyle="1" w:styleId="style4106">
    <w:name w:val="Heading 4 Char_6f8f7e9e-4d6b-497c-8c3f-8c3921bb0bf2"/>
    <w:basedOn w:val="style65"/>
    <w:next w:val="style4106"/>
    <w:link w:val="style4"/>
    <w:uiPriority w:val="9"/>
    <w:rPr>
      <w:rFonts w:ascii="Cambria" w:cs="SimSun" w:eastAsia="SimSun" w:hAnsi="Cambria"/>
      <w:b/>
      <w:bCs/>
      <w:i/>
      <w:iCs/>
      <w:color w:val="4f81bd"/>
      <w:sz w:val="22"/>
      <w:szCs w:val="22"/>
    </w:rPr>
  </w:style>
  <w:style w:type="table" w:styleId="style154">
    <w:name w:val="Table Grid"/>
    <w:basedOn w:val="style105"/>
    <w:next w:val="style154"/>
    <w:qFormat/>
    <w:uiPriority w:val="39"/>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paragraph" w:styleId="style31">
    <w:name w:val="header"/>
    <w:basedOn w:val="style0"/>
    <w:next w:val="style31"/>
    <w:link w:val="style4107"/>
    <w:uiPriority w:val="99"/>
    <w:pPr>
      <w:tabs>
        <w:tab w:val="center" w:leader="none" w:pos="4680"/>
        <w:tab w:val="right" w:leader="none" w:pos="9360"/>
      </w:tabs>
      <w:spacing w:after="0" w:lineRule="auto" w:line="240"/>
    </w:pPr>
    <w:rPr/>
  </w:style>
  <w:style w:type="character" w:customStyle="1" w:styleId="style4107">
    <w:name w:val="Header Char_b20b1d9b-f75a-47a8-94a3-391f6fa9c77e"/>
    <w:basedOn w:val="style65"/>
    <w:next w:val="style4107"/>
    <w:link w:val="style31"/>
    <w:uiPriority w:val="99"/>
    <w:rPr>
      <w:sz w:val="22"/>
      <w:szCs w:val="22"/>
    </w:rPr>
  </w:style>
  <w:style w:type="paragraph" w:styleId="style32">
    <w:name w:val="footer"/>
    <w:basedOn w:val="style0"/>
    <w:next w:val="style32"/>
    <w:link w:val="style4108"/>
    <w:uiPriority w:val="99"/>
    <w:pPr>
      <w:tabs>
        <w:tab w:val="center" w:leader="none" w:pos="4680"/>
        <w:tab w:val="right" w:leader="none" w:pos="9360"/>
      </w:tabs>
      <w:spacing w:after="0" w:lineRule="auto" w:line="240"/>
    </w:pPr>
    <w:rPr/>
  </w:style>
  <w:style w:type="character" w:customStyle="1" w:styleId="style4108">
    <w:name w:val="Footer Char_cca630c5-d2e4-44f1-a29c-e281c9a2ed48"/>
    <w:basedOn w:val="style65"/>
    <w:next w:val="style4108"/>
    <w:link w:val="style32"/>
    <w:uiPriority w:val="99"/>
    <w:rPr>
      <w:sz w:val="22"/>
      <w:szCs w:val="22"/>
    </w:rPr>
  </w:style>
  <w:style w:type="paragraph" w:styleId="style153">
    <w:name w:val="Balloon Text"/>
    <w:basedOn w:val="style0"/>
    <w:next w:val="style153"/>
    <w:link w:val="style4109"/>
    <w:uiPriority w:val="99"/>
    <w:pPr>
      <w:spacing w:after="0" w:lineRule="auto" w:line="240"/>
    </w:pPr>
    <w:rPr>
      <w:rFonts w:ascii="Tahoma" w:cs="Tahoma" w:hAnsi="Tahoma"/>
      <w:sz w:val="16"/>
      <w:szCs w:val="16"/>
    </w:rPr>
  </w:style>
  <w:style w:type="character" w:customStyle="1" w:styleId="style4109">
    <w:name w:val="Balloon Text Char"/>
    <w:basedOn w:val="style65"/>
    <w:next w:val="style4109"/>
    <w:link w:val="style153"/>
    <w:uiPriority w:val="99"/>
    <w:rPr>
      <w:rFonts w:ascii="Tahoma" w:cs="Tahoma" w:hAnsi="Tahoma"/>
      <w:sz w:val="16"/>
      <w:szCs w:val="16"/>
    </w:rPr>
  </w:style>
  <w:style w:type="character" w:customStyle="1" w:styleId="style4110">
    <w:name w:val="Heading 2 Char_26066e1c-d50d-4789-a5c4-718d0c5cd280"/>
    <w:basedOn w:val="style65"/>
    <w:next w:val="style4110"/>
    <w:link w:val="style2"/>
    <w:uiPriority w:val="9"/>
    <w:rPr>
      <w:rFonts w:ascii="Cambria" w:cs="SimSun" w:eastAsia="SimSun" w:hAnsi="Cambria"/>
      <w:b/>
      <w:bCs/>
      <w:color w:val="4f81bd"/>
      <w:sz w:val="26"/>
      <w:szCs w:val="26"/>
    </w:rPr>
  </w:style>
  <w:style w:type="paragraph" w:styleId="style66">
    <w:name w:val="Body Text"/>
    <w:basedOn w:val="style0"/>
    <w:next w:val="style66"/>
    <w:link w:val="style4111"/>
    <w:qFormat/>
    <w:uiPriority w:val="1"/>
    <w:pPr>
      <w:widowControl w:val="false"/>
      <w:autoSpaceDE w:val="false"/>
      <w:autoSpaceDN w:val="false"/>
      <w:spacing w:after="0" w:lineRule="auto" w:line="240"/>
    </w:pPr>
    <w:rPr>
      <w:rFonts w:ascii="Times New Roman" w:eastAsia="Times New Roman" w:hAnsi="Times New Roman"/>
      <w:sz w:val="24"/>
      <w:szCs w:val="24"/>
      <w:lang w:eastAsia="en-US"/>
    </w:rPr>
  </w:style>
  <w:style w:type="character" w:customStyle="1" w:styleId="style4111">
    <w:name w:val="Body Text Char"/>
    <w:basedOn w:val="style65"/>
    <w:next w:val="style4111"/>
    <w:link w:val="style66"/>
    <w:uiPriority w:val="1"/>
    <w:rPr>
      <w:rFonts w:ascii="Times New Roman" w:eastAsia="Times New Roman" w:hAnsi="Times New Roman"/>
      <w:sz w:val="24"/>
      <w:szCs w:val="24"/>
      <w:lang w:eastAsia="en-US"/>
    </w:rPr>
  </w:style>
  <w:style w:type="character" w:customStyle="1" w:styleId="style4112">
    <w:name w:val="Heading 1 Char_ee7360fc-37a0-4e1c-abf6-8688f362775f"/>
    <w:basedOn w:val="style65"/>
    <w:next w:val="style4112"/>
    <w:link w:val="style1"/>
    <w:uiPriority w:val="9"/>
    <w:rPr>
      <w:rFonts w:ascii="Cambria" w:cs="SimSun" w:eastAsia="SimSun" w:hAnsi="Cambria"/>
      <w:b/>
      <w:bCs/>
      <w:color w:val="365f91"/>
      <w:sz w:val="28"/>
      <w:szCs w:val="28"/>
    </w:rPr>
  </w:style>
  <w:style w:type="paragraph" w:styleId="style34">
    <w:name w:val="caption"/>
    <w:basedOn w:val="style0"/>
    <w:next w:val="style0"/>
    <w:qFormat/>
    <w:uiPriority w:val="35"/>
    <w:pPr>
      <w:spacing w:lineRule="auto" w:line="240"/>
    </w:pPr>
    <w:rPr>
      <w:rFonts w:cs="SimSun" w:eastAsia="Calibri"/>
      <w:b/>
      <w:bCs/>
      <w:color w:val="4f81bd"/>
      <w:sz w:val="18"/>
      <w:szCs w:val="18"/>
      <w:lang w:eastAsia="en-US"/>
    </w:rPr>
  </w:style>
  <w:style w:type="paragraph" w:styleId="style179">
    <w:name w:val="List Paragraph"/>
    <w:basedOn w:val="style0"/>
    <w:next w:val="style179"/>
    <w:qFormat/>
    <w:uiPriority w:val="34"/>
    <w:pPr>
      <w:ind w:left="720"/>
      <w:contextualSpacing/>
    </w:pPr>
    <w:rPr>
      <w:rFonts w:cs="SimSun" w:eastAsia="Calibri"/>
      <w:lang w:eastAsia="en-US"/>
    </w:rPr>
  </w:style>
  <w:style w:type="character" w:customStyle="1" w:styleId="style4113">
    <w:name w:val="t"/>
    <w:basedOn w:val="style65"/>
    <w:next w:val="style4113"/>
  </w:style>
  <w:style w:type="character" w:customStyle="1" w:styleId="style4114">
    <w:name w:val="u-font-serif"/>
    <w:basedOn w:val="style65"/>
    <w:next w:val="style4114"/>
  </w:style>
  <w:style w:type="character" w:customStyle="1" w:styleId="style4115">
    <w:name w:val="topic-highlight"/>
    <w:basedOn w:val="style65"/>
    <w:next w:val="style4115"/>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footer" Target="footer1.xml"/><Relationship Id="rId9" Type="http://schemas.openxmlformats.org/officeDocument/2006/relationships/theme" Target="theme/theme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Words>7142</Words>
  <Pages>62</Pages>
  <Characters>41078</Characters>
  <Application>WPS Office</Application>
  <DocSecurity>0</DocSecurity>
  <Paragraphs>459</Paragraphs>
  <ScaleCrop>false</ScaleCrop>
  <LinksUpToDate>false</LinksUpToDate>
  <CharactersWithSpaces>48314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2025-07-02T16:44:00Z</dcterms:created>
  <dc:creator>23106RN0DA</dc:creator>
  <lastModifiedBy>Infinix X6817</lastModifiedBy>
  <dcterms:modified xsi:type="dcterms:W3CDTF">2025-08-04T18:52:05Z</dcterms:modified>
  <revision>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ace1659ad03b4e9483ccdf02df1a0ed0</vt:lpwstr>
  </property>
</Properties>
</file>