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00939781" w14:textId="77777777" w:rsidR="00FC409A" w:rsidRPr="00FC409A" w:rsidRDefault="00FC409A" w:rsidP="00FC409A">
      <w:pPr>
        <w:spacing w:before="240" w:after="0" w:line="360" w:lineRule="auto"/>
        <w:ind w:right="4"/>
        <w:jc w:val="center"/>
        <w:rPr>
          <w:rFonts w:ascii="Times New Roman" w:hAnsi="Times New Roman"/>
          <w:b/>
          <w:bCs/>
          <w:sz w:val="36"/>
          <w:szCs w:val="28"/>
        </w:rPr>
      </w:pPr>
      <w:r w:rsidRPr="00FC409A">
        <w:rPr>
          <w:rFonts w:ascii="Times New Roman" w:hAnsi="Times New Roman"/>
          <w:b/>
          <w:bCs/>
          <w:sz w:val="36"/>
          <w:szCs w:val="28"/>
        </w:rPr>
        <w:t xml:space="preserve">USMAN GANIYAT OLUWABUKOLA </w:t>
      </w:r>
    </w:p>
    <w:p w14:paraId="4B2F47EF" w14:textId="77777777" w:rsidR="00FC409A" w:rsidRPr="00FC409A" w:rsidRDefault="00FC409A" w:rsidP="00FC409A">
      <w:pPr>
        <w:spacing w:before="240" w:after="0" w:line="360" w:lineRule="auto"/>
        <w:ind w:right="4"/>
        <w:jc w:val="center"/>
        <w:rPr>
          <w:rFonts w:ascii="Times New Roman" w:hAnsi="Times New Roman"/>
          <w:b/>
          <w:bCs/>
          <w:sz w:val="36"/>
          <w:szCs w:val="28"/>
        </w:rPr>
      </w:pPr>
      <w:r w:rsidRPr="00FC409A">
        <w:rPr>
          <w:rFonts w:ascii="Times New Roman" w:hAnsi="Times New Roman"/>
          <w:b/>
          <w:bCs/>
          <w:sz w:val="36"/>
          <w:szCs w:val="28"/>
        </w:rPr>
        <w:t>HND/23/SLT/FT/0055</w:t>
      </w:r>
    </w:p>
    <w:p w14:paraId="5416CF22" w14:textId="6FE769E6" w:rsidR="001670C4" w:rsidRPr="0015257B" w:rsidRDefault="001670C4" w:rsidP="00FC409A">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160D7020" w:rsidR="00F95749" w:rsidRDefault="00567AC1" w:rsidP="009627A0">
      <w:pPr>
        <w:spacing w:line="360" w:lineRule="auto"/>
        <w:jc w:val="center"/>
        <w:rPr>
          <w:rFonts w:ascii="Times New Roman" w:hAnsi="Times New Roman"/>
          <w:b/>
          <w:color w:val="000000" w:themeColor="text1"/>
          <w:sz w:val="26"/>
          <w:szCs w:val="26"/>
        </w:rPr>
      </w:pPr>
      <w:r>
        <w:rPr>
          <w:noProof/>
        </w:rPr>
        <w:lastRenderedPageBreak/>
        <w:drawing>
          <wp:anchor distT="0" distB="0" distL="114300" distR="114300" simplePos="0" relativeHeight="251659264" behindDoc="0" locked="0" layoutInCell="1" allowOverlap="1" wp14:anchorId="50C41B23" wp14:editId="5896951C">
            <wp:simplePos x="0" y="0"/>
            <wp:positionH relativeFrom="column">
              <wp:posOffset>-914400</wp:posOffset>
            </wp:positionH>
            <wp:positionV relativeFrom="paragraph">
              <wp:posOffset>-591820</wp:posOffset>
            </wp:positionV>
            <wp:extent cx="7171690" cy="8300085"/>
            <wp:effectExtent l="0" t="0" r="3810" b="5715"/>
            <wp:wrapTopAndBottom/>
            <wp:docPr id="1737249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49474" name=""/>
                    <pic:cNvPicPr/>
                  </pic:nvPicPr>
                  <pic:blipFill>
                    <a:blip r:embed="rId8"/>
                    <a:stretch>
                      <a:fillRect/>
                    </a:stretch>
                  </pic:blipFill>
                  <pic:spPr>
                    <a:xfrm>
                      <a:off x="0" y="0"/>
                      <a:ext cx="7171690" cy="8300085"/>
                    </a:xfrm>
                    <a:prstGeom prst="rect">
                      <a:avLst/>
                    </a:prstGeom>
                  </pic:spPr>
                </pic:pic>
              </a:graphicData>
            </a:graphic>
            <wp14:sizeRelH relativeFrom="margin">
              <wp14:pctWidth>0</wp14:pctWidth>
            </wp14:sizeRelH>
            <wp14:sizeRelV relativeFrom="margin">
              <wp14:pctHeight>0</wp14:pctHeight>
            </wp14:sizeRelV>
          </wp:anchor>
        </w:drawing>
      </w:r>
    </w:p>
    <w:p w14:paraId="13D1F2A5" w14:textId="291E87BF" w:rsidR="00FC409A" w:rsidRPr="00B855BB" w:rsidRDefault="00E26075" w:rsidP="00E26075">
      <w:pPr>
        <w:jc w:val="center"/>
        <w:rPr>
          <w:b/>
          <w:bCs/>
          <w:sz w:val="28"/>
          <w:szCs w:val="28"/>
        </w:rPr>
      </w:pPr>
      <w:r w:rsidRPr="00B855BB">
        <w:rPr>
          <w:b/>
          <w:bCs/>
          <w:sz w:val="28"/>
          <w:szCs w:val="28"/>
        </w:rPr>
        <w:lastRenderedPageBreak/>
        <w:t>DEDICATION</w:t>
      </w:r>
    </w:p>
    <w:p w14:paraId="785650BF" w14:textId="110F611E" w:rsidR="00FC409A" w:rsidRDefault="00FC409A" w:rsidP="00FC409A">
      <w:pPr>
        <w:spacing w:after="0" w:line="240" w:lineRule="auto"/>
        <w:jc w:val="center"/>
        <w:rPr>
          <w:rFonts w:ascii="Times New Roman" w:hAnsi="Times New Roman"/>
          <w:b/>
          <w:sz w:val="26"/>
          <w:szCs w:val="26"/>
        </w:rPr>
      </w:pPr>
    </w:p>
    <w:p w14:paraId="2264A10E" w14:textId="77777777" w:rsidR="00FC409A" w:rsidRDefault="00FC409A" w:rsidP="00FC409A">
      <w:pPr>
        <w:pStyle w:val="NormalWeb"/>
        <w:spacing w:line="360" w:lineRule="auto"/>
        <w:jc w:val="both"/>
        <w:rPr>
          <w:sz w:val="28"/>
          <w:szCs w:val="28"/>
        </w:rPr>
      </w:pPr>
      <w:r>
        <w:rPr>
          <w:sz w:val="28"/>
          <w:szCs w:val="28"/>
        </w:rPr>
        <w:tab/>
      </w:r>
      <w:r w:rsidRPr="00AD69B6">
        <w:rPr>
          <w:sz w:val="28"/>
          <w:szCs w:val="28"/>
        </w:rPr>
        <w:t xml:space="preserve">This seminar report is dedicated to my creator, The Almighty God, who saw me through all the period of this program. </w:t>
      </w:r>
    </w:p>
    <w:p w14:paraId="09835EB2" w14:textId="77777777" w:rsidR="00FC409A" w:rsidRDefault="00FC409A" w:rsidP="00FC409A">
      <w:pPr>
        <w:rPr>
          <w:rFonts w:ascii="Times New Roman" w:eastAsia="Times New Roman" w:hAnsi="Times New Roman"/>
          <w:sz w:val="28"/>
          <w:szCs w:val="28"/>
        </w:rPr>
      </w:pPr>
      <w:r>
        <w:rPr>
          <w:sz w:val="28"/>
          <w:szCs w:val="28"/>
        </w:rPr>
        <w:br w:type="page"/>
      </w:r>
    </w:p>
    <w:p w14:paraId="0FD48685" w14:textId="77777777" w:rsidR="00FC409A" w:rsidRPr="00447221" w:rsidRDefault="00FC409A" w:rsidP="00FC409A">
      <w:pPr>
        <w:pStyle w:val="NormalWeb"/>
        <w:jc w:val="center"/>
      </w:pPr>
      <w:r w:rsidRPr="00447221">
        <w:rPr>
          <w:rStyle w:val="Strong"/>
        </w:rPr>
        <w:lastRenderedPageBreak/>
        <w:t>ACKNOWLEDGEMENT</w:t>
      </w:r>
    </w:p>
    <w:p w14:paraId="6739441A" w14:textId="77777777" w:rsidR="00FC409A" w:rsidRPr="00447221" w:rsidRDefault="00FC409A" w:rsidP="00FC409A">
      <w:pPr>
        <w:pStyle w:val="NormalWeb"/>
        <w:spacing w:line="360" w:lineRule="auto"/>
        <w:jc w:val="both"/>
      </w:pPr>
      <w:r w:rsidRPr="00447221">
        <w:t xml:space="preserve">First and foremost, I give all glory, </w:t>
      </w:r>
      <w:proofErr w:type="spellStart"/>
      <w:r w:rsidRPr="00447221">
        <w:t>honour</w:t>
      </w:r>
      <w:proofErr w:type="spellEnd"/>
      <w:r w:rsidRPr="00447221">
        <w:t>, and adoration to Almighty God for His grace, strength, and divine guidance throughout the course of this project. Without His mercy and favour, none of this would have been possible.</w:t>
      </w:r>
    </w:p>
    <w:p w14:paraId="1AF68498" w14:textId="77777777" w:rsidR="00FC409A" w:rsidRPr="00447221" w:rsidRDefault="00FC409A" w:rsidP="00FC409A">
      <w:pPr>
        <w:pStyle w:val="NormalWeb"/>
        <w:spacing w:line="360" w:lineRule="auto"/>
        <w:jc w:val="both"/>
      </w:pPr>
      <w:r w:rsidRPr="00447221">
        <w:t xml:space="preserve">I would like to express my sincere gratitude to my project supervisor, </w:t>
      </w:r>
      <w:r w:rsidRPr="00447221">
        <w:rPr>
          <w:rStyle w:val="Strong"/>
        </w:rPr>
        <w:t>Mrs. Otuyo</w:t>
      </w:r>
      <w:r w:rsidRPr="00447221">
        <w:t>, for her invaluable insights, encouragement, and direction. Her mentorship played a key role in the successful completion of this work. Thank you so much, ma.</w:t>
      </w:r>
    </w:p>
    <w:p w14:paraId="7E498B50" w14:textId="77777777" w:rsidR="00FC409A" w:rsidRPr="00447221" w:rsidRDefault="00FC409A" w:rsidP="00FC409A">
      <w:pPr>
        <w:pStyle w:val="NormalWeb"/>
        <w:spacing w:line="360" w:lineRule="auto"/>
        <w:jc w:val="both"/>
      </w:pPr>
      <w:r w:rsidRPr="00447221">
        <w:t xml:space="preserve">My heartfelt appreciation goes to my dearest mother, </w:t>
      </w:r>
      <w:r w:rsidRPr="00447221">
        <w:rPr>
          <w:rStyle w:val="Strong"/>
        </w:rPr>
        <w:t xml:space="preserve">Mrs. Usman </w:t>
      </w:r>
      <w:proofErr w:type="spellStart"/>
      <w:r w:rsidRPr="00447221">
        <w:rPr>
          <w:rStyle w:val="Strong"/>
        </w:rPr>
        <w:t>Romoke</w:t>
      </w:r>
      <w:proofErr w:type="spellEnd"/>
      <w:r w:rsidRPr="00447221">
        <w:t>, whose constant encouragement, patience, and understanding have been the pillars of my success. Thank you so much, Mum. You shall live long to enjoy the fruit of your labour.</w:t>
      </w:r>
    </w:p>
    <w:p w14:paraId="667282EE" w14:textId="77777777" w:rsidR="00FC409A" w:rsidRPr="00447221" w:rsidRDefault="00FC409A" w:rsidP="00FC409A">
      <w:pPr>
        <w:pStyle w:val="NormalWeb"/>
        <w:spacing w:line="360" w:lineRule="auto"/>
        <w:jc w:val="both"/>
      </w:pPr>
      <w:r w:rsidRPr="00447221">
        <w:t xml:space="preserve">To my late small dad, </w:t>
      </w:r>
      <w:r w:rsidRPr="00447221">
        <w:rPr>
          <w:rStyle w:val="Strong"/>
        </w:rPr>
        <w:t xml:space="preserve">Usman </w:t>
      </w:r>
      <w:proofErr w:type="spellStart"/>
      <w:r w:rsidRPr="00447221">
        <w:rPr>
          <w:rStyle w:val="Strong"/>
        </w:rPr>
        <w:t>Saheed</w:t>
      </w:r>
      <w:proofErr w:type="spellEnd"/>
      <w:r w:rsidRPr="00447221">
        <w:rPr>
          <w:rStyle w:val="Strong"/>
        </w:rPr>
        <w:t xml:space="preserve"> </w:t>
      </w:r>
      <w:proofErr w:type="spellStart"/>
      <w:r w:rsidRPr="00447221">
        <w:rPr>
          <w:rStyle w:val="Strong"/>
        </w:rPr>
        <w:t>Akinsola</w:t>
      </w:r>
      <w:proofErr w:type="spellEnd"/>
      <w:r w:rsidRPr="00447221">
        <w:t>, I say a big thank you for the words of encouragement and the support you gave me while you were alive. I miss you deeply. May your soul continue to rest in perfect peace.</w:t>
      </w:r>
    </w:p>
    <w:p w14:paraId="5215E2DD" w14:textId="77777777" w:rsidR="00FC409A" w:rsidRPr="00447221" w:rsidRDefault="00FC409A" w:rsidP="00FC409A">
      <w:pPr>
        <w:pStyle w:val="NormalWeb"/>
        <w:spacing w:line="360" w:lineRule="auto"/>
        <w:jc w:val="both"/>
      </w:pPr>
      <w:r>
        <w:t>To my amazing siblings:</w:t>
      </w:r>
      <w:r w:rsidRPr="00447221">
        <w:t xml:space="preserve"> </w:t>
      </w:r>
      <w:r w:rsidRPr="00447221">
        <w:rPr>
          <w:rStyle w:val="Strong"/>
        </w:rPr>
        <w:t xml:space="preserve">Usman Balikis, Usman Aminat, Usman </w:t>
      </w:r>
      <w:proofErr w:type="spellStart"/>
      <w:r w:rsidRPr="00447221">
        <w:rPr>
          <w:rStyle w:val="Strong"/>
        </w:rPr>
        <w:t>Kabeer</w:t>
      </w:r>
      <w:proofErr w:type="spellEnd"/>
      <w:r w:rsidRPr="00447221">
        <w:rPr>
          <w:rStyle w:val="Strong"/>
        </w:rPr>
        <w:t>, and Usman Akeem</w:t>
      </w:r>
      <w:r>
        <w:t xml:space="preserve">, </w:t>
      </w:r>
      <w:r w:rsidRPr="00447221">
        <w:t>thank you all for your support and prayers. I truly appreciate you.</w:t>
      </w:r>
    </w:p>
    <w:p w14:paraId="2CAD2289" w14:textId="23C13E4F" w:rsidR="00FC409A" w:rsidRPr="00447221" w:rsidRDefault="00FC409A" w:rsidP="00FC409A">
      <w:pPr>
        <w:pStyle w:val="NormalWeb"/>
        <w:spacing w:line="360" w:lineRule="auto"/>
        <w:jc w:val="both"/>
      </w:pPr>
      <w:r w:rsidRPr="00447221">
        <w:t xml:space="preserve">To my beloved husband-to-be, </w:t>
      </w:r>
      <w:proofErr w:type="spellStart"/>
      <w:r w:rsidRPr="00447221">
        <w:rPr>
          <w:rStyle w:val="Strong"/>
        </w:rPr>
        <w:t>Ifemi</w:t>
      </w:r>
      <w:proofErr w:type="spellEnd"/>
      <w:r w:rsidRPr="00447221">
        <w:t xml:space="preserve">, </w:t>
      </w:r>
      <w:proofErr w:type="spellStart"/>
      <w:r w:rsidRPr="00FC409A">
        <w:rPr>
          <w:b/>
        </w:rPr>
        <w:t>Abdulakeem</w:t>
      </w:r>
      <w:proofErr w:type="spellEnd"/>
      <w:r w:rsidRPr="00FC409A">
        <w:rPr>
          <w:b/>
        </w:rPr>
        <w:t xml:space="preserve"> </w:t>
      </w:r>
      <w:proofErr w:type="spellStart"/>
      <w:r w:rsidRPr="00FC409A">
        <w:rPr>
          <w:b/>
        </w:rPr>
        <w:t>Toheeb</w:t>
      </w:r>
      <w:proofErr w:type="spellEnd"/>
      <w:r w:rsidRPr="00FC409A">
        <w:rPr>
          <w:b/>
        </w:rPr>
        <w:t xml:space="preserve"> Olamilekan</w:t>
      </w:r>
      <w:r>
        <w:t xml:space="preserve">, </w:t>
      </w:r>
      <w:r w:rsidRPr="00447221">
        <w:t>thank you for being by my side from ND to HND. I deeply appreciate your love and unwavering support. You have been a great source of happiness in my life. I pray that God Almighty will never take joy away from your life, and that success and peace will always be yours.</w:t>
      </w:r>
    </w:p>
    <w:p w14:paraId="0912AAFA" w14:textId="77777777" w:rsidR="00FC409A" w:rsidRPr="00447221" w:rsidRDefault="00FC409A" w:rsidP="00FC409A">
      <w:pPr>
        <w:pStyle w:val="NormalWeb"/>
        <w:spacing w:line="360" w:lineRule="auto"/>
        <w:jc w:val="both"/>
      </w:pPr>
      <w:r w:rsidRPr="00447221">
        <w:t>I am also grateful to my won</w:t>
      </w:r>
      <w:r>
        <w:t xml:space="preserve">derful friends: </w:t>
      </w:r>
      <w:r w:rsidRPr="00447221">
        <w:rPr>
          <w:rStyle w:val="Strong"/>
        </w:rPr>
        <w:t xml:space="preserve">Ahmed (Horla Whykay), Ope, Joy, Barakat, </w:t>
      </w:r>
      <w:proofErr w:type="spellStart"/>
      <w:r w:rsidRPr="00447221">
        <w:rPr>
          <w:rStyle w:val="Strong"/>
        </w:rPr>
        <w:t>Kaosarat</w:t>
      </w:r>
      <w:proofErr w:type="spellEnd"/>
      <w:r w:rsidRPr="00447221">
        <w:rPr>
          <w:rStyle w:val="Strong"/>
        </w:rPr>
        <w:t xml:space="preserve">, and </w:t>
      </w:r>
      <w:proofErr w:type="spellStart"/>
      <w:r w:rsidRPr="00447221">
        <w:rPr>
          <w:rStyle w:val="Strong"/>
        </w:rPr>
        <w:t>Kharimat</w:t>
      </w:r>
      <w:proofErr w:type="spellEnd"/>
      <w:r>
        <w:t xml:space="preserve">, </w:t>
      </w:r>
      <w:r w:rsidRPr="00447221">
        <w:t>for their contributions, perspectives, and encouragement. I love you all.</w:t>
      </w:r>
      <w:r>
        <w:t xml:space="preserve"> </w:t>
      </w:r>
      <w:r w:rsidRPr="00447221">
        <w:t xml:space="preserve">Special thanks to </w:t>
      </w:r>
      <w:r w:rsidRPr="00447221">
        <w:rPr>
          <w:rStyle w:val="Strong"/>
        </w:rPr>
        <w:t>Adeola</w:t>
      </w:r>
      <w:r w:rsidRPr="00447221">
        <w:t xml:space="preserve"> for your generous support and </w:t>
      </w:r>
      <w:r w:rsidRPr="00447221">
        <w:lastRenderedPageBreak/>
        <w:t>kindness. I truly appreciate you. May God continue to bless and enrich your pocket. Thank you so much, babe.</w:t>
      </w:r>
    </w:p>
    <w:p w14:paraId="2C35FE0E" w14:textId="77777777" w:rsidR="00FC409A" w:rsidRPr="00447221" w:rsidRDefault="00FC409A" w:rsidP="00FC409A">
      <w:pPr>
        <w:pStyle w:val="NormalWeb"/>
        <w:spacing w:line="360" w:lineRule="auto"/>
        <w:jc w:val="both"/>
      </w:pPr>
      <w:r w:rsidRPr="00447221">
        <w:t>Lastly, I thank everyone who played a role in shaping this project and enriching my learning experience. Your support means the world to me.</w:t>
      </w:r>
    </w:p>
    <w:p w14:paraId="6228421F" w14:textId="77777777" w:rsidR="0005701F" w:rsidRPr="00F7775C" w:rsidRDefault="0005701F" w:rsidP="0005701F">
      <w:pPr>
        <w:jc w:val="both"/>
        <w:rPr>
          <w:sz w:val="26"/>
          <w:szCs w:val="26"/>
        </w:rPr>
      </w:pPr>
    </w:p>
    <w:p w14:paraId="265D9623" w14:textId="77777777" w:rsidR="0005701F" w:rsidRDefault="0005701F" w:rsidP="0005701F">
      <w:pPr>
        <w:spacing w:line="360" w:lineRule="auto"/>
        <w:ind w:right="27"/>
        <w:jc w:val="both"/>
        <w:rPr>
          <w:b/>
          <w:bCs/>
          <w:sz w:val="28"/>
          <w:szCs w:val="28"/>
        </w:rPr>
      </w:pPr>
    </w:p>
    <w:p w14:paraId="36C9CC92" w14:textId="27C41380" w:rsidR="004810EF" w:rsidRDefault="004810EF">
      <w:pPr>
        <w:spacing w:after="0" w:line="240" w:lineRule="auto"/>
        <w:rPr>
          <w:rFonts w:ascii="Times New Roman" w:hAnsi="Times New Roman"/>
          <w:b/>
          <w:color w:val="000000" w:themeColor="text1"/>
          <w:sz w:val="26"/>
          <w:szCs w:val="26"/>
        </w:rPr>
      </w:pPr>
    </w:p>
    <w:p w14:paraId="5CD42F32" w14:textId="77777777" w:rsidR="00FC409A" w:rsidRDefault="00FC409A">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08A074D8" w14:textId="34207924"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29024F90" w14:textId="562CA045" w:rsidR="004810EF" w:rsidRPr="00FC409A" w:rsidRDefault="004810EF" w:rsidP="00FC409A">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19B6C077" w14:textId="77777777" w:rsidR="00FC409A" w:rsidRDefault="00FC409A">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6F86CCB7" w14:textId="47802275"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FC409A" w:rsidRDefault="00DC6872" w:rsidP="00DC6872">
      <w:pPr>
        <w:jc w:val="both"/>
        <w:rPr>
          <w:rFonts w:asciiTheme="majorBidi" w:hAnsiTheme="majorBidi" w:cstheme="majorBidi"/>
          <w:i/>
          <w:sz w:val="26"/>
          <w:szCs w:val="26"/>
        </w:rPr>
      </w:pPr>
      <w:r w:rsidRPr="00FC409A">
        <w:rPr>
          <w:rFonts w:asciiTheme="majorBidi" w:hAnsiTheme="majorBidi" w:cstheme="majorBidi"/>
          <w:i/>
          <w:sz w:val="26"/>
          <w:szCs w:val="26"/>
        </w:rPr>
        <w:t>This study evaluated the microbiological and physicochemical quality of borehole water samples from three selected areas (</w:t>
      </w:r>
      <w:proofErr w:type="spellStart"/>
      <w:r w:rsidRPr="00FC409A">
        <w:rPr>
          <w:rFonts w:asciiTheme="majorBidi" w:hAnsiTheme="majorBidi" w:cstheme="majorBidi"/>
          <w:i/>
          <w:sz w:val="26"/>
          <w:szCs w:val="26"/>
        </w:rPr>
        <w:t>Egbejila</w:t>
      </w:r>
      <w:proofErr w:type="spellEnd"/>
      <w:r w:rsidRPr="00FC409A">
        <w:rPr>
          <w:rFonts w:asciiTheme="majorBidi" w:hAnsiTheme="majorBidi" w:cstheme="majorBidi"/>
          <w:i/>
          <w:sz w:val="26"/>
          <w:szCs w:val="26"/>
        </w:rPr>
        <w:t xml:space="preserve">, </w:t>
      </w:r>
      <w:proofErr w:type="spellStart"/>
      <w:r w:rsidRPr="00FC409A">
        <w:rPr>
          <w:rFonts w:asciiTheme="majorBidi" w:hAnsiTheme="majorBidi" w:cstheme="majorBidi"/>
          <w:i/>
          <w:sz w:val="26"/>
          <w:szCs w:val="26"/>
        </w:rPr>
        <w:t>Elekoyangan</w:t>
      </w:r>
      <w:proofErr w:type="spellEnd"/>
      <w:r w:rsidRPr="00FC409A">
        <w:rPr>
          <w:rFonts w:asciiTheme="majorBidi" w:hAnsiTheme="majorBidi" w:cstheme="majorBidi"/>
          <w:i/>
          <w:sz w:val="26"/>
          <w:szCs w:val="26"/>
        </w:rPr>
        <w:t xml:space="preserve">, and Akuo) in Ilorin, </w:t>
      </w:r>
      <w:proofErr w:type="spellStart"/>
      <w:r w:rsidRPr="00FC409A">
        <w:rPr>
          <w:rFonts w:asciiTheme="majorBidi" w:hAnsiTheme="majorBidi" w:cstheme="majorBidi"/>
          <w:i/>
          <w:sz w:val="26"/>
          <w:szCs w:val="26"/>
        </w:rPr>
        <w:t>Kwara</w:t>
      </w:r>
      <w:proofErr w:type="spellEnd"/>
      <w:r w:rsidRPr="00FC409A">
        <w:rPr>
          <w:rFonts w:asciiTheme="majorBidi" w:hAnsiTheme="majorBidi" w:cstheme="majorBidi"/>
          <w:i/>
          <w:sz w:val="26"/>
          <w:szCs w:val="26"/>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FC409A">
        <w:rPr>
          <w:rFonts w:asciiTheme="majorBidi" w:hAnsiTheme="majorBidi" w:cstheme="majorBidi"/>
          <w:i/>
          <w:iCs/>
          <w:sz w:val="26"/>
          <w:szCs w:val="26"/>
        </w:rPr>
        <w:t>Bacillus sp.</w:t>
      </w:r>
      <w:r w:rsidRPr="00FC409A">
        <w:rPr>
          <w:rFonts w:asciiTheme="majorBidi" w:hAnsiTheme="majorBidi" w:cstheme="majorBidi"/>
          <w:i/>
          <w:sz w:val="26"/>
          <w:szCs w:val="26"/>
        </w:rPr>
        <w:t xml:space="preserve">, </w:t>
      </w:r>
      <w:r w:rsidRPr="00FC409A">
        <w:rPr>
          <w:rFonts w:asciiTheme="majorBidi" w:hAnsiTheme="majorBidi" w:cstheme="majorBidi"/>
          <w:i/>
          <w:iCs/>
          <w:sz w:val="26"/>
          <w:szCs w:val="26"/>
        </w:rPr>
        <w:t>Staphylococcus sp.</w:t>
      </w:r>
      <w:r w:rsidRPr="00FC409A">
        <w:rPr>
          <w:rFonts w:asciiTheme="majorBidi" w:hAnsiTheme="majorBidi" w:cstheme="majorBidi"/>
          <w:i/>
          <w:sz w:val="26"/>
          <w:szCs w:val="26"/>
        </w:rPr>
        <w:t xml:space="preserve">, </w:t>
      </w:r>
      <w:r w:rsidRPr="00FC409A">
        <w:rPr>
          <w:rFonts w:asciiTheme="majorBidi" w:hAnsiTheme="majorBidi" w:cstheme="majorBidi"/>
          <w:i/>
          <w:iCs/>
          <w:sz w:val="26"/>
          <w:szCs w:val="26"/>
        </w:rPr>
        <w:t>Micrococcus sp.</w:t>
      </w:r>
      <w:r w:rsidRPr="00FC409A">
        <w:rPr>
          <w:rFonts w:asciiTheme="majorBidi" w:hAnsiTheme="majorBidi" w:cstheme="majorBidi"/>
          <w:i/>
          <w:sz w:val="26"/>
          <w:szCs w:val="26"/>
        </w:rPr>
        <w:t xml:space="preserve">, </w:t>
      </w:r>
      <w:r w:rsidRPr="00FC409A">
        <w:rPr>
          <w:rFonts w:asciiTheme="majorBidi" w:hAnsiTheme="majorBidi" w:cstheme="majorBidi"/>
          <w:i/>
          <w:iCs/>
          <w:sz w:val="26"/>
          <w:szCs w:val="26"/>
        </w:rPr>
        <w:t>Enterobacter sp.</w:t>
      </w:r>
      <w:r w:rsidRPr="00FC409A">
        <w:rPr>
          <w:rFonts w:asciiTheme="majorBidi" w:hAnsiTheme="majorBidi" w:cstheme="majorBidi"/>
          <w:i/>
          <w:sz w:val="26"/>
          <w:szCs w:val="26"/>
        </w:rPr>
        <w:t xml:space="preserve">, and </w:t>
      </w:r>
      <w:r w:rsidRPr="00FC409A">
        <w:rPr>
          <w:rFonts w:asciiTheme="majorBidi" w:hAnsiTheme="majorBidi" w:cstheme="majorBidi"/>
          <w:i/>
          <w:iCs/>
          <w:sz w:val="26"/>
          <w:szCs w:val="26"/>
        </w:rPr>
        <w:t>E. coli</w:t>
      </w:r>
      <w:r w:rsidRPr="00FC409A">
        <w:rPr>
          <w:rFonts w:asciiTheme="majorBidi" w:hAnsiTheme="majorBidi" w:cstheme="majorBidi"/>
          <w:i/>
          <w:sz w:val="26"/>
          <w:szCs w:val="26"/>
        </w:rPr>
        <w:t xml:space="preserve">, with </w:t>
      </w:r>
      <w:r w:rsidRPr="00FC409A">
        <w:rPr>
          <w:rFonts w:asciiTheme="majorBidi" w:hAnsiTheme="majorBidi" w:cstheme="majorBidi"/>
          <w:i/>
          <w:iCs/>
          <w:sz w:val="26"/>
          <w:szCs w:val="26"/>
        </w:rPr>
        <w:t>E. coli</w:t>
      </w:r>
      <w:r w:rsidRPr="00FC409A">
        <w:rPr>
          <w:rFonts w:asciiTheme="majorBidi" w:hAnsiTheme="majorBidi" w:cstheme="majorBidi"/>
          <w:i/>
          <w:sz w:val="26"/>
          <w:szCs w:val="26"/>
        </w:rPr>
        <w:t xml:space="preserve"> confirming </w:t>
      </w:r>
      <w:proofErr w:type="spellStart"/>
      <w:r w:rsidRPr="00FC409A">
        <w:rPr>
          <w:rFonts w:asciiTheme="majorBidi" w:hAnsiTheme="majorBidi" w:cstheme="majorBidi"/>
          <w:i/>
          <w:sz w:val="26"/>
          <w:szCs w:val="26"/>
        </w:rPr>
        <w:t>faecal</w:t>
      </w:r>
      <w:proofErr w:type="spellEnd"/>
      <w:r w:rsidRPr="00FC409A">
        <w:rPr>
          <w:rFonts w:asciiTheme="majorBidi" w:hAnsiTheme="majorBidi" w:cstheme="majorBidi"/>
          <w:i/>
          <w:sz w:val="26"/>
          <w:szCs w:val="26"/>
        </w:rPr>
        <w:t xml:space="preserve">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w:t>
      </w:r>
      <w:proofErr w:type="spellStart"/>
      <w:r w:rsidRPr="005F65CA">
        <w:rPr>
          <w:rFonts w:ascii="Times New Roman" w:hAnsi="Times New Roman" w:cs="Times New Roman"/>
          <w:color w:val="000000" w:themeColor="text1"/>
          <w:sz w:val="26"/>
          <w:szCs w:val="26"/>
        </w:rPr>
        <w:t>Kwara</w:t>
      </w:r>
      <w:proofErr w:type="spellEnd"/>
      <w:r w:rsidRPr="005F65CA">
        <w:rPr>
          <w:rFonts w:ascii="Times New Roman" w:hAnsi="Times New Roman" w:cs="Times New Roman"/>
          <w:color w:val="000000" w:themeColor="text1"/>
          <w:sz w:val="26"/>
          <w:szCs w:val="26"/>
        </w:rPr>
        <w:t xml:space="preserve">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 xml:space="preserve">but we’re going to discuss about Borehole (Abdulsalam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199C53E6" w14:textId="13026688" w:rsidR="005E1D28" w:rsidRPr="00FC409A" w:rsidRDefault="00E842D1" w:rsidP="00FC409A">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w:t>
      </w:r>
      <w:proofErr w:type="spellStart"/>
      <w:r w:rsidR="005E1D28" w:rsidRPr="00F90A83">
        <w:rPr>
          <w:rFonts w:asciiTheme="majorBidi" w:hAnsiTheme="majorBidi" w:cstheme="majorBidi"/>
          <w:sz w:val="26"/>
          <w:szCs w:val="26"/>
        </w:rPr>
        <w:t>Kwara</w:t>
      </w:r>
      <w:proofErr w:type="spellEnd"/>
      <w:r w:rsidR="005E1D28" w:rsidRPr="00F90A83">
        <w:rPr>
          <w:rFonts w:asciiTheme="majorBidi" w:hAnsiTheme="majorBidi" w:cstheme="majorBidi"/>
          <w:sz w:val="26"/>
          <w:szCs w:val="26"/>
        </w:rPr>
        <w:t xml:space="preserve">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5E2425F4" w14:textId="77777777" w:rsidR="00FC409A" w:rsidRDefault="00FC409A" w:rsidP="00B11A72">
      <w:pPr>
        <w:spacing w:line="360" w:lineRule="auto"/>
        <w:rPr>
          <w:rFonts w:ascii="Times New Roman" w:hAnsi="Times New Roman"/>
          <w:b/>
          <w:color w:val="000000" w:themeColor="text1"/>
          <w:sz w:val="26"/>
          <w:szCs w:val="26"/>
        </w:rPr>
      </w:pP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Akuo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Kwara</w:t>
      </w:r>
      <w:proofErr w:type="spellEnd"/>
      <w:r w:rsidR="005E1D28">
        <w:rPr>
          <w:rFonts w:ascii="Times New Roman" w:hAnsi="Times New Roman"/>
          <w:color w:val="000000" w:themeColor="text1"/>
          <w:sz w:val="26"/>
          <w:szCs w:val="26"/>
        </w:rPr>
        <w:t xml:space="preserve"> state</w:t>
      </w:r>
      <w:r w:rsidRPr="005F65CA">
        <w:rPr>
          <w:rFonts w:ascii="Times New Roman" w:hAnsi="Times New Roman"/>
          <w:color w:val="000000" w:themeColor="text1"/>
          <w:sz w:val="26"/>
          <w:szCs w:val="26"/>
        </w:rPr>
        <w:t>.</w:t>
      </w:r>
    </w:p>
    <w:p w14:paraId="1FA99B69" w14:textId="77777777" w:rsidR="005E1D28" w:rsidRDefault="005E1D28" w:rsidP="005E1D28">
      <w:pPr>
        <w:spacing w:after="0" w:line="360" w:lineRule="auto"/>
        <w:jc w:val="both"/>
        <w:rPr>
          <w:rFonts w:asciiTheme="majorBidi" w:hAnsiTheme="majorBidi" w:cstheme="majorBidi"/>
          <w:b/>
          <w:bCs/>
          <w:sz w:val="2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7D9BFD7" w14:textId="77777777" w:rsidR="00FC409A" w:rsidRDefault="00FC409A">
      <w:pPr>
        <w:spacing w:after="0" w:line="240" w:lineRule="auto"/>
        <w:rPr>
          <w:rFonts w:asciiTheme="majorBidi" w:hAnsiTheme="majorBidi" w:cstheme="majorBidi"/>
          <w:b/>
          <w:bCs/>
          <w:sz w:val="26"/>
          <w:szCs w:val="26"/>
        </w:rPr>
      </w:pPr>
      <w:r>
        <w:rPr>
          <w:rFonts w:asciiTheme="majorBidi" w:hAnsiTheme="majorBidi" w:cstheme="majorBidi"/>
          <w:b/>
          <w:bCs/>
          <w:sz w:val="26"/>
          <w:szCs w:val="26"/>
        </w:rPr>
        <w:br w:type="page"/>
      </w:r>
    </w:p>
    <w:p w14:paraId="0000B09B" w14:textId="2BD0E479"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294191A1" w14:textId="47A15254" w:rsidR="00D23569" w:rsidRPr="00FC409A" w:rsidRDefault="00E14FB7" w:rsidP="00FC409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w:t>
      </w:r>
      <w:r w:rsidRPr="005F65CA">
        <w:rPr>
          <w:rFonts w:ascii="Times New Roman" w:hAnsi="Times New Roman"/>
          <w:sz w:val="26"/>
          <w:szCs w:val="26"/>
        </w:rPr>
        <w:lastRenderedPageBreak/>
        <w:t>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(vi). Dissolved Oxygen (DO): Dissolved Oxygen is the amount </w:t>
      </w:r>
      <w:r w:rsidRPr="005F65CA">
        <w:rPr>
          <w:rFonts w:ascii="Times New Roman" w:hAnsi="Times New Roman"/>
          <w:sz w:val="26"/>
          <w:szCs w:val="26"/>
        </w:rPr>
        <w:lastRenderedPageBreak/>
        <w:t>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Water is a vital resource for almost every living thing on earth. Most living things, including humans, need water to survive. Once the water is contaminated, it has 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w:t>
      </w:r>
      <w:r w:rsidRPr="005F65CA">
        <w:rPr>
          <w:rFonts w:ascii="Times New Roman" w:hAnsi="Times New Roman"/>
          <w:sz w:val="26"/>
          <w:szCs w:val="26"/>
        </w:rPr>
        <w:lastRenderedPageBreak/>
        <w:t xml:space="preserve">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t>
      </w:r>
      <w:r w:rsidRPr="005F65CA">
        <w:rPr>
          <w:rFonts w:ascii="Times New Roman" w:hAnsi="Times New Roman"/>
          <w:sz w:val="26"/>
          <w:szCs w:val="26"/>
        </w:rPr>
        <w:lastRenderedPageBreak/>
        <w:t xml:space="preserve">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w:t>
      </w: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coli,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Escherichia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lastRenderedPageBreak/>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gastroenteritis. Brackish and marine waters were the natural environment for the </w:t>
      </w:r>
      <w:r w:rsidRPr="005F65CA">
        <w:rPr>
          <w:rFonts w:ascii="Times New Roman" w:hAnsi="Times New Roman"/>
          <w:sz w:val="26"/>
          <w:szCs w:val="26"/>
        </w:rPr>
        <w:lastRenderedPageBreak/>
        <w:t xml:space="preserve">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(IIIa),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(IIIb),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lastRenderedPageBreak/>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 xml:space="preserve">Shigella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Shigella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Shigella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w:t>
      </w:r>
      <w:r w:rsidRPr="004D2CBA">
        <w:rPr>
          <w:rFonts w:ascii="Times New Roman" w:hAnsi="Times New Roman"/>
          <w:i/>
          <w:sz w:val="26"/>
          <w:szCs w:val="26"/>
        </w:rPr>
        <w:lastRenderedPageBreak/>
        <w:t>enteroviruses,</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w:t>
      </w:r>
      <w:r w:rsidRPr="005F65CA">
        <w:rPr>
          <w:rFonts w:ascii="Times New Roman" w:hAnsi="Times New Roman"/>
          <w:sz w:val="26"/>
          <w:szCs w:val="26"/>
        </w:rPr>
        <w:lastRenderedPageBreak/>
        <w:t>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3. Parasites: Parasites could be transmitted to humans in many ways, including direct consumption of contaminated water. They account for 842,000 deaths each 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w:t>
      </w:r>
      <w:r w:rsidRPr="005F65CA">
        <w:rPr>
          <w:rFonts w:ascii="Times New Roman" w:hAnsi="Times New Roman"/>
          <w:sz w:val="26"/>
          <w:szCs w:val="26"/>
        </w:rPr>
        <w:lastRenderedPageBreak/>
        <w:t xml:space="preserve">adults and 8% of children in developed countries and about 33% of the population in developing countries. It was transmitted to humans mostly through the fecal–oral 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w:t>
      </w:r>
      <w:r w:rsidRPr="005F65CA">
        <w:rPr>
          <w:rFonts w:ascii="Times New Roman" w:hAnsi="Times New Roman"/>
          <w:sz w:val="26"/>
          <w:szCs w:val="26"/>
        </w:rPr>
        <w:lastRenderedPageBreak/>
        <w:t xml:space="preserve">countries as shown in Table 4. </w:t>
      </w:r>
      <w:r w:rsidRPr="004D2CBA">
        <w:rPr>
          <w:rFonts w:ascii="Times New Roman" w:hAnsi="Times New Roman"/>
          <w:i/>
          <w:sz w:val="26"/>
          <w:szCs w:val="26"/>
        </w:rPr>
        <w:t xml:space="preserve">Ascaris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spp</w:t>
      </w:r>
      <w:proofErr w:type="spellEnd"/>
      <w:r w:rsidRPr="004D2CBA">
        <w:rPr>
          <w:rFonts w:ascii="Times New Roman" w:hAnsi="Times New Roman"/>
          <w:i/>
          <w:sz w:val="26"/>
          <w:szCs w:val="26"/>
        </w:rPr>
        <w:t xml:space="preserve">.,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Bishop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Shigella,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Cryptosporidium.</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Acute diarrhea, dehydration, and malnutrition. These diseases are particularly severe in children under five years 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w:t>
      </w:r>
      <w:r w:rsidRPr="005F65CA">
        <w:rPr>
          <w:rFonts w:ascii="Times New Roman" w:hAnsi="Times New Roman"/>
          <w:sz w:val="26"/>
          <w:szCs w:val="26"/>
        </w:rPr>
        <w:lastRenderedPageBreak/>
        <w:t xml:space="preserve">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w:t>
      </w:r>
      <w:r w:rsidRPr="005F65CA">
        <w:rPr>
          <w:rFonts w:ascii="Times New Roman" w:hAnsi="Times New Roman"/>
          <w:sz w:val="26"/>
          <w:szCs w:val="26"/>
        </w:rPr>
        <w:lastRenderedPageBreak/>
        <w:t xml:space="preserve">ground water (Bai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3E6AEF65" w14:textId="77777777" w:rsidR="00FC409A" w:rsidRDefault="00FC409A">
      <w:pPr>
        <w:spacing w:after="0" w:line="240" w:lineRule="auto"/>
        <w:rPr>
          <w:rFonts w:asciiTheme="majorBidi" w:eastAsiaTheme="majorEastAsia" w:hAnsiTheme="majorBidi" w:cstheme="majorBidi"/>
          <w:b/>
          <w:bCs/>
          <w:sz w:val="28"/>
          <w:szCs w:val="28"/>
          <w:lang w:eastAsia="en-US"/>
        </w:rPr>
      </w:pPr>
      <w:r>
        <w:rPr>
          <w:rFonts w:asciiTheme="majorBidi" w:hAnsiTheme="majorBidi"/>
        </w:rPr>
        <w:br w:type="page"/>
      </w:r>
    </w:p>
    <w:p w14:paraId="43E9651B" w14:textId="12E03556"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lastRenderedPageBreak/>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w:t>
      </w:r>
      <w:proofErr w:type="spellStart"/>
      <w:r w:rsidRPr="007A0DBB">
        <w:rPr>
          <w:rFonts w:asciiTheme="majorBidi" w:hAnsiTheme="majorBidi" w:cstheme="majorBidi"/>
          <w:sz w:val="26"/>
          <w:szCs w:val="26"/>
        </w:rPr>
        <w:t>Kwara</w:t>
      </w:r>
      <w:proofErr w:type="spellEnd"/>
      <w:r w:rsidRPr="007A0DBB">
        <w:rPr>
          <w:rFonts w:asciiTheme="majorBidi" w:hAnsiTheme="majorBidi" w:cstheme="majorBidi"/>
          <w:sz w:val="26"/>
          <w:szCs w:val="26"/>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lastRenderedPageBreak/>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w:t>
      </w:r>
      <w:r w:rsidRPr="007A0DBB">
        <w:rPr>
          <w:rFonts w:asciiTheme="majorBidi" w:hAnsiTheme="majorBidi" w:cstheme="majorBidi"/>
          <w:sz w:val="26"/>
          <w:szCs w:val="26"/>
        </w:rPr>
        <w:lastRenderedPageBreak/>
        <w:t>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0" w:name="_Toc109025352"/>
      <w:bookmarkStart w:id="1"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0"/>
    </w:p>
    <w:bookmarkEnd w:id="1"/>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2"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2"/>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3"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3"/>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Morphological characterization of each distinct colony was observed and recorded by noting the color, shape, pigmentation, elevation, size of the colonies </w:t>
      </w:r>
      <w:r w:rsidRPr="007A0DBB">
        <w:rPr>
          <w:rFonts w:asciiTheme="majorBidi" w:hAnsiTheme="majorBidi" w:cstheme="majorBidi"/>
          <w:sz w:val="26"/>
          <w:szCs w:val="26"/>
        </w:rPr>
        <w:lastRenderedPageBreak/>
        <w:t>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5"/>
      <w:r w:rsidRPr="007A0DBB">
        <w:rPr>
          <w:rFonts w:asciiTheme="majorBidi" w:hAnsiTheme="majorBidi"/>
          <w:color w:val="auto"/>
          <w:sz w:val="26"/>
          <w:szCs w:val="26"/>
        </w:rPr>
        <w:t>3.5.2</w:t>
      </w:r>
      <w:bookmarkStart w:id="5" w:name="_Toc84222896"/>
      <w:r w:rsidRPr="007A0DBB">
        <w:rPr>
          <w:rFonts w:asciiTheme="majorBidi" w:hAnsiTheme="majorBidi"/>
          <w:color w:val="auto"/>
          <w:sz w:val="26"/>
          <w:szCs w:val="26"/>
        </w:rPr>
        <w:tab/>
        <w:t>Gram Staining</w:t>
      </w:r>
      <w:bookmarkEnd w:id="4"/>
      <w:bookmarkEnd w:id="5"/>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6" w:name="_Toc84222897"/>
      <w:bookmarkStart w:id="7" w:name="_Toc109025356"/>
      <w:r w:rsidRPr="007A0DBB">
        <w:rPr>
          <w:rFonts w:ascii="Times New Roman" w:hAnsi="Times New Roman" w:cs="Times New Roman"/>
          <w:color w:val="auto"/>
        </w:rPr>
        <w:lastRenderedPageBreak/>
        <w:t>3.6</w:t>
      </w:r>
      <w:r w:rsidRPr="007A0DBB">
        <w:rPr>
          <w:rFonts w:ascii="Times New Roman" w:hAnsi="Times New Roman" w:cs="Times New Roman"/>
          <w:color w:val="auto"/>
        </w:rPr>
        <w:tab/>
        <w:t>Biochemical Test</w:t>
      </w:r>
      <w:bookmarkEnd w:id="6"/>
      <w:bookmarkEnd w:id="7"/>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Indole, Methyl red, Voges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8" w:name="_Toc84222898"/>
      <w:bookmarkStart w:id="9"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8"/>
      <w:bookmarkEnd w:id="9"/>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0"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1" w:name="_Toc109025358"/>
      <w:r w:rsidRPr="007A0DBB">
        <w:rPr>
          <w:rFonts w:asciiTheme="majorBidi" w:hAnsiTheme="majorBidi"/>
          <w:color w:val="auto"/>
          <w:sz w:val="26"/>
          <w:szCs w:val="26"/>
        </w:rPr>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2" w:name="_Toc84222900"/>
      <w:bookmarkStart w:id="13" w:name="_Toc82388610"/>
      <w:bookmarkEnd w:id="10"/>
      <w:bookmarkEnd w:id="11"/>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pH. MR-</w:t>
      </w:r>
      <w:r w:rsidRPr="007A0DBB">
        <w:rPr>
          <w:rFonts w:ascii="Times New Roman" w:eastAsia="Times New Roman" w:hAnsi="Times New Roman"/>
          <w:color w:val="000000"/>
          <w:sz w:val="26"/>
          <w:szCs w:val="26"/>
        </w:rPr>
        <w:lastRenderedPageBreak/>
        <w:t>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4"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2"/>
      <w:bookmarkEnd w:id="13"/>
      <w:bookmarkEnd w:id="14"/>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5" w:name="_Toc84222902"/>
      <w:bookmarkStart w:id="16" w:name="_Toc49215409"/>
      <w:bookmarkStart w:id="17" w:name="_Toc82388613"/>
      <w:bookmarkStart w:id="18"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5"/>
      <w:bookmarkEnd w:id="16"/>
      <w:bookmarkEnd w:id="17"/>
      <w:bookmarkEnd w:id="18"/>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w:t>
      </w:r>
      <w:r w:rsidRPr="007A0DBB">
        <w:rPr>
          <w:rFonts w:ascii="Times New Roman" w:eastAsia="Times New Roman" w:hAnsi="Times New Roman"/>
          <w:color w:val="000000"/>
          <w:sz w:val="26"/>
          <w:szCs w:val="26"/>
        </w:rPr>
        <w:lastRenderedPageBreak/>
        <w:t xml:space="preserve">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19" w:name="_Toc84222903"/>
      <w:bookmarkStart w:id="20"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19"/>
      <w:bookmarkEnd w:id="20"/>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w:t>
      </w:r>
      <w:proofErr w:type="spellEnd"/>
      <w:r w:rsidRPr="007A0DBB">
        <w:rPr>
          <w:rFonts w:ascii="Times New Roman" w:eastAsia="Times New Roman" w:hAnsi="Times New Roman"/>
          <w:color w:val="000000"/>
          <w:sz w:val="26"/>
          <w:szCs w:val="26"/>
        </w:rPr>
        <w:t xml:space="preserve">‟s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0D1A3494" w14:textId="77777777" w:rsidR="007A0DBB" w:rsidRPr="007A0DBB" w:rsidRDefault="007A0DBB" w:rsidP="00FC409A">
      <w:pP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lastRenderedPageBreak/>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1"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1"/>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2"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2"/>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C-Akuo</w:t>
      </w:r>
    </w:p>
    <w:p w14:paraId="5B841FEF" w14:textId="622D79CA" w:rsidR="00AF415B" w:rsidRPr="00FC409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lastRenderedPageBreak/>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5EBE1E5C" w14:textId="53E34C85"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 xml:space="preserve">Voges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lastRenderedPageBreak/>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Akuo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Orji</w:t>
      </w:r>
      <w:proofErr w:type="spellEnd"/>
      <w:r w:rsidRPr="004F1818">
        <w:rPr>
          <w:rFonts w:asciiTheme="majorBidi" w:hAnsiTheme="majorBidi" w:cstheme="majorBidi"/>
          <w:sz w:val="26"/>
          <w:szCs w:val="26"/>
        </w:rPr>
        <w:t xml:space="preserve">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w:t>
      </w:r>
      <w:r w:rsidRPr="004F1818">
        <w:rPr>
          <w:rFonts w:asciiTheme="majorBidi" w:hAnsiTheme="majorBidi" w:cstheme="majorBidi"/>
          <w:sz w:val="26"/>
          <w:szCs w:val="26"/>
        </w:rPr>
        <w:lastRenderedPageBreak/>
        <w:t xml:space="preserve">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Akuo in Ilorin, </w:t>
      </w:r>
      <w:proofErr w:type="spellStart"/>
      <w:r w:rsidRPr="004F1818">
        <w:rPr>
          <w:rFonts w:asciiTheme="majorBidi" w:hAnsiTheme="majorBidi" w:cstheme="majorBidi"/>
          <w:sz w:val="26"/>
          <w:szCs w:val="26"/>
        </w:rPr>
        <w:t>Kwara</w:t>
      </w:r>
      <w:proofErr w:type="spellEnd"/>
      <w:r w:rsidRPr="004F1818">
        <w:rPr>
          <w:rFonts w:asciiTheme="majorBidi" w:hAnsiTheme="majorBidi" w:cstheme="majorBidi"/>
          <w:sz w:val="26"/>
          <w:szCs w:val="26"/>
        </w:rPr>
        <w:t xml:space="preserve">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lastRenderedPageBreak/>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lastRenderedPageBreak/>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 </w:t>
      </w:r>
      <w:r w:rsidRPr="005F65CA">
        <w:rPr>
          <w:rFonts w:ascii="Times New Roman" w:hAnsi="Times New Roman" w:cs="Times New Roman"/>
          <w:bCs/>
          <w:color w:val="000000" w:themeColor="text1"/>
          <w:sz w:val="26"/>
          <w:szCs w:val="26"/>
        </w:rPr>
        <w:t xml:space="preserve">Assessment Of The Potability Of Water Sources In Some Rural Communities In Ilorin East,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 xml:space="preserve">Abu-Sini,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xml:space="preserve">, D.H.; </w:t>
      </w:r>
      <w:proofErr w:type="spellStart"/>
      <w:r w:rsidRPr="00AF7347">
        <w:rPr>
          <w:rFonts w:asciiTheme="majorBidi" w:hAnsiTheme="majorBidi" w:cstheme="majorBidi"/>
          <w:sz w:val="24"/>
          <w:szCs w:val="24"/>
        </w:rPr>
        <w:t>Al-Sabi</w:t>
      </w:r>
      <w:proofErr w:type="spellEnd"/>
      <w:r w:rsidRPr="00AF7347">
        <w:rPr>
          <w:rFonts w:asciiTheme="majorBidi" w:hAnsiTheme="majorBidi" w:cstheme="majorBidi"/>
          <w:sz w:val="24"/>
          <w:szCs w:val="24"/>
        </w:rPr>
        <w:t>,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Kalu, A.U (2013). The assessment of drinking water sources in </w:t>
      </w:r>
      <w:proofErr w:type="spellStart"/>
      <w:r w:rsidRPr="005F65CA">
        <w:rPr>
          <w:rFonts w:ascii="Times New Roman" w:hAnsi="Times New Roman"/>
          <w:color w:val="000000"/>
          <w:sz w:val="26"/>
          <w:szCs w:val="26"/>
        </w:rPr>
        <w:t>aba</w:t>
      </w:r>
      <w:proofErr w:type="spellEnd"/>
      <w:r w:rsidRPr="005F65CA">
        <w:rPr>
          <w:rFonts w:ascii="Times New Roman" w:hAnsi="Times New Roman"/>
          <w:color w:val="000000"/>
          <w:sz w:val="26"/>
          <w:szCs w:val="26"/>
        </w:rPr>
        <w:t xml:space="preserve">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Abiodun, P. O. (2023).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Taiwo, A., Adedamola,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C. (2021). An investigation on the epidemiology and risk factors associated with soil-</w:t>
      </w:r>
      <w:r w:rsidRPr="005F65CA">
        <w:rPr>
          <w:rFonts w:ascii="Times New Roman" w:hAnsi="Times New Roman"/>
          <w:sz w:val="26"/>
          <w:szCs w:val="26"/>
        </w:rPr>
        <w:lastRenderedPageBreak/>
        <w:t xml:space="preserve">transmitted helminth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Al-Abdan</w:t>
      </w:r>
      <w:proofErr w:type="spellEnd"/>
      <w:r w:rsidRPr="005F65CA">
        <w:rPr>
          <w:rFonts w:ascii="Times New Roman" w:hAnsi="Times New Roman"/>
          <w:sz w:val="26"/>
          <w:szCs w:val="26"/>
        </w:rPr>
        <w:t xml:space="preserve">, M. A., </w:t>
      </w:r>
      <w:proofErr w:type="spellStart"/>
      <w:r w:rsidRPr="005F65CA">
        <w:rPr>
          <w:rFonts w:ascii="Times New Roman" w:hAnsi="Times New Roman"/>
          <w:sz w:val="26"/>
          <w:szCs w:val="26"/>
        </w:rPr>
        <w:t>Bin-Jumah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Investigation of biological accumulation and </w:t>
      </w:r>
      <w:proofErr w:type="spellStart"/>
      <w:r w:rsidRPr="005F65CA">
        <w:rPr>
          <w:rFonts w:ascii="Times New Roman" w:hAnsi="Times New Roman"/>
          <w:sz w:val="26"/>
          <w:szCs w:val="26"/>
        </w:rPr>
        <w:t>eco-genotoxicity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Bako,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Afolabi, R. O. (2018). Assessment of bacteriological quality of borehole water in </w:t>
      </w:r>
      <w:proofErr w:type="spellStart"/>
      <w:r w:rsidRPr="002F196F">
        <w:rPr>
          <w:rFonts w:asciiTheme="majorBidi" w:hAnsiTheme="majorBidi" w:cstheme="majorBidi"/>
          <w:sz w:val="24"/>
          <w:szCs w:val="24"/>
        </w:rPr>
        <w:t>Wamakko</w:t>
      </w:r>
      <w:proofErr w:type="spellEnd"/>
      <w:r w:rsidRPr="002F196F">
        <w:rPr>
          <w:rFonts w:asciiTheme="majorBidi" w:hAnsiTheme="majorBidi" w:cstheme="majorBidi"/>
          <w:sz w:val="24"/>
          <w:szCs w:val="24"/>
        </w:rPr>
        <w:t xml:space="preserve">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xml:space="preserve">, H. I. (2015). Incidence of Entamoeba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Samaru-Zaria</w:t>
      </w:r>
      <w:proofErr w:type="spellEnd"/>
      <w:r w:rsidRPr="005F65CA">
        <w:rPr>
          <w:rFonts w:ascii="Times New Roman" w:hAnsi="Times New Roman"/>
          <w:sz w:val="26"/>
          <w:szCs w:val="26"/>
        </w:rPr>
        <w:t>,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lastRenderedPageBreak/>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J. V. (2018). </w:t>
      </w:r>
      <w:proofErr w:type="spellStart"/>
      <w:r w:rsidRPr="005F65CA">
        <w:rPr>
          <w:rFonts w:ascii="Times New Roman" w:hAnsi="Times New Roman"/>
          <w:sz w:val="26"/>
          <w:szCs w:val="26"/>
        </w:rPr>
        <w:t>Escherichia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xml:space="preserve">, E. and Deere, D. (2003). Surveillance and investigation of contamination incidents and water borne outbreaks. In: Dufour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Koster W, </w:t>
      </w:r>
      <w:proofErr w:type="spellStart"/>
      <w:r w:rsidRPr="005F65CA">
        <w:rPr>
          <w:rFonts w:ascii="Times New Roman" w:hAnsi="Times New Roman"/>
          <w:color w:val="000000"/>
          <w:sz w:val="26"/>
          <w:szCs w:val="26"/>
        </w:rPr>
        <w:t>Bartram</w:t>
      </w:r>
      <w:proofErr w:type="spellEnd"/>
      <w:r w:rsidRPr="005F65CA">
        <w:rPr>
          <w:rFonts w:ascii="Times New Roman" w:hAnsi="Times New Roman"/>
          <w:color w:val="000000"/>
          <w:sz w:val="26"/>
          <w:szCs w:val="26"/>
        </w:rPr>
        <w:t xml:space="preserve">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lastRenderedPageBreak/>
        <w:t xml:space="preserve">Idowu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And </w:t>
      </w:r>
      <w:proofErr w:type="spellStart"/>
      <w:r w:rsidRPr="005F65CA">
        <w:rPr>
          <w:rFonts w:ascii="Times New Roman" w:hAnsi="Times New Roman" w:cs="Times New Roman"/>
          <w:bCs/>
          <w:color w:val="000000" w:themeColor="text1"/>
          <w:sz w:val="26"/>
          <w:szCs w:val="26"/>
        </w:rPr>
        <w:t>Physico-Chemical</w:t>
      </w:r>
      <w:proofErr w:type="spellEnd"/>
      <w:r w:rsidRPr="005F65CA">
        <w:rPr>
          <w:rFonts w:ascii="Times New Roman" w:hAnsi="Times New Roman" w:cs="Times New Roman"/>
          <w:bCs/>
          <w:color w:val="000000" w:themeColor="text1"/>
          <w:sz w:val="26"/>
          <w:szCs w:val="26"/>
        </w:rPr>
        <w:t xml:space="preserve"> Quality Of Borehole Water From The Mini And Main Campus Of The Federal Polytechnics Offa,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r w:rsidRPr="005F65CA">
        <w:rPr>
          <w:rFonts w:ascii="Times New Roman" w:hAnsi="Times New Roman"/>
          <w:bCs/>
          <w:sz w:val="26"/>
          <w:szCs w:val="26"/>
        </w:rPr>
        <w:t>Physico-Chemical</w:t>
      </w:r>
      <w:proofErr w:type="spellEnd"/>
      <w:r w:rsidRPr="005F65CA">
        <w:rPr>
          <w:rFonts w:ascii="Times New Roman" w:hAnsi="Times New Roman"/>
          <w:bCs/>
          <w:sz w:val="26"/>
          <w:szCs w:val="26"/>
        </w:rPr>
        <w:t xml:space="preserve">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doi:10.3390/ijerph120808619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t>Nwaiwu</w:t>
      </w:r>
      <w:proofErr w:type="spellEnd"/>
      <w:r w:rsidRPr="005F65CA">
        <w:rPr>
          <w:rFonts w:ascii="Times New Roman" w:hAnsi="Times New Roman"/>
          <w:color w:val="000000"/>
          <w:sz w:val="26"/>
          <w:szCs w:val="26"/>
        </w:rPr>
        <w:t xml:space="preserve">, O. (2018). 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xml:space="preserve">, M. (2023).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lastRenderedPageBreak/>
        <w:t>Awka-South</w:t>
      </w:r>
      <w:proofErr w:type="spellEnd"/>
      <w:r w:rsidRPr="001436FD">
        <w:rPr>
          <w:rFonts w:asciiTheme="majorBidi" w:hAnsiTheme="majorBidi" w:cstheme="majorBidi"/>
          <w:sz w:val="24"/>
          <w:szCs w:val="24"/>
        </w:rPr>
        <w:t xml:space="preserve">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Orji</w:t>
      </w:r>
      <w:proofErr w:type="spellEnd"/>
      <w:r w:rsidRPr="00952128">
        <w:rPr>
          <w:rFonts w:asciiTheme="majorBidi" w:hAnsiTheme="majorBidi" w:cstheme="majorBidi"/>
          <w:sz w:val="24"/>
          <w:szCs w:val="24"/>
        </w:rPr>
        <w:t xml:space="preserve">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 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w:t>
      </w:r>
      <w:proofErr w:type="spellStart"/>
      <w:r w:rsidRPr="00E37446">
        <w:rPr>
          <w:rFonts w:asciiTheme="majorBidi" w:hAnsiTheme="majorBidi" w:cstheme="majorBidi"/>
          <w:sz w:val="24"/>
          <w:szCs w:val="24"/>
        </w:rPr>
        <w:t>Orji</w:t>
      </w:r>
      <w:proofErr w:type="spellEnd"/>
      <w:r w:rsidRPr="00E37446">
        <w:rPr>
          <w:rFonts w:asciiTheme="majorBidi" w:hAnsiTheme="majorBidi" w:cstheme="majorBidi"/>
          <w:sz w:val="24"/>
          <w:szCs w:val="24"/>
        </w:rPr>
        <w:t xml:space="preserve">,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xml:space="preserve">, U.C., Anastasia, O.N. and Dike, U.N. (2023). Microbiological Quality and </w:t>
      </w:r>
      <w:proofErr w:type="spellStart"/>
      <w:r w:rsidRPr="00A32819">
        <w:rPr>
          <w:rFonts w:asciiTheme="majorBidi" w:hAnsiTheme="majorBidi" w:cstheme="majorBidi"/>
          <w:sz w:val="24"/>
          <w:szCs w:val="24"/>
        </w:rPr>
        <w:t>Physico-chemical</w:t>
      </w:r>
      <w:proofErr w:type="spellEnd"/>
      <w:r w:rsidRPr="00A32819">
        <w:rPr>
          <w:rFonts w:asciiTheme="majorBidi" w:hAnsiTheme="majorBidi" w:cstheme="majorBidi"/>
          <w:sz w:val="24"/>
          <w:szCs w:val="24"/>
        </w:rPr>
        <w:t xml:space="preserve">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lastRenderedPageBreak/>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xml:space="preserve">, O. U. (2024). 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r w:rsidRPr="005F65CA">
        <w:rPr>
          <w:rFonts w:ascii="Times New Roman" w:hAnsi="Times New Roman"/>
          <w:color w:val="000000" w:themeColor="text1"/>
          <w:sz w:val="26"/>
          <w:szCs w:val="26"/>
        </w:rPr>
        <w:t>Physico-Chemical</w:t>
      </w:r>
      <w:proofErr w:type="spellEnd"/>
      <w:r w:rsidRPr="005F65CA">
        <w:rPr>
          <w:rFonts w:ascii="Times New Roman" w:hAnsi="Times New Roman"/>
          <w:color w:val="000000" w:themeColor="text1"/>
          <w:sz w:val="26"/>
          <w:szCs w:val="26"/>
        </w:rPr>
        <w:t xml:space="preserve">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Peng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Hebei Province, P.R. China. Environ Sci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B. R., &amp; Evans, D. S. (2020). 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lastRenderedPageBreak/>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Hervio-Heath</w:t>
      </w:r>
      <w:proofErr w:type="spellEnd"/>
      <w:r w:rsidRPr="005F65CA">
        <w:rPr>
          <w:rFonts w:ascii="Times New Roman" w:hAnsi="Times New Roman"/>
          <w:sz w:val="26"/>
          <w:szCs w:val="26"/>
        </w:rPr>
        <w:t xml:space="preserve">,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Shigella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Scott’s </w:t>
      </w:r>
      <w:r>
        <w:rPr>
          <w:rFonts w:asciiTheme="majorBidi" w:hAnsiTheme="majorBidi" w:cstheme="majorBidi"/>
          <w:sz w:val="24"/>
          <w:szCs w:val="24"/>
        </w:rPr>
        <w:t xml:space="preserve"> (</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E19783C" w14:textId="51FB60C8" w:rsidR="001436FD" w:rsidRPr="00FC409A" w:rsidRDefault="001436FD" w:rsidP="00FC409A">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Usman,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xml:space="preserve">, O. D., &amp; Adigun, M. A. (2024). Evaluation of Microbiological and Physicochemical Quality of Borehole Water in Mini-Campus, Federal Polytechnic, Offa, </w:t>
      </w:r>
      <w:proofErr w:type="spellStart"/>
      <w:r w:rsidRPr="005F65CA">
        <w:rPr>
          <w:rFonts w:ascii="Times New Roman" w:hAnsi="Times New Roman"/>
          <w:color w:val="000000" w:themeColor="text1"/>
          <w:sz w:val="26"/>
          <w:szCs w:val="26"/>
        </w:rPr>
        <w:t>Kwara</w:t>
      </w:r>
      <w:proofErr w:type="spellEnd"/>
      <w:r w:rsidRPr="005F65CA">
        <w:rPr>
          <w:rFonts w:ascii="Times New Roman" w:hAnsi="Times New Roman"/>
          <w:color w:val="000000" w:themeColor="text1"/>
          <w:sz w:val="26"/>
          <w:szCs w:val="26"/>
        </w:rPr>
        <w:t xml:space="preserve">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1" w:history="1">
        <w:r w:rsidRPr="00146090">
          <w:rPr>
            <w:rStyle w:val="Hyperlink"/>
            <w:rFonts w:ascii="Times New Roman" w:hAnsi="Times New Roman"/>
            <w:sz w:val="26"/>
            <w:szCs w:val="26"/>
          </w:rPr>
          <w:t>https://fnasjournals.com/index.php/FNAS-JSI/article/view/554</w:t>
        </w:r>
      </w:hyperlink>
    </w:p>
    <w:sectPr w:rsidR="001436FD" w:rsidRPr="00FC409A"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08A0" w14:textId="77777777" w:rsidR="00287501" w:rsidRDefault="00287501" w:rsidP="00B11A72">
      <w:pPr>
        <w:spacing w:after="0" w:line="240" w:lineRule="auto"/>
      </w:pPr>
      <w:r>
        <w:separator/>
      </w:r>
    </w:p>
  </w:endnote>
  <w:endnote w:type="continuationSeparator" w:id="0">
    <w:p w14:paraId="75F5D420" w14:textId="77777777" w:rsidR="00287501" w:rsidRDefault="00287501"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FC409A">
          <w:rPr>
            <w:noProof/>
          </w:rPr>
          <w:t>41</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FC409A">
          <w:rPr>
            <w:noProof/>
          </w:rPr>
          <w:t>1</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F40D" w14:textId="77777777" w:rsidR="00287501" w:rsidRDefault="00287501" w:rsidP="00B11A72">
      <w:pPr>
        <w:spacing w:after="0" w:line="240" w:lineRule="auto"/>
      </w:pPr>
      <w:r>
        <w:separator/>
      </w:r>
    </w:p>
  </w:footnote>
  <w:footnote w:type="continuationSeparator" w:id="0">
    <w:p w14:paraId="43A251FE" w14:textId="77777777" w:rsidR="00287501" w:rsidRDefault="00287501" w:rsidP="00B11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14267">
    <w:abstractNumId w:val="4"/>
  </w:num>
  <w:num w:numId="2" w16cid:durableId="597717659">
    <w:abstractNumId w:val="1"/>
  </w:num>
  <w:num w:numId="3" w16cid:durableId="1573929767">
    <w:abstractNumId w:val="5"/>
  </w:num>
  <w:num w:numId="4" w16cid:durableId="1782147937">
    <w:abstractNumId w:val="3"/>
  </w:num>
  <w:num w:numId="5" w16cid:durableId="1473405922">
    <w:abstractNumId w:val="2"/>
  </w:num>
  <w:num w:numId="6" w16cid:durableId="6148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drawingGridHorizontalSpacing w:val="110"/>
  <w:displayHorizontalDrawingGridEvery w:val="2"/>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F1A19"/>
    <w:rsid w:val="001F1DBC"/>
    <w:rsid w:val="0022564F"/>
    <w:rsid w:val="00265349"/>
    <w:rsid w:val="00266706"/>
    <w:rsid w:val="002817DE"/>
    <w:rsid w:val="0028732C"/>
    <w:rsid w:val="00287501"/>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67AC1"/>
    <w:rsid w:val="00594DFC"/>
    <w:rsid w:val="005A3C04"/>
    <w:rsid w:val="005A582D"/>
    <w:rsid w:val="005C3FF2"/>
    <w:rsid w:val="005E1D28"/>
    <w:rsid w:val="005E35C1"/>
    <w:rsid w:val="005F65CA"/>
    <w:rsid w:val="00633030"/>
    <w:rsid w:val="00633C30"/>
    <w:rsid w:val="00660F5A"/>
    <w:rsid w:val="00692F66"/>
    <w:rsid w:val="006B3DB7"/>
    <w:rsid w:val="00715B8B"/>
    <w:rsid w:val="00775066"/>
    <w:rsid w:val="00775AC8"/>
    <w:rsid w:val="00782B1D"/>
    <w:rsid w:val="007A0DBB"/>
    <w:rsid w:val="00887A85"/>
    <w:rsid w:val="008D39EE"/>
    <w:rsid w:val="008F2E9C"/>
    <w:rsid w:val="00924494"/>
    <w:rsid w:val="00933556"/>
    <w:rsid w:val="009627A0"/>
    <w:rsid w:val="0097201D"/>
    <w:rsid w:val="009C1727"/>
    <w:rsid w:val="009E4808"/>
    <w:rsid w:val="00A23C49"/>
    <w:rsid w:val="00A56701"/>
    <w:rsid w:val="00A573F2"/>
    <w:rsid w:val="00AE6616"/>
    <w:rsid w:val="00AF415B"/>
    <w:rsid w:val="00B11A72"/>
    <w:rsid w:val="00B5434D"/>
    <w:rsid w:val="00B64E95"/>
    <w:rsid w:val="00B855BB"/>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4FB7"/>
    <w:rsid w:val="00E26075"/>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C409A"/>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46FD049"/>
  <w15:docId w15:val="{D5CCC20F-9F9A-0047-AB10-127DE630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 w:type="paragraph" w:styleId="NormalWeb">
    <w:name w:val="Normal (Web)"/>
    <w:basedOn w:val="Normal"/>
    <w:uiPriority w:val="99"/>
    <w:unhideWhenUsed/>
    <w:rsid w:val="00FC409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C4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nasjournals.com/index.php/FNAS-JSI/article/view/554"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8601</Words>
  <Characters>49986</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ahmedtemmy80@gmail.com</cp:lastModifiedBy>
  <cp:revision>2</cp:revision>
  <dcterms:created xsi:type="dcterms:W3CDTF">2025-08-04T15:58:00Z</dcterms:created>
  <dcterms:modified xsi:type="dcterms:W3CDTF">2025-08-04T15:58:00Z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