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A8408A" w:rsidRPr="00A8408A" w:rsidRDefault="00D46ACC" w:rsidP="00A8408A">
      <w:pPr>
        <w:spacing w:after="0" w:line="360" w:lineRule="auto"/>
        <w:ind w:firstLine="720"/>
        <w:jc w:val="center"/>
        <w:rPr>
          <w:b/>
          <w:bCs/>
          <w:sz w:val="32"/>
          <w:szCs w:val="32"/>
        </w:rPr>
      </w:pPr>
      <w:r>
        <w:rPr>
          <w:b/>
          <w:bCs/>
          <w:sz w:val="32"/>
          <w:szCs w:val="32"/>
        </w:rPr>
        <w:t>ABDULRAHMAN FATIMOH ASABI</w:t>
      </w:r>
    </w:p>
    <w:p w:rsidR="00FB06C9" w:rsidRDefault="00D46ACC" w:rsidP="00A8408A">
      <w:pPr>
        <w:spacing w:after="0" w:line="360" w:lineRule="auto"/>
        <w:ind w:firstLine="720"/>
        <w:jc w:val="center"/>
        <w:rPr>
          <w:b/>
          <w:bCs/>
          <w:sz w:val="32"/>
          <w:szCs w:val="32"/>
        </w:rPr>
      </w:pPr>
      <w:bookmarkStart w:id="0" w:name="_GoBack"/>
      <w:r>
        <w:rPr>
          <w:b/>
          <w:bCs/>
          <w:sz w:val="32"/>
          <w:szCs w:val="32"/>
        </w:rPr>
        <w:t>HND/23/SLT/FT/0995</w:t>
      </w:r>
    </w:p>
    <w:bookmarkEnd w:id="0"/>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Pr="00A8408A" w:rsidRDefault="00FB06C9" w:rsidP="00FB06C9">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8408A">
        <w:rPr>
          <w:rFonts w:ascii="-webkit-standard" w:eastAsia="-webkit-standard" w:hAnsi="-webkit-standard" w:cs="-webkit-standard"/>
          <w:b/>
          <w:color w:val="000000"/>
          <w:sz w:val="28"/>
          <w:szCs w:val="28"/>
        </w:rPr>
        <w:tab/>
      </w:r>
      <w:r w:rsidRPr="00A8408A">
        <w:rPr>
          <w:rFonts w:eastAsia="-webkit-standard" w:hAnsi="-webkit-standard" w:cs="-webkit-standard"/>
          <w:b/>
          <w:color w:val="000000"/>
          <w:sz w:val="28"/>
          <w:szCs w:val="28"/>
        </w:rPr>
        <w:t>JULY</w:t>
      </w:r>
      <w:r w:rsidRPr="00A8408A">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812919" w:rsidRDefault="00D46ACC" w:rsidP="00812919">
      <w:pPr>
        <w:spacing w:line="480" w:lineRule="auto"/>
        <w:ind w:left="10"/>
        <w:rPr>
          <w:b/>
          <w:szCs w:val="28"/>
        </w:rPr>
        <w:sectPr w:rsidR="00812919" w:rsidSect="00812919">
          <w:footerReference w:type="default" r:id="rId7"/>
          <w:pgSz w:w="11520" w:h="14400" w:code="1"/>
          <w:pgMar w:top="720" w:right="720" w:bottom="720" w:left="720" w:header="720" w:footer="720" w:gutter="0"/>
          <w:pgNumType w:fmt="lowerRoman" w:start="1"/>
          <w:cols w:space="720"/>
          <w:docGrid w:linePitch="360"/>
        </w:sectPr>
      </w:pPr>
      <w:r w:rsidRPr="00D46ACC">
        <w:rPr>
          <w:b/>
          <w:noProof/>
          <w:szCs w:val="28"/>
        </w:rPr>
        <w:lastRenderedPageBreak/>
        <w:drawing>
          <wp:inline distT="0" distB="0" distL="0" distR="0">
            <wp:extent cx="6400800" cy="9136090"/>
            <wp:effectExtent l="0" t="0" r="0" b="8255"/>
            <wp:docPr id="2" name="Picture 2" descr="C:\Users\BALOGUN JAMIU\Downloads\Abdulrah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bdulrahm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9136090"/>
                    </a:xfrm>
                    <a:prstGeom prst="rect">
                      <a:avLst/>
                    </a:prstGeom>
                    <a:noFill/>
                    <a:ln>
                      <a:noFill/>
                    </a:ln>
                  </pic:spPr>
                </pic:pic>
              </a:graphicData>
            </a:graphic>
          </wp:inline>
        </w:drawing>
      </w:r>
    </w:p>
    <w:p w:rsidR="00816257" w:rsidRPr="00FB06C9" w:rsidRDefault="00816257" w:rsidP="00812919">
      <w:pPr>
        <w:spacing w:after="160" w:line="259" w:lineRule="auto"/>
        <w:ind w:left="0" w:right="0" w:firstLine="0"/>
        <w:jc w:val="center"/>
        <w:rPr>
          <w:b/>
          <w:szCs w:val="28"/>
        </w:rPr>
      </w:pPr>
      <w:r w:rsidRPr="00FB06C9">
        <w:rPr>
          <w:b/>
          <w:szCs w:val="28"/>
        </w:rPr>
        <w:t>DEDICATION</w:t>
      </w:r>
    </w:p>
    <w:p w:rsidR="00816257" w:rsidRPr="00FB06C9" w:rsidRDefault="00D46ACC" w:rsidP="00FB06C9">
      <w:pPr>
        <w:spacing w:line="480" w:lineRule="auto"/>
        <w:ind w:left="10"/>
        <w:jc w:val="center"/>
        <w:rPr>
          <w:szCs w:val="28"/>
        </w:rPr>
      </w:pPr>
      <w:r w:rsidRPr="00D46ACC">
        <w:rPr>
          <w:szCs w:val="28"/>
        </w:rPr>
        <w:t>This project work is dedicated to family of Mr. And Mrs. Abdulrahman</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D46ACC" w:rsidRDefault="00D46ACC">
      <w:pPr>
        <w:spacing w:after="160" w:line="259" w:lineRule="auto"/>
        <w:ind w:left="0" w:right="0" w:firstLine="0"/>
        <w:jc w:val="left"/>
        <w:rPr>
          <w:b/>
          <w:szCs w:val="28"/>
        </w:rPr>
      </w:pPr>
      <w:r>
        <w:rPr>
          <w:b/>
          <w:szCs w:val="28"/>
        </w:rPr>
        <w:br w:type="page"/>
      </w:r>
    </w:p>
    <w:p w:rsidR="00816257" w:rsidRPr="00FB06C9" w:rsidRDefault="00816257" w:rsidP="00FB06C9">
      <w:pPr>
        <w:spacing w:line="480" w:lineRule="auto"/>
        <w:ind w:left="10"/>
        <w:jc w:val="center"/>
        <w:rPr>
          <w:b/>
          <w:szCs w:val="28"/>
        </w:rPr>
      </w:pPr>
      <w:r w:rsidRPr="00FB06C9">
        <w:rPr>
          <w:b/>
          <w:szCs w:val="28"/>
        </w:rPr>
        <w:t>ACKNOWLEDGEMENT</w:t>
      </w:r>
    </w:p>
    <w:p w:rsidR="00816257" w:rsidRPr="00FB06C9" w:rsidRDefault="00D46ACC" w:rsidP="00D46ACC">
      <w:pPr>
        <w:spacing w:line="360" w:lineRule="auto"/>
        <w:ind w:left="10"/>
        <w:rPr>
          <w:szCs w:val="28"/>
        </w:rPr>
      </w:pPr>
      <w:r w:rsidRPr="00D46ACC">
        <w:rPr>
          <w:szCs w:val="28"/>
        </w:rPr>
        <w:t>My gratitude goes to Almighty Allah, the highest, the omnipotent and the omniscience for his  guidelines, his grace and unending mercy that was evident in my life and for making me to  complete my HND program successfully. My profound gratitude goes to my project supervisor  Mrs. Yusuf RT for guiding and seeing me through the successful completion of my project. Her  action is worthy of emulation are highly appreciated may Almighty God continue to assist her and her source</w:t>
      </w:r>
      <w:r>
        <w:rPr>
          <w:szCs w:val="28"/>
        </w:rPr>
        <w:t xml:space="preserve"> of joy throughout her life. </w:t>
      </w:r>
      <w:r w:rsidRPr="00D46ACC">
        <w:rPr>
          <w:szCs w:val="28"/>
        </w:rPr>
        <w:t>Also, I sincerely appreciate the kindness of the head of our unit (HOU) Mr. Opeyemi A.A for  his brotherly support, I pray that may Almighty Allah increase your knowledge and bless your  family. I will be indebted and ungrateful if I refuse to appreciate the effort of my wonderful  mother late Mrs. Abdulrahman you show me way to success with your love, support words of  encouragement. May your gentle soul continue to rest in perfect peace and also, I won’t be  ungrateful to my beloved and wonderful father Mr. Abdulrahman for your  love,support,care,word of encouragement and most especially your prayers. I pray you live  long to eat the fruit of your labor in good health.</w:t>
      </w:r>
      <w:r>
        <w:rPr>
          <w:szCs w:val="28"/>
        </w:rPr>
        <w:t xml:space="preserve"> </w:t>
      </w:r>
      <w:r w:rsidRPr="00D46ACC">
        <w:rPr>
          <w:szCs w:val="28"/>
        </w:rPr>
        <w:t>My gratitude goes to my siblings, you are a great and wonderful sibling. for their endless care,  support both financially, physically I am indeed very grateful. May Almighty Allah bless you  all</w:t>
      </w:r>
      <w:r>
        <w:rPr>
          <w:szCs w:val="28"/>
        </w:rPr>
        <w:t xml:space="preserve"> and grant your secret prayers. </w:t>
      </w:r>
      <w:r w:rsidRPr="00D46ACC">
        <w:rPr>
          <w:szCs w:val="28"/>
        </w:rPr>
        <w:t>I won’t be ungrateful to those who stood by me throughout my HND emotionally, financially, physically. A special thanks to my coordinator and other lecturers and staffs in SLT  department.</w:t>
      </w:r>
    </w:p>
    <w:p w:rsidR="00816257" w:rsidRPr="00FB06C9" w:rsidRDefault="00816257" w:rsidP="0072434A">
      <w:pPr>
        <w:spacing w:after="0" w:line="240" w:lineRule="auto"/>
        <w:ind w:left="0" w:right="179" w:firstLine="0"/>
        <w:jc w:val="center"/>
        <w:rPr>
          <w:b/>
          <w:szCs w:val="28"/>
        </w:rPr>
      </w:pPr>
      <w:r w:rsidRPr="00FB06C9">
        <w:rPr>
          <w:b/>
          <w:szCs w:val="28"/>
        </w:rPr>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t>ABSTRACT</w:t>
      </w:r>
    </w:p>
    <w:p w:rsidR="00816257" w:rsidRPr="00FB06C9" w:rsidRDefault="00816257" w:rsidP="00FB06C9">
      <w:pPr>
        <w:spacing w:after="124" w:line="480" w:lineRule="auto"/>
        <w:ind w:left="0" w:right="179" w:firstLine="0"/>
        <w:rPr>
          <w:b/>
          <w:szCs w:val="28"/>
        </w:rPr>
      </w:pPr>
      <w:r w:rsidRPr="00FB06C9">
        <w:rPr>
          <w:i/>
          <w:szCs w:val="28"/>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812919">
          <w:pgSz w:w="11520" w:h="14400" w:code="1"/>
          <w:pgMar w:top="1440" w:right="1440" w:bottom="1440" w:left="1440" w:header="720" w:footer="720" w:gutter="0"/>
          <w:pgNumType w:fmt="lowerRoman"/>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2C8" w:rsidRDefault="002E62C8">
      <w:pPr>
        <w:spacing w:after="0" w:line="240" w:lineRule="auto"/>
      </w:pPr>
      <w:r>
        <w:separator/>
      </w:r>
    </w:p>
  </w:endnote>
  <w:endnote w:type="continuationSeparator" w:id="0">
    <w:p w:rsidR="002E62C8" w:rsidRDefault="002E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FB06C9" w:rsidRDefault="00FB06C9">
        <w:pPr>
          <w:pStyle w:val="Footer"/>
          <w:jc w:val="center"/>
        </w:pPr>
        <w:r>
          <w:fldChar w:fldCharType="begin"/>
        </w:r>
        <w:r>
          <w:instrText xml:space="preserve"> PAGE   \* MERGEFORMAT </w:instrText>
        </w:r>
        <w:r>
          <w:fldChar w:fldCharType="separate"/>
        </w:r>
        <w:r w:rsidR="002E62C8">
          <w:rPr>
            <w:noProof/>
          </w:rPr>
          <w:t>i</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2C8" w:rsidRDefault="002E62C8">
      <w:pPr>
        <w:spacing w:after="0" w:line="240" w:lineRule="auto"/>
      </w:pPr>
      <w:r>
        <w:separator/>
      </w:r>
    </w:p>
  </w:footnote>
  <w:footnote w:type="continuationSeparator" w:id="0">
    <w:p w:rsidR="002E62C8" w:rsidRDefault="002E6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62FA0"/>
    <w:rsid w:val="000D1707"/>
    <w:rsid w:val="001050EE"/>
    <w:rsid w:val="00115F9D"/>
    <w:rsid w:val="002A1D08"/>
    <w:rsid w:val="002E62C8"/>
    <w:rsid w:val="0049031A"/>
    <w:rsid w:val="00675A3F"/>
    <w:rsid w:val="0072434A"/>
    <w:rsid w:val="00787208"/>
    <w:rsid w:val="007F45BE"/>
    <w:rsid w:val="00812919"/>
    <w:rsid w:val="00816257"/>
    <w:rsid w:val="008B4FBC"/>
    <w:rsid w:val="009C0EAE"/>
    <w:rsid w:val="00A61D48"/>
    <w:rsid w:val="00A8408A"/>
    <w:rsid w:val="00AC4050"/>
    <w:rsid w:val="00B326D3"/>
    <w:rsid w:val="00C9758C"/>
    <w:rsid w:val="00D04194"/>
    <w:rsid w:val="00D46ACC"/>
    <w:rsid w:val="00E812A1"/>
    <w:rsid w:val="00EB28C3"/>
    <w:rsid w:val="00F443BF"/>
    <w:rsid w:val="00FB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9639</Words>
  <Characters>54946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2</cp:revision>
  <dcterms:created xsi:type="dcterms:W3CDTF">2025-08-04T15:05:00Z</dcterms:created>
  <dcterms:modified xsi:type="dcterms:W3CDTF">2025-08-04T15:05:00Z</dcterms:modified>
</cp:coreProperties>
</file>