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7DDF1598">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p>
    <w:p w14:paraId="3F00FABB" w14:textId="52A32EB9" w:rsidR="003A0226" w:rsidRPr="006B144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16C9CC1" w14:textId="1EF2B5AA" w:rsidR="00F3209F" w:rsidRPr="00627534" w:rsidRDefault="00D0520A" w:rsidP="003A0226">
      <w:pPr>
        <w:spacing w:line="240" w:lineRule="auto"/>
        <w:jc w:val="center"/>
        <w:rPr>
          <w:rFonts w:ascii="Cambria" w:hAnsi="Cambria" w:cs="Times New Roman"/>
          <w:b/>
          <w:bCs/>
          <w:sz w:val="36"/>
          <w:szCs w:val="32"/>
        </w:rPr>
      </w:pPr>
      <w:r w:rsidRPr="00627534">
        <w:rPr>
          <w:rFonts w:ascii="Cambria" w:hAnsi="Cambria" w:cs="Times New Roman"/>
          <w:b/>
          <w:bCs/>
          <w:sz w:val="36"/>
          <w:szCs w:val="32"/>
        </w:rPr>
        <w:t xml:space="preserve">OYINLOYE </w:t>
      </w:r>
      <w:r w:rsidR="00F3209F" w:rsidRPr="00627534">
        <w:rPr>
          <w:rFonts w:ascii="Cambria" w:hAnsi="Cambria" w:cs="Times New Roman"/>
          <w:b/>
          <w:bCs/>
          <w:sz w:val="36"/>
          <w:szCs w:val="32"/>
        </w:rPr>
        <w:t>ABDULQUDUS ADEKUNLE</w:t>
      </w:r>
    </w:p>
    <w:p w14:paraId="0BA38F16" w14:textId="55E42BD3" w:rsidR="00A20D97" w:rsidRPr="00627534" w:rsidRDefault="00A20D97" w:rsidP="003A0226">
      <w:pPr>
        <w:spacing w:line="240" w:lineRule="auto"/>
        <w:jc w:val="center"/>
        <w:rPr>
          <w:rFonts w:ascii="Times New Roman" w:hAnsi="Times New Roman" w:cs="Times New Roman"/>
          <w:b/>
          <w:bCs/>
          <w:sz w:val="28"/>
          <w:szCs w:val="28"/>
        </w:rPr>
      </w:pPr>
      <w:r w:rsidRPr="00627534">
        <w:rPr>
          <w:rFonts w:ascii="Cambria" w:hAnsi="Cambria" w:cs="Times New Roman"/>
          <w:b/>
          <w:bCs/>
          <w:sz w:val="32"/>
          <w:szCs w:val="28"/>
        </w:rPr>
        <w:t>HND/23/SLT/FT/</w:t>
      </w:r>
      <w:r w:rsidR="008612F9" w:rsidRPr="00627534">
        <w:rPr>
          <w:rFonts w:ascii="Cambria" w:hAnsi="Cambria" w:cs="Times New Roman"/>
          <w:b/>
          <w:bCs/>
          <w:sz w:val="32"/>
          <w:szCs w:val="28"/>
        </w:rPr>
        <w:t>0150</w:t>
      </w: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372A6EF0" w14:textId="77777777" w:rsidR="000B02F4" w:rsidRDefault="000B02F4" w:rsidP="003A0226">
      <w:pPr>
        <w:spacing w:line="360" w:lineRule="auto"/>
        <w:jc w:val="center"/>
        <w:rPr>
          <w:rFonts w:ascii="Times New Roman" w:hAnsi="Times New Roman" w:cs="Times New Roman"/>
          <w:b/>
          <w:bCs/>
          <w:sz w:val="24"/>
          <w:szCs w:val="24"/>
        </w:rPr>
      </w:pPr>
      <w:r>
        <w:rPr>
          <w:noProof/>
        </w:rPr>
        <w:lastRenderedPageBreak/>
        <w:drawing>
          <wp:inline distT="0" distB="0" distL="0" distR="0" wp14:anchorId="7B9816C3" wp14:editId="022E2AA1">
            <wp:extent cx="5772150" cy="819121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965"/>
                    <a:stretch/>
                  </pic:blipFill>
                  <pic:spPr bwMode="auto">
                    <a:xfrm>
                      <a:off x="0" y="0"/>
                      <a:ext cx="5776142" cy="8196877"/>
                    </a:xfrm>
                    <a:prstGeom prst="rect">
                      <a:avLst/>
                    </a:prstGeom>
                    <a:noFill/>
                    <a:ln>
                      <a:noFill/>
                    </a:ln>
                    <a:extLst>
                      <a:ext uri="{53640926-AAD7-44D8-BBD7-CCE9431645EC}">
                        <a14:shadowObscured xmlns:a14="http://schemas.microsoft.com/office/drawing/2010/main"/>
                      </a:ext>
                    </a:extLst>
                  </pic:spPr>
                </pic:pic>
              </a:graphicData>
            </a:graphic>
          </wp:inline>
        </w:drawing>
      </w:r>
    </w:p>
    <w:p w14:paraId="436830FB" w14:textId="4A8B88CB" w:rsidR="003A0226" w:rsidRDefault="003A0226" w:rsidP="003A0226">
      <w:pPr>
        <w:spacing w:line="240" w:lineRule="auto"/>
        <w:jc w:val="center"/>
        <w:rPr>
          <w:rFonts w:ascii="Times New Roman" w:hAnsi="Times New Roman" w:cs="Times New Roman"/>
          <w:b/>
          <w:bCs/>
          <w:sz w:val="24"/>
          <w:szCs w:val="24"/>
        </w:rPr>
      </w:pPr>
      <w:bookmarkStart w:id="1" w:name="_GoBack"/>
      <w:bookmarkEnd w:id="1"/>
      <w:r w:rsidRPr="007E2E2B">
        <w:rPr>
          <w:rFonts w:ascii="Times New Roman" w:hAnsi="Times New Roman" w:cs="Times New Roman"/>
          <w:b/>
          <w:bCs/>
          <w:sz w:val="24"/>
          <w:szCs w:val="24"/>
        </w:rPr>
        <w:lastRenderedPageBreak/>
        <w:t>DEDICATION</w:t>
      </w:r>
    </w:p>
    <w:p w14:paraId="211CD06F" w14:textId="1A5F3F11" w:rsidR="003A0226" w:rsidRDefault="00626B64"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3A0226">
        <w:rPr>
          <w:rFonts w:ascii="Times New Roman" w:hAnsi="Times New Roman" w:cs="Times New Roman"/>
          <w:sz w:val="24"/>
          <w:szCs w:val="24"/>
        </w:rPr>
        <w:t xml:space="preserve"> research</w:t>
      </w:r>
      <w:r w:rsidR="00FB4EC7">
        <w:rPr>
          <w:rFonts w:ascii="Times New Roman" w:hAnsi="Times New Roman" w:cs="Times New Roman"/>
          <w:sz w:val="24"/>
          <w:szCs w:val="24"/>
        </w:rPr>
        <w:t xml:space="preserve"> is dedicated</w:t>
      </w:r>
      <w:r w:rsidR="003A0226">
        <w:rPr>
          <w:rFonts w:ascii="Times New Roman" w:hAnsi="Times New Roman" w:cs="Times New Roman"/>
          <w:sz w:val="24"/>
          <w:szCs w:val="24"/>
        </w:rPr>
        <w:t xml:space="preserve"> work to Almighty God for his grace and guidance, </w:t>
      </w:r>
      <w:r w:rsidR="00B306DE">
        <w:rPr>
          <w:rFonts w:ascii="Times New Roman" w:hAnsi="Times New Roman" w:cs="Times New Roman"/>
          <w:sz w:val="24"/>
          <w:szCs w:val="24"/>
        </w:rPr>
        <w:t>and also to my beloved parent, Mr. and Mrs. OYINLOYE.</w:t>
      </w: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11752DE6" w:rsidR="003A0226" w:rsidRDefault="00F75C93"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sidRPr="00951707">
        <w:rPr>
          <w:rFonts w:ascii="Times New Roman" w:hAnsi="Times New Roman" w:cs="Times New Roman"/>
          <w:sz w:val="24"/>
          <w:szCs w:val="24"/>
        </w:rPr>
        <w:t xml:space="preserve"> sincere</w:t>
      </w:r>
      <w:r w:rsidR="003A0226">
        <w:rPr>
          <w:rFonts w:ascii="Times New Roman" w:hAnsi="Times New Roman" w:cs="Times New Roman"/>
          <w:sz w:val="24"/>
          <w:szCs w:val="24"/>
        </w:rPr>
        <w:t xml:space="preserve"> gratitude goes to Almighty God for the privilege given to </w:t>
      </w:r>
      <w:r w:rsidR="00DD2DF3">
        <w:rPr>
          <w:rFonts w:ascii="Times New Roman" w:hAnsi="Times New Roman" w:cs="Times New Roman"/>
          <w:sz w:val="24"/>
          <w:szCs w:val="24"/>
        </w:rPr>
        <w:t>me</w:t>
      </w:r>
      <w:r w:rsidR="003A0226">
        <w:rPr>
          <w:rFonts w:ascii="Times New Roman" w:hAnsi="Times New Roman" w:cs="Times New Roman"/>
          <w:sz w:val="24"/>
          <w:szCs w:val="24"/>
        </w:rPr>
        <w:t xml:space="preserve"> to complete this project work; He has been helping us from the beginning till the end of our program.</w:t>
      </w:r>
    </w:p>
    <w:p w14:paraId="4A86FDB3" w14:textId="1E803895" w:rsidR="003A0226" w:rsidRDefault="00C43092"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37BFA694" w14:textId="2610237B" w:rsidR="003A0226" w:rsidRDefault="007D6127"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upmost and sincere appreciation goes to </w:t>
      </w:r>
      <w:r>
        <w:rPr>
          <w:rFonts w:ascii="Times New Roman" w:hAnsi="Times New Roman" w:cs="Times New Roman"/>
          <w:sz w:val="24"/>
          <w:szCs w:val="24"/>
        </w:rPr>
        <w:t xml:space="preserve">my </w:t>
      </w:r>
      <w:r w:rsidR="003A0226">
        <w:rPr>
          <w:rFonts w:ascii="Times New Roman" w:hAnsi="Times New Roman" w:cs="Times New Roman"/>
          <w:sz w:val="24"/>
          <w:szCs w:val="24"/>
        </w:rPr>
        <w:t>beloved parents</w:t>
      </w:r>
      <w:r>
        <w:rPr>
          <w:rFonts w:ascii="Times New Roman" w:hAnsi="Times New Roman" w:cs="Times New Roman"/>
          <w:sz w:val="24"/>
          <w:szCs w:val="24"/>
        </w:rPr>
        <w:t xml:space="preserve"> Mr.</w:t>
      </w:r>
      <w:r w:rsidR="00A23C23">
        <w:rPr>
          <w:rFonts w:ascii="Times New Roman" w:hAnsi="Times New Roman" w:cs="Times New Roman"/>
          <w:sz w:val="24"/>
          <w:szCs w:val="24"/>
        </w:rPr>
        <w:t xml:space="preserve"> and Mrs. </w:t>
      </w:r>
      <w:r w:rsidR="006A0099">
        <w:rPr>
          <w:rFonts w:ascii="Times New Roman" w:hAnsi="Times New Roman" w:cs="Times New Roman"/>
          <w:sz w:val="24"/>
          <w:szCs w:val="24"/>
        </w:rPr>
        <w:t>Oyinloye</w:t>
      </w:r>
      <w:r w:rsidR="003A0226">
        <w:rPr>
          <w:rFonts w:ascii="Times New Roman" w:hAnsi="Times New Roman" w:cs="Times New Roman"/>
          <w:sz w:val="24"/>
          <w:szCs w:val="24"/>
        </w:rPr>
        <w:t xml:space="preserve"> for being </w:t>
      </w:r>
      <w:r w:rsidR="009E61FE">
        <w:rPr>
          <w:rFonts w:ascii="Times New Roman" w:hAnsi="Times New Roman" w:cs="Times New Roman"/>
          <w:sz w:val="24"/>
          <w:szCs w:val="24"/>
        </w:rPr>
        <w:t>my</w:t>
      </w:r>
      <w:r w:rsidR="003A0226">
        <w:rPr>
          <w:rFonts w:ascii="Times New Roman" w:hAnsi="Times New Roman" w:cs="Times New Roman"/>
          <w:sz w:val="24"/>
          <w:szCs w:val="24"/>
        </w:rPr>
        <w:t xml:space="preserve"> backbone and supporters, without them, </w:t>
      </w:r>
      <w:r w:rsidR="00F026B5">
        <w:rPr>
          <w:rFonts w:ascii="Times New Roman" w:hAnsi="Times New Roman" w:cs="Times New Roman"/>
          <w:sz w:val="24"/>
          <w:szCs w:val="24"/>
        </w:rPr>
        <w:t>i</w:t>
      </w:r>
      <w:r w:rsidR="003A0226">
        <w:rPr>
          <w:rFonts w:ascii="Times New Roman" w:hAnsi="Times New Roman" w:cs="Times New Roman"/>
          <w:sz w:val="24"/>
          <w:szCs w:val="24"/>
        </w:rPr>
        <w:t xml:space="preserve"> have no power to be where </w:t>
      </w:r>
      <w:r w:rsidR="00F026B5">
        <w:rPr>
          <w:rFonts w:ascii="Times New Roman" w:hAnsi="Times New Roman" w:cs="Times New Roman"/>
          <w:sz w:val="24"/>
          <w:szCs w:val="24"/>
        </w:rPr>
        <w:t>I am</w:t>
      </w:r>
      <w:r w:rsidR="003A0226">
        <w:rPr>
          <w:rFonts w:ascii="Times New Roman" w:hAnsi="Times New Roman" w:cs="Times New Roman"/>
          <w:sz w:val="24"/>
          <w:szCs w:val="24"/>
        </w:rPr>
        <w:t xml:space="preserve"> are today. </w:t>
      </w:r>
      <w:r w:rsidR="00760D13">
        <w:rPr>
          <w:rFonts w:ascii="Times New Roman" w:hAnsi="Times New Roman" w:cs="Times New Roman"/>
          <w:sz w:val="24"/>
          <w:szCs w:val="24"/>
        </w:rPr>
        <w:t>I</w:t>
      </w:r>
      <w:r w:rsidR="003A0226">
        <w:rPr>
          <w:rFonts w:ascii="Times New Roman" w:hAnsi="Times New Roman" w:cs="Times New Roman"/>
          <w:sz w:val="24"/>
          <w:szCs w:val="24"/>
        </w:rPr>
        <w:t xml:space="preserve"> thank them for their support financially, morally, and spiritually, and for always encouraging </w:t>
      </w:r>
      <w:r w:rsidR="00760D13">
        <w:rPr>
          <w:rFonts w:ascii="Times New Roman" w:hAnsi="Times New Roman" w:cs="Times New Roman"/>
          <w:sz w:val="24"/>
          <w:szCs w:val="24"/>
        </w:rPr>
        <w:t>me</w:t>
      </w:r>
      <w:r w:rsidR="003A0226">
        <w:rPr>
          <w:rFonts w:ascii="Times New Roman" w:hAnsi="Times New Roman" w:cs="Times New Roman"/>
          <w:sz w:val="24"/>
          <w:szCs w:val="24"/>
        </w:rPr>
        <w:t xml:space="preserve"> to be of our best behavior. May God in his absolute mercy enrich their course and grant them long life and prosperity to reap the fruit of their labor.</w:t>
      </w:r>
      <w:r w:rsidR="006F69ED">
        <w:rPr>
          <w:rFonts w:ascii="Times New Roman" w:hAnsi="Times New Roman" w:cs="Times New Roman"/>
          <w:sz w:val="24"/>
          <w:szCs w:val="24"/>
        </w:rPr>
        <w:t xml:space="preserve"> And to my siblings, I love you all.</w:t>
      </w:r>
    </w:p>
    <w:p w14:paraId="4E663A7B" w14:textId="512BEA20" w:rsidR="003A0226" w:rsidRPr="00951707" w:rsidRDefault="006F2E44"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special appreciation goes to the Head of Department of S.L.T</w:t>
      </w:r>
      <w:r w:rsidR="00791BE2">
        <w:rPr>
          <w:rFonts w:ascii="Times New Roman" w:hAnsi="Times New Roman" w:cs="Times New Roman"/>
          <w:sz w:val="24"/>
          <w:szCs w:val="24"/>
        </w:rPr>
        <w:t xml:space="preserve"> in person of Dr. Usman </w:t>
      </w:r>
      <w:r w:rsidR="00112585">
        <w:rPr>
          <w:rFonts w:ascii="Times New Roman" w:hAnsi="Times New Roman" w:cs="Times New Roman"/>
          <w:sz w:val="24"/>
          <w:szCs w:val="24"/>
        </w:rPr>
        <w:t>Abdulkareem</w:t>
      </w:r>
      <w:r w:rsidR="003A0226">
        <w:rPr>
          <w:rFonts w:ascii="Times New Roman" w:hAnsi="Times New Roman" w:cs="Times New Roman"/>
          <w:sz w:val="24"/>
          <w:szCs w:val="24"/>
        </w:rPr>
        <w:t>, Head of Biochemistry Unit</w:t>
      </w:r>
      <w:r w:rsidR="00731490">
        <w:rPr>
          <w:rFonts w:ascii="Times New Roman" w:hAnsi="Times New Roman" w:cs="Times New Roman"/>
          <w:sz w:val="24"/>
          <w:szCs w:val="24"/>
        </w:rPr>
        <w:t xml:space="preserve"> in person of Mrs. K. A. Salaudeen</w:t>
      </w:r>
      <w:r w:rsidR="003A0226">
        <w:rPr>
          <w:rFonts w:ascii="Times New Roman" w:hAnsi="Times New Roman" w:cs="Times New Roman"/>
          <w:sz w:val="24"/>
          <w:szCs w:val="24"/>
        </w:rPr>
        <w:t xml:space="preserve"> and all our lectures for their kind gesture and academical support. May God Almighty continue to bless you all.  </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2.1 Taxonomical Classification of Irvingia gabonensis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 Physicochemical Properties of Irvingia gabonensis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2.4.6 Antinutritional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(2,2-Diphenyl-1-picrylhydrazyl)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t>Antinutritional</w:t>
      </w:r>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 xml:space="preserve">(determination of </w:t>
      </w:r>
      <w:r>
        <w:rPr>
          <w:rFonts w:ascii="Times New Roman" w:eastAsia="Times New Roman" w:hAnsi="Times New Roman" w:cs="Times New Roman"/>
          <w:sz w:val="24"/>
          <w:szCs w:val="24"/>
        </w:rPr>
        <w:t>arotenoids)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Antioxidant and Antinutritional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Above standard or Deviant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This study investigates the physicochemical and biochemical properties of Irvingia gabonensis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meq/kg),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The findings position Irvingia gabonensis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9"/>
          <w:footerReference w:type="default" r:id="rId10"/>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is a member of the Irvingiaceae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(Ndjouenkeu et al., 1996; Ekpa &amp; Ekpe, 1995). The oil is semi-solid at room temperature, akin to cocoa butter, and is characterized by a high content of saturated and monounsaturated fatty acids, which influence its stability and functionality (Akinoso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(Uhegbu et al., 2009; Egbekun &amp; Ngoddy,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(Ekpa &amp; Ekpe,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(Akinoso et al., 2011; Ndjouenkeu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(Uhegbu et al., 2009; Egbekun &amp; Ngoddy,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r w:rsidRPr="004F6935">
        <w:rPr>
          <w:rStyle w:val="Emphasis"/>
        </w:rPr>
        <w:t>Irvingia gabonensis</w:t>
      </w:r>
      <w:r w:rsidRPr="004F6935">
        <w:t xml:space="preserve"> (dika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r w:rsidRPr="004F6935">
        <w:rPr>
          <w:rStyle w:val="Emphasis"/>
        </w:rPr>
        <w:t>Irvingia gabonensis</w:t>
      </w:r>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commonly known as African bush mango, dika nut, or wild mango, is a tropical forest tree native to West and Central Africa. It belongs to the family Irvingiaceae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r w:rsidRPr="004F6935">
        <w:rPr>
          <w:rFonts w:ascii="Times New Roman" w:eastAsia="Times New Roman" w:hAnsi="Times New Roman" w:cs="Times New Roman"/>
          <w:i/>
          <w:iCs/>
          <w:sz w:val="24"/>
          <w:szCs w:val="24"/>
        </w:rPr>
        <w:t>ogbono</w:t>
      </w:r>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Uhegbu et al. (2009) and Ngondi et al. (2005) demonstrated that extracts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r w:rsidRPr="004F6935">
        <w:rPr>
          <w:rFonts w:ascii="Times New Roman" w:eastAsia="Times New Roman" w:hAnsi="Times New Roman" w:cs="Times New Roman"/>
          <w:i/>
          <w:iCs/>
          <w:sz w:val="24"/>
          <w:szCs w:val="24"/>
        </w:rPr>
        <w:t>Irvingia</w:t>
      </w:r>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Magnoliophyta</w:t>
      </w:r>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Malpighiales</w:t>
      </w:r>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Irvingiaceae</w:t>
      </w:r>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r w:rsidRPr="004F6935">
        <w:rPr>
          <w:rStyle w:val="Emphasis"/>
        </w:rPr>
        <w:t>Irvingia</w:t>
      </w:r>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r w:rsidRPr="004F6935">
        <w:rPr>
          <w:rStyle w:val="Emphasis"/>
        </w:rPr>
        <w:t>Irvingia gabonensis</w:t>
      </w:r>
      <w:r w:rsidRPr="004F6935">
        <w:t xml:space="preserve"> (Aubry-Lecomte ex O’Rorke) Baill.</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r w:rsidRPr="004F6935">
        <w:rPr>
          <w:rStyle w:val="Emphasis"/>
          <w:rFonts w:ascii="Times New Roman" w:hAnsi="Times New Roman" w:cs="Times New Roman"/>
          <w:sz w:val="24"/>
          <w:szCs w:val="24"/>
        </w:rPr>
        <w:t>Irvingia gabonensis</w:t>
      </w:r>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r w:rsidRPr="004F6935">
        <w:rPr>
          <w:rStyle w:val="Emphasis"/>
        </w:rPr>
        <w:t>Irvingia gabonensis</w:t>
      </w:r>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r w:rsidRPr="004F6935">
        <w:rPr>
          <w:rStyle w:val="Emphasis"/>
          <w:color w:val="000000" w:themeColor="text1"/>
        </w:rPr>
        <w:t>Irvingia gabonensis</w:t>
      </w:r>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r w:rsidRPr="004F6935">
        <w:rPr>
          <w:rStyle w:val="Emphasis"/>
          <w:color w:val="000000" w:themeColor="text1"/>
        </w:rPr>
        <w:t>Irvingia gabonensis</w:t>
      </w:r>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r w:rsidRPr="004F6935">
        <w:rPr>
          <w:rStyle w:val="Emphasis"/>
        </w:rPr>
        <w:t>Irvingia gabonensis</w:t>
      </w:r>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r w:rsidRPr="004F6935">
        <w:rPr>
          <w:rFonts w:ascii="Times New Roman" w:hAnsi="Times New Roman" w:cs="Times New Roman"/>
          <w:i/>
          <w:iCs/>
          <w:color w:val="000000" w:themeColor="text1"/>
          <w:sz w:val="24"/>
          <w:szCs w:val="24"/>
        </w:rPr>
        <w:t xml:space="preserve">Irvingia gabonensis </w:t>
      </w:r>
      <w:r w:rsidRPr="004F6935">
        <w:rPr>
          <w:rFonts w:ascii="Times New Roman" w:hAnsi="Times New Roman" w:cs="Times New Roman"/>
          <w:color w:val="000000" w:themeColor="text1"/>
          <w:sz w:val="24"/>
          <w:szCs w:val="24"/>
        </w:rPr>
        <w:t>purchased from Oja-Oba market in Ilorin-West L.G.A, Ilorin, Kwara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seed coats were peeled, then the Dika kernel also known as Ogbono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r w:rsidRPr="004F6935">
        <w:rPr>
          <w:rStyle w:val="Emphasis"/>
        </w:rPr>
        <w:t>Irvingia gabonensis</w:t>
      </w:r>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The reagents employed in this experiment were Ethanol, Ethanol:Ether (1:1), N-Hexane:Acetone (1:1), Phenolphthalein, 0.1M NaOH, Chloroform, Wij’s solution, 5% KI, starch solution, Ethanolic KOH (Potassium Hydroxide), 0.5M H₂SO₄ (Sulphuric Acid), 0.1M Oxalic Acid, 0.02M KMnO₄ (Potassium Permanganate), Methanol, DPPH solution, Ascorbic acid, Folin-Ciocalteu Reagent (FCR), 7% Na₂CO₃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Ethanol:Ether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0.1M NaoH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NaOH,</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NaOH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NaOH (40 g/mol),</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r w:rsidRPr="004F6935">
        <w:br/>
      </w:r>
      <w:r w:rsidRPr="004F6935">
        <w:rPr>
          <w:rStyle w:val="Strong"/>
        </w:rPr>
        <w:t>% FFA = (Acid value × MW of oleic acid) / (10 × MW of NaOH)</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Wij’s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Thiosulphate)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thiosulphate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thiosulphate,</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30ml of NaoH:Chloroform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Na₂S₂O₃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thiosulphate,</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25ml of Ethanolic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NaOH,</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This value represents the total amount of base required to saponify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 xml:space="preserve">2,2-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standard solution of abscorbic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Folin-Ciocalteu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r w:rsidR="00A3644C" w:rsidRPr="004F6935">
        <w:rPr>
          <w:rFonts w:ascii="Times New Roman" w:hAnsi="Times New Roman" w:cs="Times New Roman"/>
          <w:color w:val="000000" w:themeColor="text1"/>
          <w:sz w:val="24"/>
          <w:szCs w:val="24"/>
        </w:rPr>
        <w:t xml:space="preserve">Folin-Ciocalteu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oil extract was mixed with 12.5ml of N- Hexane:Acetone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 blank solution containing 12.5ml of N- Hexane:Acetone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r w:rsidRPr="004F6935">
        <w:rPr>
          <w:rFonts w:ascii="Times New Roman" w:hAnsi="Times New Roman" w:cs="Times New Roman"/>
          <w:i/>
          <w:iCs/>
          <w:color w:val="000000" w:themeColor="text1"/>
          <w:sz w:val="24"/>
          <w:szCs w:val="24"/>
        </w:rPr>
        <w:t>Irvingia gabonensis</w:t>
      </w:r>
      <w:r w:rsidRPr="004F6935">
        <w:rPr>
          <w:rFonts w:ascii="Times New Roman" w:hAnsi="Times New Roman" w:cs="Times New Roman"/>
          <w:color w:val="000000" w:themeColor="text1"/>
          <w:sz w:val="24"/>
          <w:szCs w:val="24"/>
        </w:rPr>
        <w:t xml:space="preserve"> oil extract A and Table 3 shows the physicochemical properties of </w:t>
      </w:r>
      <w:r w:rsidRPr="004F6935">
        <w:rPr>
          <w:rFonts w:ascii="Times New Roman" w:hAnsi="Times New Roman" w:cs="Times New Roman"/>
          <w:i/>
          <w:iCs/>
          <w:color w:val="000000" w:themeColor="text1"/>
          <w:sz w:val="24"/>
          <w:szCs w:val="24"/>
        </w:rPr>
        <w:t>Irvingia gabonensis</w:t>
      </w:r>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17.02mg/NaoH/gOil</w:t>
            </w:r>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84.02mg/NaoH/gOil</w:t>
            </w:r>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mgNaoH/gOil</w:t>
            </w:r>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16.00mg/NaoH/gOil</w:t>
            </w:r>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48.01mg/NaoH/gOil</w:t>
            </w:r>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66.02mgNaoH/gOil</w:t>
            </w:r>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meq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DPPH assay results for Irvingia gabonensis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meq/kg for extract A and 36.00 meq/kg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Total Phenolic Content (TPC) of 59.21 mg GAE/g (gallic acid equivalents per gram) indicates a moderate phenolic presence, contributing to the oil’s antioxidant potential. This value, determined using the Folin-Ciocalteu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meq/kg.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mg/NaOH/gOil</w:t>
      </w:r>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.4g/mol</w:t>
      </w:r>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mgNaOH/gOil</w:t>
      </w:r>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mgNaOH/gOil</w:t>
      </w:r>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thiosulphate</w:t>
      </w:r>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mg/NaOH/gOil</w:t>
      </w:r>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.4g/mol</w:t>
      </w:r>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mgNaOH/gOil</w:t>
      </w:r>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mgNaOH/gOil</w:t>
      </w:r>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Molarity of thiosulphate</w:t>
      </w:r>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w:t>
      </w:r>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Ab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Ab –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Ab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Ab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r w:rsidRPr="000737B9">
        <w:t xml:space="preserve">Akinoso,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1"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dikanut (irvingia gabonensis)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r w:rsidRPr="000737B9">
        <w:t xml:space="preserve">Ekpa, O. D., &amp; Ekpe, U. J. (1995). </w:t>
      </w:r>
      <w:r w:rsidRPr="000737B9">
        <w:rPr>
          <w:i/>
          <w:iCs/>
        </w:rPr>
        <w:t xml:space="preserve">The effects of refining on the physicochemical properties of dika nut </w:t>
      </w:r>
      <w:r w:rsidRPr="000737B9">
        <w:t>(</w:t>
      </w:r>
      <w:r w:rsidRPr="000737B9">
        <w:rPr>
          <w:rStyle w:val="Emphasis"/>
        </w:rPr>
        <w:t>Irvingia gabonensis</w:t>
      </w:r>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Ejiofor, M. A. N., Onwubuke,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r w:rsidRPr="000737B9">
        <w:rPr>
          <w:rStyle w:val="Emphasis"/>
        </w:rPr>
        <w:t>Irvingia gabonensis</w:t>
      </w:r>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2"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3"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4"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Irvingia gabonensis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5"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Tchoundjeu, Z., Schreckenberg,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6" w:tgtFrame="_blank" w:history="1">
        <w:r w:rsidRPr="000737B9">
          <w:rPr>
            <w:rFonts w:ascii="Times New Roman" w:eastAsia="Times New Roman" w:hAnsi="Times New Roman" w:cs="Times New Roman"/>
            <w:color w:val="0000FF"/>
            <w:sz w:val="24"/>
            <w:szCs w:val="24"/>
            <w:u w:val="single"/>
          </w:rPr>
          <w:t>ajol.i</w:t>
        </w:r>
        <w:r w:rsidR="000B2896" w:rsidRPr="000737B9">
          <w:rPr>
            <w:rFonts w:ascii="Times New Roman" w:eastAsia="Times New Roman" w:hAnsi="Times New Roman" w:cs="Times New Roman"/>
            <w:color w:val="0000FF"/>
            <w:sz w:val="24"/>
            <w:szCs w:val="24"/>
            <w:u w:val="single"/>
          </w:rPr>
          <w:t xml:space="preserve">-+ </w:t>
        </w:r>
        <w:r w:rsidRPr="000737B9">
          <w:rPr>
            <w:rFonts w:ascii="Times New Roman" w:eastAsia="Times New Roman" w:hAnsi="Times New Roman" w:cs="Times New Roman"/>
            <w:color w:val="0000FF"/>
            <w:sz w:val="24"/>
            <w:szCs w:val="24"/>
            <w:u w:val="single"/>
          </w:rPr>
          <w:t>nfo</w:t>
        </w:r>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r w:rsidRPr="000737B9">
        <w:rPr>
          <w:rStyle w:val="Emphasis"/>
          <w:i w:val="0"/>
          <w:iCs w:val="0"/>
        </w:rPr>
        <w:t>Irvingia gabonensis</w:t>
      </w:r>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7" w:tgtFrame="_blank" w:history="1">
        <w:r w:rsidRPr="000737B9">
          <w:rPr>
            <w:rFonts w:ascii="Times New Roman" w:eastAsia="Times New Roman" w:hAnsi="Times New Roman" w:cs="Times New Roman"/>
            <w:color w:val="0000FF"/>
            <w:sz w:val="24"/>
            <w:szCs w:val="24"/>
            <w:u w:val="single"/>
          </w:rPr>
          <w:t>bio-research.com.ng</w:t>
        </w:r>
      </w:hyperlink>
    </w:p>
    <w:p w14:paraId="19FD2FF1" w14:textId="77777777" w:rsidR="00733E27" w:rsidRPr="000737B9" w:rsidRDefault="00733E27" w:rsidP="000B2896">
      <w:pPr>
        <w:pStyle w:val="NormalWeb"/>
        <w:spacing w:line="360" w:lineRule="auto"/>
        <w:ind w:left="720" w:hanging="720"/>
        <w:jc w:val="both"/>
      </w:pPr>
      <w:r w:rsidRPr="000737B9">
        <w:t xml:space="preserve">Ndjouenkeu, R., Goycoolea, F. M., Morris, E. R., &amp; Akingbala,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r w:rsidRPr="000737B9">
        <w:t xml:space="preserve">Ngondi, J. L., Oben, J. E., &amp; Minka, S. R. (2005). </w:t>
      </w:r>
      <w:r w:rsidRPr="000737B9">
        <w:rPr>
          <w:i/>
          <w:iCs/>
        </w:rPr>
        <w:t xml:space="preserve">The effect of </w:t>
      </w:r>
      <w:r w:rsidRPr="000737B9">
        <w:rPr>
          <w:rStyle w:val="Emphasis"/>
          <w:i w:val="0"/>
          <w:iCs w:val="0"/>
        </w:rPr>
        <w:t>Irvingia gabonensis</w:t>
      </w:r>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Orukotan, A. A. (2020). </w:t>
      </w:r>
      <w:r w:rsidRPr="000737B9">
        <w:rPr>
          <w:i/>
          <w:iCs/>
        </w:rPr>
        <w:t xml:space="preserve">Biochemical characterization of </w:t>
      </w:r>
      <w:r w:rsidRPr="000737B9">
        <w:rPr>
          <w:rStyle w:val="Emphasis"/>
          <w:i w:val="0"/>
          <w:iCs w:val="0"/>
        </w:rPr>
        <w:t>Irvingia gabonensis</w:t>
      </w:r>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r w:rsidRPr="000737B9">
        <w:t xml:space="preserve">Omoti, U., &amp; Okiy, D. A. (1987). </w:t>
      </w:r>
      <w:r w:rsidRPr="000737B9">
        <w:rPr>
          <w:i/>
          <w:iCs/>
        </w:rPr>
        <w:t>Characteristics and composition of the</w:t>
      </w:r>
      <w:r w:rsidRPr="000737B9">
        <w:t xml:space="preserve"> </w:t>
      </w:r>
      <w:r w:rsidRPr="000737B9">
        <w:rPr>
          <w:i/>
          <w:iCs/>
        </w:rPr>
        <w:t>pulp oil and cake of</w:t>
      </w:r>
      <w:r w:rsidRPr="000737B9">
        <w:t xml:space="preserve"> </w:t>
      </w:r>
      <w:r w:rsidRPr="000737B9">
        <w:rPr>
          <w:rStyle w:val="Emphasis"/>
        </w:rPr>
        <w:t>Irvingia gabonensis</w:t>
      </w:r>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Dikanut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8"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r w:rsidRPr="000737B9">
        <w:t xml:space="preserve">Uhegbu, F. O., Omodamiro, R. M., &amp; Okechi, R. N. (2009). </w:t>
      </w:r>
      <w:r w:rsidRPr="000737B9">
        <w:rPr>
          <w:i/>
          <w:iCs/>
        </w:rPr>
        <w:t>Effects of aqueous extracts of</w:t>
      </w:r>
      <w:r w:rsidRPr="000737B9">
        <w:t xml:space="preserve"> </w:t>
      </w:r>
      <w:r w:rsidRPr="000737B9">
        <w:rPr>
          <w:rStyle w:val="Emphasis"/>
        </w:rPr>
        <w:t>Irvingia gabonensis</w:t>
      </w:r>
      <w:r w:rsidRPr="000737B9">
        <w:t xml:space="preserve"> </w:t>
      </w:r>
      <w:r w:rsidRPr="000737B9">
        <w:rPr>
          <w:i/>
          <w:iCs/>
        </w:rPr>
        <w:t>seeds on blood glucose and serum lipid profile of albino rats.</w:t>
      </w:r>
      <w:r w:rsidRPr="000737B9">
        <w:t xml:space="preserve"> </w:t>
      </w:r>
      <w:r w:rsidRPr="000737B9">
        <w:rPr>
          <w:rStyle w:val="Emphasis"/>
        </w:rPr>
        <w:t>Biokemistri</w:t>
      </w:r>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D1285" w14:textId="77777777" w:rsidR="001C479B" w:rsidRDefault="001C479B" w:rsidP="0081077C">
      <w:pPr>
        <w:spacing w:after="0" w:line="240" w:lineRule="auto"/>
      </w:pPr>
      <w:r>
        <w:separator/>
      </w:r>
    </w:p>
  </w:endnote>
  <w:endnote w:type="continuationSeparator" w:id="0">
    <w:p w14:paraId="7FE55D3C" w14:textId="77777777" w:rsidR="001C479B" w:rsidRDefault="001C479B"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743757"/>
      <w:docPartObj>
        <w:docPartGallery w:val="Page Numbers (Bottom of Page)"/>
        <w:docPartUnique/>
      </w:docPartObj>
    </w:sdtPr>
    <w:sdtEndPr>
      <w:rPr>
        <w:noProof/>
      </w:rPr>
    </w:sdtEndPr>
    <w:sdtContent>
      <w:p w14:paraId="2B050480" w14:textId="77777777" w:rsidR="00500EA3" w:rsidRDefault="00500EA3">
        <w:pPr>
          <w:pStyle w:val="Footer"/>
          <w:jc w:val="center"/>
        </w:pPr>
      </w:p>
      <w:p w14:paraId="33A78D56" w14:textId="77777777" w:rsidR="00500EA3" w:rsidRDefault="00500EA3">
        <w:pPr>
          <w:pStyle w:val="Footer"/>
          <w:jc w:val="center"/>
          <w:rPr>
            <w:noProof/>
          </w:rPr>
        </w:pPr>
        <w:r>
          <w:fldChar w:fldCharType="begin"/>
        </w:r>
        <w:r>
          <w:instrText xml:space="preserve"> PAGE   \* MERGEFORMAT </w:instrText>
        </w:r>
        <w:r>
          <w:fldChar w:fldCharType="separate"/>
        </w:r>
        <w:r w:rsidR="00F869F1">
          <w:rPr>
            <w:noProof/>
          </w:rPr>
          <w:t>14</w:t>
        </w:r>
        <w:r>
          <w:rPr>
            <w:noProof/>
          </w:rPr>
          <w:fldChar w:fldCharType="end"/>
        </w:r>
      </w:p>
      <w:p w14:paraId="3691FE2B" w14:textId="77777777" w:rsidR="00500EA3" w:rsidRDefault="00500EA3">
        <w:pPr>
          <w:pStyle w:val="Footer"/>
          <w:jc w:val="center"/>
          <w:rPr>
            <w:noProof/>
          </w:rPr>
        </w:pPr>
      </w:p>
      <w:p w14:paraId="19D08EEA" w14:textId="77777777" w:rsidR="00500EA3" w:rsidRDefault="00500EA3">
        <w:pPr>
          <w:pStyle w:val="Footer"/>
          <w:jc w:val="center"/>
          <w:rPr>
            <w:noProof/>
          </w:rPr>
        </w:pPr>
      </w:p>
      <w:p w14:paraId="253A62DE" w14:textId="3DE5DE68" w:rsidR="00500EA3" w:rsidRDefault="001C479B">
        <w:pPr>
          <w:pStyle w:val="Footer"/>
          <w:jc w:val="center"/>
        </w:pPr>
      </w:p>
    </w:sdtContent>
  </w:sdt>
  <w:p w14:paraId="6A69A030" w14:textId="77777777" w:rsidR="00500EA3" w:rsidRDefault="0050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52D39" w14:textId="77777777" w:rsidR="001C479B" w:rsidRDefault="001C479B" w:rsidP="0081077C">
      <w:pPr>
        <w:spacing w:after="0" w:line="240" w:lineRule="auto"/>
      </w:pPr>
      <w:r>
        <w:separator/>
      </w:r>
    </w:p>
  </w:footnote>
  <w:footnote w:type="continuationSeparator" w:id="0">
    <w:p w14:paraId="037D321E" w14:textId="77777777" w:rsidR="001C479B" w:rsidRDefault="001C479B" w:rsidP="0081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3D6C" w14:textId="77777777" w:rsidR="00500EA3" w:rsidRDefault="00500EA3">
    <w:pPr>
      <w:pStyle w:val="Header"/>
    </w:pPr>
  </w:p>
  <w:p w14:paraId="0598344B" w14:textId="77777777" w:rsidR="00500EA3" w:rsidRDefault="00500EA3">
    <w:pPr>
      <w:pStyle w:val="Header"/>
    </w:pPr>
  </w:p>
  <w:p w14:paraId="3B1ADB04" w14:textId="77777777" w:rsidR="00500EA3" w:rsidRDefault="00500EA3">
    <w:pPr>
      <w:pStyle w:val="Header"/>
    </w:pPr>
  </w:p>
  <w:p w14:paraId="10510405" w14:textId="77777777" w:rsidR="00500EA3" w:rsidRDefault="00500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5363D"/>
    <w:rsid w:val="00061514"/>
    <w:rsid w:val="000708CA"/>
    <w:rsid w:val="00073771"/>
    <w:rsid w:val="000737B9"/>
    <w:rsid w:val="00076311"/>
    <w:rsid w:val="0008373A"/>
    <w:rsid w:val="0008729A"/>
    <w:rsid w:val="000B02F4"/>
    <w:rsid w:val="000B2896"/>
    <w:rsid w:val="000B34FD"/>
    <w:rsid w:val="000C2BDB"/>
    <w:rsid w:val="000D39F6"/>
    <w:rsid w:val="000D5886"/>
    <w:rsid w:val="000D5A73"/>
    <w:rsid w:val="000F77F9"/>
    <w:rsid w:val="000F7A7E"/>
    <w:rsid w:val="00112585"/>
    <w:rsid w:val="00120E6F"/>
    <w:rsid w:val="0012705C"/>
    <w:rsid w:val="00130D2C"/>
    <w:rsid w:val="001347B0"/>
    <w:rsid w:val="00152814"/>
    <w:rsid w:val="00161664"/>
    <w:rsid w:val="001652B6"/>
    <w:rsid w:val="00173DE5"/>
    <w:rsid w:val="00185223"/>
    <w:rsid w:val="001B6C87"/>
    <w:rsid w:val="001C479B"/>
    <w:rsid w:val="001E3212"/>
    <w:rsid w:val="001E6651"/>
    <w:rsid w:val="001E7F58"/>
    <w:rsid w:val="001F34AC"/>
    <w:rsid w:val="002144A0"/>
    <w:rsid w:val="00215019"/>
    <w:rsid w:val="0022590C"/>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41AB0"/>
    <w:rsid w:val="00447BF2"/>
    <w:rsid w:val="00451A8A"/>
    <w:rsid w:val="00467D00"/>
    <w:rsid w:val="004742B4"/>
    <w:rsid w:val="00482720"/>
    <w:rsid w:val="004A1EBC"/>
    <w:rsid w:val="004A3A18"/>
    <w:rsid w:val="004C045D"/>
    <w:rsid w:val="004D1F8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B5D6E"/>
    <w:rsid w:val="005C3E5C"/>
    <w:rsid w:val="005D097D"/>
    <w:rsid w:val="005D1F9A"/>
    <w:rsid w:val="005D2B11"/>
    <w:rsid w:val="005D42B6"/>
    <w:rsid w:val="005E42C4"/>
    <w:rsid w:val="005E5E85"/>
    <w:rsid w:val="005F5C03"/>
    <w:rsid w:val="006165A3"/>
    <w:rsid w:val="00626B64"/>
    <w:rsid w:val="00627534"/>
    <w:rsid w:val="00647955"/>
    <w:rsid w:val="00650164"/>
    <w:rsid w:val="006503D0"/>
    <w:rsid w:val="00655CE0"/>
    <w:rsid w:val="00693728"/>
    <w:rsid w:val="006955CB"/>
    <w:rsid w:val="006955DE"/>
    <w:rsid w:val="00695965"/>
    <w:rsid w:val="006A0099"/>
    <w:rsid w:val="006A3E6A"/>
    <w:rsid w:val="006A6E21"/>
    <w:rsid w:val="006A6F65"/>
    <w:rsid w:val="006C45A1"/>
    <w:rsid w:val="006C7564"/>
    <w:rsid w:val="006E1557"/>
    <w:rsid w:val="006F2E44"/>
    <w:rsid w:val="006F5554"/>
    <w:rsid w:val="006F6531"/>
    <w:rsid w:val="006F69ED"/>
    <w:rsid w:val="00700C01"/>
    <w:rsid w:val="00701935"/>
    <w:rsid w:val="007052C9"/>
    <w:rsid w:val="00723140"/>
    <w:rsid w:val="00731490"/>
    <w:rsid w:val="00733E27"/>
    <w:rsid w:val="0073684F"/>
    <w:rsid w:val="00742AFD"/>
    <w:rsid w:val="007565C6"/>
    <w:rsid w:val="007576CA"/>
    <w:rsid w:val="00760D13"/>
    <w:rsid w:val="00766815"/>
    <w:rsid w:val="00773425"/>
    <w:rsid w:val="00776E33"/>
    <w:rsid w:val="00791BE2"/>
    <w:rsid w:val="007A3BD9"/>
    <w:rsid w:val="007A66D9"/>
    <w:rsid w:val="007B43F1"/>
    <w:rsid w:val="007B5AB3"/>
    <w:rsid w:val="007C0A1D"/>
    <w:rsid w:val="007C0B75"/>
    <w:rsid w:val="007C1AB3"/>
    <w:rsid w:val="007D483C"/>
    <w:rsid w:val="007D6127"/>
    <w:rsid w:val="007E18F7"/>
    <w:rsid w:val="007F17FE"/>
    <w:rsid w:val="007F42CC"/>
    <w:rsid w:val="0081077C"/>
    <w:rsid w:val="0081381D"/>
    <w:rsid w:val="008211F8"/>
    <w:rsid w:val="008275A5"/>
    <w:rsid w:val="00834710"/>
    <w:rsid w:val="00842269"/>
    <w:rsid w:val="008439AF"/>
    <w:rsid w:val="00850971"/>
    <w:rsid w:val="00850EE6"/>
    <w:rsid w:val="008612F9"/>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E61FE"/>
    <w:rsid w:val="009F6687"/>
    <w:rsid w:val="00A03013"/>
    <w:rsid w:val="00A14FE3"/>
    <w:rsid w:val="00A20D97"/>
    <w:rsid w:val="00A23C23"/>
    <w:rsid w:val="00A26984"/>
    <w:rsid w:val="00A3644C"/>
    <w:rsid w:val="00A41BE6"/>
    <w:rsid w:val="00A521A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06DE"/>
    <w:rsid w:val="00B34FE3"/>
    <w:rsid w:val="00B459EF"/>
    <w:rsid w:val="00B73963"/>
    <w:rsid w:val="00B7722F"/>
    <w:rsid w:val="00B804BA"/>
    <w:rsid w:val="00B82D49"/>
    <w:rsid w:val="00B90F49"/>
    <w:rsid w:val="00B9410E"/>
    <w:rsid w:val="00BA2A16"/>
    <w:rsid w:val="00BB421D"/>
    <w:rsid w:val="00BE043D"/>
    <w:rsid w:val="00BE1A42"/>
    <w:rsid w:val="00BE2CD8"/>
    <w:rsid w:val="00BF016E"/>
    <w:rsid w:val="00BF748B"/>
    <w:rsid w:val="00C1340C"/>
    <w:rsid w:val="00C13E7A"/>
    <w:rsid w:val="00C214E6"/>
    <w:rsid w:val="00C218D3"/>
    <w:rsid w:val="00C264FC"/>
    <w:rsid w:val="00C30078"/>
    <w:rsid w:val="00C36CF4"/>
    <w:rsid w:val="00C41C2F"/>
    <w:rsid w:val="00C42B85"/>
    <w:rsid w:val="00C43092"/>
    <w:rsid w:val="00C473E7"/>
    <w:rsid w:val="00C5087D"/>
    <w:rsid w:val="00C96EE5"/>
    <w:rsid w:val="00C976C8"/>
    <w:rsid w:val="00C97ACC"/>
    <w:rsid w:val="00C97C24"/>
    <w:rsid w:val="00CA23A4"/>
    <w:rsid w:val="00CB2664"/>
    <w:rsid w:val="00CD7119"/>
    <w:rsid w:val="00D0520A"/>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2DF3"/>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26B5"/>
    <w:rsid w:val="00F03239"/>
    <w:rsid w:val="00F033C6"/>
    <w:rsid w:val="00F07FB8"/>
    <w:rsid w:val="00F1263F"/>
    <w:rsid w:val="00F16879"/>
    <w:rsid w:val="00F20182"/>
    <w:rsid w:val="00F3209F"/>
    <w:rsid w:val="00F349AF"/>
    <w:rsid w:val="00F366D7"/>
    <w:rsid w:val="00F55D01"/>
    <w:rsid w:val="00F62347"/>
    <w:rsid w:val="00F724D7"/>
    <w:rsid w:val="00F75C93"/>
    <w:rsid w:val="00F82F2B"/>
    <w:rsid w:val="00F869F1"/>
    <w:rsid w:val="00F86CA1"/>
    <w:rsid w:val="00F87910"/>
    <w:rsid w:val="00F93652"/>
    <w:rsid w:val="00FA041F"/>
    <w:rsid w:val="00FB232D"/>
    <w:rsid w:val="00FB4EC7"/>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dpi.com/2297-8739/9/8/207?utm_source=chatgpt.com" TargetMode="External"/><Relationship Id="rId18" Type="http://schemas.openxmlformats.org/officeDocument/2006/relationships/hyperlink" Target="https://www.isca.in/rjcs/Archives/v4/i12/11.ISCA-RJCS-2014-197.php?utm_source=chatgpt.com" TargetMode="Externa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ajol.info/index.php/ajfand/article/view/136011?utm_source=chatgpt.com" TargetMode="External"/><Relationship Id="rId17" Type="http://schemas.openxmlformats.org/officeDocument/2006/relationships/hyperlink" Target="https://bio-research.com.ng/index.php/home/article/view/136?utm_source=chatgpt.com" TargetMode="External"/><Relationship Id="rId2" Type="http://schemas.openxmlformats.org/officeDocument/2006/relationships/styles" Target="styles.xml"/><Relationship Id="rId16" Type="http://schemas.openxmlformats.org/officeDocument/2006/relationships/hyperlink" Target="https://www.ajol.info/index.php/njb/article/view/190111?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bji.com/index.php/BJI/article/view/502?utm_source=chatgpt.com" TargetMode="External"/><Relationship Id="rId5" Type="http://schemas.openxmlformats.org/officeDocument/2006/relationships/footnotes" Target="footnotes.xml"/><Relationship Id="rId15" Type="http://schemas.openxmlformats.org/officeDocument/2006/relationships/hyperlink" Target="https://lipidworld.biomedcentral.com/articles/10.1186/1476-511X-10-43?utm_source=chatgpt.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ajol.info/index.php/njnpm/article/view/1180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9116</Words>
  <Characters>51965</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Jimoh Owolabi</cp:lastModifiedBy>
  <cp:revision>3</cp:revision>
  <cp:lastPrinted>2025-07-15T13:51:00Z</cp:lastPrinted>
  <dcterms:created xsi:type="dcterms:W3CDTF">2025-08-04T11:12:00Z</dcterms:created>
  <dcterms:modified xsi:type="dcterms:W3CDTF">2025-08-04T11:13:00Z</dcterms:modified>
</cp:coreProperties>
</file>