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48F" w:rsidRDefault="00F6228E">
      <w:pPr>
        <w:spacing w:after="29" w:line="259" w:lineRule="auto"/>
        <w:ind w:left="0" w:right="64" w:firstLine="0"/>
        <w:jc w:val="center"/>
      </w:pPr>
      <w:r>
        <w:rPr>
          <w:rFonts w:ascii="Cambria" w:eastAsia="Cambria" w:hAnsi="Cambria" w:cs="Cambria"/>
          <w:b/>
          <w:sz w:val="40"/>
        </w:rPr>
        <w:t xml:space="preserve">IMPACTS OF GENTRIFICATION ON URBAN </w:t>
      </w:r>
    </w:p>
    <w:p w:rsidR="00A9548F" w:rsidRDefault="00F6228E">
      <w:pPr>
        <w:spacing w:after="245" w:line="273" w:lineRule="auto"/>
        <w:ind w:left="3908" w:right="0" w:hanging="3586"/>
        <w:jc w:val="left"/>
      </w:pPr>
      <w:r>
        <w:rPr>
          <w:rFonts w:ascii="Cambria" w:eastAsia="Cambria" w:hAnsi="Cambria" w:cs="Cambria"/>
          <w:b/>
          <w:sz w:val="40"/>
        </w:rPr>
        <w:t xml:space="preserve">COMMUNITIES IN SELECTED AREAS OF LAGOS STATE </w:t>
      </w:r>
    </w:p>
    <w:p w:rsidR="00A9548F" w:rsidRDefault="00F6228E">
      <w:pPr>
        <w:spacing w:after="268" w:line="259" w:lineRule="auto"/>
        <w:ind w:left="17" w:right="0" w:firstLine="0"/>
        <w:jc w:val="center"/>
      </w:pPr>
      <w:r>
        <w:rPr>
          <w:rFonts w:ascii="Cambria" w:eastAsia="Cambria" w:hAnsi="Cambria" w:cs="Cambria"/>
          <w:b/>
          <w:sz w:val="36"/>
        </w:rPr>
        <w:t xml:space="preserve"> </w:t>
      </w:r>
    </w:p>
    <w:p w:rsidR="00A9548F" w:rsidRDefault="00F6228E">
      <w:pPr>
        <w:spacing w:after="438" w:line="259" w:lineRule="auto"/>
        <w:ind w:right="67"/>
        <w:jc w:val="center"/>
      </w:pPr>
      <w:r>
        <w:rPr>
          <w:rFonts w:ascii="Cambria" w:eastAsia="Cambria" w:hAnsi="Cambria" w:cs="Cambria"/>
          <w:i/>
          <w:sz w:val="32"/>
        </w:rPr>
        <w:t xml:space="preserve">PREPARED BY </w:t>
      </w:r>
    </w:p>
    <w:p w:rsidR="00A9548F" w:rsidRDefault="00F6228E">
      <w:pPr>
        <w:spacing w:after="314" w:line="259" w:lineRule="auto"/>
        <w:ind w:right="62"/>
        <w:jc w:val="center"/>
      </w:pPr>
      <w:r>
        <w:rPr>
          <w:rFonts w:ascii="Algerian" w:eastAsia="Algerian" w:hAnsi="Algerian" w:cs="Algerian"/>
          <w:sz w:val="40"/>
        </w:rPr>
        <w:t xml:space="preserve">ADEBAYO MUYINAT OMOLOLA </w:t>
      </w:r>
    </w:p>
    <w:p w:rsidR="00A9548F" w:rsidRDefault="00F6228E">
      <w:pPr>
        <w:spacing w:after="216" w:line="259" w:lineRule="auto"/>
        <w:ind w:right="60"/>
        <w:jc w:val="center"/>
      </w:pPr>
      <w:r>
        <w:rPr>
          <w:rFonts w:ascii="Algerian" w:eastAsia="Algerian" w:hAnsi="Algerian" w:cs="Algerian"/>
          <w:sz w:val="40"/>
        </w:rPr>
        <w:t xml:space="preserve">HND/23/URP/FT/0021 </w:t>
      </w:r>
    </w:p>
    <w:p w:rsidR="00A9548F" w:rsidRDefault="00F6228E">
      <w:pPr>
        <w:spacing w:after="268" w:line="259" w:lineRule="auto"/>
        <w:ind w:left="17" w:right="0" w:firstLine="0"/>
        <w:jc w:val="center"/>
      </w:pPr>
      <w:r>
        <w:rPr>
          <w:rFonts w:ascii="Cambria" w:eastAsia="Cambria" w:hAnsi="Cambria" w:cs="Cambria"/>
          <w:b/>
          <w:sz w:val="36"/>
        </w:rPr>
        <w:t xml:space="preserve"> </w:t>
      </w:r>
    </w:p>
    <w:p w:rsidR="00A9548F" w:rsidRDefault="00F6228E">
      <w:pPr>
        <w:spacing w:after="347" w:line="259" w:lineRule="auto"/>
        <w:jc w:val="center"/>
      </w:pPr>
      <w:r>
        <w:rPr>
          <w:rFonts w:ascii="Cambria" w:eastAsia="Cambria" w:hAnsi="Cambria" w:cs="Cambria"/>
          <w:i/>
          <w:sz w:val="32"/>
        </w:rPr>
        <w:t xml:space="preserve">SUBMITTED TO: </w:t>
      </w:r>
    </w:p>
    <w:p w:rsidR="00A9548F" w:rsidRDefault="00F6228E">
      <w:pPr>
        <w:spacing w:after="15" w:line="266" w:lineRule="auto"/>
        <w:ind w:left="180" w:right="0"/>
        <w:jc w:val="left"/>
      </w:pPr>
      <w:r>
        <w:rPr>
          <w:rFonts w:ascii="Cambria" w:eastAsia="Cambria" w:hAnsi="Cambria" w:cs="Cambria"/>
          <w:b/>
          <w:sz w:val="36"/>
        </w:rPr>
        <w:t xml:space="preserve">DEPARTMENT OF URBAN AND REGIONAL PLANNING, </w:t>
      </w:r>
    </w:p>
    <w:p w:rsidR="00A9548F" w:rsidRDefault="00F6228E">
      <w:pPr>
        <w:spacing w:after="141" w:line="266" w:lineRule="auto"/>
        <w:ind w:left="1383" w:right="0" w:hanging="850"/>
        <w:jc w:val="left"/>
      </w:pPr>
      <w:r>
        <w:rPr>
          <w:rFonts w:ascii="Cambria" w:eastAsia="Cambria" w:hAnsi="Cambria" w:cs="Cambria"/>
          <w:b/>
          <w:sz w:val="36"/>
        </w:rPr>
        <w:t xml:space="preserve">INSTITUTE OF ENVIRONMENTAL STUDIES (I.E.S) KWARA STATE POLYTECHNIC, ILORIN </w:t>
      </w:r>
    </w:p>
    <w:p w:rsidR="00A9548F" w:rsidRDefault="00F6228E">
      <w:pPr>
        <w:spacing w:after="449" w:line="259" w:lineRule="auto"/>
        <w:ind w:left="0" w:right="18" w:firstLine="0"/>
        <w:jc w:val="center"/>
      </w:pPr>
      <w:r>
        <w:rPr>
          <w:rFonts w:ascii="Cambria" w:eastAsia="Cambria" w:hAnsi="Cambria" w:cs="Cambria"/>
          <w:b/>
          <w:sz w:val="20"/>
        </w:rPr>
        <w:t xml:space="preserve"> </w:t>
      </w:r>
    </w:p>
    <w:p w:rsidR="00A9548F" w:rsidRDefault="00F6228E">
      <w:pPr>
        <w:spacing w:after="15" w:line="266" w:lineRule="auto"/>
        <w:ind w:left="24" w:right="0"/>
        <w:jc w:val="left"/>
      </w:pPr>
      <w:r>
        <w:rPr>
          <w:rFonts w:ascii="Cambria" w:eastAsia="Cambria" w:hAnsi="Cambria" w:cs="Cambria"/>
          <w:b/>
          <w:sz w:val="36"/>
        </w:rPr>
        <w:t xml:space="preserve">IN PARTIAL FULFILMENT OF THE REQUIREMENTS FOR </w:t>
      </w:r>
    </w:p>
    <w:p w:rsidR="00A9548F" w:rsidRDefault="00F6228E">
      <w:pPr>
        <w:spacing w:after="174" w:line="266" w:lineRule="auto"/>
        <w:ind w:left="1452" w:right="0" w:hanging="1282"/>
        <w:jc w:val="left"/>
      </w:pPr>
      <w:r>
        <w:rPr>
          <w:rFonts w:ascii="Cambria" w:eastAsia="Cambria" w:hAnsi="Cambria" w:cs="Cambria"/>
          <w:b/>
          <w:sz w:val="36"/>
        </w:rPr>
        <w:t xml:space="preserve">THE AWARD OF HIGHER NATIONAL DIPLOMA (HND) IN URBAN AND REGIONAL PLANNING </w:t>
      </w:r>
    </w:p>
    <w:p w:rsidR="00A9548F" w:rsidRDefault="00F6228E">
      <w:pPr>
        <w:spacing w:after="376" w:line="259" w:lineRule="auto"/>
        <w:ind w:left="0" w:right="9" w:firstLine="0"/>
        <w:jc w:val="center"/>
      </w:pPr>
      <w:r>
        <w:rPr>
          <w:rFonts w:ascii="Cambria" w:eastAsia="Cambria" w:hAnsi="Cambria" w:cs="Cambria"/>
          <w:i/>
        </w:rPr>
        <w:t xml:space="preserve"> </w:t>
      </w:r>
    </w:p>
    <w:p w:rsidR="00A9548F" w:rsidRDefault="00F6228E">
      <w:pPr>
        <w:spacing w:after="438" w:line="259" w:lineRule="auto"/>
        <w:ind w:right="64"/>
        <w:jc w:val="center"/>
      </w:pPr>
      <w:r>
        <w:rPr>
          <w:rFonts w:ascii="Cambria" w:eastAsia="Cambria" w:hAnsi="Cambria" w:cs="Cambria"/>
          <w:i/>
          <w:sz w:val="32"/>
        </w:rPr>
        <w:t xml:space="preserve">SUPERVISED BY </w:t>
      </w:r>
    </w:p>
    <w:p w:rsidR="00A9548F" w:rsidRDefault="00F6228E">
      <w:pPr>
        <w:spacing w:after="99" w:line="259" w:lineRule="auto"/>
        <w:ind w:right="64"/>
        <w:jc w:val="center"/>
      </w:pPr>
      <w:r>
        <w:rPr>
          <w:rFonts w:ascii="Algerian" w:eastAsia="Algerian" w:hAnsi="Algerian" w:cs="Algerian"/>
          <w:sz w:val="40"/>
        </w:rPr>
        <w:t xml:space="preserve">M. Y. YAHAYA (MNITP, RTP) </w:t>
      </w:r>
    </w:p>
    <w:p w:rsidR="00A9548F" w:rsidRDefault="00F6228E">
      <w:pPr>
        <w:spacing w:after="272" w:line="259" w:lineRule="auto"/>
        <w:ind w:left="0" w:right="0" w:firstLine="0"/>
        <w:jc w:val="right"/>
      </w:pPr>
      <w:r>
        <w:rPr>
          <w:b/>
        </w:rPr>
        <w:t xml:space="preserve"> </w:t>
      </w:r>
    </w:p>
    <w:p w:rsidR="00A9548F" w:rsidRDefault="00F6228E">
      <w:pPr>
        <w:spacing w:after="0" w:line="259" w:lineRule="auto"/>
        <w:ind w:left="0" w:right="61" w:firstLine="0"/>
        <w:jc w:val="right"/>
      </w:pPr>
      <w:r>
        <w:rPr>
          <w:b/>
          <w:sz w:val="36"/>
        </w:rPr>
        <w:t>JUNE, 2025</w:t>
      </w:r>
      <w:r>
        <w:rPr>
          <w:b/>
          <w:sz w:val="36"/>
          <w:vertAlign w:val="subscript"/>
        </w:rPr>
        <w:t xml:space="preserve"> </w:t>
      </w:r>
    </w:p>
    <w:p w:rsidR="004F1EF3" w:rsidRDefault="004F1EF3">
      <w:pPr>
        <w:pStyle w:val="Heading1"/>
        <w:spacing w:after="525"/>
        <w:jc w:val="center"/>
      </w:pPr>
      <w:r w:rsidRPr="0011782B">
        <w:rPr>
          <w:noProof/>
        </w:rPr>
        <w:lastRenderedPageBreak/>
        <w:drawing>
          <wp:inline distT="0" distB="0" distL="0" distR="0" wp14:anchorId="3618F402" wp14:editId="7655BD3A">
            <wp:extent cx="5553075" cy="7772400"/>
            <wp:effectExtent l="0" t="0" r="9525" b="0"/>
            <wp:docPr id="1" name="Picture 1" descr="C:\Users\User\Downloads\WhatsApp Image 2025-08-04 at 11.31.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04 at 11.31.12.jpeg"/>
                    <pic:cNvPicPr>
                      <a:picLocks noChangeAspect="1" noChangeArrowheads="1"/>
                    </pic:cNvPicPr>
                  </pic:nvPicPr>
                  <pic:blipFill rotWithShape="1">
                    <a:blip r:embed="rId7">
                      <a:extLst>
                        <a:ext uri="{28A0092B-C50C-407E-A947-70E740481C1C}">
                          <a14:useLocalDpi xmlns:a14="http://schemas.microsoft.com/office/drawing/2010/main" val="0"/>
                        </a:ext>
                      </a:extLst>
                    </a:blip>
                    <a:srcRect l="4898" t="8929" b="22718"/>
                    <a:stretch/>
                  </pic:blipFill>
                  <pic:spPr bwMode="auto">
                    <a:xfrm>
                      <a:off x="0" y="0"/>
                      <a:ext cx="5553075" cy="7772400"/>
                    </a:xfrm>
                    <a:prstGeom prst="rect">
                      <a:avLst/>
                    </a:prstGeom>
                    <a:noFill/>
                    <a:ln>
                      <a:noFill/>
                    </a:ln>
                    <a:extLst>
                      <a:ext uri="{53640926-AAD7-44D8-BBD7-CCE9431645EC}">
                        <a14:shadowObscured xmlns:a14="http://schemas.microsoft.com/office/drawing/2010/main"/>
                      </a:ext>
                    </a:extLst>
                  </pic:spPr>
                </pic:pic>
              </a:graphicData>
            </a:graphic>
          </wp:inline>
        </w:drawing>
      </w:r>
    </w:p>
    <w:p w:rsidR="004F1EF3" w:rsidRDefault="004F1EF3">
      <w:pPr>
        <w:spacing w:after="160" w:line="259" w:lineRule="auto"/>
        <w:ind w:left="0" w:right="0" w:firstLine="0"/>
        <w:jc w:val="left"/>
        <w:rPr>
          <w:b/>
        </w:rPr>
      </w:pPr>
      <w:r>
        <w:br w:type="page"/>
      </w:r>
    </w:p>
    <w:p w:rsidR="00A9548F" w:rsidRDefault="00F6228E" w:rsidP="004F1EF3">
      <w:pPr>
        <w:pStyle w:val="Heading1"/>
        <w:spacing w:after="147"/>
        <w:ind w:left="-5" w:right="0"/>
        <w:jc w:val="center"/>
      </w:pPr>
      <w:r>
        <w:lastRenderedPageBreak/>
        <w:t>DEDICATION</w:t>
      </w:r>
    </w:p>
    <w:p w:rsidR="00A9548F" w:rsidRDefault="00F6228E" w:rsidP="004F1EF3">
      <w:pPr>
        <w:spacing w:after="158" w:line="259" w:lineRule="auto"/>
        <w:ind w:left="0" w:right="0" w:firstLine="0"/>
        <w:jc w:val="left"/>
      </w:pPr>
      <w:r>
        <w:t xml:space="preserve"> </w:t>
      </w:r>
      <w:r>
        <w:t xml:space="preserve">This project is dedicated to Almighty Allah and my parent, </w:t>
      </w:r>
      <w:r>
        <w:rPr>
          <w:b/>
        </w:rPr>
        <w:t>Mr. &amp; Mrs. ADEBAYO</w:t>
      </w:r>
      <w:r>
        <w:t xml:space="preserve">, may Almighty Allah grant them long life and make them reap the fruit of their labour, Amen. </w:t>
      </w:r>
    </w:p>
    <w:p w:rsidR="00A9548F" w:rsidRDefault="00F6228E">
      <w:pPr>
        <w:spacing w:after="391" w:line="259" w:lineRule="auto"/>
        <w:ind w:left="0" w:right="0" w:firstLine="0"/>
        <w:jc w:val="left"/>
      </w:pPr>
      <w:r>
        <w:rPr>
          <w:sz w:val="22"/>
        </w:rPr>
        <w:t xml:space="preserve"> </w:t>
      </w:r>
    </w:p>
    <w:p w:rsidR="00A9548F" w:rsidRDefault="00F6228E">
      <w:pPr>
        <w:spacing w:after="411" w:line="259" w:lineRule="auto"/>
        <w:ind w:left="0" w:right="0" w:firstLine="0"/>
        <w:jc w:val="left"/>
      </w:pPr>
      <w:r>
        <w:rPr>
          <w:sz w:val="22"/>
        </w:rPr>
        <w:t xml:space="preserve"> </w:t>
      </w:r>
    </w:p>
    <w:p w:rsidR="00A9548F" w:rsidRDefault="00F6228E">
      <w:pPr>
        <w:spacing w:after="412" w:line="259" w:lineRule="auto"/>
        <w:ind w:left="0" w:right="0" w:firstLine="0"/>
        <w:jc w:val="left"/>
      </w:pPr>
      <w:r>
        <w:rPr>
          <w:b/>
        </w:rPr>
        <w:t xml:space="preserve"> </w:t>
      </w:r>
    </w:p>
    <w:p w:rsidR="00A9548F" w:rsidRDefault="00F6228E">
      <w:pPr>
        <w:spacing w:after="410" w:line="259" w:lineRule="auto"/>
        <w:ind w:left="0" w:right="0" w:firstLine="0"/>
        <w:jc w:val="left"/>
      </w:pPr>
      <w:r>
        <w:rPr>
          <w:b/>
        </w:rPr>
        <w:t xml:space="preserve"> </w:t>
      </w:r>
    </w:p>
    <w:p w:rsidR="00A9548F" w:rsidRDefault="00F6228E">
      <w:pPr>
        <w:spacing w:after="412" w:line="259" w:lineRule="auto"/>
        <w:ind w:left="0" w:right="0" w:firstLine="0"/>
        <w:jc w:val="left"/>
      </w:pPr>
      <w:r>
        <w:rPr>
          <w:b/>
        </w:rPr>
        <w:t xml:space="preserve"> </w:t>
      </w:r>
    </w:p>
    <w:p w:rsidR="00A9548F" w:rsidRDefault="00F6228E">
      <w:pPr>
        <w:spacing w:after="413" w:line="259" w:lineRule="auto"/>
        <w:ind w:left="0" w:right="0" w:firstLine="0"/>
        <w:jc w:val="left"/>
      </w:pPr>
      <w:r>
        <w:rPr>
          <w:b/>
        </w:rPr>
        <w:t xml:space="preserve"> </w:t>
      </w:r>
    </w:p>
    <w:p w:rsidR="00A9548F" w:rsidRDefault="00F6228E">
      <w:pPr>
        <w:spacing w:after="410" w:line="259" w:lineRule="auto"/>
        <w:ind w:left="0" w:right="0" w:firstLine="0"/>
        <w:jc w:val="left"/>
      </w:pPr>
      <w:r>
        <w:rPr>
          <w:b/>
        </w:rPr>
        <w:t xml:space="preserve"> </w:t>
      </w:r>
    </w:p>
    <w:p w:rsidR="00A9548F" w:rsidRDefault="00F6228E">
      <w:pPr>
        <w:spacing w:after="412" w:line="259" w:lineRule="auto"/>
        <w:ind w:left="0" w:right="0" w:firstLine="0"/>
        <w:jc w:val="left"/>
      </w:pPr>
      <w:r>
        <w:rPr>
          <w:b/>
        </w:rPr>
        <w:t xml:space="preserve"> </w:t>
      </w:r>
    </w:p>
    <w:p w:rsidR="00A9548F" w:rsidRDefault="00F6228E">
      <w:pPr>
        <w:spacing w:after="412" w:line="259" w:lineRule="auto"/>
        <w:ind w:left="0" w:right="0" w:firstLine="0"/>
        <w:jc w:val="left"/>
      </w:pPr>
      <w:r>
        <w:rPr>
          <w:b/>
        </w:rPr>
        <w:t xml:space="preserve"> </w:t>
      </w:r>
    </w:p>
    <w:p w:rsidR="00A9548F" w:rsidRDefault="00F6228E">
      <w:pPr>
        <w:spacing w:after="410" w:line="259" w:lineRule="auto"/>
        <w:ind w:left="0" w:right="0" w:firstLine="0"/>
        <w:jc w:val="left"/>
      </w:pPr>
      <w:r>
        <w:rPr>
          <w:b/>
        </w:rPr>
        <w:t xml:space="preserve"> </w:t>
      </w:r>
    </w:p>
    <w:p w:rsidR="00A9548F" w:rsidRDefault="00F6228E">
      <w:pPr>
        <w:spacing w:after="413" w:line="259" w:lineRule="auto"/>
        <w:ind w:left="0" w:right="0" w:firstLine="0"/>
        <w:jc w:val="left"/>
      </w:pPr>
      <w:r>
        <w:rPr>
          <w:b/>
        </w:rPr>
        <w:t xml:space="preserve"> </w:t>
      </w:r>
    </w:p>
    <w:p w:rsidR="00A9548F" w:rsidRDefault="00F6228E">
      <w:pPr>
        <w:spacing w:after="412" w:line="259" w:lineRule="auto"/>
        <w:ind w:left="0" w:right="0" w:firstLine="0"/>
        <w:jc w:val="left"/>
      </w:pPr>
      <w:r>
        <w:rPr>
          <w:b/>
        </w:rPr>
        <w:t xml:space="preserve"> </w:t>
      </w:r>
    </w:p>
    <w:p w:rsidR="00A9548F" w:rsidRDefault="00F6228E">
      <w:pPr>
        <w:spacing w:after="410" w:line="259" w:lineRule="auto"/>
        <w:ind w:left="0" w:right="0" w:firstLine="0"/>
        <w:jc w:val="left"/>
      </w:pPr>
      <w:r>
        <w:rPr>
          <w:b/>
        </w:rPr>
        <w:t xml:space="preserve"> </w:t>
      </w:r>
    </w:p>
    <w:p w:rsidR="00A9548F" w:rsidRDefault="00F6228E">
      <w:pPr>
        <w:spacing w:after="412" w:line="259" w:lineRule="auto"/>
        <w:ind w:left="0" w:right="0" w:firstLine="0"/>
        <w:jc w:val="left"/>
      </w:pPr>
      <w:r>
        <w:rPr>
          <w:b/>
        </w:rPr>
        <w:t xml:space="preserve"> </w:t>
      </w:r>
    </w:p>
    <w:p w:rsidR="00A9548F" w:rsidRDefault="00F6228E">
      <w:pPr>
        <w:spacing w:after="413" w:line="259" w:lineRule="auto"/>
        <w:ind w:left="0" w:right="0" w:firstLine="0"/>
        <w:jc w:val="left"/>
      </w:pPr>
      <w:r>
        <w:rPr>
          <w:b/>
        </w:rPr>
        <w:t xml:space="preserve"> </w:t>
      </w:r>
    </w:p>
    <w:p w:rsidR="00A9548F" w:rsidRDefault="00F6228E">
      <w:pPr>
        <w:spacing w:after="0" w:line="259" w:lineRule="auto"/>
        <w:ind w:left="0" w:right="0" w:firstLine="0"/>
        <w:jc w:val="left"/>
      </w:pPr>
      <w:r>
        <w:rPr>
          <w:b/>
        </w:rPr>
        <w:t xml:space="preserve"> </w:t>
      </w:r>
    </w:p>
    <w:p w:rsidR="00A9548F" w:rsidRDefault="00F6228E">
      <w:pPr>
        <w:pStyle w:val="Heading2"/>
        <w:spacing w:after="404"/>
        <w:ind w:right="65"/>
        <w:jc w:val="center"/>
      </w:pPr>
      <w:r>
        <w:lastRenderedPageBreak/>
        <w:t xml:space="preserve">ACKNOWLEDFGEMENT </w:t>
      </w:r>
    </w:p>
    <w:p w:rsidR="00A9548F" w:rsidRDefault="00F6228E">
      <w:pPr>
        <w:spacing w:after="160" w:line="357" w:lineRule="auto"/>
        <w:ind w:left="-5" w:right="64"/>
      </w:pPr>
      <w:r>
        <w:t>All praise and adoration belongs to Almighty Allah, the Lord of the Universe, the creator of all creatures, the owner of wisdom and the Master of the day of recompense, I glorify and honour him for giving me the strength to accomplish another stage of my a</w:t>
      </w:r>
      <w:r>
        <w:t xml:space="preserve">cademic pursuit. </w:t>
      </w:r>
    </w:p>
    <w:p w:rsidR="00A9548F" w:rsidRDefault="00F6228E">
      <w:pPr>
        <w:spacing w:after="159" w:line="357" w:lineRule="auto"/>
        <w:ind w:left="-5" w:right="58"/>
      </w:pPr>
      <w:r>
        <w:t xml:space="preserve">I specially wish to express my deep appreciation and sincere gratitude to my supervisor, </w:t>
      </w:r>
      <w:r>
        <w:rPr>
          <w:b/>
        </w:rPr>
        <w:t xml:space="preserve">YAHAYA (MNITP, RTP) </w:t>
      </w:r>
      <w:r>
        <w:t>for all his constructive critics towards the success of this research work. Also, I cannot forget to acknowledge the effort of th</w:t>
      </w:r>
      <w:r>
        <w:t xml:space="preserve">e Head of Department, </w:t>
      </w:r>
      <w:r>
        <w:rPr>
          <w:b/>
        </w:rPr>
        <w:t>TPL. E. S. ADEKANYE</w:t>
      </w:r>
      <w:r>
        <w:t xml:space="preserve">, the Project Coordinator, </w:t>
      </w:r>
      <w:r>
        <w:rPr>
          <w:b/>
        </w:rPr>
        <w:t>TPL. MRS. M. I. YAHAYA</w:t>
      </w:r>
      <w:r>
        <w:t xml:space="preserve"> and all lecturers and staff of the department of Urban and Regional Planning, Kwara State Polytechnic, Ilorin. </w:t>
      </w:r>
    </w:p>
    <w:p w:rsidR="00A9548F" w:rsidRDefault="00F6228E">
      <w:pPr>
        <w:spacing w:after="1" w:line="357" w:lineRule="auto"/>
        <w:ind w:left="-5" w:right="59"/>
      </w:pPr>
      <w:r>
        <w:t xml:space="preserve">I sincerely appreciate my parents, </w:t>
      </w:r>
      <w:r>
        <w:rPr>
          <w:b/>
        </w:rPr>
        <w:t>MR. &amp; MRS. ADEBAYO</w:t>
      </w:r>
      <w:r>
        <w:t xml:space="preserve"> for their support, love, understanding, encouragement and relentless assistance and care, may almighty Allah bless them and grant them long life to enjoy the fruit of labour. My profound gratitude also goes to my family as a whole. I cannot forget to expr</w:t>
      </w:r>
      <w:r>
        <w:t xml:space="preserve">ess my gratitude to my fellow colleagues, whose efforts towards the success of this research are immeasurable and my friends from day one, I thank you all for what you all have impacted in me throughout my stay in the department of </w:t>
      </w:r>
    </w:p>
    <w:p w:rsidR="00A9548F" w:rsidRDefault="00F6228E">
      <w:pPr>
        <w:spacing w:after="161" w:line="356" w:lineRule="auto"/>
        <w:ind w:left="-5" w:right="0"/>
      </w:pPr>
      <w:r>
        <w:t xml:space="preserve">Urban and Regional Planning and the awesome citadel of learning (Kwara State Polytechnic, Ilorin). </w:t>
      </w:r>
    </w:p>
    <w:p w:rsidR="00A9548F" w:rsidRDefault="00F6228E">
      <w:pPr>
        <w:spacing w:after="162" w:line="357" w:lineRule="auto"/>
        <w:ind w:left="-5" w:right="60"/>
      </w:pPr>
      <w:r>
        <w:t xml:space="preserve">Special thanks and gratitude to all my lecturers and other well-wishers such as </w:t>
      </w:r>
      <w:r>
        <w:rPr>
          <w:b/>
        </w:rPr>
        <w:t>AMUDAT ONAOLAPO ADEBAYO</w:t>
      </w:r>
      <w:r>
        <w:t xml:space="preserve"> and the likes, for their kind support throughout the</w:t>
      </w:r>
      <w:r>
        <w:t xml:space="preserve"> period of this great task.  </w:t>
      </w:r>
    </w:p>
    <w:p w:rsidR="00A9548F" w:rsidRDefault="00F6228E">
      <w:pPr>
        <w:spacing w:after="164" w:line="358" w:lineRule="auto"/>
        <w:ind w:left="-5" w:right="62"/>
      </w:pPr>
      <w:r>
        <w:t>Finally let me sincerely appreciate my friends for their assistance, encouragement during the period of my study and their love in every aspect, may God Almighty reward you all abundantly. Once again, I thank you all for suppo</w:t>
      </w:r>
      <w:r>
        <w:t xml:space="preserve">rting the dream; the dream leaves on! </w:t>
      </w:r>
    </w:p>
    <w:p w:rsidR="00A9548F" w:rsidRDefault="00F6228E">
      <w:pPr>
        <w:spacing w:after="273" w:line="259" w:lineRule="auto"/>
        <w:ind w:left="0" w:right="2" w:firstLine="0"/>
        <w:jc w:val="center"/>
      </w:pPr>
      <w:r>
        <w:rPr>
          <w:b/>
        </w:rPr>
        <w:t xml:space="preserve"> </w:t>
      </w:r>
    </w:p>
    <w:p w:rsidR="00A9548F" w:rsidRDefault="00F6228E">
      <w:pPr>
        <w:spacing w:after="273" w:line="259" w:lineRule="auto"/>
        <w:ind w:left="0" w:right="2" w:firstLine="0"/>
        <w:jc w:val="center"/>
      </w:pPr>
      <w:r>
        <w:rPr>
          <w:b/>
        </w:rPr>
        <w:t xml:space="preserve"> </w:t>
      </w:r>
    </w:p>
    <w:p w:rsidR="00A9548F" w:rsidRDefault="00F6228E">
      <w:pPr>
        <w:spacing w:after="273" w:line="259" w:lineRule="auto"/>
        <w:ind w:left="0" w:right="2" w:firstLine="0"/>
        <w:jc w:val="center"/>
      </w:pPr>
      <w:r>
        <w:rPr>
          <w:b/>
        </w:rPr>
        <w:t xml:space="preserve"> </w:t>
      </w:r>
    </w:p>
    <w:p w:rsidR="00A9548F" w:rsidRDefault="00F6228E">
      <w:pPr>
        <w:spacing w:after="0" w:line="259" w:lineRule="auto"/>
        <w:ind w:left="0" w:right="2" w:firstLine="0"/>
        <w:jc w:val="center"/>
      </w:pPr>
      <w:r>
        <w:rPr>
          <w:b/>
        </w:rPr>
        <w:t xml:space="preserve"> </w:t>
      </w:r>
    </w:p>
    <w:p w:rsidR="00A9548F" w:rsidRDefault="00F6228E">
      <w:pPr>
        <w:pStyle w:val="Heading2"/>
        <w:spacing w:after="248"/>
        <w:ind w:right="65"/>
        <w:jc w:val="center"/>
      </w:pPr>
      <w:r>
        <w:lastRenderedPageBreak/>
        <w:t>TABLE OF CONTENTS</w:t>
      </w:r>
      <w:r>
        <w:rPr>
          <w:b w:val="0"/>
        </w:rPr>
        <w:t xml:space="preserve"> </w:t>
      </w:r>
    </w:p>
    <w:p w:rsidR="00A9548F" w:rsidRDefault="00F6228E">
      <w:pPr>
        <w:tabs>
          <w:tab w:val="center" w:pos="1440"/>
          <w:tab w:val="center" w:pos="2161"/>
          <w:tab w:val="center" w:pos="2881"/>
          <w:tab w:val="center" w:pos="3601"/>
          <w:tab w:val="center" w:pos="4321"/>
          <w:tab w:val="center" w:pos="5041"/>
          <w:tab w:val="center" w:pos="5761"/>
          <w:tab w:val="center" w:pos="6481"/>
          <w:tab w:val="center" w:pos="7202"/>
          <w:tab w:val="center" w:pos="7922"/>
          <w:tab w:val="center" w:pos="8675"/>
        </w:tabs>
        <w:spacing w:after="17"/>
        <w:ind w:left="-15" w:right="0" w:firstLine="0"/>
        <w:jc w:val="left"/>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 </w:t>
      </w:r>
    </w:p>
    <w:p w:rsidR="00A9548F" w:rsidRDefault="00F6228E">
      <w:pPr>
        <w:tabs>
          <w:tab w:val="center" w:pos="2161"/>
          <w:tab w:val="center" w:pos="2881"/>
          <w:tab w:val="center" w:pos="3601"/>
          <w:tab w:val="center" w:pos="4321"/>
          <w:tab w:val="center" w:pos="5041"/>
          <w:tab w:val="center" w:pos="5761"/>
          <w:tab w:val="center" w:pos="6481"/>
          <w:tab w:val="center" w:pos="7202"/>
          <w:tab w:val="center" w:pos="7922"/>
          <w:tab w:val="center" w:pos="8708"/>
        </w:tabs>
        <w:spacing w:after="17"/>
        <w:ind w:left="-15" w:right="0" w:firstLine="0"/>
        <w:jc w:val="left"/>
      </w:pPr>
      <w:r>
        <w:t xml:space="preserve">Certification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 </w:t>
      </w:r>
    </w:p>
    <w:p w:rsidR="00A9548F" w:rsidRDefault="00F6228E">
      <w:pPr>
        <w:tabs>
          <w:tab w:val="center" w:pos="1440"/>
          <w:tab w:val="center" w:pos="2161"/>
          <w:tab w:val="center" w:pos="2881"/>
          <w:tab w:val="center" w:pos="3601"/>
          <w:tab w:val="center" w:pos="4321"/>
          <w:tab w:val="center" w:pos="5041"/>
          <w:tab w:val="center" w:pos="5761"/>
          <w:tab w:val="center" w:pos="6481"/>
          <w:tab w:val="center" w:pos="7202"/>
          <w:tab w:val="center" w:pos="7922"/>
          <w:tab w:val="center" w:pos="8742"/>
        </w:tabs>
        <w:spacing w:after="17"/>
        <w:ind w:left="-15" w:right="0" w:firstLine="0"/>
        <w:jc w:val="left"/>
      </w:pPr>
      <w:r>
        <w:t xml:space="preserve">Dedication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iii </w:t>
      </w:r>
    </w:p>
    <w:p w:rsidR="00A9548F" w:rsidRDefault="00F6228E">
      <w:pPr>
        <w:tabs>
          <w:tab w:val="center" w:pos="2161"/>
          <w:tab w:val="center" w:pos="2881"/>
          <w:tab w:val="center" w:pos="3601"/>
          <w:tab w:val="center" w:pos="4321"/>
          <w:tab w:val="center" w:pos="5041"/>
          <w:tab w:val="center" w:pos="5761"/>
          <w:tab w:val="center" w:pos="6481"/>
          <w:tab w:val="center" w:pos="7202"/>
          <w:tab w:val="center" w:pos="7922"/>
          <w:tab w:val="center" w:pos="8735"/>
        </w:tabs>
        <w:spacing w:after="19"/>
        <w:ind w:left="-15" w:right="0" w:firstLine="0"/>
        <w:jc w:val="left"/>
      </w:pPr>
      <w:r>
        <w:t xml:space="preserve">Acknowledgement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iv </w:t>
      </w:r>
    </w:p>
    <w:p w:rsidR="00A9548F" w:rsidRDefault="00F6228E">
      <w:pPr>
        <w:tabs>
          <w:tab w:val="center" w:pos="2161"/>
          <w:tab w:val="center" w:pos="2881"/>
          <w:tab w:val="center" w:pos="3601"/>
          <w:tab w:val="center" w:pos="4321"/>
          <w:tab w:val="center" w:pos="5041"/>
          <w:tab w:val="center" w:pos="5761"/>
          <w:tab w:val="center" w:pos="6481"/>
          <w:tab w:val="center" w:pos="7202"/>
          <w:tab w:val="center" w:pos="7922"/>
          <w:tab w:val="center" w:pos="8702"/>
        </w:tabs>
        <w:spacing w:after="17"/>
        <w:ind w:left="-15" w:right="0" w:firstLine="0"/>
        <w:jc w:val="left"/>
      </w:pPr>
      <w:r>
        <w:t xml:space="preserve">Table of content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 </w:t>
      </w:r>
    </w:p>
    <w:p w:rsidR="00A9548F" w:rsidRDefault="00F6228E">
      <w:pPr>
        <w:tabs>
          <w:tab w:val="center" w:pos="1440"/>
          <w:tab w:val="center" w:pos="2161"/>
          <w:tab w:val="center" w:pos="2881"/>
          <w:tab w:val="center" w:pos="3601"/>
          <w:tab w:val="center" w:pos="4321"/>
          <w:tab w:val="center" w:pos="5041"/>
          <w:tab w:val="center" w:pos="5761"/>
          <w:tab w:val="center" w:pos="6481"/>
          <w:tab w:val="center" w:pos="7202"/>
          <w:tab w:val="center" w:pos="7922"/>
          <w:tab w:val="center" w:pos="8768"/>
        </w:tabs>
        <w:spacing w:after="22"/>
        <w:ind w:left="-15" w:right="0" w:firstLine="0"/>
        <w:jc w:val="left"/>
      </w:pPr>
      <w:r>
        <w:t xml:space="preserve">Abstract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vii </w:t>
      </w:r>
    </w:p>
    <w:p w:rsidR="00A9548F" w:rsidRDefault="00F6228E">
      <w:pPr>
        <w:pStyle w:val="Heading1"/>
        <w:spacing w:after="6"/>
        <w:ind w:left="-5" w:right="0"/>
      </w:pPr>
      <w:r>
        <w:t>Chapter One: Introduction</w:t>
      </w:r>
      <w:r>
        <w:rPr>
          <w:b w:val="0"/>
        </w:rPr>
        <w:t xml:space="preserve"> </w:t>
      </w:r>
    </w:p>
    <w:p w:rsidR="00A9548F" w:rsidRDefault="00F6228E">
      <w:pPr>
        <w:tabs>
          <w:tab w:val="center" w:pos="3601"/>
          <w:tab w:val="center" w:pos="4321"/>
          <w:tab w:val="center" w:pos="5041"/>
          <w:tab w:val="center" w:pos="5761"/>
          <w:tab w:val="center" w:pos="6481"/>
          <w:tab w:val="center" w:pos="7202"/>
          <w:tab w:val="center" w:pos="7922"/>
          <w:tab w:val="center" w:pos="8702"/>
        </w:tabs>
        <w:spacing w:after="20"/>
        <w:ind w:left="-15" w:right="0" w:firstLine="0"/>
        <w:jc w:val="left"/>
      </w:pPr>
      <w:r>
        <w:t xml:space="preserve">1.1 Background to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1 </w:t>
      </w:r>
    </w:p>
    <w:p w:rsidR="00A9548F" w:rsidRDefault="00F6228E">
      <w:pPr>
        <w:tabs>
          <w:tab w:val="center" w:pos="3601"/>
          <w:tab w:val="center" w:pos="4321"/>
          <w:tab w:val="center" w:pos="5041"/>
          <w:tab w:val="center" w:pos="5761"/>
          <w:tab w:val="center" w:pos="6481"/>
          <w:tab w:val="center" w:pos="7202"/>
          <w:tab w:val="center" w:pos="7922"/>
          <w:tab w:val="center" w:pos="8702"/>
        </w:tabs>
        <w:spacing w:after="17"/>
        <w:ind w:left="-15" w:right="0" w:firstLine="0"/>
        <w:jc w:val="left"/>
      </w:pPr>
      <w:r>
        <w:t xml:space="preserve">1.2 Statement of the Problem  </w:t>
      </w:r>
      <w:r>
        <w:tab/>
        <w:t xml:space="preserve"> </w:t>
      </w:r>
      <w:r>
        <w:tab/>
        <w:t xml:space="preserve"> </w:t>
      </w:r>
      <w:r>
        <w:tab/>
        <w:t xml:space="preserve"> </w:t>
      </w:r>
      <w:r>
        <w:tab/>
        <w:t xml:space="preserve"> </w:t>
      </w:r>
      <w:r>
        <w:tab/>
        <w:t xml:space="preserve"> </w:t>
      </w:r>
      <w:r>
        <w:tab/>
        <w:t xml:space="preserve"> </w:t>
      </w:r>
      <w:r>
        <w:tab/>
        <w:t xml:space="preserve"> </w:t>
      </w:r>
      <w:r>
        <w:tab/>
        <w:t xml:space="preserve">4 </w:t>
      </w:r>
    </w:p>
    <w:p w:rsidR="00A9548F" w:rsidRDefault="00F6228E">
      <w:pPr>
        <w:tabs>
          <w:tab w:val="center" w:pos="3601"/>
          <w:tab w:val="center" w:pos="4321"/>
          <w:tab w:val="center" w:pos="5041"/>
          <w:tab w:val="center" w:pos="5761"/>
          <w:tab w:val="center" w:pos="6481"/>
          <w:tab w:val="center" w:pos="7202"/>
          <w:tab w:val="center" w:pos="7922"/>
          <w:tab w:val="center" w:pos="8702"/>
        </w:tabs>
        <w:spacing w:after="17"/>
        <w:ind w:left="-15" w:right="0" w:firstLine="0"/>
        <w:jc w:val="left"/>
      </w:pPr>
      <w:r>
        <w:t xml:space="preserve">1.3 Research Aims and Objectives </w:t>
      </w:r>
      <w:r>
        <w:tab/>
        <w:t xml:space="preserve"> </w:t>
      </w:r>
      <w:r>
        <w:tab/>
        <w:t xml:space="preserve"> </w:t>
      </w:r>
      <w:r>
        <w:tab/>
        <w:t xml:space="preserve"> </w:t>
      </w:r>
      <w:r>
        <w:tab/>
        <w:t xml:space="preserve"> </w:t>
      </w:r>
      <w:r>
        <w:tab/>
        <w:t xml:space="preserve"> </w:t>
      </w:r>
      <w:r>
        <w:tab/>
        <w:t xml:space="preserve"> </w:t>
      </w:r>
      <w:r>
        <w:tab/>
        <w:t xml:space="preserve"> </w:t>
      </w:r>
      <w:r>
        <w:tab/>
        <w:t xml:space="preserve">5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02"/>
        </w:tabs>
        <w:spacing w:after="17"/>
        <w:ind w:left="-15" w:right="0" w:firstLine="0"/>
        <w:jc w:val="left"/>
      </w:pPr>
      <w:r>
        <w:t xml:space="preserve">1.4 Research Questions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6 </w:t>
      </w:r>
    </w:p>
    <w:p w:rsidR="00A9548F" w:rsidRDefault="00F6228E">
      <w:pPr>
        <w:tabs>
          <w:tab w:val="center" w:pos="4321"/>
          <w:tab w:val="center" w:pos="5041"/>
          <w:tab w:val="center" w:pos="5761"/>
          <w:tab w:val="center" w:pos="6481"/>
          <w:tab w:val="center" w:pos="7202"/>
          <w:tab w:val="center" w:pos="7922"/>
          <w:tab w:val="center" w:pos="8702"/>
        </w:tabs>
        <w:spacing w:after="19"/>
        <w:ind w:left="-15" w:right="0" w:firstLine="0"/>
        <w:jc w:val="left"/>
      </w:pPr>
      <w:r>
        <w:t xml:space="preserve">1.5 Scope and Delimitations of the Study </w:t>
      </w:r>
      <w:r>
        <w:tab/>
        <w:t xml:space="preserve"> </w:t>
      </w:r>
      <w:r>
        <w:tab/>
        <w:t xml:space="preserve"> </w:t>
      </w:r>
      <w:r>
        <w:tab/>
        <w:t xml:space="preserve"> </w:t>
      </w:r>
      <w:r>
        <w:tab/>
        <w:t xml:space="preserve"> </w:t>
      </w:r>
      <w:r>
        <w:tab/>
        <w:t xml:space="preserve"> </w:t>
      </w:r>
      <w:r>
        <w:tab/>
        <w:t xml:space="preserve"> </w:t>
      </w:r>
      <w:r>
        <w:tab/>
        <w:t xml:space="preserve">6 </w:t>
      </w:r>
    </w:p>
    <w:p w:rsidR="00A9548F" w:rsidRDefault="00F6228E">
      <w:pPr>
        <w:tabs>
          <w:tab w:val="center" w:pos="3601"/>
          <w:tab w:val="center" w:pos="4321"/>
          <w:tab w:val="center" w:pos="5041"/>
          <w:tab w:val="center" w:pos="5761"/>
          <w:tab w:val="center" w:pos="6481"/>
          <w:tab w:val="center" w:pos="7202"/>
          <w:tab w:val="center" w:pos="7922"/>
          <w:tab w:val="center" w:pos="8702"/>
        </w:tabs>
        <w:spacing w:after="17"/>
        <w:ind w:left="-15" w:right="0" w:firstLine="0"/>
        <w:jc w:val="left"/>
      </w:pPr>
      <w:r>
        <w:t xml:space="preserve">1.6 Significance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7 </w:t>
      </w:r>
    </w:p>
    <w:p w:rsidR="00A9548F" w:rsidRDefault="00F6228E">
      <w:pPr>
        <w:tabs>
          <w:tab w:val="center" w:pos="2161"/>
          <w:tab w:val="center" w:pos="2881"/>
          <w:tab w:val="center" w:pos="3601"/>
          <w:tab w:val="center" w:pos="4321"/>
          <w:tab w:val="center" w:pos="5041"/>
          <w:tab w:val="center" w:pos="5761"/>
          <w:tab w:val="center" w:pos="6481"/>
          <w:tab w:val="center" w:pos="7202"/>
          <w:tab w:val="center" w:pos="7922"/>
          <w:tab w:val="center" w:pos="8702"/>
        </w:tabs>
        <w:spacing w:after="17"/>
        <w:ind w:left="-15" w:right="0" w:firstLine="0"/>
        <w:jc w:val="left"/>
      </w:pPr>
      <w:r>
        <w:t xml:space="preserve">1.7 Study Area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7 </w:t>
      </w:r>
    </w:p>
    <w:p w:rsidR="00A9548F" w:rsidRDefault="00F6228E">
      <w:pPr>
        <w:tabs>
          <w:tab w:val="center" w:pos="4321"/>
          <w:tab w:val="center" w:pos="5041"/>
          <w:tab w:val="center" w:pos="5761"/>
          <w:tab w:val="center" w:pos="6481"/>
          <w:tab w:val="center" w:pos="7202"/>
          <w:tab w:val="center" w:pos="7922"/>
          <w:tab w:val="center" w:pos="8702"/>
        </w:tabs>
        <w:ind w:left="-15" w:right="0" w:firstLine="0"/>
        <w:jc w:val="left"/>
      </w:pPr>
      <w:r>
        <w:t xml:space="preserve">1.8 Operational Definition of Terms  </w:t>
      </w:r>
      <w:r>
        <w:tab/>
        <w:t xml:space="preserve"> </w:t>
      </w:r>
      <w:r>
        <w:tab/>
        <w:t xml:space="preserve"> </w:t>
      </w:r>
      <w:r>
        <w:tab/>
        <w:t xml:space="preserve"> </w:t>
      </w:r>
      <w:r>
        <w:tab/>
        <w:t xml:space="preserve"> </w:t>
      </w:r>
      <w:r>
        <w:tab/>
        <w:t xml:space="preserve"> </w:t>
      </w:r>
      <w:r>
        <w:tab/>
        <w:t xml:space="preserve"> </w:t>
      </w:r>
      <w:r>
        <w:tab/>
        <w:t xml:space="preserve">9 </w:t>
      </w:r>
    </w:p>
    <w:p w:rsidR="00A9548F" w:rsidRDefault="00F6228E">
      <w:pPr>
        <w:pStyle w:val="Heading3"/>
        <w:spacing w:after="0"/>
        <w:ind w:left="-5" w:right="0"/>
      </w:pPr>
      <w:r>
        <w:t>Chapter Two: Literature Review</w:t>
      </w:r>
      <w:r>
        <w:rPr>
          <w:b w:val="0"/>
        </w:rPr>
        <w:t xml:space="preserve"> </w:t>
      </w:r>
    </w:p>
    <w:p w:rsidR="00A9548F" w:rsidRDefault="00F6228E">
      <w:pPr>
        <w:tabs>
          <w:tab w:val="center" w:pos="5041"/>
          <w:tab w:val="center" w:pos="5761"/>
          <w:tab w:val="center" w:pos="6481"/>
          <w:tab w:val="center" w:pos="7202"/>
          <w:tab w:val="center" w:pos="7922"/>
          <w:tab w:val="center" w:pos="8762"/>
        </w:tabs>
        <w:spacing w:after="0"/>
        <w:ind w:left="-15" w:right="0" w:firstLine="0"/>
        <w:jc w:val="left"/>
      </w:pPr>
      <w:r>
        <w:t xml:space="preserve">2.1 Conceptual Clarifications on Gentrification </w:t>
      </w:r>
      <w:r>
        <w:tab/>
        <w:t xml:space="preserve"> </w:t>
      </w:r>
      <w:r>
        <w:tab/>
        <w:t xml:space="preserve"> </w:t>
      </w:r>
      <w:r>
        <w:tab/>
        <w:t xml:space="preserve"> </w:t>
      </w:r>
      <w:r>
        <w:tab/>
        <w:t xml:space="preserve"> </w:t>
      </w:r>
      <w:r>
        <w:tab/>
        <w:t xml:space="preserve"> </w:t>
      </w:r>
      <w:r>
        <w:tab/>
        <w:t xml:space="preserve">11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2.2 Theoretical Framework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11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2.2.1 Rent Gap Theory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11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2.2.2 Right to the City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13 </w:t>
      </w:r>
    </w:p>
    <w:p w:rsidR="00A9548F" w:rsidRDefault="00F6228E">
      <w:pPr>
        <w:tabs>
          <w:tab w:val="center" w:pos="4321"/>
          <w:tab w:val="center" w:pos="5041"/>
          <w:tab w:val="center" w:pos="5761"/>
          <w:tab w:val="center" w:pos="6481"/>
          <w:tab w:val="center" w:pos="7202"/>
          <w:tab w:val="center" w:pos="7922"/>
          <w:tab w:val="center" w:pos="8762"/>
        </w:tabs>
        <w:spacing w:after="0"/>
        <w:ind w:left="-15" w:right="0" w:firstLine="0"/>
        <w:jc w:val="left"/>
      </w:pPr>
      <w:r>
        <w:t xml:space="preserve">2.2.3 Urban Growth Machine Theory </w:t>
      </w:r>
      <w:r>
        <w:tab/>
        <w:t xml:space="preserve"> </w:t>
      </w:r>
      <w:r>
        <w:tab/>
        <w:t xml:space="preserve"> </w:t>
      </w:r>
      <w:r>
        <w:tab/>
        <w:t xml:space="preserve"> </w:t>
      </w:r>
      <w:r>
        <w:tab/>
        <w:t xml:space="preserve"> </w:t>
      </w:r>
      <w:r>
        <w:tab/>
        <w:t xml:space="preserve"> </w:t>
      </w:r>
      <w:r>
        <w:tab/>
        <w:t xml:space="preserve"> </w:t>
      </w:r>
      <w:r>
        <w:tab/>
        <w:t xml:space="preserve">14 </w:t>
      </w:r>
    </w:p>
    <w:p w:rsidR="00A9548F" w:rsidRDefault="00F6228E">
      <w:pPr>
        <w:tabs>
          <w:tab w:val="center" w:pos="6481"/>
          <w:tab w:val="center" w:pos="7202"/>
          <w:tab w:val="center" w:pos="7922"/>
          <w:tab w:val="center" w:pos="8762"/>
        </w:tabs>
        <w:spacing w:after="0"/>
        <w:ind w:left="-15" w:right="0" w:firstLine="0"/>
        <w:jc w:val="left"/>
      </w:pPr>
      <w:r>
        <w:t>2.3 Emp</w:t>
      </w:r>
      <w:r>
        <w:t xml:space="preserve">irical Review of Gentrification in Global Contexts  </w:t>
      </w:r>
      <w:r>
        <w:tab/>
        <w:t xml:space="preserve"> </w:t>
      </w:r>
      <w:r>
        <w:tab/>
        <w:t xml:space="preserve"> </w:t>
      </w:r>
      <w:r>
        <w:tab/>
        <w:t xml:space="preserve"> </w:t>
      </w:r>
      <w:r>
        <w:tab/>
        <w:t xml:space="preserve">15 </w:t>
      </w:r>
    </w:p>
    <w:p w:rsidR="00A9548F" w:rsidRDefault="00F6228E">
      <w:pPr>
        <w:tabs>
          <w:tab w:val="center" w:pos="5041"/>
          <w:tab w:val="center" w:pos="5761"/>
          <w:tab w:val="center" w:pos="6481"/>
          <w:tab w:val="center" w:pos="7202"/>
          <w:tab w:val="center" w:pos="7922"/>
          <w:tab w:val="center" w:pos="8762"/>
        </w:tabs>
        <w:spacing w:after="0"/>
        <w:ind w:left="-15" w:right="0" w:firstLine="0"/>
        <w:jc w:val="left"/>
      </w:pPr>
      <w:r>
        <w:t xml:space="preserve">2.4 Urban Development and Housing in Lagos </w:t>
      </w:r>
      <w:r>
        <w:tab/>
        <w:t xml:space="preserve"> </w:t>
      </w:r>
      <w:r>
        <w:tab/>
        <w:t xml:space="preserve"> </w:t>
      </w:r>
      <w:r>
        <w:tab/>
        <w:t xml:space="preserve"> </w:t>
      </w:r>
      <w:r>
        <w:tab/>
        <w:t xml:space="preserve"> </w:t>
      </w:r>
      <w:r>
        <w:tab/>
        <w:t xml:space="preserve"> </w:t>
      </w:r>
      <w:r>
        <w:tab/>
        <w:t xml:space="preserve">17 </w:t>
      </w:r>
    </w:p>
    <w:p w:rsidR="00A9548F" w:rsidRDefault="00F6228E">
      <w:pPr>
        <w:tabs>
          <w:tab w:val="center" w:pos="5041"/>
          <w:tab w:val="center" w:pos="5761"/>
          <w:tab w:val="center" w:pos="6481"/>
          <w:tab w:val="center" w:pos="7202"/>
          <w:tab w:val="center" w:pos="7922"/>
          <w:tab w:val="center" w:pos="8762"/>
        </w:tabs>
        <w:spacing w:after="0"/>
        <w:ind w:left="-15" w:right="0" w:firstLine="0"/>
        <w:jc w:val="left"/>
      </w:pPr>
      <w:r>
        <w:t xml:space="preserve">2.5 Socio-Economic Effects of Gentrification </w:t>
      </w:r>
      <w:r>
        <w:tab/>
        <w:t xml:space="preserve"> </w:t>
      </w:r>
      <w:r>
        <w:tab/>
        <w:t xml:space="preserve"> </w:t>
      </w:r>
      <w:r>
        <w:tab/>
        <w:t xml:space="preserve"> </w:t>
      </w:r>
      <w:r>
        <w:tab/>
        <w:t xml:space="preserve"> </w:t>
      </w:r>
      <w:r>
        <w:tab/>
        <w:t xml:space="preserve"> </w:t>
      </w:r>
      <w:r>
        <w:tab/>
        <w:t xml:space="preserve">18 </w:t>
      </w:r>
    </w:p>
    <w:p w:rsidR="00A9548F" w:rsidRDefault="00F6228E">
      <w:pPr>
        <w:tabs>
          <w:tab w:val="center" w:pos="5041"/>
          <w:tab w:val="center" w:pos="5761"/>
          <w:tab w:val="center" w:pos="6481"/>
          <w:tab w:val="center" w:pos="7202"/>
          <w:tab w:val="center" w:pos="7922"/>
          <w:tab w:val="center" w:pos="8762"/>
        </w:tabs>
        <w:spacing w:after="0"/>
        <w:ind w:left="-15" w:right="0" w:firstLine="0"/>
        <w:jc w:val="left"/>
      </w:pPr>
      <w:r>
        <w:t xml:space="preserve">2.6 Gentrification and Displacement in Lagos </w:t>
      </w:r>
      <w:r>
        <w:tab/>
        <w:t xml:space="preserve"> </w:t>
      </w:r>
      <w:r>
        <w:tab/>
        <w:t xml:space="preserve"> </w:t>
      </w:r>
      <w:r>
        <w:tab/>
        <w:t xml:space="preserve"> </w:t>
      </w:r>
      <w:r>
        <w:tab/>
        <w:t xml:space="preserve"> </w:t>
      </w:r>
      <w:r>
        <w:tab/>
        <w:t xml:space="preserve"> </w:t>
      </w:r>
      <w:r>
        <w:tab/>
        <w:t xml:space="preserve">18 </w:t>
      </w:r>
    </w:p>
    <w:p w:rsidR="00A9548F" w:rsidRDefault="00F6228E">
      <w:pPr>
        <w:tabs>
          <w:tab w:val="center" w:pos="6481"/>
          <w:tab w:val="center" w:pos="7202"/>
          <w:tab w:val="center" w:pos="7922"/>
          <w:tab w:val="center" w:pos="8762"/>
        </w:tabs>
        <w:spacing w:after="0"/>
        <w:ind w:left="-15" w:right="0" w:firstLine="0"/>
        <w:jc w:val="left"/>
      </w:pPr>
      <w:r>
        <w:t xml:space="preserve">2.7 Review of Relevant Policies and Institutional Frameworks </w:t>
      </w:r>
      <w:r>
        <w:tab/>
        <w:t xml:space="preserve"> </w:t>
      </w:r>
      <w:r>
        <w:tab/>
        <w:t xml:space="preserve"> </w:t>
      </w:r>
      <w:r>
        <w:tab/>
        <w:t xml:space="preserve"> </w:t>
      </w:r>
      <w:r>
        <w:tab/>
        <w:t xml:space="preserve">19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259"/>
        <w:ind w:left="-15" w:right="0" w:firstLine="0"/>
        <w:jc w:val="left"/>
      </w:pPr>
      <w:r>
        <w:t xml:space="preserve">2.8 Gaps in the Literature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19 </w:t>
      </w:r>
    </w:p>
    <w:p w:rsidR="00A9548F" w:rsidRDefault="00F6228E">
      <w:pPr>
        <w:pStyle w:val="Heading3"/>
        <w:tabs>
          <w:tab w:val="center" w:pos="4321"/>
          <w:tab w:val="center" w:pos="5041"/>
          <w:tab w:val="center" w:pos="5761"/>
          <w:tab w:val="center" w:pos="6481"/>
        </w:tabs>
        <w:spacing w:after="0"/>
        <w:ind w:left="-15" w:right="0" w:firstLine="0"/>
      </w:pPr>
      <w:r>
        <w:t xml:space="preserve">Chapter Three: Research Methodology </w:t>
      </w:r>
      <w:r>
        <w:tab/>
        <w:t xml:space="preserve"> </w:t>
      </w:r>
      <w:r>
        <w:tab/>
        <w:t xml:space="preserve"> </w:t>
      </w:r>
      <w:r>
        <w:tab/>
        <w:t xml:space="preserve"> </w:t>
      </w:r>
      <w:r>
        <w:tab/>
      </w:r>
      <w:r>
        <w:rPr>
          <w:b w:val="0"/>
        </w:rPr>
        <w:t xml:space="preserve">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3.1 Research Design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20 </w:t>
      </w:r>
    </w:p>
    <w:p w:rsidR="00A9548F" w:rsidRDefault="00F6228E">
      <w:pPr>
        <w:tabs>
          <w:tab w:val="center" w:pos="5041"/>
          <w:tab w:val="center" w:pos="5761"/>
          <w:tab w:val="center" w:pos="6481"/>
          <w:tab w:val="center" w:pos="7202"/>
          <w:tab w:val="center" w:pos="7922"/>
          <w:tab w:val="center" w:pos="8762"/>
        </w:tabs>
        <w:spacing w:after="0"/>
        <w:ind w:left="-15" w:right="0" w:firstLine="0"/>
        <w:jc w:val="left"/>
      </w:pPr>
      <w:r>
        <w:t xml:space="preserve">3.2 Study Area and Rationale for Selection  </w:t>
      </w:r>
      <w:r>
        <w:tab/>
        <w:t xml:space="preserve"> </w:t>
      </w:r>
      <w:r>
        <w:tab/>
        <w:t xml:space="preserve"> </w:t>
      </w:r>
      <w:r>
        <w:tab/>
      </w:r>
      <w:r>
        <w:t xml:space="preserve"> </w:t>
      </w:r>
      <w:r>
        <w:tab/>
        <w:t xml:space="preserve"> </w:t>
      </w:r>
      <w:r>
        <w:tab/>
        <w:t xml:space="preserve"> </w:t>
      </w:r>
      <w:r>
        <w:tab/>
        <w:t xml:space="preserve">20 </w:t>
      </w:r>
    </w:p>
    <w:p w:rsidR="00A9548F" w:rsidRDefault="00F6228E">
      <w:pPr>
        <w:spacing w:after="0"/>
        <w:ind w:left="-5" w:right="0"/>
      </w:pPr>
      <w:r>
        <w:t xml:space="preserve">3.3 Population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21 3.4 Sampling Technique and Sample Size </w:t>
      </w:r>
      <w:r>
        <w:tab/>
        <w:t xml:space="preserve"> </w:t>
      </w:r>
      <w:r>
        <w:tab/>
        <w:t xml:space="preserve"> </w:t>
      </w:r>
      <w:r>
        <w:tab/>
        <w:t xml:space="preserve"> </w:t>
      </w:r>
      <w:r>
        <w:tab/>
        <w:t xml:space="preserve"> </w:t>
      </w:r>
      <w:r>
        <w:tab/>
        <w:t xml:space="preserve"> </w:t>
      </w:r>
      <w:r>
        <w:tab/>
        <w:t xml:space="preserve"> </w:t>
      </w:r>
      <w:r>
        <w:tab/>
        <w:t xml:space="preserve">21 </w:t>
      </w:r>
    </w:p>
    <w:p w:rsidR="00A9548F" w:rsidRDefault="00F6228E">
      <w:pPr>
        <w:tabs>
          <w:tab w:val="center" w:pos="2161"/>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3.5 Data Sources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22 </w:t>
      </w:r>
    </w:p>
    <w:p w:rsidR="00A9548F" w:rsidRDefault="00F6228E">
      <w:pPr>
        <w:tabs>
          <w:tab w:val="center" w:pos="2161"/>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3.5.1 Primary Data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22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3.5.2 Secondary Data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23 </w:t>
      </w:r>
    </w:p>
    <w:p w:rsidR="00A9548F" w:rsidRDefault="00F6228E">
      <w:pPr>
        <w:tabs>
          <w:tab w:val="center" w:pos="4321"/>
          <w:tab w:val="center" w:pos="5041"/>
          <w:tab w:val="center" w:pos="5761"/>
          <w:tab w:val="center" w:pos="6481"/>
          <w:tab w:val="center" w:pos="7202"/>
          <w:tab w:val="center" w:pos="7922"/>
          <w:tab w:val="center" w:pos="8762"/>
        </w:tabs>
        <w:spacing w:after="0"/>
        <w:ind w:left="-15" w:right="0" w:firstLine="0"/>
        <w:jc w:val="left"/>
      </w:pPr>
      <w:r>
        <w:t xml:space="preserve">3.6 Instruments for Data Collection  </w:t>
      </w:r>
      <w:r>
        <w:tab/>
        <w:t xml:space="preserve"> </w:t>
      </w:r>
      <w:r>
        <w:tab/>
        <w:t xml:space="preserve"> </w:t>
      </w:r>
      <w:r>
        <w:tab/>
        <w:t xml:space="preserve"> </w:t>
      </w:r>
      <w:r>
        <w:tab/>
        <w:t xml:space="preserve"> </w:t>
      </w:r>
      <w:r>
        <w:tab/>
        <w:t xml:space="preserve"> </w:t>
      </w:r>
      <w:r>
        <w:tab/>
        <w:t xml:space="preserve"> </w:t>
      </w:r>
      <w:r>
        <w:tab/>
        <w:t xml:space="preserve">23 </w:t>
      </w:r>
    </w:p>
    <w:p w:rsidR="00A9548F" w:rsidRDefault="00F6228E">
      <w:pPr>
        <w:tabs>
          <w:tab w:val="center" w:pos="3601"/>
          <w:tab w:val="center" w:pos="4321"/>
          <w:tab w:val="center" w:pos="5041"/>
          <w:tab w:val="center" w:pos="5761"/>
          <w:tab w:val="center" w:pos="6481"/>
          <w:tab w:val="center" w:pos="7202"/>
          <w:tab w:val="center" w:pos="7922"/>
          <w:tab w:val="center" w:pos="8762"/>
        </w:tabs>
        <w:spacing w:after="262"/>
        <w:ind w:left="-15" w:right="0" w:firstLine="0"/>
        <w:jc w:val="left"/>
      </w:pPr>
      <w:r>
        <w:t xml:space="preserve">3.7 Method of Data Analysis  </w:t>
      </w:r>
      <w:r>
        <w:tab/>
        <w:t xml:space="preserve"> </w:t>
      </w:r>
      <w:r>
        <w:tab/>
        <w:t xml:space="preserve"> </w:t>
      </w:r>
      <w:r>
        <w:tab/>
        <w:t xml:space="preserve"> </w:t>
      </w:r>
      <w:r>
        <w:tab/>
        <w:t xml:space="preserve"> </w:t>
      </w:r>
      <w:r>
        <w:tab/>
        <w:t xml:space="preserve"> </w:t>
      </w:r>
      <w:r>
        <w:tab/>
        <w:t xml:space="preserve"> </w:t>
      </w:r>
      <w:r>
        <w:tab/>
        <w:t xml:space="preserve"> </w:t>
      </w:r>
      <w:r>
        <w:tab/>
        <w:t xml:space="preserve">24 </w:t>
      </w:r>
    </w:p>
    <w:p w:rsidR="00A9548F" w:rsidRDefault="00F6228E">
      <w:pPr>
        <w:pStyle w:val="Heading3"/>
        <w:spacing w:after="0"/>
        <w:ind w:left="-5" w:right="0"/>
      </w:pPr>
      <w:r>
        <w:t>Chapter Four: Data Presentation and Analysis</w:t>
      </w:r>
      <w:r>
        <w:rPr>
          <w:b w:val="0"/>
        </w:rPr>
        <w:t xml:space="preserve"> </w:t>
      </w:r>
    </w:p>
    <w:p w:rsidR="00A9548F" w:rsidRDefault="00F6228E">
      <w:pPr>
        <w:tabs>
          <w:tab w:val="center" w:pos="2161"/>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4.1 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25 </w:t>
      </w:r>
    </w:p>
    <w:p w:rsidR="00A9548F" w:rsidRDefault="00F6228E">
      <w:pPr>
        <w:tabs>
          <w:tab w:val="center" w:pos="4321"/>
          <w:tab w:val="center" w:pos="5041"/>
          <w:tab w:val="center" w:pos="5761"/>
          <w:tab w:val="center" w:pos="6481"/>
          <w:tab w:val="center" w:pos="7202"/>
          <w:tab w:val="center" w:pos="7922"/>
          <w:tab w:val="center" w:pos="8762"/>
        </w:tabs>
        <w:ind w:left="-15" w:right="0" w:firstLine="0"/>
        <w:jc w:val="left"/>
      </w:pPr>
      <w:r>
        <w:lastRenderedPageBreak/>
        <w:t xml:space="preserve">4.2 Demographic Profile of Respondents </w:t>
      </w:r>
      <w:r>
        <w:tab/>
        <w:t xml:space="preserve"> </w:t>
      </w:r>
      <w:r>
        <w:tab/>
        <w:t xml:space="preserve"> </w:t>
      </w:r>
      <w:r>
        <w:tab/>
        <w:t xml:space="preserve"> </w:t>
      </w:r>
      <w:r>
        <w:tab/>
        <w:t xml:space="preserve"> </w:t>
      </w:r>
      <w:r>
        <w:tab/>
        <w:t xml:space="preserve"> </w:t>
      </w:r>
      <w:r>
        <w:tab/>
        <w:t xml:space="preserve"> </w:t>
      </w:r>
      <w:r>
        <w:tab/>
        <w:t xml:space="preserve">25 </w:t>
      </w:r>
    </w:p>
    <w:p w:rsidR="00A9548F" w:rsidRDefault="00F6228E">
      <w:pPr>
        <w:tabs>
          <w:tab w:val="center" w:pos="5041"/>
          <w:tab w:val="center" w:pos="5761"/>
          <w:tab w:val="center" w:pos="6481"/>
          <w:tab w:val="center" w:pos="7202"/>
          <w:tab w:val="center" w:pos="7922"/>
          <w:tab w:val="center" w:pos="8762"/>
        </w:tabs>
        <w:spacing w:after="0"/>
        <w:ind w:left="-15" w:right="0" w:firstLine="0"/>
        <w:jc w:val="left"/>
      </w:pPr>
      <w:r>
        <w:t>4.3 Socio-</w:t>
      </w:r>
      <w:r>
        <w:t xml:space="preserve">Economic Impacts of Gentrification </w:t>
      </w:r>
      <w:r>
        <w:tab/>
        <w:t xml:space="preserve"> </w:t>
      </w:r>
      <w:r>
        <w:tab/>
        <w:t xml:space="preserve"> </w:t>
      </w:r>
      <w:r>
        <w:tab/>
        <w:t xml:space="preserve"> </w:t>
      </w:r>
      <w:r>
        <w:tab/>
        <w:t xml:space="preserve"> </w:t>
      </w:r>
      <w:r>
        <w:tab/>
        <w:t xml:space="preserve"> </w:t>
      </w:r>
      <w:r>
        <w:tab/>
        <w:t xml:space="preserve">31 </w:t>
      </w:r>
    </w:p>
    <w:p w:rsidR="00A9548F" w:rsidRDefault="00F6228E">
      <w:pPr>
        <w:tabs>
          <w:tab w:val="center" w:pos="6481"/>
          <w:tab w:val="center" w:pos="7202"/>
          <w:tab w:val="center" w:pos="7922"/>
          <w:tab w:val="center" w:pos="8762"/>
        </w:tabs>
        <w:spacing w:after="0"/>
        <w:ind w:left="-15" w:right="0" w:firstLine="0"/>
        <w:jc w:val="left"/>
      </w:pPr>
      <w:r>
        <w:t xml:space="preserve">4.4 Housing Availability, Affordability, and Displacement  </w:t>
      </w:r>
      <w:r>
        <w:tab/>
        <w:t xml:space="preserve"> </w:t>
      </w:r>
      <w:r>
        <w:tab/>
        <w:t xml:space="preserve"> </w:t>
      </w:r>
      <w:r>
        <w:tab/>
        <w:t xml:space="preserve"> </w:t>
      </w:r>
      <w:r>
        <w:tab/>
        <w:t xml:space="preserve">32 </w:t>
      </w:r>
    </w:p>
    <w:p w:rsidR="00A9548F" w:rsidRDefault="00F6228E">
      <w:pPr>
        <w:tabs>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4.5 Spatial and Land Use Changes </w:t>
      </w:r>
      <w:r>
        <w:tab/>
        <w:t xml:space="preserve"> </w:t>
      </w:r>
      <w:r>
        <w:tab/>
        <w:t xml:space="preserve"> </w:t>
      </w:r>
      <w:r>
        <w:tab/>
        <w:t xml:space="preserve"> </w:t>
      </w:r>
      <w:r>
        <w:tab/>
        <w:t xml:space="preserve"> </w:t>
      </w:r>
      <w:r>
        <w:tab/>
        <w:t xml:space="preserve"> </w:t>
      </w:r>
      <w:r>
        <w:tab/>
        <w:t xml:space="preserve"> </w:t>
      </w:r>
      <w:r>
        <w:tab/>
        <w:t xml:space="preserve"> </w:t>
      </w:r>
      <w:r>
        <w:tab/>
        <w:t xml:space="preserve">33 </w:t>
      </w:r>
    </w:p>
    <w:p w:rsidR="00A9548F" w:rsidRDefault="00F6228E">
      <w:pPr>
        <w:tabs>
          <w:tab w:val="center" w:pos="5761"/>
          <w:tab w:val="center" w:pos="6481"/>
          <w:tab w:val="center" w:pos="7202"/>
          <w:tab w:val="center" w:pos="7922"/>
          <w:tab w:val="center" w:pos="8762"/>
        </w:tabs>
        <w:spacing w:after="0"/>
        <w:ind w:left="-15" w:right="0" w:firstLine="0"/>
        <w:jc w:val="left"/>
      </w:pPr>
      <w:r>
        <w:t xml:space="preserve">4.6 Role of Government Policies and Private Sector  </w:t>
      </w:r>
      <w:r>
        <w:tab/>
        <w:t xml:space="preserve"> </w:t>
      </w:r>
      <w:r>
        <w:tab/>
        <w:t xml:space="preserve"> </w:t>
      </w:r>
      <w:r>
        <w:tab/>
        <w:t xml:space="preserve"> </w:t>
      </w:r>
      <w:r>
        <w:tab/>
        <w:t xml:space="preserve"> </w:t>
      </w:r>
      <w:r>
        <w:tab/>
        <w:t xml:space="preserve">34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262"/>
        <w:ind w:left="-15" w:right="0" w:firstLine="0"/>
        <w:jc w:val="left"/>
      </w:pPr>
      <w:r>
        <w:t xml:space="preserve">4.7 Discussion of Findings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34 </w:t>
      </w:r>
    </w:p>
    <w:p w:rsidR="00A9548F" w:rsidRDefault="00F6228E">
      <w:pPr>
        <w:pStyle w:val="Heading3"/>
        <w:spacing w:after="0"/>
        <w:ind w:left="-5" w:right="0"/>
      </w:pPr>
      <w:r>
        <w:t>Chapter Five: Summary of Findings, Recommendations, and Conclusion</w:t>
      </w:r>
      <w:r>
        <w:rPr>
          <w:b w:val="0"/>
        </w:rPr>
        <w:t xml:space="preserve"> </w:t>
      </w:r>
    </w:p>
    <w:p w:rsidR="00A9548F" w:rsidRDefault="00F6228E">
      <w:pPr>
        <w:tabs>
          <w:tab w:val="center" w:pos="2161"/>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5.1 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38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5.2 Summary of Findings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38 </w:t>
      </w:r>
    </w:p>
    <w:p w:rsidR="00A9548F" w:rsidRDefault="00F6228E">
      <w:pPr>
        <w:tabs>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5.2.1 Socio-Economic Impacts </w:t>
      </w:r>
      <w:r>
        <w:tab/>
        <w:t xml:space="preserve"> </w:t>
      </w:r>
      <w:r>
        <w:tab/>
        <w:t xml:space="preserve"> </w:t>
      </w:r>
      <w:r>
        <w:tab/>
        <w:t xml:space="preserve"> </w:t>
      </w:r>
      <w:r>
        <w:tab/>
        <w:t xml:space="preserve"> </w:t>
      </w:r>
      <w:r>
        <w:tab/>
        <w:t xml:space="preserve"> </w:t>
      </w:r>
      <w:r>
        <w:tab/>
        <w:t xml:space="preserve"> </w:t>
      </w:r>
      <w:r>
        <w:tab/>
        <w:t xml:space="preserve"> </w:t>
      </w:r>
      <w:r>
        <w:tab/>
        <w:t xml:space="preserve">39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5.2.2 Housing Dynamics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39 </w:t>
      </w:r>
    </w:p>
    <w:p w:rsidR="00A9548F" w:rsidRDefault="00F6228E">
      <w:pPr>
        <w:tabs>
          <w:tab w:val="center" w:pos="4321"/>
          <w:tab w:val="center" w:pos="5041"/>
          <w:tab w:val="center" w:pos="5761"/>
          <w:tab w:val="center" w:pos="6481"/>
          <w:tab w:val="center" w:pos="7202"/>
          <w:tab w:val="center" w:pos="7922"/>
          <w:tab w:val="center" w:pos="8762"/>
        </w:tabs>
        <w:spacing w:after="0"/>
        <w:ind w:left="-15" w:right="0" w:firstLine="0"/>
        <w:jc w:val="left"/>
      </w:pPr>
      <w:r>
        <w:t xml:space="preserve">5.2.3 Spatial and Land Use Changes  </w:t>
      </w:r>
      <w:r>
        <w:tab/>
        <w:t xml:space="preserve"> </w:t>
      </w:r>
      <w:r>
        <w:tab/>
        <w:t xml:space="preserve"> </w:t>
      </w:r>
      <w:r>
        <w:tab/>
        <w:t xml:space="preserve"> </w:t>
      </w:r>
      <w:r>
        <w:tab/>
        <w:t xml:space="preserve"> </w:t>
      </w:r>
      <w:r>
        <w:tab/>
        <w:t xml:space="preserve"> </w:t>
      </w:r>
      <w:r>
        <w:tab/>
        <w:t xml:space="preserve"> </w:t>
      </w:r>
      <w:r>
        <w:tab/>
        <w:t xml:space="preserve">40 </w:t>
      </w:r>
    </w:p>
    <w:p w:rsidR="00A9548F" w:rsidRDefault="00F6228E">
      <w:pPr>
        <w:tabs>
          <w:tab w:val="center" w:pos="5761"/>
          <w:tab w:val="center" w:pos="6481"/>
          <w:tab w:val="center" w:pos="7202"/>
          <w:tab w:val="center" w:pos="7922"/>
          <w:tab w:val="center" w:pos="8762"/>
        </w:tabs>
        <w:spacing w:after="0"/>
        <w:ind w:left="-15" w:right="0" w:firstLine="0"/>
        <w:jc w:val="left"/>
      </w:pPr>
      <w:r>
        <w:t xml:space="preserve">5.2.4 Role of Government Policies and Private Sector </w:t>
      </w:r>
      <w:r>
        <w:tab/>
        <w:t xml:space="preserve"> </w:t>
      </w:r>
      <w:r>
        <w:tab/>
        <w:t xml:space="preserve"> </w:t>
      </w:r>
      <w:r>
        <w:tab/>
        <w:t xml:space="preserve"> </w:t>
      </w:r>
      <w:r>
        <w:tab/>
        <w:t xml:space="preserve"> </w:t>
      </w:r>
      <w:r>
        <w:tab/>
        <w:t xml:space="preserve">40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5.3 Recommendations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41 </w:t>
      </w:r>
    </w:p>
    <w:p w:rsidR="00A9548F" w:rsidRDefault="00F6228E">
      <w:pPr>
        <w:tabs>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5.3.1 Socio-Economic Mitigation </w:t>
      </w:r>
      <w:r>
        <w:tab/>
        <w:t xml:space="preserve"> </w:t>
      </w:r>
      <w:r>
        <w:tab/>
        <w:t xml:space="preserve"> </w:t>
      </w:r>
      <w:r>
        <w:tab/>
        <w:t xml:space="preserve"> </w:t>
      </w:r>
      <w:r>
        <w:tab/>
        <w:t xml:space="preserve"> </w:t>
      </w:r>
      <w:r>
        <w:tab/>
        <w:t xml:space="preserve"> </w:t>
      </w:r>
      <w:r>
        <w:tab/>
        <w:t xml:space="preserve"> </w:t>
      </w:r>
      <w:r>
        <w:tab/>
        <w:t xml:space="preserve"> </w:t>
      </w:r>
      <w:r>
        <w:tab/>
        <w:t xml:space="preserve">41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5</w:t>
      </w:r>
      <w:r>
        <w:t xml:space="preserve">.3.2 Housing Solutions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42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5.3.3 Spatial Planning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43 </w:t>
      </w:r>
    </w:p>
    <w:p w:rsidR="00A9548F" w:rsidRDefault="00F6228E">
      <w:pPr>
        <w:tabs>
          <w:tab w:val="center" w:pos="2881"/>
          <w:tab w:val="center" w:pos="3601"/>
          <w:tab w:val="center" w:pos="4321"/>
          <w:tab w:val="center" w:pos="5041"/>
          <w:tab w:val="center" w:pos="5761"/>
          <w:tab w:val="center" w:pos="6481"/>
          <w:tab w:val="center" w:pos="7202"/>
          <w:tab w:val="center" w:pos="7922"/>
          <w:tab w:val="center" w:pos="8762"/>
        </w:tabs>
        <w:spacing w:after="0"/>
        <w:ind w:left="-15" w:right="0" w:firstLine="0"/>
        <w:jc w:val="left"/>
      </w:pPr>
      <w:r>
        <w:t xml:space="preserve">5.3.4 Policy Reforms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43 </w:t>
      </w:r>
    </w:p>
    <w:p w:rsidR="00A9548F" w:rsidRDefault="00F6228E">
      <w:pPr>
        <w:tabs>
          <w:tab w:val="center" w:pos="2161"/>
          <w:tab w:val="center" w:pos="2881"/>
          <w:tab w:val="center" w:pos="3601"/>
          <w:tab w:val="center" w:pos="4321"/>
          <w:tab w:val="center" w:pos="5041"/>
          <w:tab w:val="center" w:pos="5761"/>
          <w:tab w:val="center" w:pos="6481"/>
          <w:tab w:val="center" w:pos="7202"/>
          <w:tab w:val="center" w:pos="7922"/>
          <w:tab w:val="center" w:pos="8762"/>
        </w:tabs>
        <w:spacing w:after="255"/>
        <w:ind w:left="-15" w:right="0" w:firstLine="0"/>
        <w:jc w:val="left"/>
      </w:pPr>
      <w:r>
        <w:t xml:space="preserve">5.4 Conclusion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44 </w:t>
      </w:r>
    </w:p>
    <w:p w:rsidR="00A9548F" w:rsidRDefault="00F6228E">
      <w:pPr>
        <w:tabs>
          <w:tab w:val="center" w:pos="1166"/>
          <w:tab w:val="center" w:pos="2881"/>
          <w:tab w:val="center" w:pos="3601"/>
          <w:tab w:val="center" w:pos="4321"/>
          <w:tab w:val="center" w:pos="5041"/>
          <w:tab w:val="center" w:pos="5761"/>
          <w:tab w:val="center" w:pos="6481"/>
          <w:tab w:val="center" w:pos="7202"/>
          <w:tab w:val="center" w:pos="7922"/>
          <w:tab w:val="center" w:pos="8762"/>
        </w:tabs>
        <w:spacing w:after="259" w:line="263" w:lineRule="auto"/>
        <w:ind w:left="0" w:right="0" w:firstLine="0"/>
        <w:jc w:val="left"/>
      </w:pPr>
      <w:r>
        <w:rPr>
          <w:rFonts w:ascii="Calibri" w:eastAsia="Calibri" w:hAnsi="Calibri" w:cs="Calibri"/>
          <w:sz w:val="22"/>
        </w:rPr>
        <w:tab/>
      </w:r>
      <w:r>
        <w:rPr>
          <w:b/>
        </w:rPr>
        <w:t xml:space="preserve">REFERENCES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 </w:t>
      </w:r>
      <w:r>
        <w:tab/>
        <w:t xml:space="preserve">45 </w:t>
      </w:r>
    </w:p>
    <w:p w:rsidR="00A9548F" w:rsidRDefault="00F6228E">
      <w:pPr>
        <w:spacing w:after="413" w:line="263" w:lineRule="auto"/>
        <w:ind w:right="191"/>
        <w:jc w:val="right"/>
      </w:pPr>
      <w:r>
        <w:rPr>
          <w:b/>
        </w:rPr>
        <w:t xml:space="preserve">APPENDIX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47 </w:t>
      </w:r>
      <w:r>
        <w:rPr>
          <w:b/>
        </w:rPr>
        <w:t xml:space="preserve">ABSTRACT </w:t>
      </w:r>
    </w:p>
    <w:p w:rsidR="00A9548F" w:rsidRDefault="00F6228E">
      <w:pPr>
        <w:spacing w:after="280" w:line="267" w:lineRule="auto"/>
        <w:ind w:left="-5" w:right="58"/>
      </w:pPr>
      <w:r>
        <w:rPr>
          <w:i/>
        </w:rPr>
        <w:t>This study offers a detailed analysis of gentrification’s impacts on urban communities in Lagos State, focusing on Lekki, Yaba, and Ikoyi, conducted in June 2025 using a mixed-methods approach with a survey of 400 respondents. The research explores socio-e</w:t>
      </w:r>
      <w:r>
        <w:rPr>
          <w:i/>
        </w:rPr>
        <w:t>conomic effects, housing dynamics, spatial and land use changes, and the roles of government policies and private-sector interventions, revealing that 84% of respondents reported increased living costs (90% in Ikoyi, 85% in Lekki, 78% in Yaba), predominant</w:t>
      </w:r>
      <w:r>
        <w:rPr>
          <w:i/>
        </w:rPr>
        <w:t>ly affecting the 50% earning below 50,000 NGN monthly. Additionally, 65% noted a loss of community ties, especially in Lekki (70%), 88% cited rising rent prices (95% in Ikoyi), and 48% experienced displacement (65% in Lekki), with 68% highlighting a declin</w:t>
      </w:r>
      <w:r>
        <w:rPr>
          <w:i/>
        </w:rPr>
        <w:t>e in affordable housing, impacting the 50% married respondents. Spatial transformations included a 70–80% rise in high-rise buildings and a 40– 60% drop in informal settlements, driven by 60–75% growth in commercial developments, while marginalizing the 40</w:t>
      </w:r>
      <w:r>
        <w:rPr>
          <w:i/>
        </w:rPr>
        <w:t xml:space="preserve">% informal workers. </w:t>
      </w:r>
    </w:p>
    <w:p w:rsidR="00A9548F" w:rsidRDefault="00F6228E">
      <w:pPr>
        <w:spacing w:after="280" w:line="267" w:lineRule="auto"/>
        <w:ind w:left="-5" w:right="59"/>
      </w:pPr>
      <w:r>
        <w:rPr>
          <w:i/>
        </w:rPr>
        <w:t>The study finds that 80% of respondents attribute gentrification to government and privatesector actions, with only 25% recognizing mitigation efforts, aligning with Rent Gap Theory and Urban Growth Machine Theory in explaining profit-</w:t>
      </w:r>
      <w:r>
        <w:rPr>
          <w:i/>
        </w:rPr>
        <w:t xml:space="preserve">driven displacement. </w:t>
      </w:r>
      <w:r>
        <w:rPr>
          <w:i/>
        </w:rPr>
        <w:lastRenderedPageBreak/>
        <w:t>Addressing a gap in Lagos-specific literature, the research provides empirical insights into these uneven impacts across diverse demographics. Recommendations include subsidies for low-income households, 5% rent increase caps, 30% mixe</w:t>
      </w:r>
      <w:r>
        <w:rPr>
          <w:i/>
        </w:rPr>
        <w:t xml:space="preserve">d-use zoning for public spaces, and participatory planning to ensure equity, offering a pathway for balanced urban development in Lagos </w:t>
      </w:r>
    </w:p>
    <w:p w:rsidR="00A9548F" w:rsidRDefault="00F6228E">
      <w:pPr>
        <w:spacing w:after="0" w:line="259" w:lineRule="auto"/>
        <w:ind w:left="0" w:right="0" w:firstLine="0"/>
        <w:jc w:val="left"/>
      </w:pPr>
      <w:r>
        <w:rPr>
          <w:b/>
        </w:rPr>
        <w:t xml:space="preserve"> </w:t>
      </w:r>
    </w:p>
    <w:p w:rsidR="00A9548F" w:rsidRDefault="00A9548F">
      <w:pPr>
        <w:sectPr w:rsidR="00A9548F">
          <w:footerReference w:type="even" r:id="rId8"/>
          <w:footerReference w:type="default" r:id="rId9"/>
          <w:footerReference w:type="first" r:id="rId10"/>
          <w:pgSz w:w="11906" w:h="16838"/>
          <w:pgMar w:top="1443" w:right="1378" w:bottom="1680" w:left="1440" w:header="720" w:footer="720" w:gutter="0"/>
          <w:pgNumType w:fmt="lowerRoman"/>
          <w:cols w:space="720"/>
          <w:titlePg/>
        </w:sectPr>
      </w:pPr>
    </w:p>
    <w:p w:rsidR="00A9548F" w:rsidRDefault="00F6228E">
      <w:pPr>
        <w:spacing w:after="250"/>
        <w:ind w:right="1192"/>
        <w:jc w:val="center"/>
      </w:pPr>
      <w:r>
        <w:rPr>
          <w:b/>
        </w:rPr>
        <w:lastRenderedPageBreak/>
        <w:t xml:space="preserve">CHAPTER ONE </w:t>
      </w:r>
    </w:p>
    <w:p w:rsidR="00A9548F" w:rsidRDefault="00F6228E">
      <w:pPr>
        <w:pStyle w:val="Heading2"/>
        <w:spacing w:after="248"/>
        <w:ind w:right="1192"/>
        <w:jc w:val="center"/>
      </w:pPr>
      <w:r>
        <w:t xml:space="preserve">INTRODUCTION </w:t>
      </w:r>
    </w:p>
    <w:p w:rsidR="00A9548F" w:rsidRDefault="00F6228E">
      <w:pPr>
        <w:pStyle w:val="Heading3"/>
        <w:tabs>
          <w:tab w:val="center" w:pos="2517"/>
        </w:tabs>
        <w:ind w:left="-15" w:right="0" w:firstLine="0"/>
      </w:pPr>
      <w:r>
        <w:t xml:space="preserve">1.1 </w:t>
      </w:r>
      <w:r>
        <w:tab/>
        <w:t>BACKGROUND OF THE STUDY</w:t>
      </w:r>
      <w:r>
        <w:rPr>
          <w:b w:val="0"/>
        </w:rPr>
        <w:t xml:space="preserve"> </w:t>
      </w:r>
    </w:p>
    <w:p w:rsidR="00A9548F" w:rsidRDefault="00F6228E">
      <w:pPr>
        <w:spacing w:line="477" w:lineRule="auto"/>
        <w:ind w:left="-5" w:right="1178"/>
      </w:pPr>
      <w:r>
        <w:t xml:space="preserve">Urbanization in Africa has accelerated rapidly over the past few decades, bringing significant changes to the spatial and social structure of cities. In Nigeria, Lagos stands out as the most dynamic urban center, experiencing exponential population growth </w:t>
      </w:r>
      <w:r>
        <w:t>and economic transformation. This growth has generated high demand for land, housing, and infrastructure, leading to intense redevelopment and urban renewal activities across the city. While these processes are often aimed at modernizing the urban environm</w:t>
      </w:r>
      <w:r>
        <w:t>ent, they frequently trigger a phenomenon known as gentrification. Gentrification, defined as the transformation of lowerincome neighborhoods by higher-income groups through the introduction of upscale developments, has become increasingly prevalent in Lag</w:t>
      </w:r>
      <w:r>
        <w:t xml:space="preserve">os (Obaitor et al., 2024). This transformation is usually accompanied by rising property values, displacement of long-term residents, and a shift in the socio-economic composition of communities. </w:t>
      </w:r>
    </w:p>
    <w:p w:rsidR="00A9548F" w:rsidRDefault="00F6228E">
      <w:pPr>
        <w:spacing w:line="476" w:lineRule="auto"/>
        <w:ind w:left="-5" w:right="1178"/>
      </w:pPr>
      <w:r>
        <w:t>The emergence of gentrification in Lagos can be traced to a</w:t>
      </w:r>
      <w:r>
        <w:t xml:space="preserve"> mix of neoliberal urban policies and increasing private sector involvement in land redevelopment. Government initiatives to create a global city have prioritized the aesthetics and functionality of urban spaces, often at the expense of the urban poor. Pro</w:t>
      </w:r>
      <w:r>
        <w:t>jects like the Lagos Megacity Plan and the development of elite districts such as Eko Atlantic exemplify how urban regeneration efforts can displace informal communities in favor of commercial or high-income residential zones (Ajayi &amp; Soyinka-Airewele, 202</w:t>
      </w:r>
      <w:r>
        <w:t xml:space="preserve">1). These projects are frequently carried out without adequate compensation, relocation support, or meaningful community engagement, exacerbating the </w:t>
      </w:r>
      <w:r>
        <w:lastRenderedPageBreak/>
        <w:t>vulnerability of affected populations. The state's preference for slum clearance rather than insitu upgrad</w:t>
      </w:r>
      <w:r>
        <w:t xml:space="preserve">ing has resulted in social and spatial exclusion for many urban dwellers. </w:t>
      </w:r>
    </w:p>
    <w:p w:rsidR="00A9548F" w:rsidRDefault="00F6228E">
      <w:pPr>
        <w:spacing w:line="476" w:lineRule="auto"/>
        <w:ind w:left="-5" w:right="1178"/>
      </w:pPr>
      <w:r>
        <w:t>Studies have shown that gentrification in Lagos is not a homogeneous process but varies across different slums and urban communities. For example, communities like Makoko, Iwaya, an</w:t>
      </w:r>
      <w:r>
        <w:t>d Badia have witnessed a complex mix of displacement, resilience, and adaptation depending on their proximity to central business districts, waterfronts, and infrastructure developments (Obaitor et al., 2024). In many of these areas, the gentrification pro</w:t>
      </w:r>
      <w:r>
        <w:t>cess follows a pattern that includes increased land speculation, eviction threats, and eventual redevelopment by private investors or public-private partnerships. These actions alter the physical and social fabric of neighborhoods, often resulting in the e</w:t>
      </w:r>
      <w:r>
        <w:t xml:space="preserve">rasure of cultural identity and community networks. </w:t>
      </w:r>
    </w:p>
    <w:p w:rsidR="00A9548F" w:rsidRDefault="00F6228E">
      <w:pPr>
        <w:spacing w:after="0" w:line="477" w:lineRule="auto"/>
        <w:ind w:left="-5" w:right="1178"/>
      </w:pPr>
      <w:r>
        <w:t>One of the most pronounced impacts of gentrification is socio-economic displacement. Residents who have lived in their communities for decades are frequently unable to afford the rising rents and propert</w:t>
      </w:r>
      <w:r>
        <w:t xml:space="preserve">y taxes following redevelopment. Consequently, they are forced to move to peripheral areas with lower standards of living and fewer opportunities for employment or education (Godswill &amp; Ukachukwu, 2018). This displacement breaks </w:t>
      </w:r>
    </w:p>
    <w:p w:rsidR="00A9548F" w:rsidRDefault="00F6228E">
      <w:pPr>
        <w:spacing w:line="477" w:lineRule="auto"/>
        <w:ind w:left="-5" w:right="1178"/>
      </w:pPr>
      <w:r>
        <w:t>longstanding social ties a</w:t>
      </w:r>
      <w:r>
        <w:t>nd increases the cost of commuting, which in turn reduces the overall quality of life for affected residents. Moreover, relocated individuals often face stigmatization and marginalization in their new environments, compounding the effects of urban inequali</w:t>
      </w:r>
      <w:r>
        <w:t xml:space="preserve">ty. </w:t>
      </w:r>
    </w:p>
    <w:p w:rsidR="00A9548F" w:rsidRDefault="00F6228E">
      <w:pPr>
        <w:spacing w:after="323" w:line="476" w:lineRule="auto"/>
        <w:ind w:left="-5" w:right="1178"/>
      </w:pPr>
      <w:r>
        <w:t>Environmental justice concerns also arise in gentrifying neighborhoods, as poorer communities bear the brunt of environmental degradation while being excluded from the benefits of urban renewal. In many cases, gentrification exacerbates existing envir</w:t>
      </w:r>
      <w:r>
        <w:t xml:space="preserve">onmental hazards through unchecked construction, removal of green spaces, and pollution. For example, communities </w:t>
      </w:r>
      <w:r>
        <w:lastRenderedPageBreak/>
        <w:t>that have been cleared due to fire outbreaks or flooding are frequently redeveloped for commercial interests without addressing the root cause</w:t>
      </w:r>
      <w:r>
        <w:t xml:space="preserve">s of such disasters (Obaitor et al., 2024). The lack of participatory planning processes further marginalizes residents and undermines their rights to a safe and sustainable environment. </w:t>
      </w:r>
    </w:p>
    <w:p w:rsidR="00A9548F" w:rsidRDefault="00F6228E">
      <w:pPr>
        <w:spacing w:line="476" w:lineRule="auto"/>
        <w:ind w:left="-5" w:right="1178"/>
      </w:pPr>
      <w:r>
        <w:t>Lagos’s gentrification trends reflect global patterns but are shaped</w:t>
      </w:r>
      <w:r>
        <w:t xml:space="preserve"> by unique socio-political dynamics such as customary land tenure, weak enforcement of urban planning laws, and informal housing markets. Unlike in many Western cities where gentrification may involve slow reinvestment by middle-class households, in Lagos </w:t>
      </w:r>
      <w:r>
        <w:t>it is often driven by rapid state-led demolitions and large-scale investments. These processes are typically justified through narratives of modernization and urban renewal, even though they disproportionately displace low-income populations (Godswill &amp; Uk</w:t>
      </w:r>
      <w:r>
        <w:t xml:space="preserve">achukwu, 2018). Such approaches raise important questions about urban governance, equity, and the right to the city in contemporary Nigerian urbanism. </w:t>
      </w:r>
    </w:p>
    <w:p w:rsidR="00A9548F" w:rsidRDefault="00F6228E">
      <w:pPr>
        <w:spacing w:line="477" w:lineRule="auto"/>
        <w:ind w:left="-5" w:right="1178"/>
      </w:pPr>
      <w:r>
        <w:t>Despite the growing prevalence of gentrification, academic research on its specific impacts in Lagos rem</w:t>
      </w:r>
      <w:r>
        <w:t>ains limited. Existing studies often focus on macro-level analyses of urban change, neglecting the micro-level experiences of affected communities. There is a pressing need for empirical studies that document how gentrification reshapes housing access, com</w:t>
      </w:r>
      <w:r>
        <w:t xml:space="preserve">munity structures, and socio-economic well-being in the city. Understanding these localized impacts is essential for developing inclusive urban policies that balance development goals with social justice concerns (Obaitor et al., 2024). </w:t>
      </w:r>
    </w:p>
    <w:p w:rsidR="00A9548F" w:rsidRDefault="00F6228E">
      <w:pPr>
        <w:spacing w:after="246"/>
        <w:ind w:left="-5" w:right="1178"/>
      </w:pPr>
      <w:r>
        <w:t>This study, theref</w:t>
      </w:r>
      <w:r>
        <w:t xml:space="preserve">ore, seeks to explore the impacts of gentrification on urban communities in </w:t>
      </w:r>
    </w:p>
    <w:p w:rsidR="00A9548F" w:rsidRDefault="00F6228E">
      <w:pPr>
        <w:spacing w:line="476" w:lineRule="auto"/>
        <w:ind w:left="-5" w:right="1178"/>
      </w:pPr>
      <w:r>
        <w:lastRenderedPageBreak/>
        <w:t>Lagos State, with a particular focus on socio-economic displacement, housing transformation, and spatial restructuring. By drawing on both quantitative and qualitative data, the r</w:t>
      </w:r>
      <w:r>
        <w:t>esearch aims to provide a nuanced understanding of how gentrification affects the lived realities of Lagos residents. The findings are expected to inform policy interventions that promote equitable urban development and uphold the rights of all city dwelle</w:t>
      </w:r>
      <w:r>
        <w:t xml:space="preserve">rs, regardless of their socioeconomic status. </w:t>
      </w:r>
    </w:p>
    <w:p w:rsidR="00A9548F" w:rsidRDefault="00F6228E">
      <w:pPr>
        <w:pStyle w:val="Heading3"/>
        <w:tabs>
          <w:tab w:val="center" w:pos="2589"/>
        </w:tabs>
        <w:ind w:left="-15" w:right="0" w:firstLine="0"/>
      </w:pPr>
      <w:r>
        <w:t xml:space="preserve">1.2 </w:t>
      </w:r>
      <w:r>
        <w:tab/>
        <w:t xml:space="preserve">STATEMENT OF THE PROBLEM </w:t>
      </w:r>
    </w:p>
    <w:p w:rsidR="00A9548F" w:rsidRDefault="00F6228E">
      <w:pPr>
        <w:spacing w:line="477" w:lineRule="auto"/>
        <w:ind w:left="-5" w:right="1178"/>
      </w:pPr>
      <w:r>
        <w:t>Gentrification is increasingly reshaping the urban landscape of Lagos State, particularly in formerly low-</w:t>
      </w:r>
      <w:r>
        <w:t>income communities that are now prime targets for redevelopment. While urban renewal efforts are often justified by the need to modernize infrastructure and attract investment, they are frequently executed without considering the socio-economic implication</w:t>
      </w:r>
      <w:r>
        <w:t>s for the original inhabitants (Obaitor et al., 2024). In communities such as Makoko, Badia, and Ilubirin, residents have experienced forced evictions and the demolition of homes, leading to widespread displacement and disruption of established social netw</w:t>
      </w:r>
      <w:r>
        <w:t>orks (Ajayi &amp; SoyinkaAirewele, 2021). The transformation of these neighborhoods through high-end developments has introduced newer, more expensive housing units that are often unaffordable to previous occupants. As a result, the very policies designed to i</w:t>
      </w:r>
      <w:r>
        <w:t xml:space="preserve">mprove urban quality of life have ironically intensified poverty, widened inequality, and eroded communal identity (Godswill &amp; Ukachukwu, 2018). </w:t>
      </w:r>
    </w:p>
    <w:p w:rsidR="00A9548F" w:rsidRDefault="00F6228E">
      <w:pPr>
        <w:spacing w:line="476" w:lineRule="auto"/>
        <w:ind w:left="-5" w:right="1178"/>
      </w:pPr>
      <w:r>
        <w:t>Moreover, the gentrification process in Lagos is typically state-driven, supported by private capital, and exe</w:t>
      </w:r>
      <w:r>
        <w:t xml:space="preserve">cuted with minimal community involvement. Urban renewal projects such as </w:t>
      </w:r>
      <w:r>
        <w:lastRenderedPageBreak/>
        <w:t xml:space="preserve">those under the Lagos Megacity Development Plan are often implemented without adequate compensation, relocation plans, or opportunities for public engagement (Obaitor et al., 2024). </w:t>
      </w:r>
    </w:p>
    <w:p w:rsidR="00A9548F" w:rsidRDefault="00F6228E">
      <w:pPr>
        <w:spacing w:line="478" w:lineRule="auto"/>
        <w:ind w:left="-5" w:right="1178"/>
      </w:pPr>
      <w:r>
        <w:t xml:space="preserve">This top-down redevelopment approach has fostered mistrust and alienation among displaced populations, especially those in informal settlements. Evicted residents are often relocated to the city’s fringes where access to jobs, education, and healthcare is </w:t>
      </w:r>
      <w:r>
        <w:t>limited, further entrenching cycles of urban poverty and social exclusion (Ajayi &amp; Soyinka-Airewele, 2021). In many cases, the lack of political will to enforce inclusive housing policies has allowed speculative real estate development to flourish at the e</w:t>
      </w:r>
      <w:r>
        <w:t xml:space="preserve">xpense of equitable city-building. </w:t>
      </w:r>
    </w:p>
    <w:p w:rsidR="00A9548F" w:rsidRDefault="00F6228E">
      <w:pPr>
        <w:spacing w:line="476" w:lineRule="auto"/>
        <w:ind w:left="-5" w:right="1178"/>
      </w:pPr>
      <w:r>
        <w:t>Despite the growing presence of gentrification in Lagos and other Nigerian cities, empirical research on its localized impacts remains limited. Most studies have centered on macroeconomic growth, infrastructure upgrades,</w:t>
      </w:r>
      <w:r>
        <w:t xml:space="preserve"> or housing development while neglecting the human costs of urban transformation. There is insufficient documentation of how gentrification influences cultural continuity, tenure security, and grassroots resilience (Godswill &amp; Ukachukwu, 2018). This resear</w:t>
      </w:r>
      <w:r>
        <w:t>ch gap is particularly concerning given the scale and pace of change in Lagos, where over 65% of residents live in slums or informal settlements (Obaitor et al., 2024). Without targeted analysis, urban policies risk reinforcing patterns of spatial injustic</w:t>
      </w:r>
      <w:r>
        <w:t xml:space="preserve">e. This study, therefore, seeks to fill this gap by examining the socio-economic and spatial impacts of gentrification on urban communities in Lagos State. </w:t>
      </w:r>
    </w:p>
    <w:p w:rsidR="00A9548F" w:rsidRDefault="00F6228E">
      <w:pPr>
        <w:pStyle w:val="Heading3"/>
        <w:tabs>
          <w:tab w:val="center" w:pos="2117"/>
        </w:tabs>
        <w:ind w:left="-15" w:right="0" w:firstLine="0"/>
      </w:pPr>
      <w:r>
        <w:t xml:space="preserve">1.3 </w:t>
      </w:r>
      <w:r>
        <w:tab/>
        <w:t xml:space="preserve">RESEARCH QUESTIONS </w:t>
      </w:r>
    </w:p>
    <w:p w:rsidR="00A9548F" w:rsidRDefault="00F6228E">
      <w:pPr>
        <w:numPr>
          <w:ilvl w:val="0"/>
          <w:numId w:val="1"/>
        </w:numPr>
        <w:spacing w:after="3" w:line="476" w:lineRule="auto"/>
        <w:ind w:right="1178" w:hanging="360"/>
      </w:pPr>
      <w:r>
        <w:t>What are the socio-economic impacts of gentrification on residents in sele</w:t>
      </w:r>
      <w:r>
        <w:t xml:space="preserve">cted urban communities in Lagos State? </w:t>
      </w:r>
    </w:p>
    <w:p w:rsidR="00A9548F" w:rsidRDefault="00F6228E">
      <w:pPr>
        <w:numPr>
          <w:ilvl w:val="0"/>
          <w:numId w:val="1"/>
        </w:numPr>
        <w:spacing w:line="476" w:lineRule="auto"/>
        <w:ind w:right="1178" w:hanging="360"/>
      </w:pPr>
      <w:r>
        <w:lastRenderedPageBreak/>
        <w:t xml:space="preserve">How has gentrification affected housing availability, affordability, and the displacement of long-term residents? </w:t>
      </w:r>
    </w:p>
    <w:p w:rsidR="00A9548F" w:rsidRDefault="00F6228E">
      <w:pPr>
        <w:numPr>
          <w:ilvl w:val="0"/>
          <w:numId w:val="1"/>
        </w:numPr>
        <w:spacing w:after="3" w:line="476" w:lineRule="auto"/>
        <w:ind w:right="1178" w:hanging="360"/>
      </w:pPr>
      <w:r>
        <w:t>What spatial and land use changes have occurred in areas experiencing gentrification in Lagos?</w:t>
      </w:r>
      <w:r>
        <w:rPr>
          <w:b/>
        </w:rPr>
        <w:t xml:space="preserve"> </w:t>
      </w:r>
    </w:p>
    <w:p w:rsidR="00A9548F" w:rsidRDefault="00F6228E">
      <w:pPr>
        <w:numPr>
          <w:ilvl w:val="0"/>
          <w:numId w:val="1"/>
        </w:numPr>
        <w:spacing w:line="476" w:lineRule="auto"/>
        <w:ind w:right="1178" w:hanging="360"/>
      </w:pPr>
      <w:r>
        <w:t>In wh</w:t>
      </w:r>
      <w:r>
        <w:t>at ways have government policies and private-sector developments contributed to or curtailed the gentrification process?</w:t>
      </w:r>
      <w:r>
        <w:rPr>
          <w:b/>
        </w:rPr>
        <w:t xml:space="preserve"> </w:t>
      </w:r>
    </w:p>
    <w:p w:rsidR="00A9548F" w:rsidRDefault="00F6228E">
      <w:pPr>
        <w:tabs>
          <w:tab w:val="center" w:pos="2744"/>
        </w:tabs>
        <w:spacing w:after="524"/>
        <w:ind w:left="-15" w:right="0" w:firstLine="0"/>
        <w:jc w:val="left"/>
      </w:pPr>
      <w:r>
        <w:rPr>
          <w:b/>
        </w:rPr>
        <w:t xml:space="preserve">1.4 </w:t>
      </w:r>
      <w:r>
        <w:rPr>
          <w:b/>
        </w:rPr>
        <w:tab/>
        <w:t xml:space="preserve">RESEARCH AIM AND OBJECTIVES </w:t>
      </w:r>
    </w:p>
    <w:p w:rsidR="00A9548F" w:rsidRDefault="00F6228E">
      <w:pPr>
        <w:pStyle w:val="Heading2"/>
        <w:spacing w:after="241"/>
        <w:ind w:left="-5" w:right="0"/>
      </w:pPr>
      <w:r>
        <w:t>AIM</w:t>
      </w:r>
      <w:r>
        <w:rPr>
          <w:b w:val="0"/>
        </w:rPr>
        <w:t xml:space="preserve"> </w:t>
      </w:r>
    </w:p>
    <w:p w:rsidR="00A9548F" w:rsidRDefault="00F6228E">
      <w:pPr>
        <w:spacing w:line="476" w:lineRule="auto"/>
        <w:ind w:left="-5" w:right="1178"/>
      </w:pPr>
      <w:r>
        <w:t>The aim of this study is to critically examine the impacts of gentrification on urban communiti</w:t>
      </w:r>
      <w:r>
        <w:t xml:space="preserve">es in Lagos State, with a focus on socio-economic displacement, housing transformation, spatial restructuring, and community resilience. </w:t>
      </w:r>
    </w:p>
    <w:p w:rsidR="00A9548F" w:rsidRDefault="00F6228E">
      <w:pPr>
        <w:spacing w:after="524"/>
        <w:ind w:left="-5" w:right="0"/>
        <w:jc w:val="left"/>
      </w:pPr>
      <w:r>
        <w:rPr>
          <w:b/>
        </w:rPr>
        <w:t>OBJECTIVES:</w:t>
      </w:r>
      <w:r>
        <w:t xml:space="preserve"> </w:t>
      </w:r>
    </w:p>
    <w:p w:rsidR="00A9548F" w:rsidRDefault="00F6228E">
      <w:pPr>
        <w:numPr>
          <w:ilvl w:val="0"/>
          <w:numId w:val="2"/>
        </w:numPr>
        <w:spacing w:after="3" w:line="476" w:lineRule="auto"/>
        <w:ind w:right="1178" w:hanging="360"/>
      </w:pPr>
      <w:r>
        <w:t>To investigate the socio-</w:t>
      </w:r>
      <w:r>
        <w:t xml:space="preserve">economic effects of gentrification on residents of selected urban communities in Lagos State. </w:t>
      </w:r>
    </w:p>
    <w:p w:rsidR="00A9548F" w:rsidRDefault="00F6228E">
      <w:pPr>
        <w:numPr>
          <w:ilvl w:val="0"/>
          <w:numId w:val="2"/>
        </w:numPr>
        <w:spacing w:after="3" w:line="476" w:lineRule="auto"/>
        <w:ind w:right="1178" w:hanging="360"/>
      </w:pPr>
      <w:r>
        <w:t xml:space="preserve">To examine how gentrification influences housing availability, affordability, and patterns of residential displacement. </w:t>
      </w:r>
    </w:p>
    <w:p w:rsidR="00A9548F" w:rsidRDefault="00F6228E">
      <w:pPr>
        <w:numPr>
          <w:ilvl w:val="0"/>
          <w:numId w:val="2"/>
        </w:numPr>
        <w:spacing w:after="3" w:line="477" w:lineRule="auto"/>
        <w:ind w:right="1178" w:hanging="360"/>
      </w:pPr>
      <w:r>
        <w:t xml:space="preserve">To analyze spatial changes and land use </w:t>
      </w:r>
      <w:r>
        <w:t xml:space="preserve">transformations resulting from gentrification in the study area. </w:t>
      </w:r>
    </w:p>
    <w:p w:rsidR="00A9548F" w:rsidRDefault="00F6228E">
      <w:pPr>
        <w:numPr>
          <w:ilvl w:val="0"/>
          <w:numId w:val="2"/>
        </w:numPr>
        <w:spacing w:line="476" w:lineRule="auto"/>
        <w:ind w:right="1178" w:hanging="360"/>
      </w:pPr>
      <w:r>
        <w:t xml:space="preserve">To assess the role of government policies and private-sector interventions in driving or mitigating gentrification in Lagos urban communities. </w:t>
      </w:r>
    </w:p>
    <w:p w:rsidR="00A9548F" w:rsidRDefault="00F6228E">
      <w:pPr>
        <w:spacing w:after="532" w:line="259" w:lineRule="auto"/>
        <w:ind w:left="0" w:right="0" w:firstLine="0"/>
        <w:jc w:val="left"/>
      </w:pPr>
      <w:r>
        <w:rPr>
          <w:b/>
        </w:rPr>
        <w:t xml:space="preserve"> </w:t>
      </w:r>
    </w:p>
    <w:p w:rsidR="00A9548F" w:rsidRDefault="00F6228E">
      <w:pPr>
        <w:spacing w:after="0" w:line="259" w:lineRule="auto"/>
        <w:ind w:left="0" w:right="0" w:firstLine="0"/>
        <w:jc w:val="left"/>
      </w:pPr>
      <w:r>
        <w:rPr>
          <w:b/>
        </w:rPr>
        <w:lastRenderedPageBreak/>
        <w:t xml:space="preserve"> </w:t>
      </w:r>
    </w:p>
    <w:p w:rsidR="00A9548F" w:rsidRDefault="00F6228E">
      <w:pPr>
        <w:pStyle w:val="Heading3"/>
        <w:ind w:left="-5" w:right="0"/>
      </w:pPr>
      <w:r>
        <w:t xml:space="preserve">1.5 SCOPE AND DELIMITATIONS OF THE STUDY </w:t>
      </w:r>
    </w:p>
    <w:p w:rsidR="00A9548F" w:rsidRDefault="00F6228E">
      <w:pPr>
        <w:spacing w:line="476" w:lineRule="auto"/>
        <w:ind w:left="-5" w:right="1178"/>
      </w:pPr>
      <w:r>
        <w:t>This study focuses on the impacts of gentrification in selected urban communities within Lagos State, particularly areas that have undergone significant redevelopment or displacement since the early 2000s. The research will cover neighborhoods such as Mako</w:t>
      </w:r>
      <w:r>
        <w:t>ko, Badia, and parts of Ikoyi and Yaba, examining changes in socio-economic demographics, housing patterns, and spatial configurations. While the study draws on general urban transformation theories, it is specifically contextualized within the socio-polit</w:t>
      </w:r>
      <w:r>
        <w:t>ical and economic landscape of Lagos. The research does not cover rural gentrification or urban change processes in other Nigerian states. Additionally, the study is delimited by time and resources and will rely on mixed methods including surveys, intervie</w:t>
      </w:r>
      <w:r>
        <w:t xml:space="preserve">ws, and satellite imagery analysis within a specified time frame. </w:t>
      </w:r>
    </w:p>
    <w:p w:rsidR="00A9548F" w:rsidRDefault="00F6228E">
      <w:pPr>
        <w:pStyle w:val="Heading3"/>
        <w:ind w:left="-5" w:right="0"/>
      </w:pPr>
      <w:r>
        <w:t xml:space="preserve">1.6 SIGNIFICANCE OF THE STUDY </w:t>
      </w:r>
    </w:p>
    <w:p w:rsidR="00A9548F" w:rsidRDefault="00F6228E">
      <w:pPr>
        <w:spacing w:line="476" w:lineRule="auto"/>
        <w:ind w:left="-5" w:right="1178"/>
      </w:pPr>
      <w:r>
        <w:t>This research is significant for several reasons. Firstly, it contributes to the growing body of knowledge on urban gentrification in Sub-Saharan Africa, wher</w:t>
      </w:r>
      <w:r>
        <w:t>e empirical studies remain limited despite rapid urbanization and redevelopment. By focusing on Lagos a city experiencing intense urban transformation this study provides context-specific insights into how gentrification affects vulnerable communities. Sec</w:t>
      </w:r>
      <w:r>
        <w:t>ondly, the findings can inform urban planners, policymakers, and development practitioners about the unintended consequences of urban renewal strategies, especially regarding displacement and housing insecurity. Thirdly, it offers practical recommendations</w:t>
      </w:r>
      <w:r>
        <w:t xml:space="preserve"> for inclusive planning and social protection, aligning with sustainable development goals related to equitable cities and human settlements. Finally, the study empowers local communities by documenting their experiences and challenges, thus contributing t</w:t>
      </w:r>
      <w:r>
        <w:t xml:space="preserve">o advocacy and participatory urban governance. </w:t>
      </w:r>
    </w:p>
    <w:p w:rsidR="00A9548F" w:rsidRDefault="00F6228E">
      <w:pPr>
        <w:pStyle w:val="Heading3"/>
        <w:spacing w:after="241"/>
        <w:ind w:left="-5" w:right="0"/>
      </w:pPr>
      <w:r>
        <w:lastRenderedPageBreak/>
        <w:t xml:space="preserve">1.7 THE STUDY AREA </w:t>
      </w:r>
    </w:p>
    <w:p w:rsidR="00A9548F" w:rsidRDefault="00F6228E">
      <w:pPr>
        <w:spacing w:after="0" w:line="477" w:lineRule="auto"/>
        <w:ind w:left="-5" w:right="1178"/>
      </w:pPr>
      <w:r>
        <w:t>Lagos State is situated in the southwestern geopolitical zone of Nigeria. It shares boundaries with Ogun State to the north and east, the Republic of Benin to the west, and the Atlantic Oc</w:t>
      </w:r>
      <w:r>
        <w:t>ean to the south. Despite being the smallest state in Nigeria by land area, it stands out as the most populous, with an estimated population exceeding 20 million. This dense population, combined with its strategic coastal location, positions Lagos as a cri</w:t>
      </w:r>
      <w:r>
        <w:t xml:space="preserve">tical node in Nigeria’s demographic and spatial landscape. </w:t>
      </w:r>
    </w:p>
    <w:p w:rsidR="00A9548F" w:rsidRDefault="00F6228E">
      <w:pPr>
        <w:spacing w:after="0" w:line="476" w:lineRule="auto"/>
        <w:ind w:left="-5" w:right="1178"/>
      </w:pPr>
      <w:r>
        <w:t>As the country’s commercial and financial hub, Lagos hosts Nigeria’s most important economic institutions, including major banks, multinational companies, and the nation’s busiest Seaport. The state's economy is highly diversified, driven by commerce, manu</w:t>
      </w:r>
      <w:r>
        <w:t xml:space="preserve">facturing, transportation, entertainment, and services. Its infrastructural development and concentration of wealth have attracted both domestic and international investments, intensifying urban growth and competition for land. </w:t>
      </w:r>
    </w:p>
    <w:p w:rsidR="00A9548F" w:rsidRDefault="00F6228E">
      <w:pPr>
        <w:spacing w:after="0" w:line="477" w:lineRule="auto"/>
        <w:ind w:left="-5" w:right="1178"/>
      </w:pPr>
      <w:r>
        <w:t>The physical landscape of L</w:t>
      </w:r>
      <w:r>
        <w:t>agos comprises a mix of urban, peri-urban, and coastal environments. It includes high-density residential zones, informal settlements, planned estates, and affluent neighborhoods. Waterfronts, Lagoons, and Island settlements characterize its geography, whi</w:t>
      </w:r>
      <w:r>
        <w:t xml:space="preserve">le suburban areas are rapidly expanding due to urban sprawl and infrastructural development. These contrasting spaces reflect the complex socio-spatial dynamics of a rapidly urbanizing city. </w:t>
      </w:r>
    </w:p>
    <w:p w:rsidR="00A9548F" w:rsidRDefault="00F6228E">
      <w:pPr>
        <w:spacing w:after="0" w:line="477" w:lineRule="auto"/>
        <w:ind w:left="-5" w:right="1178"/>
      </w:pPr>
      <w:r>
        <w:t xml:space="preserve">In recent years, Lagos has witnessed intensified gentrification </w:t>
      </w:r>
      <w:r>
        <w:t>in key districts such as Lekki, Yaba, Surulere, Ikoyi, and Victoria Island. These areas have seen transformations through redevelopment, rising property values, and the displacement of lower-income residents. This makes Lagos a relevant and compelling case</w:t>
      </w:r>
      <w:r>
        <w:t xml:space="preserve"> for studying the patterns and implications of gentrification within the context of a developing urban environment. </w:t>
      </w:r>
    </w:p>
    <w:p w:rsidR="00A9548F" w:rsidRDefault="00F6228E">
      <w:pPr>
        <w:spacing w:after="246"/>
        <w:ind w:left="1875" w:right="0"/>
        <w:jc w:val="left"/>
      </w:pPr>
      <w:r>
        <w:rPr>
          <w:b/>
        </w:rPr>
        <w:lastRenderedPageBreak/>
        <w:t xml:space="preserve">LAGOS STATE WITHIN NATIONAL CONTEXT </w:t>
      </w:r>
    </w:p>
    <w:p w:rsidR="00A9548F" w:rsidRDefault="00F6228E">
      <w:pPr>
        <w:pStyle w:val="Heading2"/>
        <w:spacing w:after="0"/>
        <w:ind w:right="1195"/>
        <w:jc w:val="center"/>
      </w:pPr>
      <w:r>
        <w:t xml:space="preserve">SOURCE: GOOGLE IMAGERY </w:t>
      </w:r>
    </w:p>
    <w:p w:rsidR="00A9548F" w:rsidRDefault="00F6228E">
      <w:pPr>
        <w:spacing w:after="0" w:line="259" w:lineRule="auto"/>
        <w:ind w:left="268" w:right="0" w:firstLine="0"/>
        <w:jc w:val="left"/>
      </w:pPr>
      <w:r>
        <w:rPr>
          <w:rFonts w:ascii="Calibri" w:eastAsia="Calibri" w:hAnsi="Calibri" w:cs="Calibri"/>
          <w:noProof/>
          <w:sz w:val="22"/>
        </w:rPr>
        <mc:AlternateContent>
          <mc:Choice Requires="wpg">
            <w:drawing>
              <wp:inline distT="0" distB="0" distL="0" distR="0">
                <wp:extent cx="5684521" cy="4666488"/>
                <wp:effectExtent l="0" t="0" r="0" b="0"/>
                <wp:docPr id="43537" name="Group 43537"/>
                <wp:cNvGraphicFramePr/>
                <a:graphic xmlns:a="http://schemas.openxmlformats.org/drawingml/2006/main">
                  <a:graphicData uri="http://schemas.microsoft.com/office/word/2010/wordprocessingGroup">
                    <wpg:wgp>
                      <wpg:cNvGrpSpPr/>
                      <wpg:grpSpPr>
                        <a:xfrm>
                          <a:off x="0" y="0"/>
                          <a:ext cx="5684521" cy="4666488"/>
                          <a:chOff x="0" y="0"/>
                          <a:chExt cx="5684521" cy="4666488"/>
                        </a:xfrm>
                      </wpg:grpSpPr>
                      <pic:pic xmlns:pic="http://schemas.openxmlformats.org/drawingml/2006/picture">
                        <pic:nvPicPr>
                          <pic:cNvPr id="1642" name="Picture 1642"/>
                          <pic:cNvPicPr/>
                        </pic:nvPicPr>
                        <pic:blipFill>
                          <a:blip r:embed="rId11"/>
                          <a:stretch>
                            <a:fillRect/>
                          </a:stretch>
                        </pic:blipFill>
                        <pic:spPr>
                          <a:xfrm>
                            <a:off x="0" y="0"/>
                            <a:ext cx="5684521" cy="4666488"/>
                          </a:xfrm>
                          <a:prstGeom prst="rect">
                            <a:avLst/>
                          </a:prstGeom>
                        </pic:spPr>
                      </pic:pic>
                      <wps:wsp>
                        <wps:cNvPr id="1647" name="Rectangle 1647"/>
                        <wps:cNvSpPr/>
                        <wps:spPr>
                          <a:xfrm>
                            <a:off x="2695321" y="105258"/>
                            <a:ext cx="50673" cy="224380"/>
                          </a:xfrm>
                          <a:prstGeom prst="rect">
                            <a:avLst/>
                          </a:prstGeom>
                          <a:ln>
                            <a:noFill/>
                          </a:ln>
                        </wps:spPr>
                        <wps:txbx>
                          <w:txbxContent>
                            <w:p w:rsidR="00A9548F" w:rsidRDefault="00F6228E">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48" name="Rectangle 1648"/>
                        <wps:cNvSpPr/>
                        <wps:spPr>
                          <a:xfrm>
                            <a:off x="4524502" y="105258"/>
                            <a:ext cx="50673" cy="224380"/>
                          </a:xfrm>
                          <a:prstGeom prst="rect">
                            <a:avLst/>
                          </a:prstGeom>
                          <a:ln>
                            <a:noFill/>
                          </a:ln>
                        </wps:spPr>
                        <wps:txbx>
                          <w:txbxContent>
                            <w:p w:rsidR="00A9548F" w:rsidRDefault="00F6228E">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43537" style="width:447.6pt;height:367.44pt;mso-position-horizontal-relative:char;mso-position-vertical-relative:line" coordsize="56845,46664">
                <v:shape id="Picture 1642" style="position:absolute;width:56845;height:46664;left:0;top:0;" filled="f">
                  <v:imagedata r:id="rId12"/>
                </v:shape>
                <v:rect id="Rectangle 1647" style="position:absolute;width:506;height:2243;left:26953;top:1052;"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1648" style="position:absolute;width:506;height:2243;left:45245;top:1052;"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group>
            </w:pict>
          </mc:Fallback>
        </mc:AlternateContent>
      </w:r>
    </w:p>
    <w:p w:rsidR="00A9548F" w:rsidRDefault="00F6228E">
      <w:pPr>
        <w:spacing w:after="252" w:line="259" w:lineRule="auto"/>
        <w:ind w:left="0" w:right="1130" w:firstLine="0"/>
        <w:jc w:val="center"/>
      </w:pPr>
      <w:r>
        <w:rPr>
          <w:b/>
        </w:rPr>
        <w:t xml:space="preserve"> </w:t>
      </w:r>
    </w:p>
    <w:p w:rsidR="00A9548F" w:rsidRDefault="00F6228E">
      <w:pPr>
        <w:spacing w:after="246"/>
        <w:ind w:left="1959" w:right="0"/>
        <w:jc w:val="left"/>
      </w:pPr>
      <w:r>
        <w:rPr>
          <w:b/>
        </w:rPr>
        <w:t xml:space="preserve">LAGOS STATE SHOWING THE STUDY AREA </w:t>
      </w:r>
    </w:p>
    <w:p w:rsidR="00A9548F" w:rsidRDefault="00F6228E">
      <w:pPr>
        <w:pStyle w:val="Heading2"/>
        <w:spacing w:after="238"/>
        <w:ind w:right="1195"/>
        <w:jc w:val="center"/>
      </w:pPr>
      <w:r>
        <w:lastRenderedPageBreak/>
        <w:t xml:space="preserve">SOURCE: GOOGLE IMAGERY </w:t>
      </w:r>
    </w:p>
    <w:p w:rsidR="00A9548F" w:rsidRDefault="00F6228E">
      <w:pPr>
        <w:spacing w:after="225" w:line="259" w:lineRule="auto"/>
        <w:ind w:left="0" w:right="725" w:firstLine="0"/>
        <w:jc w:val="right"/>
      </w:pPr>
      <w:r>
        <w:rPr>
          <w:noProof/>
        </w:rPr>
        <w:drawing>
          <wp:inline distT="0" distB="0" distL="0" distR="0">
            <wp:extent cx="5989320" cy="5248656"/>
            <wp:effectExtent l="0" t="0" r="0" b="0"/>
            <wp:docPr id="1671" name="Picture 1671"/>
            <wp:cNvGraphicFramePr/>
            <a:graphic xmlns:a="http://schemas.openxmlformats.org/drawingml/2006/main">
              <a:graphicData uri="http://schemas.openxmlformats.org/drawingml/2006/picture">
                <pic:pic xmlns:pic="http://schemas.openxmlformats.org/drawingml/2006/picture">
                  <pic:nvPicPr>
                    <pic:cNvPr id="1671" name="Picture 1671"/>
                    <pic:cNvPicPr/>
                  </pic:nvPicPr>
                  <pic:blipFill>
                    <a:blip r:embed="rId13"/>
                    <a:stretch>
                      <a:fillRect/>
                    </a:stretch>
                  </pic:blipFill>
                  <pic:spPr>
                    <a:xfrm>
                      <a:off x="0" y="0"/>
                      <a:ext cx="5989320" cy="5248656"/>
                    </a:xfrm>
                    <a:prstGeom prst="rect">
                      <a:avLst/>
                    </a:prstGeom>
                  </pic:spPr>
                </pic:pic>
              </a:graphicData>
            </a:graphic>
          </wp:inline>
        </w:drawing>
      </w:r>
      <w:r>
        <w:rPr>
          <w:b/>
        </w:rPr>
        <w:t xml:space="preserve"> </w:t>
      </w:r>
    </w:p>
    <w:p w:rsidR="00A9548F" w:rsidRDefault="00F6228E">
      <w:pPr>
        <w:spacing w:after="530" w:line="259" w:lineRule="auto"/>
        <w:ind w:left="0" w:right="0" w:firstLine="0"/>
        <w:jc w:val="left"/>
      </w:pPr>
      <w:r>
        <w:rPr>
          <w:b/>
        </w:rPr>
        <w:t xml:space="preserve"> </w:t>
      </w:r>
    </w:p>
    <w:p w:rsidR="00A9548F" w:rsidRDefault="00F6228E">
      <w:pPr>
        <w:spacing w:after="252" w:line="259" w:lineRule="auto"/>
        <w:ind w:left="0" w:right="1130" w:firstLine="0"/>
        <w:jc w:val="center"/>
      </w:pPr>
      <w:r>
        <w:rPr>
          <w:b/>
        </w:rPr>
        <w:t xml:space="preserve"> </w:t>
      </w:r>
    </w:p>
    <w:p w:rsidR="00A9548F" w:rsidRDefault="00F6228E">
      <w:pPr>
        <w:spacing w:after="252" w:line="259" w:lineRule="auto"/>
        <w:ind w:left="0" w:right="1130" w:firstLine="0"/>
        <w:jc w:val="center"/>
      </w:pPr>
      <w:r>
        <w:rPr>
          <w:b/>
        </w:rPr>
        <w:t xml:space="preserve"> </w:t>
      </w:r>
    </w:p>
    <w:p w:rsidR="00A9548F" w:rsidRDefault="00F6228E">
      <w:pPr>
        <w:spacing w:after="252" w:line="259" w:lineRule="auto"/>
        <w:ind w:left="0" w:right="1130" w:firstLine="0"/>
        <w:jc w:val="center"/>
      </w:pPr>
      <w:r>
        <w:rPr>
          <w:b/>
        </w:rPr>
        <w:t xml:space="preserve"> </w:t>
      </w:r>
    </w:p>
    <w:p w:rsidR="00A9548F" w:rsidRDefault="00F6228E">
      <w:pPr>
        <w:spacing w:after="0" w:line="259" w:lineRule="auto"/>
        <w:ind w:left="0" w:right="1130" w:firstLine="0"/>
        <w:jc w:val="center"/>
      </w:pPr>
      <w:r>
        <w:rPr>
          <w:b/>
        </w:rPr>
        <w:t xml:space="preserve"> </w:t>
      </w:r>
    </w:p>
    <w:p w:rsidR="00A9548F" w:rsidRDefault="00F6228E">
      <w:pPr>
        <w:pStyle w:val="Heading3"/>
        <w:ind w:left="-5" w:right="0"/>
      </w:pPr>
      <w:r>
        <w:lastRenderedPageBreak/>
        <w:t xml:space="preserve">1.8 OPERATIONAL DEFINITION OF TERMS </w:t>
      </w:r>
    </w:p>
    <w:p w:rsidR="00A9548F" w:rsidRDefault="00F6228E">
      <w:pPr>
        <w:numPr>
          <w:ilvl w:val="0"/>
          <w:numId w:val="3"/>
        </w:numPr>
        <w:spacing w:after="2" w:line="476" w:lineRule="auto"/>
        <w:ind w:right="1178" w:hanging="360"/>
      </w:pPr>
      <w:r>
        <w:rPr>
          <w:b/>
        </w:rPr>
        <w:t>Gentrification:</w:t>
      </w:r>
      <w:r>
        <w:t xml:space="preserve"> A process of neighborhood change characterized by the influx of middle- to upper-income residents into historically low-income areas, often resulting in the displacement of original residents and </w:t>
      </w:r>
      <w:r>
        <w:t xml:space="preserve">changes in the area's socio-economic character. </w:t>
      </w:r>
    </w:p>
    <w:p w:rsidR="00A9548F" w:rsidRDefault="00F6228E">
      <w:pPr>
        <w:numPr>
          <w:ilvl w:val="0"/>
          <w:numId w:val="3"/>
        </w:numPr>
        <w:spacing w:after="1" w:line="476" w:lineRule="auto"/>
        <w:ind w:right="1178" w:hanging="360"/>
      </w:pPr>
      <w:r>
        <w:rPr>
          <w:b/>
        </w:rPr>
        <w:t>Urban Community:</w:t>
      </w:r>
      <w:r>
        <w:t xml:space="preserve"> A group of people living in a geographically defined area within a city, sharing common infrastructure, social networks, and, in many cases, similar economic activities. </w:t>
      </w:r>
    </w:p>
    <w:p w:rsidR="00A9548F" w:rsidRDefault="00F6228E">
      <w:pPr>
        <w:numPr>
          <w:ilvl w:val="0"/>
          <w:numId w:val="3"/>
        </w:numPr>
        <w:spacing w:after="3" w:line="475" w:lineRule="auto"/>
        <w:ind w:right="1178" w:hanging="360"/>
      </w:pPr>
      <w:r>
        <w:rPr>
          <w:b/>
        </w:rPr>
        <w:t>Displacement:</w:t>
      </w:r>
      <w:r>
        <w:t xml:space="preserve"> </w:t>
      </w:r>
      <w:r>
        <w:t xml:space="preserve">The forced or indirect removal of individuals or groups from their residential or business locations due to redevelopment or rising costs associated with gentrification. </w:t>
      </w:r>
    </w:p>
    <w:p w:rsidR="00A9548F" w:rsidRDefault="00F6228E">
      <w:pPr>
        <w:numPr>
          <w:ilvl w:val="0"/>
          <w:numId w:val="3"/>
        </w:numPr>
        <w:spacing w:line="477" w:lineRule="auto"/>
        <w:ind w:right="1178" w:hanging="360"/>
      </w:pPr>
      <w:r>
        <w:rPr>
          <w:b/>
        </w:rPr>
        <w:t>Spatial Restructuring:</w:t>
      </w:r>
      <w:r>
        <w:t xml:space="preserve"> The transformation of land use, built environment, and urban l</w:t>
      </w:r>
      <w:r>
        <w:t xml:space="preserve">ayout that occurs as a result of gentrification and other urban planning interventions. </w:t>
      </w:r>
    </w:p>
    <w:p w:rsidR="00A9548F" w:rsidRDefault="00F6228E">
      <w:pPr>
        <w:numPr>
          <w:ilvl w:val="0"/>
          <w:numId w:val="3"/>
        </w:numPr>
        <w:spacing w:line="476" w:lineRule="auto"/>
        <w:ind w:right="1178" w:hanging="360"/>
      </w:pPr>
      <w:r>
        <w:rPr>
          <w:b/>
        </w:rPr>
        <w:t>Affordable Housing:</w:t>
      </w:r>
      <w:r>
        <w:t xml:space="preserve"> Housing units that are reasonably priced and accessible to individuals or households with low to moderate incomes without causing financial recomme</w:t>
      </w:r>
      <w:r>
        <w:t xml:space="preserve">ndations, as well as directions for future research. </w:t>
      </w:r>
    </w:p>
    <w:p w:rsidR="00A9548F" w:rsidRDefault="00F6228E">
      <w:pPr>
        <w:spacing w:after="0" w:line="259" w:lineRule="auto"/>
        <w:ind w:left="0" w:right="0" w:firstLine="0"/>
        <w:jc w:val="left"/>
      </w:pPr>
      <w:r>
        <w:rPr>
          <w:b/>
        </w:rPr>
        <w:t xml:space="preserve"> </w:t>
      </w:r>
      <w:r>
        <w:rPr>
          <w:b/>
        </w:rPr>
        <w:tab/>
        <w:t xml:space="preserve"> </w:t>
      </w:r>
    </w:p>
    <w:p w:rsidR="00A9548F" w:rsidRDefault="00F6228E">
      <w:pPr>
        <w:spacing w:after="525"/>
        <w:ind w:right="1193"/>
        <w:jc w:val="center"/>
      </w:pPr>
      <w:r>
        <w:rPr>
          <w:b/>
        </w:rPr>
        <w:t xml:space="preserve">CHAPTER TWO </w:t>
      </w:r>
    </w:p>
    <w:p w:rsidR="00A9548F" w:rsidRDefault="00F6228E">
      <w:pPr>
        <w:pStyle w:val="Heading2"/>
        <w:spacing w:after="525"/>
        <w:ind w:right="1190"/>
        <w:jc w:val="center"/>
      </w:pPr>
      <w:r>
        <w:lastRenderedPageBreak/>
        <w:t xml:space="preserve">LITERATURE REVIEW </w:t>
      </w:r>
    </w:p>
    <w:p w:rsidR="00A9548F" w:rsidRDefault="00F6228E">
      <w:pPr>
        <w:pStyle w:val="Heading3"/>
        <w:ind w:left="-5" w:right="0"/>
      </w:pPr>
      <w:r>
        <w:t xml:space="preserve">2.1 CONCEPTUAL CLARIFICATIONS ON GENTRIFICATION </w:t>
      </w:r>
    </w:p>
    <w:p w:rsidR="00A9548F" w:rsidRDefault="00F6228E">
      <w:pPr>
        <w:spacing w:line="477" w:lineRule="auto"/>
        <w:ind w:left="-5" w:right="1178"/>
      </w:pPr>
      <w:r>
        <w:t>Gentrification refers to the process whereby deteriorated urban neighborhoods experience transformation through reinv</w:t>
      </w:r>
      <w:r>
        <w:t>estment and renewal, typically led by the influx of middle- and high-income groups. This process often results in improved infrastructure and increased property values but also leads to the displacement of lower-income residents (Obaitor et al., 2024). Whi</w:t>
      </w:r>
      <w:r>
        <w:t>le gentrification may appear beneficial in urban revitalization, it frequently triggers socio-spatial inequalities and cultural disruptions. In developing cities like Lagos, gentrification is not only a physical process but also a political and economic on</w:t>
      </w:r>
      <w:r>
        <w:t>e, driven by state interests and neoliberal urban planning models (Ajayi &amp; Soyinka-Airewele, 2021). Furthermore, gentrification in African contexts tends to be more aggressive, involving evictions and demolition of informal settlements without adequate com</w:t>
      </w:r>
      <w:r>
        <w:t xml:space="preserve">pensation or alternative housing options (Godswill &amp; Ukachukwu, 2018). </w:t>
      </w:r>
    </w:p>
    <w:p w:rsidR="00A9548F" w:rsidRDefault="00F6228E">
      <w:pPr>
        <w:pStyle w:val="Heading3"/>
        <w:tabs>
          <w:tab w:val="center" w:pos="2476"/>
        </w:tabs>
        <w:ind w:left="-15" w:right="0" w:firstLine="0"/>
      </w:pPr>
      <w:r>
        <w:t xml:space="preserve">2.2 </w:t>
      </w:r>
      <w:r>
        <w:tab/>
        <w:t xml:space="preserve">THEORETICAL FRAMEWORK </w:t>
      </w:r>
    </w:p>
    <w:p w:rsidR="00A9548F" w:rsidRDefault="00F6228E">
      <w:pPr>
        <w:pStyle w:val="Heading4"/>
        <w:ind w:left="-5" w:right="0"/>
      </w:pPr>
      <w:r>
        <w:t xml:space="preserve">2.2.1 RENT GAP THEORY </w:t>
      </w:r>
    </w:p>
    <w:p w:rsidR="00A9548F" w:rsidRDefault="00F6228E">
      <w:pPr>
        <w:spacing w:line="477" w:lineRule="auto"/>
        <w:ind w:left="-5" w:right="1178"/>
      </w:pPr>
      <w:r>
        <w:t xml:space="preserve">The Rent Gap Theory was introduced by Neil Smith to explain how economic disparities in urban land value can trigger gentrification. According to this theory, a rent gap exists when there is a significant difference between the current income generated by </w:t>
      </w:r>
      <w:r>
        <w:t xml:space="preserve">a piece of urban land and the potential income it could generate if redeveloped to its highest and best use. When this gap becomes large enough, it attracts investors and developers who are motivated by profit. </w:t>
      </w:r>
    </w:p>
    <w:p w:rsidR="00A9548F" w:rsidRDefault="00F6228E">
      <w:pPr>
        <w:spacing w:line="476" w:lineRule="auto"/>
        <w:ind w:left="-5" w:right="1178"/>
      </w:pPr>
      <w:r>
        <w:lastRenderedPageBreak/>
        <w:t>They purchase undervalued properties, renova</w:t>
      </w:r>
      <w:r>
        <w:t xml:space="preserve">te or redevelop them, and lease or sell them at much higher rates, thus initiating the gentrification process. </w:t>
      </w:r>
    </w:p>
    <w:p w:rsidR="00A9548F" w:rsidRDefault="00F6228E">
      <w:pPr>
        <w:spacing w:line="477" w:lineRule="auto"/>
        <w:ind w:left="-5" w:right="1178"/>
      </w:pPr>
      <w:r>
        <w:t xml:space="preserve">In cities like Lagos, this theory is visible in areas where informal settlements occupy land with high commercial or residential potential. For </w:t>
      </w:r>
      <w:r>
        <w:t>instance, waterfront communities such as Maroko and Otodogbame were demolished to make way for luxury apartments and office complexes. These cases demonstrate how private developers and government agencies identify areas with high rent gaps and target them</w:t>
      </w:r>
      <w:r>
        <w:t xml:space="preserve"> for redevelopment. The existing residents are often forcibly evicted, and new infrastructure is introduced to attract wealthier inhabitants. </w:t>
      </w:r>
    </w:p>
    <w:p w:rsidR="00A9548F" w:rsidRDefault="00F6228E">
      <w:pPr>
        <w:spacing w:line="476" w:lineRule="auto"/>
        <w:ind w:left="-5" w:right="1178"/>
      </w:pPr>
      <w:r>
        <w:t>Studies show that in Lagos, the rent gap is not only economic but also institutional and political. Government ag</w:t>
      </w:r>
      <w:r>
        <w:t xml:space="preserve">encies often label certain neighborhoods as unsafe or environmentally hazardous to justify eviction and redevelopment. These actions are frequently followed by rapid increases in land value once the area is cleared and restructured. Obaitor and colleagues </w:t>
      </w:r>
      <w:r>
        <w:t xml:space="preserve">in a 2024 study observed that many evictions in Lagos were linked to land speculation and rent gap exploitation rather than environmental concerns. </w:t>
      </w:r>
    </w:p>
    <w:p w:rsidR="00A9548F" w:rsidRDefault="00F6228E">
      <w:pPr>
        <w:spacing w:line="477" w:lineRule="auto"/>
        <w:ind w:left="-5" w:right="1178"/>
      </w:pPr>
      <w:r>
        <w:t>While this theory provides a strong economic explanation for gentrification, it has been criticized for neg</w:t>
      </w:r>
      <w:r>
        <w:t>lecting social and cultural aspects. In Lagos, community networks, informal economies, and indigenous practices play a significant role in urban life. These elements are often disregarded in redevelopment plans focused solely on maximizing profit. Nonethel</w:t>
      </w:r>
      <w:r>
        <w:t xml:space="preserve">ess, the Rent Gap Theory remains a useful tool for understanding the economic motivations behind urban transformation in Lagos. </w:t>
      </w:r>
    </w:p>
    <w:p w:rsidR="00A9548F" w:rsidRDefault="00F6228E">
      <w:pPr>
        <w:spacing w:after="0" w:line="259" w:lineRule="auto"/>
        <w:ind w:left="0" w:right="0" w:firstLine="0"/>
        <w:jc w:val="left"/>
      </w:pPr>
      <w:r>
        <w:t xml:space="preserve"> </w:t>
      </w:r>
    </w:p>
    <w:p w:rsidR="00A9548F" w:rsidRDefault="00F6228E">
      <w:pPr>
        <w:pStyle w:val="Heading4"/>
        <w:ind w:left="-5" w:right="0"/>
      </w:pPr>
      <w:r>
        <w:lastRenderedPageBreak/>
        <w:t xml:space="preserve">2.2.2 RIGHT TO THE CITY </w:t>
      </w:r>
    </w:p>
    <w:p w:rsidR="00A9548F" w:rsidRDefault="00F6228E">
      <w:pPr>
        <w:spacing w:line="477" w:lineRule="auto"/>
        <w:ind w:left="-5" w:right="1178"/>
      </w:pPr>
      <w:r>
        <w:t>The Right to the City is a concept originally developed by Henri Lefebvre and later expanded by scho</w:t>
      </w:r>
      <w:r>
        <w:t>lars like David Harvey. It advocates for the inclusive use of urban space and the right of all residents to participate in the planning and development of their communities. This concept challenges urban policies that prioritize corporate interests or elit</w:t>
      </w:r>
      <w:r>
        <w:t xml:space="preserve">e groups over the needs of the urban poor. It emphasizes that urban spaces should not be commodities but rather shared environments where all individuals have the right to access housing, public services, and a voice in governance. </w:t>
      </w:r>
    </w:p>
    <w:p w:rsidR="00A9548F" w:rsidRDefault="00F6228E">
      <w:pPr>
        <w:spacing w:line="476" w:lineRule="auto"/>
        <w:ind w:left="-5" w:right="1178"/>
      </w:pPr>
      <w:r>
        <w:t>In Lagos, the applicati</w:t>
      </w:r>
      <w:r>
        <w:t>on of this concept reveals glaring injustices. Many urban renewal projects in the city are implemented without consulting the residents who will be most affected. For example, the demolition of homes in communities like Badia East and Ilubirin occurred wit</w:t>
      </w:r>
      <w:r>
        <w:t>hout sufficient notice or provision for relocation. These actions deny residents their right to participate in the decisions that shape their environment. Ajayi and Soyinka-Airewele (2021) argue that such projects reinforce exclusion and create a city wher</w:t>
      </w:r>
      <w:r>
        <w:t xml:space="preserve">e only the wealthy have a say. </w:t>
      </w:r>
    </w:p>
    <w:p w:rsidR="00A9548F" w:rsidRDefault="00F6228E">
      <w:pPr>
        <w:spacing w:line="477" w:lineRule="auto"/>
        <w:ind w:left="-5" w:right="1178"/>
      </w:pPr>
      <w:r>
        <w:t>Furthermore, the Right to the City extends beyond physical infrastructure. It includes the preservation of cultural practices, community networks, and traditional livelihoods. In communities like Makoko, where residents depe</w:t>
      </w:r>
      <w:r>
        <w:t>nd on fishing and water-based transportation, displacement means the loss of not just homes but entire ways of life. The removal of these communities to make space for real estate developments threatens the social fabric and undermines the diverse cultural</w:t>
      </w:r>
      <w:r>
        <w:t xml:space="preserve"> identity of Lagos. </w:t>
      </w:r>
    </w:p>
    <w:p w:rsidR="00A9548F" w:rsidRDefault="00F6228E">
      <w:pPr>
        <w:spacing w:line="476" w:lineRule="auto"/>
        <w:ind w:left="-5" w:right="1178"/>
      </w:pPr>
      <w:r>
        <w:lastRenderedPageBreak/>
        <w:t>The relevance of this concept to gentrification lies in its focus on justice and equity. By emphasizing the collective rights of all city dwellers, the Right to the City provides a framework for evaluating urban policies through a huma</w:t>
      </w:r>
      <w:r>
        <w:t xml:space="preserve">n-centered lens. In the context of Lagos, it calls for urban development strategies that are participatory, inclusive, and respectful of long-established communities. </w:t>
      </w:r>
    </w:p>
    <w:p w:rsidR="00A9548F" w:rsidRDefault="00F6228E">
      <w:pPr>
        <w:pStyle w:val="Heading4"/>
        <w:ind w:left="-5" w:right="0"/>
      </w:pPr>
      <w:r>
        <w:t xml:space="preserve">2.2.3 URBAN GROWTH MACHINE THEORY </w:t>
      </w:r>
    </w:p>
    <w:p w:rsidR="00A9548F" w:rsidRDefault="00F6228E">
      <w:pPr>
        <w:spacing w:line="476" w:lineRule="auto"/>
        <w:ind w:left="-5" w:right="1178"/>
      </w:pPr>
      <w:r>
        <w:t>The Urban Growth Machine Theory, proposed by John Log</w:t>
      </w:r>
      <w:r>
        <w:t xml:space="preserve">an and Harvey Molotch, views the city as a site of economic competition where land is a central commodity. According to this theory, coalitions of politicians, business leaders, media owners, and real estate developers collaborate to promote urban growth. </w:t>
      </w:r>
      <w:r>
        <w:t xml:space="preserve">Their shared goal is to increase land value and attract investment, often at the expense of marginalized populations. This coalition exerts influence over urban planning policies and development priorities. </w:t>
      </w:r>
    </w:p>
    <w:p w:rsidR="00A9548F" w:rsidRDefault="00F6228E">
      <w:pPr>
        <w:spacing w:line="477" w:lineRule="auto"/>
        <w:ind w:left="-5" w:right="1178"/>
      </w:pPr>
      <w:r>
        <w:t>In Lagos, this theory is particularly relevant w</w:t>
      </w:r>
      <w:r>
        <w:t>hen examining large-scale urban projects such as Eko Atlantic City and the Lekki Free Trade Zone. These projects are backed by private investors and often supported by the state government. Obaitor and colleagues (2024) observed that these developments pri</w:t>
      </w:r>
      <w:r>
        <w:t xml:space="preserve">oritize profitability over social inclusion. Informal settlements near these high-value areas are frequently demolished, and the residents are displaced without adequate compensation or resettlement. </w:t>
      </w:r>
    </w:p>
    <w:p w:rsidR="00A9548F" w:rsidRDefault="00F6228E">
      <w:pPr>
        <w:spacing w:after="0" w:line="476" w:lineRule="auto"/>
        <w:ind w:left="-5" w:right="1178"/>
      </w:pPr>
      <w:r>
        <w:t>This theory also sheds light on how institutions functi</w:t>
      </w:r>
      <w:r>
        <w:t xml:space="preserve">on within the urban growth agenda. Regulatory bodies like the Lagos State Building Control Agency and the Lagos State Urban Renewal Authority play roles in approving or enforcing projects that align with elite interests. </w:t>
      </w:r>
    </w:p>
    <w:p w:rsidR="00A9548F" w:rsidRDefault="00F6228E">
      <w:pPr>
        <w:spacing w:line="476" w:lineRule="auto"/>
        <w:ind w:left="-5" w:right="1178"/>
      </w:pPr>
      <w:r>
        <w:lastRenderedPageBreak/>
        <w:t xml:space="preserve">Urban policies, zoning laws, and land acquisition frameworks are often adjusted to accommodate real estate speculation. These actions collectively contribute to gentrification, as the drive for urban growth displaces poorer communities. </w:t>
      </w:r>
    </w:p>
    <w:p w:rsidR="00A9548F" w:rsidRDefault="00F6228E">
      <w:pPr>
        <w:spacing w:line="477" w:lineRule="auto"/>
        <w:ind w:left="-5" w:right="1178"/>
      </w:pPr>
      <w:r>
        <w:t>One of the strengt</w:t>
      </w:r>
      <w:r>
        <w:t>hs of this theory is its focus on power relations in the urban environment. It highlights the fact that gentrification is not only a market-driven process but also a politically orchestrated one. In Lagos, understanding how growth coalitions operate is ess</w:t>
      </w:r>
      <w:r>
        <w:t xml:space="preserve">ential for uncovering the forces behind rapid urban change. The theory also points to the need for stronger governance systems that prioritize equity and resist the unchecked dominance of profit-driven interests. </w:t>
      </w:r>
    </w:p>
    <w:p w:rsidR="00A9548F" w:rsidRDefault="00F6228E">
      <w:pPr>
        <w:pStyle w:val="Heading3"/>
        <w:ind w:left="-5" w:right="0"/>
      </w:pPr>
      <w:r>
        <w:t xml:space="preserve">2.3 EMPIRICAL REVIEW OF GENTRIFICATION IN </w:t>
      </w:r>
      <w:r>
        <w:t xml:space="preserve">GLOBAL CONTEXTS </w:t>
      </w:r>
    </w:p>
    <w:p w:rsidR="00A9548F" w:rsidRDefault="00F6228E">
      <w:pPr>
        <w:spacing w:line="477" w:lineRule="auto"/>
        <w:ind w:left="-5" w:right="1178"/>
      </w:pPr>
      <w:r>
        <w:t>Gentrification is a globally studied urban phenomenon that manifests differently depending on regional, economic, and political contexts. In Western cities such as New York, London, and Berlin, it is often linked to cultural shifts, housin</w:t>
      </w:r>
      <w:r>
        <w:t>g policies, and neoliberal governance. In these settings, gentrification tends to occur gradually, driven by middle-class professionals seeking affordable housing in formerly industrial or working-class neighborhoods. Studies in New York, for example, have</w:t>
      </w:r>
      <w:r>
        <w:t xml:space="preserve"> documented how artists and young professionals were the first wave of gentrifiers, transforming areas like Williamsburg into vibrant but expensive districts (Lees et al., 2020). The economic revitalization in these areas typically follows an increase in r</w:t>
      </w:r>
      <w:r>
        <w:t xml:space="preserve">eal estate demand, which is then capitalized on by developers and landlords who displace longterm, low-income residents. </w:t>
      </w:r>
    </w:p>
    <w:p w:rsidR="00A9548F" w:rsidRDefault="00F6228E">
      <w:pPr>
        <w:spacing w:after="0" w:line="477" w:lineRule="auto"/>
        <w:ind w:left="-5" w:right="1178"/>
      </w:pPr>
      <w:r>
        <w:t>In contrast, gentrification in cities of the Global South tends to be faster, more state-</w:t>
      </w:r>
      <w:r>
        <w:t xml:space="preserve">driven, and often marked by forced evictions. In Johannesburg, South Africa, for instance, gentrification </w:t>
      </w:r>
      <w:r>
        <w:lastRenderedPageBreak/>
        <w:t xml:space="preserve">in areas like Maboneng has been associated with the direct involvement of private capital and municipal governments. According to Visser (2021), this </w:t>
      </w:r>
      <w:r>
        <w:t xml:space="preserve">has led to sharp socio-spatial segregation, as luxury developments push poor communities further to the peripheries. In </w:t>
      </w:r>
    </w:p>
    <w:p w:rsidR="00A9548F" w:rsidRDefault="00F6228E">
      <w:pPr>
        <w:spacing w:line="477" w:lineRule="auto"/>
        <w:ind w:left="-5" w:right="1178"/>
      </w:pPr>
      <w:r>
        <w:t>Nairobi, Kenya, government-led slum clearance initiatives have led to similar patterns. The Kenyan state has partnered with internation</w:t>
      </w:r>
      <w:r>
        <w:t>al agencies to redevelop areas such as Kibera, but local residents report minimal consultation and rising housing costs that exclude former inhabitants (Shimoni, 2019). These examples show that while the drivers may differ, the consequences displacement, s</w:t>
      </w:r>
      <w:r>
        <w:t xml:space="preserve">ocial stratification, and housing unaffordability are consistent. </w:t>
      </w:r>
    </w:p>
    <w:p w:rsidR="00A9548F" w:rsidRDefault="00F6228E">
      <w:pPr>
        <w:spacing w:line="476" w:lineRule="auto"/>
        <w:ind w:left="-5" w:right="1178"/>
      </w:pPr>
      <w:r>
        <w:t>In Latin America, empirical studies from cities like Rio de Janeiro and Mexico City have revealed that mega-events and infrastructure development are key triggers of gentrification. In prep</w:t>
      </w:r>
      <w:r>
        <w:t>aration for the 2016 Olympics, the Brazilian government cleared entire favelas under the guise of urban regeneration and public safety. However, researchers such as López-Morales (2018) argue that these interventions served elite real estate interests rath</w:t>
      </w:r>
      <w:r>
        <w:t>er than improving living conditions for the poor. Similarly, in Mexico City, the transformation of inner-city districts for tourism and foreign investment has contributed to the loss of cultural heritage and long-term community displacement. These findings</w:t>
      </w:r>
      <w:r>
        <w:t xml:space="preserve"> reinforce the idea that global capitalism and urban branding significantly shape gentrification processes in the Global South. </w:t>
      </w:r>
    </w:p>
    <w:p w:rsidR="00A9548F" w:rsidRDefault="00F6228E">
      <w:pPr>
        <w:spacing w:line="476" w:lineRule="auto"/>
        <w:ind w:left="-5" w:right="1178"/>
      </w:pPr>
      <w:r>
        <w:t>Across Asia, cities like Jakarta, Manila, and Mumbai exhibit complex gentrification patterns tied to rapid urbanization and inf</w:t>
      </w:r>
      <w:r>
        <w:t>ormality. In Mumbai, gentrification has occurred through slum redevelopment schemes like the Dharavi Redevelopment Project, which displaced thousands of households to make room for high-rise commercial and residential buildings. Studies by Roy (2017) and S</w:t>
      </w:r>
      <w:r>
        <w:t xml:space="preserve">harma (2019) found that despite promises of better housing, many displaced families were left in worse conditions or relocated far from their original communities. This </w:t>
      </w:r>
      <w:r>
        <w:lastRenderedPageBreak/>
        <w:t xml:space="preserve">highlights the contradiction between urban modernization and social justice in rapidly </w:t>
      </w:r>
      <w:r>
        <w:t xml:space="preserve">growing cities. In Jakarta, gentrification is intertwined with flood control projects and land reclamation, which the government has used to justify the demolition of waterfront slums. </w:t>
      </w:r>
    </w:p>
    <w:p w:rsidR="00A9548F" w:rsidRDefault="00F6228E">
      <w:pPr>
        <w:spacing w:line="476" w:lineRule="auto"/>
        <w:ind w:left="-5" w:right="1178"/>
      </w:pPr>
      <w:r>
        <w:t>Although gentrification differs in scale and context, the empirical ev</w:t>
      </w:r>
      <w:r>
        <w:t xml:space="preserve">idence across continents points to a set of recurring issues. These include rising inequality, displacement of the poor, weakening of social capital, and increased pressure on housing systems. What differentiates cities is the nature of state involvement, </w:t>
      </w:r>
      <w:r>
        <w:t>the strength of civil society, and the legal protections available to residents. In many cities of the Global South, the lack of inclusive urban governance frameworks exacerbates the impacts of gentrification. For Lagos, these global patterns are highly re</w:t>
      </w:r>
      <w:r>
        <w:t>levant, especially considering the city's increasing reliance on privatepublic partnerships, urban beautification projects, and foreign investment-driven development models. The empirical literature from other global cities thus provides a useful comparati</w:t>
      </w:r>
      <w:r>
        <w:t xml:space="preserve">ve foundation for understanding the specific case of Lagos. </w:t>
      </w:r>
    </w:p>
    <w:p w:rsidR="00A9548F" w:rsidRDefault="00F6228E">
      <w:pPr>
        <w:pStyle w:val="Heading3"/>
        <w:ind w:left="-5" w:right="0"/>
      </w:pPr>
      <w:r>
        <w:t xml:space="preserve">2.4 URBAN DEVELOPMENT AND HOUSING IN LAGOS </w:t>
      </w:r>
    </w:p>
    <w:p w:rsidR="00A9548F" w:rsidRDefault="00F6228E">
      <w:pPr>
        <w:spacing w:line="476" w:lineRule="auto"/>
        <w:ind w:left="-5" w:right="1178"/>
      </w:pPr>
      <w:r>
        <w:t>Lagos has experienced explosive growth in recent decades, with over 20 million residents and over 65% living in informal settlements (Obaitor et al., 2</w:t>
      </w:r>
      <w:r>
        <w:t>024). Urban development in Lagos has focused on large-scale infrastructure projects like the Lekki Free Trade Zone and Eko Atlantic City, often prioritizing aesthetics and economic gain over inclusiveness. Housing policies have been criticized for neglecti</w:t>
      </w:r>
      <w:r>
        <w:t>ng affordable housing, thus contributing to the housing crisis (Ajayi &amp; Soyinka-Airewele, 2021). Slum upgrading programs such as the Lagos Metropolitan Development and Governance Project have had limited impact due to poor implementation and lack of contin</w:t>
      </w:r>
      <w:r>
        <w:t xml:space="preserve">uity (Godswill &amp; Ukachukwu, 2018). Consequently, housing </w:t>
      </w:r>
      <w:r>
        <w:lastRenderedPageBreak/>
        <w:t xml:space="preserve">remains unaffordable for many, while land speculation and gentrification continue to displace vulnerable communities. </w:t>
      </w:r>
    </w:p>
    <w:p w:rsidR="00A9548F" w:rsidRDefault="00F6228E">
      <w:pPr>
        <w:pStyle w:val="Heading3"/>
        <w:ind w:left="-5" w:right="0"/>
      </w:pPr>
      <w:r>
        <w:t xml:space="preserve">2.5 SOCIO-ECONOMIC EFFECTS OF GENTRIFICATION </w:t>
      </w:r>
    </w:p>
    <w:p w:rsidR="00A9548F" w:rsidRDefault="00F6228E">
      <w:pPr>
        <w:spacing w:line="477" w:lineRule="auto"/>
        <w:ind w:left="-5" w:right="1178"/>
      </w:pPr>
      <w:r>
        <w:t>The socio-economic effects of gent</w:t>
      </w:r>
      <w:r>
        <w:t xml:space="preserve">rification are multidimensional. On the one hand, it improves urban aesthetics and may increase tax revenues, but on the other hand, it displaces low-income populations and erodes community bonds (Obaitor et al., 2024). In Lagos, displaced residents often </w:t>
      </w:r>
      <w:r>
        <w:t>move to less accessible, underdeveloped suburbs, facing longer commutes and reduced access to social services (Ajayi &amp; Soyinka-Airewele, 2021). Gentrification disrupts informal economies such as street vending and market trade, which many urban poor rely o</w:t>
      </w:r>
      <w:r>
        <w:t xml:space="preserve">n. It also leads to cultural alienation, as long-standing communities are replaced with more affluent, and often non-indigenous, populations. These shifts create tensions and reduce the sense of belonging among original residents. </w:t>
      </w:r>
    </w:p>
    <w:p w:rsidR="00A9548F" w:rsidRDefault="00F6228E">
      <w:pPr>
        <w:pStyle w:val="Heading3"/>
        <w:ind w:left="-5" w:right="0"/>
      </w:pPr>
      <w:r>
        <w:t>2.6 GENTRIFICATION AND D</w:t>
      </w:r>
      <w:r>
        <w:t xml:space="preserve">ISPLACEMENT IN LAGOS </w:t>
      </w:r>
    </w:p>
    <w:p w:rsidR="00A9548F" w:rsidRDefault="00F6228E">
      <w:pPr>
        <w:spacing w:line="477" w:lineRule="auto"/>
        <w:ind w:left="-5" w:right="1178"/>
      </w:pPr>
      <w:r>
        <w:t>Displacement is the most visible and severe consequence of gentrification in Lagos. Forced evictions are often carried out under the guise of environmental regulation, urban beautification, or flood control, without adequate resettlem</w:t>
      </w:r>
      <w:r>
        <w:t>ent plans (Godswill &amp; Ukachukwu, 2018). Communities like Maroko, Otodogbame, and Badia-East have experienced violent demolitions and removals to make way for high-end developments (Obaitor et al., 2024). These displacements disproportionately affect women,</w:t>
      </w:r>
      <w:r>
        <w:t xml:space="preserve"> children, and informal workers, who are less able to contest or recover from such shocks. Unlike voluntary relocation or market-led gentrification seen elsewhere, Lagos exemplifies a state-led, forceful model of urban change that sidelines social equity. </w:t>
      </w:r>
    </w:p>
    <w:p w:rsidR="00A9548F" w:rsidRDefault="00F6228E">
      <w:pPr>
        <w:pStyle w:val="Heading3"/>
        <w:ind w:left="-5" w:right="0"/>
      </w:pPr>
      <w:r>
        <w:lastRenderedPageBreak/>
        <w:t xml:space="preserve">2.7 REVIEW OF RELEVANT POLICIES AND INSTITUTIONAL FRAMEWORKS </w:t>
      </w:r>
    </w:p>
    <w:p w:rsidR="00A9548F" w:rsidRDefault="00F6228E">
      <w:pPr>
        <w:spacing w:line="476" w:lineRule="auto"/>
        <w:ind w:left="-5" w:right="1178"/>
      </w:pPr>
      <w:r>
        <w:t>Lagos State’s urban planning is regulated by policies such as the Lagos State Urban and Regional Planning Law (2010) and the National Housing Policy (2012). However, implementation remains weak</w:t>
      </w:r>
      <w:r>
        <w:t xml:space="preserve"> and often biased towards elite interests. Policies like the Land Use Act of 1978 centralize land ownership under government authority, giving the state significant power to revoke land rights in the public interest—a loophole often used to justify slum cl</w:t>
      </w:r>
      <w:r>
        <w:t xml:space="preserve">earance (Ajayi &amp; Soyinka-Airewele, 2021). Institutions such as the Lagos State Building Control Agency (LASBCA) and Lagos State Urban Renewal Authority (LASURA) are tasked with overseeing development but often operate with limited community engagement and </w:t>
      </w:r>
      <w:r>
        <w:t xml:space="preserve">weak accountability. This institutional gap exacerbates the challenges of inclusive and just urban transformation. </w:t>
      </w:r>
    </w:p>
    <w:p w:rsidR="00A9548F" w:rsidRDefault="00F6228E">
      <w:pPr>
        <w:pStyle w:val="Heading3"/>
        <w:ind w:left="-5" w:right="0"/>
      </w:pPr>
      <w:r>
        <w:t xml:space="preserve">2.8 GAPS IN THE LITERATURE </w:t>
      </w:r>
    </w:p>
    <w:p w:rsidR="00A9548F" w:rsidRDefault="00F6228E">
      <w:pPr>
        <w:spacing w:line="484" w:lineRule="auto"/>
        <w:ind w:left="-5" w:right="1178"/>
      </w:pPr>
      <w:r>
        <w:t>Despite growing discourse on gentrification in Africa, much of the literature still focuses on Western contexts.</w:t>
      </w:r>
      <w:r>
        <w:t xml:space="preserve"> In Nigeria, most studies highlight general urban challenges but fail to engage deeply with gentrification’s socio-spatial dynamics (Godswill &amp; Ukachukwu, 2018). There is also limited empirical work capturing the lived experiences of affected communities i</w:t>
      </w:r>
      <w:r>
        <w:t>n Lagos. Issues like forced eviction, spatial restructuring, and resistance strategies remain underexplored. More localized, data-driven studies are needed to inform policies that balance development with equity. This study aims to address that gap by prov</w:t>
      </w:r>
      <w:r>
        <w:t xml:space="preserve">iding evidence-based analysis of gentrification’s impacts on Lagos urban communities. </w:t>
      </w:r>
    </w:p>
    <w:p w:rsidR="00A9548F" w:rsidRDefault="00F6228E">
      <w:pPr>
        <w:spacing w:after="0" w:line="259" w:lineRule="auto"/>
        <w:ind w:left="0" w:right="0" w:firstLine="0"/>
        <w:jc w:val="left"/>
      </w:pPr>
      <w:r>
        <w:rPr>
          <w:b/>
        </w:rPr>
        <w:t xml:space="preserve"> </w:t>
      </w:r>
      <w:r>
        <w:rPr>
          <w:b/>
        </w:rPr>
        <w:tab/>
        <w:t xml:space="preserve"> </w:t>
      </w:r>
    </w:p>
    <w:p w:rsidR="00A9548F" w:rsidRDefault="00F6228E">
      <w:pPr>
        <w:spacing w:after="525"/>
        <w:ind w:right="1193"/>
        <w:jc w:val="center"/>
      </w:pPr>
      <w:r>
        <w:rPr>
          <w:b/>
        </w:rPr>
        <w:t xml:space="preserve">CHAPTER THREE </w:t>
      </w:r>
    </w:p>
    <w:p w:rsidR="00A9548F" w:rsidRDefault="00F6228E">
      <w:pPr>
        <w:pStyle w:val="Heading2"/>
        <w:spacing w:after="525"/>
        <w:ind w:right="1192"/>
        <w:jc w:val="center"/>
      </w:pPr>
      <w:r>
        <w:lastRenderedPageBreak/>
        <w:t xml:space="preserve">RESEARCH METHODOLOGY </w:t>
      </w:r>
    </w:p>
    <w:p w:rsidR="00A9548F" w:rsidRDefault="00F6228E">
      <w:pPr>
        <w:pStyle w:val="Heading3"/>
        <w:ind w:left="-5" w:right="0"/>
      </w:pPr>
      <w:r>
        <w:t xml:space="preserve">3.1 RESEARCH DESIGN </w:t>
      </w:r>
    </w:p>
    <w:p w:rsidR="00A9548F" w:rsidRDefault="00F6228E">
      <w:pPr>
        <w:spacing w:line="477" w:lineRule="auto"/>
        <w:ind w:left="-5" w:right="1178"/>
      </w:pPr>
      <w:r>
        <w:t>A descriptive cross-sectional research design will be adopted for this study. Cross-</w:t>
      </w:r>
      <w:r>
        <w:t>sectional surveys are widely used in Nigerian community research to capture data at a single point in time. In this case, data from Lekki, Yaba, and Ikoyi will be collected concurrently to assess current conditions and perceptions of gentrification. The de</w:t>
      </w:r>
      <w:r>
        <w:t>sign will be mixed-methods, combining quantitative (surveys) and qualitative (interviews, focus groups, observations) approaches to gain a comprehensive understanding. Quantitative data (from questionnaires) will provide broad statistical patterns, while q</w:t>
      </w:r>
      <w:r>
        <w:t xml:space="preserve">ualitative data (from interviews/FGDs) will explore underlying reasons and experiences. This blend follows practices in similar Lagos studies, where a descriptive survey design facilitated analysis of urban change.  </w:t>
      </w:r>
    </w:p>
    <w:p w:rsidR="00A9548F" w:rsidRDefault="00F6228E">
      <w:pPr>
        <w:pStyle w:val="Heading3"/>
        <w:ind w:left="-5" w:right="0"/>
      </w:pPr>
      <w:r>
        <w:t>3.2 STUDY AREA AND RATIONALE FOR SELECT</w:t>
      </w:r>
      <w:r>
        <w:t xml:space="preserve">ION </w:t>
      </w:r>
    </w:p>
    <w:p w:rsidR="00A9548F" w:rsidRDefault="00F6228E">
      <w:pPr>
        <w:spacing w:line="490" w:lineRule="auto"/>
        <w:ind w:left="-5" w:right="1178"/>
      </w:pPr>
      <w:r>
        <w:t xml:space="preserve">The study focuses on three Lagos State communities: </w:t>
      </w:r>
      <w:r>
        <w:rPr>
          <w:b/>
        </w:rPr>
        <w:t>Lekki</w:t>
      </w:r>
      <w:r>
        <w:t xml:space="preserve">, </w:t>
      </w:r>
      <w:r>
        <w:rPr>
          <w:b/>
        </w:rPr>
        <w:t>Yaba</w:t>
      </w:r>
      <w:r>
        <w:t xml:space="preserve">, and </w:t>
      </w:r>
      <w:r>
        <w:rPr>
          <w:b/>
        </w:rPr>
        <w:t>Ikoyi</w:t>
      </w:r>
      <w:r>
        <w:t>. Lekki is a peninsula in southeast Lagos undergoing rapid development; it features new gated residential estates and infrastructure projects and is planned as a “Blue-Green Env</w:t>
      </w:r>
      <w:r>
        <w:t>ironment” city for millions of people. Yaba is an urban district on Lagos Mainland noted for its concentration of universities, research institutes and technology startups. Ikoyi is an old colonial-era island neighborhood (Eti-Osa LGA) that today is one of</w:t>
      </w:r>
      <w:r>
        <w:t xml:space="preserve"> Nigeria’s most affluent areas. These locations were purposively selected because each exemplifies intense urban redevelopment and gentrification pressures in Lagos. Lekki’s expansion has displaced many lower-income residents, Yaba’s tech boom has raised l</w:t>
      </w:r>
      <w:r>
        <w:t xml:space="preserve">and values, and Ikoyi’s luxury housing drives out traditional communities. Studying these contrasting but representative sites ensures coverage </w:t>
      </w:r>
      <w:r>
        <w:lastRenderedPageBreak/>
        <w:t xml:space="preserve">of diverse urban contexts and stakeholder groups (residents, business owners, officials) for the research. </w:t>
      </w:r>
    </w:p>
    <w:p w:rsidR="00A9548F" w:rsidRDefault="00F6228E">
      <w:pPr>
        <w:pStyle w:val="Heading3"/>
        <w:spacing w:after="241"/>
        <w:ind w:left="-5" w:right="0"/>
      </w:pPr>
      <w:r>
        <w:t xml:space="preserve">3.3 </w:t>
      </w:r>
      <w:r>
        <w:t xml:space="preserve">POPULATION OF THE STUDY </w:t>
      </w:r>
    </w:p>
    <w:p w:rsidR="00A9548F" w:rsidRDefault="00F6228E">
      <w:pPr>
        <w:spacing w:after="1" w:line="476" w:lineRule="auto"/>
        <w:ind w:left="-5" w:right="1178"/>
      </w:pPr>
      <w:r>
        <w:t xml:space="preserve">The combined population of the study areas is on the order of </w:t>
      </w:r>
      <w:r>
        <w:rPr>
          <w:b/>
        </w:rPr>
        <w:t>one million or more</w:t>
      </w:r>
      <w:r>
        <w:t xml:space="preserve">. Available statistics are as follows: </w:t>
      </w:r>
    </w:p>
    <w:p w:rsidR="00A9548F" w:rsidRDefault="00F6228E">
      <w:pPr>
        <w:numPr>
          <w:ilvl w:val="0"/>
          <w:numId w:val="4"/>
        </w:numPr>
        <w:spacing w:after="0" w:line="477" w:lineRule="auto"/>
        <w:ind w:right="1178" w:hanging="360"/>
      </w:pPr>
      <w:r>
        <w:rPr>
          <w:b/>
        </w:rPr>
        <w:t>Lekki (Ibeju-Lekki LGA):</w:t>
      </w:r>
      <w:r>
        <w:t xml:space="preserve"> approximately 401,272 (2011 census). (Projected to ~174,400 by 2022 for Ibeju/Lekki L</w:t>
      </w:r>
      <w:r>
        <w:t xml:space="preserve">GA, which covers much of Lekki.) </w:t>
      </w:r>
    </w:p>
    <w:p w:rsidR="00A9548F" w:rsidRDefault="00F6228E">
      <w:pPr>
        <w:numPr>
          <w:ilvl w:val="0"/>
          <w:numId w:val="4"/>
        </w:numPr>
        <w:spacing w:after="1" w:line="477" w:lineRule="auto"/>
        <w:ind w:right="1178" w:hanging="360"/>
      </w:pPr>
      <w:r>
        <w:rPr>
          <w:b/>
        </w:rPr>
        <w:t>Yaba (Lagos Mainland LGA):</w:t>
      </w:r>
      <w:r>
        <w:t xml:space="preserve"> about 629,469 (estimated 2014). (Yaba is part of Lagos Mainland LGA, whose population was ~629,469 in 2014.) </w:t>
      </w:r>
    </w:p>
    <w:p w:rsidR="00A9548F" w:rsidRDefault="00F6228E">
      <w:pPr>
        <w:numPr>
          <w:ilvl w:val="0"/>
          <w:numId w:val="4"/>
        </w:numPr>
        <w:spacing w:after="0" w:line="477" w:lineRule="auto"/>
        <w:ind w:right="1178" w:hanging="360"/>
      </w:pPr>
      <w:r>
        <w:rPr>
          <w:b/>
        </w:rPr>
        <w:t>Ikoyi (Eti-Osa LGA):</w:t>
      </w:r>
      <w:r>
        <w:t xml:space="preserve"> about 420,100 (projected 2022). (Ikoyi falls within Eti-Osa LGA,</w:t>
      </w:r>
      <w:r>
        <w:t xml:space="preserve"> which had 283,791 in 2006 and is projected at 420,100 by 2022) </w:t>
      </w:r>
    </w:p>
    <w:p w:rsidR="00A9548F" w:rsidRDefault="00F6228E">
      <w:pPr>
        <w:spacing w:after="0" w:line="476" w:lineRule="auto"/>
        <w:ind w:left="-5" w:right="1178"/>
      </w:pPr>
      <w:r>
        <w:t>These figures indicate roughly N ≈ 1,220,000 across the three areas. This combined population will be used for sample size calculations (see Section 3.4). All population data are based on the</w:t>
      </w:r>
      <w:r>
        <w:t xml:space="preserve"> most recent estimates from official sources or projections </w:t>
      </w:r>
    </w:p>
    <w:p w:rsidR="00A9548F" w:rsidRDefault="00F6228E">
      <w:pPr>
        <w:numPr>
          <w:ilvl w:val="1"/>
          <w:numId w:val="5"/>
        </w:numPr>
        <w:spacing w:after="106" w:line="259" w:lineRule="auto"/>
        <w:ind w:right="0" w:hanging="720"/>
        <w:jc w:val="left"/>
      </w:pPr>
      <w:r>
        <w:rPr>
          <w:b/>
          <w:sz w:val="22"/>
        </w:rPr>
        <w:t xml:space="preserve">SAMPLING TECHNIQUES </w:t>
      </w:r>
    </w:p>
    <w:p w:rsidR="00A9548F" w:rsidRDefault="00F6228E">
      <w:pPr>
        <w:spacing w:after="5" w:line="356" w:lineRule="auto"/>
        <w:ind w:left="-5" w:right="1174"/>
      </w:pPr>
      <w:r>
        <w:rPr>
          <w:sz w:val="22"/>
        </w:rPr>
        <w:t xml:space="preserve">Multi-stage stratified sampling technique </w:t>
      </w:r>
      <w:r>
        <w:rPr>
          <w:sz w:val="22"/>
        </w:rPr>
        <w:t>was adopted for this study to ensure the inclusion of a diverse range of respondents across the selected urban communities in Lagos State. The study areas Lekki</w:t>
      </w:r>
      <w:r>
        <w:rPr>
          <w:b/>
          <w:sz w:val="22"/>
        </w:rPr>
        <w:t xml:space="preserve">, </w:t>
      </w:r>
      <w:r>
        <w:rPr>
          <w:sz w:val="22"/>
        </w:rPr>
        <w:t>Yaba, and Ikoyi</w:t>
      </w:r>
      <w:r>
        <w:rPr>
          <w:b/>
          <w:sz w:val="22"/>
        </w:rPr>
        <w:t xml:space="preserve"> </w:t>
      </w:r>
      <w:r>
        <w:rPr>
          <w:sz w:val="22"/>
        </w:rPr>
        <w:t xml:space="preserve">were purposively selected due to their significant exposure to gentrification </w:t>
      </w:r>
      <w:r>
        <w:rPr>
          <w:sz w:val="22"/>
        </w:rPr>
        <w:t>pressures. These three locations served as the primary strata. Within each area, respondents were further classified into sub-strata comprising household residents, business owners, and relevant government officials. Households and business owners were sel</w:t>
      </w:r>
      <w:r>
        <w:rPr>
          <w:sz w:val="22"/>
        </w:rPr>
        <w:t>ected using systematic or random sampling based on address listings and visible establishments, while government officials and planners were selected purposively owing to their expertise and limited availability. This stratified approach was employed to ac</w:t>
      </w:r>
      <w:r>
        <w:rPr>
          <w:sz w:val="22"/>
        </w:rPr>
        <w:t xml:space="preserve">hieve a balanced representation of stakeholders directly or indirectly affected by urban redevelopment. </w:t>
      </w:r>
    </w:p>
    <w:p w:rsidR="00A9548F" w:rsidRDefault="00F6228E">
      <w:pPr>
        <w:numPr>
          <w:ilvl w:val="1"/>
          <w:numId w:val="5"/>
        </w:numPr>
        <w:spacing w:after="106" w:line="259" w:lineRule="auto"/>
        <w:ind w:right="0" w:hanging="720"/>
        <w:jc w:val="left"/>
      </w:pPr>
      <w:r>
        <w:rPr>
          <w:b/>
          <w:sz w:val="22"/>
        </w:rPr>
        <w:t xml:space="preserve">SAMPLE FRAME </w:t>
      </w:r>
    </w:p>
    <w:p w:rsidR="00A9548F" w:rsidRDefault="00F6228E">
      <w:pPr>
        <w:spacing w:after="40" w:line="356" w:lineRule="auto"/>
        <w:ind w:left="-5" w:right="1174"/>
      </w:pPr>
      <w:r>
        <w:rPr>
          <w:sz w:val="22"/>
        </w:rPr>
        <w:t>The sample frame consisted of the estimated population across the three study areas. Based on recent demographic estimates and projection</w:t>
      </w:r>
      <w:r>
        <w:rPr>
          <w:sz w:val="22"/>
        </w:rPr>
        <w:t xml:space="preserve">s, Lekki (within Ibeju-Lekki Local Government Area) accounted </w:t>
      </w:r>
      <w:r>
        <w:rPr>
          <w:sz w:val="22"/>
        </w:rPr>
        <w:lastRenderedPageBreak/>
        <w:t>for approximately 401,272 residents, Yaba (within Lagos Mainland LGA) had about 629,469</w:t>
      </w:r>
      <w:r>
        <w:rPr>
          <w:b/>
          <w:sz w:val="22"/>
        </w:rPr>
        <w:t>,</w:t>
      </w:r>
      <w:r>
        <w:rPr>
          <w:sz w:val="22"/>
        </w:rPr>
        <w:t xml:space="preserve"> and Ikoyi (within Eti-Osa LGA) was estimated at 420,100, bringing the total target population to roughly </w:t>
      </w:r>
    </w:p>
    <w:p w:rsidR="00A9548F" w:rsidRDefault="00F6228E">
      <w:pPr>
        <w:spacing w:after="5" w:line="356" w:lineRule="auto"/>
        <w:ind w:left="-5" w:right="1174"/>
      </w:pPr>
      <w:r>
        <w:rPr>
          <w:sz w:val="22"/>
        </w:rPr>
        <w:t xml:space="preserve">1,220,000 people. These figures provided the basis for determining the study’s sample size and guided the proportional distribution of respondents across the selected locations. </w:t>
      </w:r>
    </w:p>
    <w:p w:rsidR="00A9548F" w:rsidRDefault="00F6228E">
      <w:pPr>
        <w:numPr>
          <w:ilvl w:val="1"/>
          <w:numId w:val="5"/>
        </w:numPr>
        <w:spacing w:after="106" w:line="259" w:lineRule="auto"/>
        <w:ind w:right="0" w:hanging="720"/>
        <w:jc w:val="left"/>
      </w:pPr>
      <w:r>
        <w:rPr>
          <w:b/>
          <w:sz w:val="22"/>
        </w:rPr>
        <w:t xml:space="preserve">SAMPLE SIZE </w:t>
      </w:r>
    </w:p>
    <w:p w:rsidR="00A9548F" w:rsidRDefault="00F6228E">
      <w:pPr>
        <w:spacing w:after="262" w:line="356" w:lineRule="auto"/>
        <w:ind w:left="-5" w:right="1174"/>
      </w:pPr>
      <w:r>
        <w:rPr>
          <w:sz w:val="22"/>
        </w:rPr>
        <w:t>The sample</w:t>
      </w:r>
      <w:r>
        <w:rPr>
          <w:b/>
          <w:sz w:val="22"/>
        </w:rPr>
        <w:t xml:space="preserve"> </w:t>
      </w:r>
      <w:r>
        <w:rPr>
          <w:sz w:val="22"/>
        </w:rPr>
        <w:t>size was determined using Cochran’s</w:t>
      </w:r>
      <w:r>
        <w:rPr>
          <w:b/>
          <w:sz w:val="22"/>
        </w:rPr>
        <w:t xml:space="preserve"> </w:t>
      </w:r>
      <w:r>
        <w:rPr>
          <w:sz w:val="22"/>
        </w:rPr>
        <w:t>(1977)</w:t>
      </w:r>
      <w:r>
        <w:rPr>
          <w:b/>
          <w:sz w:val="22"/>
        </w:rPr>
        <w:t xml:space="preserve"> </w:t>
      </w:r>
      <w:r>
        <w:rPr>
          <w:sz w:val="22"/>
        </w:rPr>
        <w:t xml:space="preserve">formula </w:t>
      </w:r>
      <w:r>
        <w:rPr>
          <w:sz w:val="22"/>
        </w:rPr>
        <w:t>for sample size calculation, with a confidence level of 95% and a 5% margin of error. The formula produced a base sample size of approximately 384</w:t>
      </w:r>
      <w:r>
        <w:rPr>
          <w:b/>
          <w:sz w:val="22"/>
        </w:rPr>
        <w:t xml:space="preserve"> </w:t>
      </w:r>
      <w:r>
        <w:rPr>
          <w:sz w:val="22"/>
        </w:rPr>
        <w:t>respondents, which was rounded up to 400 to increase the statistical reliability and accommodate any non-resp</w:t>
      </w:r>
      <w:r>
        <w:rPr>
          <w:sz w:val="22"/>
        </w:rPr>
        <w:t>onses. The final sample of 400 respondents was proportionally distributed across the three locations to reflect their population densities and ensure adequate representation. Specifically, 135</w:t>
      </w:r>
      <w:r>
        <w:rPr>
          <w:b/>
          <w:sz w:val="22"/>
        </w:rPr>
        <w:t xml:space="preserve"> </w:t>
      </w:r>
      <w:r>
        <w:rPr>
          <w:sz w:val="22"/>
        </w:rPr>
        <w:t>respondents were selected from Lekki, 135 from Yaba, and 130 fr</w:t>
      </w:r>
      <w:r>
        <w:rPr>
          <w:sz w:val="22"/>
        </w:rPr>
        <w:t xml:space="preserve">om Ikoyi. This distribution facilitated comparative analysis across different gentrification contexts and strengthened the generalizability of the study findings within the Lagos metropolitan area. </w:t>
      </w:r>
    </w:p>
    <w:p w:rsidR="00A9548F" w:rsidRDefault="00F6228E">
      <w:pPr>
        <w:pStyle w:val="Heading3"/>
        <w:ind w:left="-5" w:right="0"/>
      </w:pPr>
      <w:r>
        <w:t xml:space="preserve">3.5 SOURCES OF DATA </w:t>
      </w:r>
    </w:p>
    <w:p w:rsidR="00A9548F" w:rsidRDefault="00F6228E">
      <w:pPr>
        <w:spacing w:after="529"/>
        <w:ind w:left="-5" w:right="1178"/>
      </w:pPr>
      <w:r>
        <w:t>Data will be drawn from both primary</w:t>
      </w:r>
      <w:r>
        <w:t xml:space="preserve"> and secondary sources. </w:t>
      </w:r>
    </w:p>
    <w:p w:rsidR="00A9548F" w:rsidRDefault="00F6228E">
      <w:pPr>
        <w:pStyle w:val="Heading4"/>
        <w:ind w:left="-5" w:right="0"/>
      </w:pPr>
      <w:r>
        <w:t xml:space="preserve">3.5.1 PRIMARY DATA </w:t>
      </w:r>
    </w:p>
    <w:p w:rsidR="00A9548F" w:rsidRDefault="00F6228E">
      <w:pPr>
        <w:spacing w:line="477" w:lineRule="auto"/>
        <w:ind w:left="-5" w:right="1178"/>
      </w:pPr>
      <w:r>
        <w:t xml:space="preserve">Primary data will be collected directly from the target populations using multiple methods. These include </w:t>
      </w:r>
      <w:r>
        <w:rPr>
          <w:b/>
        </w:rPr>
        <w:t>structured questionnaires (surveys)</w:t>
      </w:r>
      <w:r>
        <w:t xml:space="preserve"> administered to residents and business owners, </w:t>
      </w:r>
      <w:r>
        <w:rPr>
          <w:b/>
        </w:rPr>
        <w:t>in-depth interviews</w:t>
      </w:r>
      <w:r>
        <w:t xml:space="preserve"> wi</w:t>
      </w:r>
      <w:r>
        <w:t xml:space="preserve">th selected government and community officials, </w:t>
      </w:r>
      <w:r>
        <w:rPr>
          <w:b/>
        </w:rPr>
        <w:t>focus group discussions (FGDs)</w:t>
      </w:r>
      <w:r>
        <w:t xml:space="preserve"> with local residents, and </w:t>
      </w:r>
      <w:r>
        <w:rPr>
          <w:b/>
        </w:rPr>
        <w:t>systematic observations</w:t>
      </w:r>
      <w:r>
        <w:t xml:space="preserve"> of physical and social changes in the areas. As noted in research methodology, surveys, interviews, and focus groups are common</w:t>
      </w:r>
      <w:r>
        <w:t xml:space="preserve"> primary data collection methods. The survey will collect demographic and perception data; interviews and FGDs will elicit detailed views on gentrification experiences; observations will document visible signs of change (e.g. new buildings, eviction notice</w:t>
      </w:r>
      <w:r>
        <w:t xml:space="preserve">s). All field instruments will be pre-tested and administered face-to-face by trained researchers to ensure data quality. </w:t>
      </w:r>
    </w:p>
    <w:p w:rsidR="00A9548F" w:rsidRDefault="00F6228E">
      <w:pPr>
        <w:pStyle w:val="Heading4"/>
        <w:ind w:left="-5" w:right="0"/>
      </w:pPr>
      <w:r>
        <w:lastRenderedPageBreak/>
        <w:t xml:space="preserve">3.5.2 SECONDARY DATA </w:t>
      </w:r>
    </w:p>
    <w:p w:rsidR="00A9548F" w:rsidRDefault="00F6228E">
      <w:pPr>
        <w:spacing w:after="0" w:line="481" w:lineRule="auto"/>
        <w:ind w:left="-5" w:right="1178"/>
      </w:pPr>
      <w:r>
        <w:t>Secondary data will be obtained from existing documents and publications relevant to the study. Sources include</w:t>
      </w:r>
      <w:r>
        <w:t xml:space="preserve"> recent </w:t>
      </w:r>
      <w:r>
        <w:rPr>
          <w:b/>
        </w:rPr>
        <w:t>census and demographic records</w:t>
      </w:r>
      <w:r>
        <w:t xml:space="preserve"> (e.g. Lagos State population data), </w:t>
      </w:r>
      <w:r>
        <w:rPr>
          <w:b/>
        </w:rPr>
        <w:t>urban planning reports</w:t>
      </w:r>
      <w:r>
        <w:t xml:space="preserve"> and development plans, </w:t>
      </w:r>
      <w:r>
        <w:rPr>
          <w:b/>
        </w:rPr>
        <w:t>economic statistics</w:t>
      </w:r>
      <w:r>
        <w:t xml:space="preserve"> (real estate indices, business registrations), and </w:t>
      </w:r>
      <w:r>
        <w:rPr>
          <w:b/>
        </w:rPr>
        <w:t>academic/public reports</w:t>
      </w:r>
      <w:r>
        <w:t xml:space="preserve"> on Lagos’s urban development. </w:t>
      </w:r>
    </w:p>
    <w:p w:rsidR="00A9548F" w:rsidRDefault="00F6228E">
      <w:pPr>
        <w:spacing w:line="476" w:lineRule="auto"/>
        <w:ind w:left="-5" w:right="1178"/>
      </w:pPr>
      <w:r>
        <w:t>Secondary</w:t>
      </w:r>
      <w:r>
        <w:t xml:space="preserve"> data may also include news archives or case studies on gentrification in Lagos. These data provide context and background (e.g. historical population trends) and can help triangulate the primary findings. In research terms, secondary data consists of info</w:t>
      </w:r>
      <w:r>
        <w:t xml:space="preserve">rmation already collected (for example, government statistics and published studies) </w:t>
      </w:r>
    </w:p>
    <w:p w:rsidR="00A9548F" w:rsidRDefault="00F6228E">
      <w:pPr>
        <w:pStyle w:val="Heading3"/>
        <w:ind w:left="-5" w:right="0"/>
      </w:pPr>
      <w:r>
        <w:t xml:space="preserve">3.6 INSTRUMENTS FOR DATA COLLECTION </w:t>
      </w:r>
    </w:p>
    <w:p w:rsidR="00A9548F" w:rsidRDefault="00F6228E">
      <w:pPr>
        <w:spacing w:after="525"/>
        <w:ind w:left="-5" w:right="1178"/>
      </w:pPr>
      <w:r>
        <w:t xml:space="preserve">Data will be gathered using the following instruments: </w:t>
      </w:r>
    </w:p>
    <w:p w:rsidR="00A9548F" w:rsidRDefault="00F6228E">
      <w:pPr>
        <w:numPr>
          <w:ilvl w:val="0"/>
          <w:numId w:val="6"/>
        </w:numPr>
        <w:spacing w:after="0" w:line="502" w:lineRule="auto"/>
        <w:ind w:right="1178" w:hanging="360"/>
      </w:pPr>
      <w:r>
        <w:rPr>
          <w:b/>
        </w:rPr>
        <w:t>Survey Questionnaire:</w:t>
      </w:r>
      <w:r>
        <w:t xml:space="preserve"> A structured questionnaire with closed and open-</w:t>
      </w:r>
      <w:r>
        <w:t xml:space="preserve">ended items will capture residents’ and business owners’ socio-economic characteristics and </w:t>
      </w:r>
    </w:p>
    <w:p w:rsidR="00A9548F" w:rsidRDefault="00F6228E">
      <w:pPr>
        <w:spacing w:after="247"/>
        <w:ind w:left="730" w:right="1178"/>
      </w:pPr>
      <w:r>
        <w:t xml:space="preserve">attitudes toward neighborhood change. </w:t>
      </w:r>
    </w:p>
    <w:p w:rsidR="00A9548F" w:rsidRDefault="00F6228E">
      <w:pPr>
        <w:numPr>
          <w:ilvl w:val="0"/>
          <w:numId w:val="6"/>
        </w:numPr>
        <w:spacing w:line="476" w:lineRule="auto"/>
        <w:ind w:right="1178" w:hanging="360"/>
      </w:pPr>
      <w:r>
        <w:rPr>
          <w:b/>
        </w:rPr>
        <w:t>Interview Guide:</w:t>
      </w:r>
      <w:r>
        <w:t xml:space="preserve"> A semi-structured interview schedule will be used for key informant interviews with government officials, u</w:t>
      </w:r>
      <w:r>
        <w:t xml:space="preserve">rban planners, and community leaders, focusing on policy and institutional aspects of gentrification. </w:t>
      </w:r>
    </w:p>
    <w:p w:rsidR="00A9548F" w:rsidRDefault="00F6228E">
      <w:pPr>
        <w:numPr>
          <w:ilvl w:val="0"/>
          <w:numId w:val="6"/>
        </w:numPr>
        <w:spacing w:after="1" w:line="476" w:lineRule="auto"/>
        <w:ind w:right="1178" w:hanging="360"/>
      </w:pPr>
      <w:r>
        <w:rPr>
          <w:b/>
        </w:rPr>
        <w:t>FGD Guide:</w:t>
      </w:r>
      <w:r>
        <w:t xml:space="preserve"> A focus group discussion guide will outline topics and prompts for smallgroup discussions among community members, designed to explore shared </w:t>
      </w:r>
      <w:r>
        <w:t xml:space="preserve">experiences of displacement and adaptation. </w:t>
      </w:r>
    </w:p>
    <w:p w:rsidR="00A9548F" w:rsidRDefault="00F6228E">
      <w:pPr>
        <w:numPr>
          <w:ilvl w:val="0"/>
          <w:numId w:val="6"/>
        </w:numPr>
        <w:spacing w:line="476" w:lineRule="auto"/>
        <w:ind w:right="1178" w:hanging="360"/>
      </w:pPr>
      <w:r>
        <w:rPr>
          <w:b/>
        </w:rPr>
        <w:lastRenderedPageBreak/>
        <w:t>Observation Checklist:</w:t>
      </w:r>
      <w:r>
        <w:t xml:space="preserve"> A standardized checklist will guide field observations, recording indicators of gentrification such as new construction, signage of companies, property renovations, and displacement events</w:t>
      </w:r>
      <w:r>
        <w:t xml:space="preserve">. </w:t>
      </w:r>
    </w:p>
    <w:p w:rsidR="00A9548F" w:rsidRDefault="00F6228E">
      <w:pPr>
        <w:pStyle w:val="Heading3"/>
        <w:spacing w:after="382"/>
        <w:ind w:left="-5" w:right="0"/>
      </w:pPr>
      <w:r>
        <w:t xml:space="preserve">3.7 METHOD OF DATA ANALYSIS </w:t>
      </w:r>
    </w:p>
    <w:p w:rsidR="00A9548F" w:rsidRDefault="00F6228E">
      <w:pPr>
        <w:spacing w:line="357" w:lineRule="auto"/>
        <w:ind w:left="-5" w:right="1178"/>
      </w:pPr>
      <w:r>
        <w:rPr>
          <w:b/>
        </w:rPr>
        <w:t>Quantitative analysis:</w:t>
      </w:r>
      <w:r>
        <w:t xml:space="preserve"> Survey data will be analyzed using statistical software (e.g. SPSS or Excel). Descriptive statistics (frequencies, percentages, means and standard deviations) will profile the sample and summarize resp</w:t>
      </w:r>
      <w:r>
        <w:t>onses (e.g. proportions of residents noticing price changes). Cross-tabulations will be conducted to examine associations between variables (for example, comparing perceptions across locations or income groups). These methods follow precedents in Lagos res</w:t>
      </w:r>
      <w:r>
        <w:t>earch, which have employed descriptive statistics and chi-square analysis to interpret community survey data. If appropriate, regression analysis may be used to identify predictors of specific outcomes (e.g. factors associated with reports of displacement)</w:t>
      </w:r>
      <w:r>
        <w:t xml:space="preserve">. </w:t>
      </w:r>
    </w:p>
    <w:p w:rsidR="00A9548F" w:rsidRDefault="00F6228E">
      <w:pPr>
        <w:spacing w:line="358" w:lineRule="auto"/>
        <w:ind w:left="-5" w:right="1178"/>
      </w:pPr>
      <w:r>
        <w:rPr>
          <w:b/>
        </w:rPr>
        <w:t>Qualitative analysis:</w:t>
      </w:r>
      <w:r>
        <w:t xml:space="preserve"> Interview and FGD recordings will be transcribed verbatim. A thematic content analysis approach will be used to interpret this data. As noted in qualitative research guides, thematic analysis is a powerful method for identifying, a</w:t>
      </w:r>
      <w:r>
        <w:t>nalyzing and reporting patterns (themes) in interview or focus group data. The transcripts will be read multiple times. Field observation notes will similarly be analyzed for recurring observations (for example, evidence of urban renewal projects or evicti</w:t>
      </w:r>
      <w:r>
        <w:t xml:space="preserve">ons). The resulting themes will be used to explain and contextualize the quantitative findings, giving insight into how gentrification affects people’s lives. </w:t>
      </w:r>
    </w:p>
    <w:p w:rsidR="00A9548F" w:rsidRDefault="00F6228E">
      <w:pPr>
        <w:spacing w:after="530" w:line="259" w:lineRule="auto"/>
        <w:ind w:left="0" w:right="0" w:firstLine="0"/>
        <w:jc w:val="left"/>
      </w:pPr>
      <w:r>
        <w:t xml:space="preserve"> </w:t>
      </w:r>
    </w:p>
    <w:p w:rsidR="00A9548F" w:rsidRDefault="00F6228E">
      <w:pPr>
        <w:spacing w:after="0" w:line="259" w:lineRule="auto"/>
        <w:ind w:left="0" w:right="0" w:firstLine="0"/>
        <w:jc w:val="left"/>
      </w:pPr>
      <w:r>
        <w:t xml:space="preserve"> </w:t>
      </w:r>
    </w:p>
    <w:p w:rsidR="00A9548F" w:rsidRDefault="00F6228E">
      <w:pPr>
        <w:spacing w:after="525"/>
        <w:ind w:right="1191"/>
        <w:jc w:val="center"/>
      </w:pPr>
      <w:r>
        <w:rPr>
          <w:b/>
        </w:rPr>
        <w:t xml:space="preserve">CHAPTER FOUR </w:t>
      </w:r>
    </w:p>
    <w:p w:rsidR="00A9548F" w:rsidRDefault="00F6228E">
      <w:pPr>
        <w:pStyle w:val="Heading2"/>
        <w:spacing w:after="525"/>
        <w:ind w:right="1191"/>
        <w:jc w:val="center"/>
      </w:pPr>
      <w:r>
        <w:lastRenderedPageBreak/>
        <w:t xml:space="preserve">DATA PRESENTATION AND ANALYSIS </w:t>
      </w:r>
    </w:p>
    <w:p w:rsidR="00A9548F" w:rsidRDefault="00F6228E">
      <w:pPr>
        <w:pStyle w:val="Heading3"/>
        <w:ind w:left="-5" w:right="0"/>
      </w:pPr>
      <w:r>
        <w:t xml:space="preserve">4.1 INTRODUCTION </w:t>
      </w:r>
    </w:p>
    <w:p w:rsidR="00A9548F" w:rsidRDefault="00F6228E">
      <w:pPr>
        <w:spacing w:line="477" w:lineRule="auto"/>
        <w:ind w:left="-5" w:right="1178"/>
      </w:pPr>
      <w:r>
        <w:t>This chapter presents and analyzes quantitative data from a survey of 400 respondents across Lekki, Yaba, and Ikoyi in Lagos State, conducted in June 2025. The study employs a mixedmethods approach as detailed in Chapter Three, but this chapter focuses exc</w:t>
      </w:r>
      <w:r>
        <w:t>lusively on the quantitative survey results. The data address the research objectives outlined in Chapter One: investigating socio-economic effects, examining housing dynamics, analyzing spatial and land use changes, and assessing the role of government po</w:t>
      </w:r>
      <w:r>
        <w:t xml:space="preserve">licies and the private sector. The findings offer a statistical foundation for understanding gentrification’s impacts in these urban areas, aligning with the methodology and theoretical framework established in earlier chapters. </w:t>
      </w:r>
    </w:p>
    <w:p w:rsidR="00A9548F" w:rsidRDefault="00F6228E">
      <w:pPr>
        <w:pStyle w:val="Heading3"/>
        <w:ind w:left="-5" w:right="0"/>
      </w:pPr>
      <w:r>
        <w:t>4.2 DEMOGRAPHIC PROFILE OF</w:t>
      </w:r>
      <w:r>
        <w:t xml:space="preserve"> RESPONDENTS </w:t>
      </w:r>
    </w:p>
    <w:p w:rsidR="00A9548F" w:rsidRDefault="00F6228E">
      <w:pPr>
        <w:spacing w:line="476" w:lineRule="auto"/>
        <w:ind w:left="-5" w:right="1178"/>
      </w:pPr>
      <w:r>
        <w:t>The survey sampled 400 respondents, 135 from Lekki, 135 from Yaba, and 130 from Ikoyi, using multi-stage stratified sampling to ensure representativeness. Below, demographic characteristics are presented in tables with expanded interpretation</w:t>
      </w:r>
      <w:r>
        <w:t xml:space="preserve">s. </w:t>
      </w:r>
    </w:p>
    <w:p w:rsidR="00A9548F" w:rsidRDefault="00F6228E">
      <w:pPr>
        <w:spacing w:after="530" w:line="259" w:lineRule="auto"/>
        <w:ind w:left="0" w:right="0" w:firstLine="0"/>
        <w:jc w:val="left"/>
      </w:pPr>
      <w:r>
        <w:rPr>
          <w:b/>
        </w:rPr>
        <w:t xml:space="preserve"> </w:t>
      </w:r>
    </w:p>
    <w:p w:rsidR="00A9548F" w:rsidRDefault="00F6228E">
      <w:pPr>
        <w:spacing w:after="532" w:line="259" w:lineRule="auto"/>
        <w:ind w:left="0" w:right="0" w:firstLine="0"/>
        <w:jc w:val="left"/>
      </w:pPr>
      <w:r>
        <w:rPr>
          <w:b/>
        </w:rPr>
        <w:t xml:space="preserve"> </w:t>
      </w:r>
    </w:p>
    <w:p w:rsidR="00A9548F" w:rsidRDefault="00F6228E">
      <w:pPr>
        <w:spacing w:after="533" w:line="259" w:lineRule="auto"/>
        <w:ind w:left="0" w:right="0" w:firstLine="0"/>
        <w:jc w:val="left"/>
      </w:pPr>
      <w:r>
        <w:rPr>
          <w:b/>
        </w:rPr>
        <w:t xml:space="preserve"> </w:t>
      </w:r>
    </w:p>
    <w:p w:rsidR="00A9548F" w:rsidRDefault="00F6228E">
      <w:pPr>
        <w:spacing w:after="0" w:line="259" w:lineRule="auto"/>
        <w:ind w:left="0" w:right="0" w:firstLine="0"/>
        <w:jc w:val="left"/>
      </w:pPr>
      <w:r>
        <w:rPr>
          <w:b/>
        </w:rPr>
        <w:t xml:space="preserve"> </w:t>
      </w:r>
    </w:p>
    <w:p w:rsidR="00A9548F" w:rsidRDefault="00F6228E">
      <w:pPr>
        <w:pStyle w:val="Heading2"/>
        <w:spacing w:after="259"/>
        <w:ind w:left="-5" w:right="0"/>
      </w:pPr>
      <w:r>
        <w:t xml:space="preserve">TABLE 4.1: GENDER DISTRIBUTION OF RESPONDENTS </w:t>
      </w:r>
    </w:p>
    <w:tbl>
      <w:tblPr>
        <w:tblStyle w:val="TableGrid"/>
        <w:tblW w:w="7612" w:type="dxa"/>
        <w:tblInd w:w="5" w:type="dxa"/>
        <w:tblCellMar>
          <w:top w:w="7" w:type="dxa"/>
          <w:left w:w="108" w:type="dxa"/>
          <w:bottom w:w="0" w:type="dxa"/>
          <w:right w:w="115" w:type="dxa"/>
        </w:tblCellMar>
        <w:tblLook w:val="04A0" w:firstRow="1" w:lastRow="0" w:firstColumn="1" w:lastColumn="0" w:noHBand="0" w:noVBand="1"/>
      </w:tblPr>
      <w:tblGrid>
        <w:gridCol w:w="1834"/>
        <w:gridCol w:w="2427"/>
        <w:gridCol w:w="3351"/>
      </w:tblGrid>
      <w:tr w:rsidR="00A9548F">
        <w:trPr>
          <w:trHeight w:val="562"/>
        </w:trPr>
        <w:tc>
          <w:tcPr>
            <w:tcW w:w="183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Gender </w:t>
            </w:r>
          </w:p>
        </w:tc>
        <w:tc>
          <w:tcPr>
            <w:tcW w:w="2427"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Frequency </w:t>
            </w:r>
          </w:p>
        </w:tc>
        <w:tc>
          <w:tcPr>
            <w:tcW w:w="335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Percentage (%) </w:t>
            </w:r>
          </w:p>
        </w:tc>
      </w:tr>
      <w:tr w:rsidR="00A9548F">
        <w:trPr>
          <w:trHeight w:val="562"/>
        </w:trPr>
        <w:tc>
          <w:tcPr>
            <w:tcW w:w="183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lastRenderedPageBreak/>
              <w:t xml:space="preserve">Male </w:t>
            </w:r>
          </w:p>
        </w:tc>
        <w:tc>
          <w:tcPr>
            <w:tcW w:w="2427"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168 </w:t>
            </w:r>
          </w:p>
        </w:tc>
        <w:tc>
          <w:tcPr>
            <w:tcW w:w="335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42 </w:t>
            </w:r>
          </w:p>
        </w:tc>
      </w:tr>
      <w:tr w:rsidR="00A9548F">
        <w:trPr>
          <w:trHeight w:val="562"/>
        </w:trPr>
        <w:tc>
          <w:tcPr>
            <w:tcW w:w="183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Female </w:t>
            </w:r>
          </w:p>
        </w:tc>
        <w:tc>
          <w:tcPr>
            <w:tcW w:w="2427"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232 </w:t>
            </w:r>
          </w:p>
        </w:tc>
        <w:tc>
          <w:tcPr>
            <w:tcW w:w="335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58 </w:t>
            </w:r>
          </w:p>
        </w:tc>
      </w:tr>
    </w:tbl>
    <w:p w:rsidR="00A9548F" w:rsidRDefault="00F6228E">
      <w:pPr>
        <w:pStyle w:val="Heading3"/>
        <w:spacing w:after="472" w:line="314" w:lineRule="auto"/>
        <w:ind w:left="-5" w:right="0"/>
      </w:pPr>
      <w:r>
        <w:rPr>
          <w:i/>
        </w:rPr>
        <w:t>Source: Field Survey, 2025</w:t>
      </w:r>
      <w:r>
        <w:t xml:space="preserve"> </w:t>
      </w:r>
    </w:p>
    <w:p w:rsidR="00A9548F" w:rsidRDefault="00F6228E">
      <w:pPr>
        <w:spacing w:line="481" w:lineRule="auto"/>
        <w:ind w:left="-5" w:right="1178"/>
      </w:pPr>
      <w:r>
        <w:t>The gender distribution indicates a notable female majority, with 232 respondents (58%) identifying as female compared to 168 males (42%). This skew may reflect women’s greater involvement in community-level activities or household decision-making in urban</w:t>
      </w:r>
      <w:r>
        <w:t xml:space="preserve"> settings like Lagos, where they often manage domestic finances and engage in informal economic activities such as petty trading. In Lekki, a rapidly gentrifying area, women may be more likely to participate in surveys due to their visibility in local mark</w:t>
      </w:r>
      <w:r>
        <w:t>ets or as primary caregivers affected by rising living costs. Similarly, in Yaba, known for its educational and tech hubs, female respondents might include students or professionals attuned to neighborhood changes. In Ikoyi, an affluent area, the female ma</w:t>
      </w:r>
      <w:r>
        <w:t>jority could indicate their role in managing high-value properties or community networks. This gender imbalance suggests that women’s perspectives on gentrification, particularly regarding housing stability, cost of living, and social cohesion may dispropo</w:t>
      </w:r>
      <w:r>
        <w:t xml:space="preserve">rtionately shape the study’s findings, offering critical insights into how urban transformation affects caregiving and income-generating roles. </w:t>
      </w:r>
    </w:p>
    <w:p w:rsidR="00A9548F" w:rsidRDefault="00F6228E">
      <w:pPr>
        <w:spacing w:after="532" w:line="259" w:lineRule="auto"/>
        <w:ind w:left="0" w:right="0" w:firstLine="0"/>
        <w:jc w:val="left"/>
      </w:pPr>
      <w:r>
        <w:rPr>
          <w:b/>
        </w:rPr>
        <w:t xml:space="preserve"> </w:t>
      </w:r>
    </w:p>
    <w:p w:rsidR="00A9548F" w:rsidRDefault="00F6228E">
      <w:pPr>
        <w:spacing w:after="530" w:line="259" w:lineRule="auto"/>
        <w:ind w:left="0" w:right="0" w:firstLine="0"/>
        <w:jc w:val="left"/>
      </w:pPr>
      <w:r>
        <w:rPr>
          <w:b/>
        </w:rPr>
        <w:t xml:space="preserve"> </w:t>
      </w:r>
    </w:p>
    <w:p w:rsidR="00A9548F" w:rsidRDefault="00F6228E">
      <w:pPr>
        <w:spacing w:after="0" w:line="259" w:lineRule="auto"/>
        <w:ind w:left="0" w:right="0" w:firstLine="0"/>
        <w:jc w:val="left"/>
      </w:pPr>
      <w:r>
        <w:rPr>
          <w:b/>
        </w:rPr>
        <w:t xml:space="preserve"> </w:t>
      </w:r>
    </w:p>
    <w:p w:rsidR="00A9548F" w:rsidRDefault="00F6228E">
      <w:pPr>
        <w:pStyle w:val="Heading2"/>
        <w:spacing w:after="259"/>
        <w:ind w:left="-5" w:right="0"/>
      </w:pPr>
      <w:r>
        <w:t xml:space="preserve">TABLE 4.2: AGE DISTRIBUTION OF RESPONDENTS </w:t>
      </w:r>
    </w:p>
    <w:tbl>
      <w:tblPr>
        <w:tblStyle w:val="TableGrid"/>
        <w:tblW w:w="8783" w:type="dxa"/>
        <w:tblInd w:w="5" w:type="dxa"/>
        <w:tblCellMar>
          <w:top w:w="7" w:type="dxa"/>
          <w:left w:w="108" w:type="dxa"/>
          <w:bottom w:w="0" w:type="dxa"/>
          <w:right w:w="115" w:type="dxa"/>
        </w:tblCellMar>
        <w:tblLook w:val="04A0" w:firstRow="1" w:lastRow="0" w:firstColumn="1" w:lastColumn="0" w:noHBand="0" w:noVBand="1"/>
      </w:tblPr>
      <w:tblGrid>
        <w:gridCol w:w="3126"/>
        <w:gridCol w:w="2376"/>
        <w:gridCol w:w="3281"/>
      </w:tblGrid>
      <w:tr w:rsidR="00A9548F">
        <w:trPr>
          <w:trHeight w:val="562"/>
        </w:trPr>
        <w:tc>
          <w:tcPr>
            <w:tcW w:w="3125"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Age Group </w:t>
            </w:r>
          </w:p>
        </w:tc>
        <w:tc>
          <w:tcPr>
            <w:tcW w:w="237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Frequency </w:t>
            </w:r>
          </w:p>
        </w:tc>
        <w:tc>
          <w:tcPr>
            <w:tcW w:w="328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Percentage (%) </w:t>
            </w:r>
          </w:p>
        </w:tc>
      </w:tr>
      <w:tr w:rsidR="00A9548F">
        <w:trPr>
          <w:trHeight w:val="562"/>
        </w:trPr>
        <w:tc>
          <w:tcPr>
            <w:tcW w:w="3125"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lastRenderedPageBreak/>
              <w:t xml:space="preserve">18 to 35 years </w:t>
            </w:r>
          </w:p>
        </w:tc>
        <w:tc>
          <w:tcPr>
            <w:tcW w:w="237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180 </w:t>
            </w:r>
          </w:p>
        </w:tc>
        <w:tc>
          <w:tcPr>
            <w:tcW w:w="328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45 </w:t>
            </w:r>
          </w:p>
        </w:tc>
      </w:tr>
      <w:tr w:rsidR="00A9548F">
        <w:trPr>
          <w:trHeight w:val="562"/>
        </w:trPr>
        <w:tc>
          <w:tcPr>
            <w:tcW w:w="3125"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36 to 55 years </w:t>
            </w:r>
          </w:p>
        </w:tc>
        <w:tc>
          <w:tcPr>
            <w:tcW w:w="237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140 </w:t>
            </w:r>
          </w:p>
        </w:tc>
        <w:tc>
          <w:tcPr>
            <w:tcW w:w="328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35 </w:t>
            </w:r>
          </w:p>
        </w:tc>
      </w:tr>
      <w:tr w:rsidR="00A9548F">
        <w:trPr>
          <w:trHeight w:val="562"/>
        </w:trPr>
        <w:tc>
          <w:tcPr>
            <w:tcW w:w="3125"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Above 55 years </w:t>
            </w:r>
          </w:p>
        </w:tc>
        <w:tc>
          <w:tcPr>
            <w:tcW w:w="237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80 </w:t>
            </w:r>
          </w:p>
        </w:tc>
        <w:tc>
          <w:tcPr>
            <w:tcW w:w="328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20 </w:t>
            </w:r>
          </w:p>
        </w:tc>
      </w:tr>
    </w:tbl>
    <w:p w:rsidR="00A9548F" w:rsidRDefault="00F6228E">
      <w:pPr>
        <w:pStyle w:val="Heading3"/>
        <w:spacing w:after="472" w:line="314" w:lineRule="auto"/>
        <w:ind w:left="-5" w:right="0"/>
      </w:pPr>
      <w:r>
        <w:rPr>
          <w:i/>
        </w:rPr>
        <w:t>Source: Field Survey, 2025</w:t>
      </w:r>
      <w:r>
        <w:t xml:space="preserve"> </w:t>
      </w:r>
    </w:p>
    <w:p w:rsidR="00A9548F" w:rsidRDefault="00F6228E">
      <w:pPr>
        <w:spacing w:line="476" w:lineRule="auto"/>
        <w:ind w:left="-5" w:right="1178"/>
      </w:pPr>
      <w:r>
        <w:t>The age distribution reveals a youthful sample, with 180 respondents (45%) aged 18 to 35 years, followed by 140 (35%) aged 36 to 55 years, and 80 (20%) above 55 years. The dominance of the 18–35 age group likely reflects the demographic profile of areas li</w:t>
      </w:r>
      <w:r>
        <w:t>ke Yaba, a hub for universities and startups, where young professionals and students predominate. In Lekki, this group may include workers drawn by new developments like Eko Atlantic, while in Ikoyi, they might represent service staff or younger affluent r</w:t>
      </w:r>
      <w:r>
        <w:t>esidents. The 36–55 age bracket, comprising the economically active middle-aged population, likely includes long-term residents or homeowners with deeper ties to these communities, potentially more resistant to displacement but sensitive to cost increases.</w:t>
      </w:r>
      <w:r>
        <w:t xml:space="preserve"> The smaller group above 55 years, possibly retirees or long-standing residents, may have historical perspectives on urban change, making them particularly vulnerable to social disruptions caused by gentrification. This youthful skew suggests that percepti</w:t>
      </w:r>
      <w:r>
        <w:t xml:space="preserve">ons of gentrification, especially its economic opportunities versus its disruptions may be influenced by a population more adaptable to change, though older respondents highlight the loss of community stability. </w:t>
      </w:r>
    </w:p>
    <w:p w:rsidR="00A9548F" w:rsidRDefault="00F6228E">
      <w:pPr>
        <w:spacing w:after="0" w:line="259" w:lineRule="auto"/>
        <w:ind w:left="0" w:right="0" w:firstLine="0"/>
        <w:jc w:val="left"/>
      </w:pPr>
      <w:r>
        <w:rPr>
          <w:b/>
        </w:rPr>
        <w:t xml:space="preserve"> </w:t>
      </w:r>
    </w:p>
    <w:p w:rsidR="00A9548F" w:rsidRDefault="00F6228E">
      <w:pPr>
        <w:pStyle w:val="Heading2"/>
        <w:spacing w:after="259"/>
        <w:ind w:left="-5" w:right="0"/>
      </w:pPr>
      <w:r>
        <w:t xml:space="preserve">TABLE 4.3: MARITAL STATUS OF RESPONDENTS </w:t>
      </w:r>
    </w:p>
    <w:tbl>
      <w:tblPr>
        <w:tblStyle w:val="TableGrid"/>
        <w:tblW w:w="9520" w:type="dxa"/>
        <w:tblInd w:w="5" w:type="dxa"/>
        <w:tblCellMar>
          <w:top w:w="7" w:type="dxa"/>
          <w:left w:w="108" w:type="dxa"/>
          <w:bottom w:w="0" w:type="dxa"/>
          <w:right w:w="115" w:type="dxa"/>
        </w:tblCellMar>
        <w:tblLook w:val="04A0" w:firstRow="1" w:lastRow="0" w:firstColumn="1" w:lastColumn="0" w:noHBand="0" w:noVBand="1"/>
      </w:tblPr>
      <w:tblGrid>
        <w:gridCol w:w="3840"/>
        <w:gridCol w:w="2384"/>
        <w:gridCol w:w="3296"/>
      </w:tblGrid>
      <w:tr w:rsidR="00A9548F">
        <w:trPr>
          <w:trHeight w:val="562"/>
        </w:trPr>
        <w:tc>
          <w:tcPr>
            <w:tcW w:w="384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Marital Status </w:t>
            </w:r>
          </w:p>
        </w:tc>
        <w:tc>
          <w:tcPr>
            <w:tcW w:w="238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Frequency </w:t>
            </w:r>
          </w:p>
        </w:tc>
        <w:tc>
          <w:tcPr>
            <w:tcW w:w="329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Percentage (%) </w:t>
            </w:r>
          </w:p>
        </w:tc>
      </w:tr>
      <w:tr w:rsidR="00A9548F">
        <w:trPr>
          <w:trHeight w:val="562"/>
        </w:trPr>
        <w:tc>
          <w:tcPr>
            <w:tcW w:w="384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Single </w:t>
            </w:r>
          </w:p>
        </w:tc>
        <w:tc>
          <w:tcPr>
            <w:tcW w:w="238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150 </w:t>
            </w:r>
          </w:p>
        </w:tc>
        <w:tc>
          <w:tcPr>
            <w:tcW w:w="329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37.5 </w:t>
            </w:r>
          </w:p>
        </w:tc>
      </w:tr>
      <w:tr w:rsidR="00A9548F">
        <w:trPr>
          <w:trHeight w:val="562"/>
        </w:trPr>
        <w:tc>
          <w:tcPr>
            <w:tcW w:w="384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lastRenderedPageBreak/>
              <w:t xml:space="preserve">Married </w:t>
            </w:r>
          </w:p>
        </w:tc>
        <w:tc>
          <w:tcPr>
            <w:tcW w:w="238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200 </w:t>
            </w:r>
          </w:p>
        </w:tc>
        <w:tc>
          <w:tcPr>
            <w:tcW w:w="329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50 </w:t>
            </w:r>
          </w:p>
        </w:tc>
      </w:tr>
      <w:tr w:rsidR="00A9548F">
        <w:trPr>
          <w:trHeight w:val="562"/>
        </w:trPr>
        <w:tc>
          <w:tcPr>
            <w:tcW w:w="384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Divorced/Widowed </w:t>
            </w:r>
          </w:p>
        </w:tc>
        <w:tc>
          <w:tcPr>
            <w:tcW w:w="238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50 </w:t>
            </w:r>
          </w:p>
        </w:tc>
        <w:tc>
          <w:tcPr>
            <w:tcW w:w="329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12.5 </w:t>
            </w:r>
          </w:p>
        </w:tc>
      </w:tr>
    </w:tbl>
    <w:p w:rsidR="00A9548F" w:rsidRDefault="00F6228E">
      <w:pPr>
        <w:pStyle w:val="Heading3"/>
        <w:spacing w:after="472" w:line="314" w:lineRule="auto"/>
        <w:ind w:left="-5" w:right="0"/>
      </w:pPr>
      <w:r>
        <w:rPr>
          <w:i/>
        </w:rPr>
        <w:t>Source: Field Survey, 2025</w:t>
      </w:r>
      <w:r>
        <w:t xml:space="preserve"> </w:t>
      </w:r>
    </w:p>
    <w:p w:rsidR="00A9548F" w:rsidRDefault="00F6228E">
      <w:pPr>
        <w:spacing w:line="479" w:lineRule="auto"/>
        <w:ind w:left="-5" w:right="1178"/>
      </w:pPr>
      <w:r>
        <w:t>Marital status data shows that 200 respondents (50%) are married, 150 (37.5%) are single, and 50 (12</w:t>
      </w:r>
      <w:r>
        <w:t>.5%) are divorced or widowed. The predominance of married respondents points to a significant presence of family households, which may face heightened vulnerability to gentrification’s housing pressures. In Lekki, where large-scale redevelopment drives ren</w:t>
      </w:r>
      <w:r>
        <w:t xml:space="preserve">t hikes, married respondents with children might struggle to maintain affordable housing, risking displacement. Single respondents, likely younger and more mobile, may include students or professionals in Yaba who can relocate more easily, though they too </w:t>
      </w:r>
      <w:r>
        <w:t>face rising costs. The divorced or widowed group, potentially older and economically strained, could be particularly at risk in Ikoyi, where luxury developments elevate living expenses. This distribution underscores diverse household dynamics: married resp</w:t>
      </w:r>
      <w:r>
        <w:t xml:space="preserve">ondents prioritize housing stability for families, singles adapt to economic shifts, and the divorced/widowed face compounded financial challenges, all of which shape their experiences of gentrification. </w:t>
      </w:r>
    </w:p>
    <w:p w:rsidR="00A9548F" w:rsidRDefault="00F6228E">
      <w:pPr>
        <w:spacing w:after="532" w:line="259" w:lineRule="auto"/>
        <w:ind w:left="0" w:right="0" w:firstLine="0"/>
        <w:jc w:val="left"/>
      </w:pPr>
      <w:r>
        <w:t xml:space="preserve"> </w:t>
      </w:r>
    </w:p>
    <w:p w:rsidR="00A9548F" w:rsidRDefault="00F6228E">
      <w:pPr>
        <w:spacing w:after="530" w:line="259" w:lineRule="auto"/>
        <w:ind w:left="0" w:right="0" w:firstLine="0"/>
        <w:jc w:val="left"/>
      </w:pPr>
      <w:r>
        <w:t xml:space="preserve"> </w:t>
      </w:r>
    </w:p>
    <w:p w:rsidR="00A9548F" w:rsidRDefault="00F6228E">
      <w:pPr>
        <w:spacing w:after="0" w:line="259" w:lineRule="auto"/>
        <w:ind w:left="0" w:right="0" w:firstLine="0"/>
        <w:jc w:val="left"/>
      </w:pPr>
      <w:r>
        <w:t xml:space="preserve"> </w:t>
      </w:r>
    </w:p>
    <w:p w:rsidR="00A9548F" w:rsidRDefault="00F6228E">
      <w:pPr>
        <w:pStyle w:val="Heading2"/>
        <w:spacing w:after="259"/>
        <w:ind w:left="-5" w:right="0"/>
      </w:pPr>
      <w:r>
        <w:t xml:space="preserve">TABLE 4.4: EDUCATIONAL BACKGROUND OF RESPONDENTS </w:t>
      </w:r>
    </w:p>
    <w:tbl>
      <w:tblPr>
        <w:tblStyle w:val="TableGrid"/>
        <w:tblW w:w="8716" w:type="dxa"/>
        <w:tblInd w:w="5" w:type="dxa"/>
        <w:tblCellMar>
          <w:top w:w="7" w:type="dxa"/>
          <w:left w:w="108" w:type="dxa"/>
          <w:bottom w:w="0" w:type="dxa"/>
          <w:right w:w="115" w:type="dxa"/>
        </w:tblCellMar>
        <w:tblLook w:val="04A0" w:firstRow="1" w:lastRow="0" w:firstColumn="1" w:lastColumn="0" w:noHBand="0" w:noVBand="1"/>
      </w:tblPr>
      <w:tblGrid>
        <w:gridCol w:w="3483"/>
        <w:gridCol w:w="2199"/>
        <w:gridCol w:w="3034"/>
      </w:tblGrid>
      <w:tr w:rsidR="00A9548F">
        <w:trPr>
          <w:trHeight w:val="562"/>
        </w:trPr>
        <w:tc>
          <w:tcPr>
            <w:tcW w:w="348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Educational Level </w:t>
            </w:r>
          </w:p>
        </w:tc>
        <w:tc>
          <w:tcPr>
            <w:tcW w:w="2199"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Frequency </w:t>
            </w:r>
          </w:p>
        </w:tc>
        <w:tc>
          <w:tcPr>
            <w:tcW w:w="303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Percentage (%) </w:t>
            </w:r>
          </w:p>
        </w:tc>
      </w:tr>
      <w:tr w:rsidR="00A9548F">
        <w:trPr>
          <w:trHeight w:val="562"/>
        </w:trPr>
        <w:tc>
          <w:tcPr>
            <w:tcW w:w="348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Primary or None </w:t>
            </w:r>
          </w:p>
        </w:tc>
        <w:tc>
          <w:tcPr>
            <w:tcW w:w="2199"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80 </w:t>
            </w:r>
          </w:p>
        </w:tc>
        <w:tc>
          <w:tcPr>
            <w:tcW w:w="303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20 </w:t>
            </w:r>
          </w:p>
        </w:tc>
      </w:tr>
      <w:tr w:rsidR="00A9548F">
        <w:trPr>
          <w:trHeight w:val="562"/>
        </w:trPr>
        <w:tc>
          <w:tcPr>
            <w:tcW w:w="348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lastRenderedPageBreak/>
              <w:t xml:space="preserve">Secondary </w:t>
            </w:r>
          </w:p>
        </w:tc>
        <w:tc>
          <w:tcPr>
            <w:tcW w:w="2199"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160 </w:t>
            </w:r>
          </w:p>
        </w:tc>
        <w:tc>
          <w:tcPr>
            <w:tcW w:w="303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40 </w:t>
            </w:r>
          </w:p>
        </w:tc>
      </w:tr>
      <w:tr w:rsidR="00A9548F">
        <w:trPr>
          <w:trHeight w:val="562"/>
        </w:trPr>
        <w:tc>
          <w:tcPr>
            <w:tcW w:w="348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Tertiary </w:t>
            </w:r>
          </w:p>
        </w:tc>
        <w:tc>
          <w:tcPr>
            <w:tcW w:w="2199"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160 </w:t>
            </w:r>
          </w:p>
        </w:tc>
        <w:tc>
          <w:tcPr>
            <w:tcW w:w="303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40 </w:t>
            </w:r>
          </w:p>
        </w:tc>
      </w:tr>
    </w:tbl>
    <w:p w:rsidR="00A9548F" w:rsidRDefault="00F6228E">
      <w:pPr>
        <w:pStyle w:val="Heading3"/>
        <w:spacing w:after="472" w:line="314" w:lineRule="auto"/>
        <w:ind w:left="-5" w:right="0"/>
      </w:pPr>
      <w:r>
        <w:rPr>
          <w:i/>
        </w:rPr>
        <w:t>Source: Field Survey, 2025</w:t>
      </w:r>
      <w:r>
        <w:t xml:space="preserve"> </w:t>
      </w:r>
    </w:p>
    <w:p w:rsidR="00A9548F" w:rsidRDefault="00F6228E">
      <w:pPr>
        <w:spacing w:line="482" w:lineRule="auto"/>
        <w:ind w:left="-5" w:right="1178"/>
      </w:pPr>
      <w:r>
        <w:t>The educational profile shows an even split between secondary (160 respondents, 40%) and tertiary education (160 respondents, 40%), with 80 respondents (20%) having primary or no formal education. The high proportion of secondary and tertiary-educated resp</w:t>
      </w:r>
      <w:r>
        <w:t>ondents reflects urban areas’ access to schooling and professional opportunities, particularly in Yaba’s tech ecosystem and Ikoyi’s corporate environment. Those with primary or no education, likely informal workers such as traders or laborers, may predomin</w:t>
      </w:r>
      <w:r>
        <w:t>ate in Lekki’s transitional zones, where gentrification displaces low-skill jobs. The tertiary-educated may benefit from gentrification’s economic growth, such as tech jobs in Yaba, but the secondary-educated and less-educated groups face challenges adapti</w:t>
      </w:r>
      <w:r>
        <w:t xml:space="preserve">ng to a shifting job market favoring high-skill industries. This educational diversity suggests varying resilience to gentrification: higher education may buffer economic impacts, while lower education heightens vulnerability to displacement and job loss. </w:t>
      </w:r>
    </w:p>
    <w:p w:rsidR="00A9548F" w:rsidRDefault="00F6228E">
      <w:pPr>
        <w:spacing w:after="532" w:line="259" w:lineRule="auto"/>
        <w:ind w:left="0" w:right="0" w:firstLine="0"/>
        <w:jc w:val="left"/>
      </w:pPr>
      <w:r>
        <w:rPr>
          <w:b/>
        </w:rPr>
        <w:t xml:space="preserve"> </w:t>
      </w:r>
    </w:p>
    <w:p w:rsidR="00A9548F" w:rsidRDefault="00F6228E">
      <w:pPr>
        <w:spacing w:after="530" w:line="259" w:lineRule="auto"/>
        <w:ind w:left="0" w:right="0" w:firstLine="0"/>
        <w:jc w:val="left"/>
      </w:pPr>
      <w:r>
        <w:rPr>
          <w:b/>
        </w:rPr>
        <w:t xml:space="preserve"> </w:t>
      </w:r>
    </w:p>
    <w:p w:rsidR="00A9548F" w:rsidRDefault="00F6228E">
      <w:pPr>
        <w:spacing w:after="0" w:line="259" w:lineRule="auto"/>
        <w:ind w:left="0" w:right="0" w:firstLine="0"/>
        <w:jc w:val="left"/>
      </w:pPr>
      <w:r>
        <w:rPr>
          <w:b/>
        </w:rPr>
        <w:t xml:space="preserve"> </w:t>
      </w:r>
    </w:p>
    <w:p w:rsidR="00A9548F" w:rsidRDefault="00F6228E">
      <w:pPr>
        <w:pStyle w:val="Heading2"/>
        <w:spacing w:after="259"/>
        <w:ind w:left="-5" w:right="0"/>
      </w:pPr>
      <w:r>
        <w:t xml:space="preserve">TABLE 4.5: MONTHLY INCOME DISTRIBUTION OF RESPONDENTS </w:t>
      </w:r>
    </w:p>
    <w:tbl>
      <w:tblPr>
        <w:tblStyle w:val="TableGrid"/>
        <w:tblW w:w="8999" w:type="dxa"/>
        <w:tblInd w:w="5" w:type="dxa"/>
        <w:tblCellMar>
          <w:top w:w="7" w:type="dxa"/>
          <w:left w:w="108" w:type="dxa"/>
          <w:bottom w:w="0" w:type="dxa"/>
          <w:right w:w="115" w:type="dxa"/>
        </w:tblCellMar>
        <w:tblLook w:val="04A0" w:firstRow="1" w:lastRow="0" w:firstColumn="1" w:lastColumn="0" w:noHBand="0" w:noVBand="1"/>
      </w:tblPr>
      <w:tblGrid>
        <w:gridCol w:w="3953"/>
        <w:gridCol w:w="2120"/>
        <w:gridCol w:w="2926"/>
      </w:tblGrid>
      <w:tr w:rsidR="00A9548F">
        <w:trPr>
          <w:trHeight w:val="562"/>
        </w:trPr>
        <w:tc>
          <w:tcPr>
            <w:tcW w:w="395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Income Range (NGN) </w:t>
            </w:r>
          </w:p>
        </w:tc>
        <w:tc>
          <w:tcPr>
            <w:tcW w:w="2120"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Frequency </w:t>
            </w:r>
          </w:p>
        </w:tc>
        <w:tc>
          <w:tcPr>
            <w:tcW w:w="292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Percentage (%) </w:t>
            </w:r>
          </w:p>
        </w:tc>
      </w:tr>
      <w:tr w:rsidR="00A9548F">
        <w:trPr>
          <w:trHeight w:val="562"/>
        </w:trPr>
        <w:tc>
          <w:tcPr>
            <w:tcW w:w="395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Below 50,000 </w:t>
            </w:r>
          </w:p>
        </w:tc>
        <w:tc>
          <w:tcPr>
            <w:tcW w:w="2120"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200 </w:t>
            </w:r>
          </w:p>
        </w:tc>
        <w:tc>
          <w:tcPr>
            <w:tcW w:w="292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50 </w:t>
            </w:r>
          </w:p>
        </w:tc>
      </w:tr>
      <w:tr w:rsidR="00A9548F">
        <w:trPr>
          <w:trHeight w:val="562"/>
        </w:trPr>
        <w:tc>
          <w:tcPr>
            <w:tcW w:w="395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lastRenderedPageBreak/>
              <w:t xml:space="preserve">50,000 to 150,000 </w:t>
            </w:r>
          </w:p>
        </w:tc>
        <w:tc>
          <w:tcPr>
            <w:tcW w:w="2120"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120 </w:t>
            </w:r>
          </w:p>
        </w:tc>
        <w:tc>
          <w:tcPr>
            <w:tcW w:w="292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30 </w:t>
            </w:r>
          </w:p>
        </w:tc>
      </w:tr>
      <w:tr w:rsidR="00A9548F">
        <w:trPr>
          <w:trHeight w:val="562"/>
        </w:trPr>
        <w:tc>
          <w:tcPr>
            <w:tcW w:w="395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Above 150,000 </w:t>
            </w:r>
          </w:p>
        </w:tc>
        <w:tc>
          <w:tcPr>
            <w:tcW w:w="2120"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80 </w:t>
            </w:r>
          </w:p>
        </w:tc>
        <w:tc>
          <w:tcPr>
            <w:tcW w:w="292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20 </w:t>
            </w:r>
          </w:p>
        </w:tc>
      </w:tr>
    </w:tbl>
    <w:p w:rsidR="00A9548F" w:rsidRDefault="00F6228E">
      <w:pPr>
        <w:pStyle w:val="Heading3"/>
        <w:spacing w:after="472" w:line="314" w:lineRule="auto"/>
        <w:ind w:left="-5" w:right="0"/>
      </w:pPr>
      <w:r>
        <w:rPr>
          <w:i/>
        </w:rPr>
        <w:t>Source: Field Survey, 2025</w:t>
      </w:r>
      <w:r>
        <w:t xml:space="preserve"> </w:t>
      </w:r>
    </w:p>
    <w:p w:rsidR="00A9548F" w:rsidRDefault="00F6228E">
      <w:pPr>
        <w:spacing w:after="246"/>
        <w:ind w:left="-5" w:right="1178"/>
      </w:pPr>
      <w:r>
        <w:t xml:space="preserve">Income distribution highlights economic disparity, with 200 respondents (50%) earning below </w:t>
      </w:r>
    </w:p>
    <w:p w:rsidR="00A9548F" w:rsidRDefault="00F6228E">
      <w:pPr>
        <w:spacing w:line="476" w:lineRule="auto"/>
        <w:ind w:left="-5" w:right="1178"/>
      </w:pPr>
      <w:r>
        <w:t>50,000 NGN monthly, 120 (30%) earning 50,000–150,000 NGN, and 80 (20%) above 150,000 NGN. The large low-income group likely includes informal workers and low-</w:t>
      </w:r>
      <w:r>
        <w:t>wage earners, highly susceptible to gentrification’s cost increases, especially in Lekki and Yaba, where rents and services are rising. The middle-income bracket may represent semi-skilled workers or small business owners facing moderate pressure, while th</w:t>
      </w:r>
      <w:r>
        <w:t xml:space="preserve">e high-income group, concentrated in Ikoyi, may benefit from upscale developments. This stratification indicates that gentrification disproportionately burdens the low-income majority, exacerbating financial strain and displacement risks, while a minority </w:t>
      </w:r>
      <w:r>
        <w:t xml:space="preserve">reaps economic rewards. </w:t>
      </w:r>
    </w:p>
    <w:p w:rsidR="00A9548F" w:rsidRDefault="00F6228E">
      <w:pPr>
        <w:spacing w:after="532" w:line="259" w:lineRule="auto"/>
        <w:ind w:left="0" w:right="0" w:firstLine="0"/>
        <w:jc w:val="left"/>
      </w:pPr>
      <w:r>
        <w:rPr>
          <w:b/>
        </w:rPr>
        <w:t xml:space="preserve"> </w:t>
      </w:r>
    </w:p>
    <w:p w:rsidR="00A9548F" w:rsidRDefault="00F6228E">
      <w:pPr>
        <w:spacing w:after="532" w:line="259" w:lineRule="auto"/>
        <w:ind w:left="0" w:right="0" w:firstLine="0"/>
        <w:jc w:val="left"/>
      </w:pPr>
      <w:r>
        <w:rPr>
          <w:b/>
        </w:rPr>
        <w:t xml:space="preserve"> </w:t>
      </w:r>
    </w:p>
    <w:p w:rsidR="00A9548F" w:rsidRDefault="00F6228E">
      <w:pPr>
        <w:spacing w:after="530" w:line="259" w:lineRule="auto"/>
        <w:ind w:left="0" w:right="0" w:firstLine="0"/>
        <w:jc w:val="left"/>
      </w:pPr>
      <w:r>
        <w:rPr>
          <w:b/>
        </w:rPr>
        <w:t xml:space="preserve"> </w:t>
      </w:r>
    </w:p>
    <w:p w:rsidR="00A9548F" w:rsidRDefault="00F6228E">
      <w:pPr>
        <w:spacing w:after="533" w:line="259" w:lineRule="auto"/>
        <w:ind w:left="0" w:right="0" w:firstLine="0"/>
        <w:jc w:val="left"/>
      </w:pPr>
      <w:r>
        <w:rPr>
          <w:b/>
        </w:rPr>
        <w:t xml:space="preserve"> </w:t>
      </w:r>
    </w:p>
    <w:p w:rsidR="00A9548F" w:rsidRDefault="00F6228E">
      <w:pPr>
        <w:spacing w:after="0" w:line="259" w:lineRule="auto"/>
        <w:ind w:left="0" w:right="0" w:firstLine="0"/>
        <w:jc w:val="left"/>
      </w:pPr>
      <w:r>
        <w:rPr>
          <w:b/>
        </w:rPr>
        <w:t xml:space="preserve"> </w:t>
      </w:r>
    </w:p>
    <w:p w:rsidR="00A9548F" w:rsidRDefault="00F6228E">
      <w:pPr>
        <w:pStyle w:val="Heading3"/>
        <w:ind w:left="-5" w:right="0"/>
      </w:pPr>
      <w:r>
        <w:t xml:space="preserve">4.3 SOCIO-ECONOMIC IMPACTS OF GENTRIFICATION </w:t>
      </w:r>
    </w:p>
    <w:p w:rsidR="00A9548F" w:rsidRDefault="00F6228E">
      <w:pPr>
        <w:spacing w:line="476" w:lineRule="auto"/>
        <w:ind w:left="-5" w:right="1178"/>
      </w:pPr>
      <w:r>
        <w:t xml:space="preserve">This section addresses the first objective by analyzing socio-economic effects based on survey data. </w:t>
      </w:r>
    </w:p>
    <w:p w:rsidR="00A9548F" w:rsidRDefault="00F6228E">
      <w:pPr>
        <w:pStyle w:val="Heading4"/>
        <w:spacing w:after="259"/>
        <w:ind w:left="-5" w:right="0"/>
      </w:pPr>
      <w:r>
        <w:lastRenderedPageBreak/>
        <w:t xml:space="preserve">Table 4.6: Perceived Socio-Economic Impacts of Gentrification </w:t>
      </w:r>
    </w:p>
    <w:tbl>
      <w:tblPr>
        <w:tblStyle w:val="TableGrid"/>
        <w:tblW w:w="9633" w:type="dxa"/>
        <w:tblInd w:w="5" w:type="dxa"/>
        <w:tblCellMar>
          <w:top w:w="7" w:type="dxa"/>
          <w:left w:w="108" w:type="dxa"/>
          <w:bottom w:w="0" w:type="dxa"/>
          <w:right w:w="115" w:type="dxa"/>
        </w:tblCellMar>
        <w:tblLook w:val="04A0" w:firstRow="1" w:lastRow="0" w:firstColumn="1" w:lastColumn="0" w:noHBand="0" w:noVBand="1"/>
      </w:tblPr>
      <w:tblGrid>
        <w:gridCol w:w="3332"/>
        <w:gridCol w:w="1632"/>
        <w:gridCol w:w="1560"/>
        <w:gridCol w:w="1546"/>
        <w:gridCol w:w="1563"/>
      </w:tblGrid>
      <w:tr w:rsidR="00A9548F">
        <w:trPr>
          <w:trHeight w:val="574"/>
        </w:trPr>
        <w:tc>
          <w:tcPr>
            <w:tcW w:w="33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Impact </w:t>
            </w:r>
          </w:p>
        </w:tc>
        <w:tc>
          <w:tcPr>
            <w:tcW w:w="16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Lekki (%) </w:t>
            </w:r>
          </w:p>
        </w:tc>
        <w:tc>
          <w:tcPr>
            <w:tcW w:w="1560"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Yaba (%) </w:t>
            </w:r>
          </w:p>
        </w:tc>
        <w:tc>
          <w:tcPr>
            <w:tcW w:w="154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Ikoyi (%) </w:t>
            </w:r>
          </w:p>
        </w:tc>
        <w:tc>
          <w:tcPr>
            <w:tcW w:w="156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Total (%) </w:t>
            </w:r>
          </w:p>
        </w:tc>
      </w:tr>
      <w:tr w:rsidR="00A9548F">
        <w:trPr>
          <w:trHeight w:val="571"/>
        </w:trPr>
        <w:tc>
          <w:tcPr>
            <w:tcW w:w="33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Increased Cost of Living </w:t>
            </w:r>
          </w:p>
        </w:tc>
        <w:tc>
          <w:tcPr>
            <w:tcW w:w="16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85 </w:t>
            </w:r>
          </w:p>
        </w:tc>
        <w:tc>
          <w:tcPr>
            <w:tcW w:w="1560"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78 </w:t>
            </w:r>
          </w:p>
        </w:tc>
        <w:tc>
          <w:tcPr>
            <w:tcW w:w="154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90 </w:t>
            </w:r>
          </w:p>
        </w:tc>
        <w:tc>
          <w:tcPr>
            <w:tcW w:w="156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84 </w:t>
            </w:r>
          </w:p>
        </w:tc>
      </w:tr>
      <w:tr w:rsidR="00A9548F">
        <w:trPr>
          <w:trHeight w:val="564"/>
        </w:trPr>
        <w:tc>
          <w:tcPr>
            <w:tcW w:w="33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Loss of Community Ties </w:t>
            </w:r>
          </w:p>
        </w:tc>
        <w:tc>
          <w:tcPr>
            <w:tcW w:w="16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70 </w:t>
            </w:r>
          </w:p>
        </w:tc>
        <w:tc>
          <w:tcPr>
            <w:tcW w:w="1560"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65 </w:t>
            </w:r>
          </w:p>
        </w:tc>
        <w:tc>
          <w:tcPr>
            <w:tcW w:w="154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60 </w:t>
            </w:r>
          </w:p>
        </w:tc>
        <w:tc>
          <w:tcPr>
            <w:tcW w:w="156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65 </w:t>
            </w:r>
          </w:p>
        </w:tc>
      </w:tr>
      <w:tr w:rsidR="00A9548F">
        <w:trPr>
          <w:trHeight w:val="571"/>
        </w:trPr>
        <w:tc>
          <w:tcPr>
            <w:tcW w:w="33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Reduced Access to Jobs </w:t>
            </w:r>
          </w:p>
        </w:tc>
        <w:tc>
          <w:tcPr>
            <w:tcW w:w="16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60 </w:t>
            </w:r>
          </w:p>
        </w:tc>
        <w:tc>
          <w:tcPr>
            <w:tcW w:w="1560"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55 </w:t>
            </w:r>
          </w:p>
        </w:tc>
        <w:tc>
          <w:tcPr>
            <w:tcW w:w="154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45 </w:t>
            </w:r>
          </w:p>
        </w:tc>
        <w:tc>
          <w:tcPr>
            <w:tcW w:w="156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53 </w:t>
            </w:r>
          </w:p>
        </w:tc>
      </w:tr>
      <w:tr w:rsidR="00A9548F">
        <w:trPr>
          <w:trHeight w:val="574"/>
        </w:trPr>
        <w:tc>
          <w:tcPr>
            <w:tcW w:w="33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Improved Infrastructure </w:t>
            </w:r>
          </w:p>
        </w:tc>
        <w:tc>
          <w:tcPr>
            <w:tcW w:w="16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40 </w:t>
            </w:r>
          </w:p>
        </w:tc>
        <w:tc>
          <w:tcPr>
            <w:tcW w:w="1560"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35 </w:t>
            </w:r>
          </w:p>
        </w:tc>
        <w:tc>
          <w:tcPr>
            <w:tcW w:w="1546"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70 </w:t>
            </w:r>
          </w:p>
        </w:tc>
        <w:tc>
          <w:tcPr>
            <w:tcW w:w="156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48 </w:t>
            </w:r>
          </w:p>
        </w:tc>
      </w:tr>
    </w:tbl>
    <w:p w:rsidR="00A9548F" w:rsidRDefault="00F6228E">
      <w:pPr>
        <w:pStyle w:val="Heading5"/>
        <w:ind w:left="-5"/>
      </w:pPr>
      <w:r>
        <w:t>Source: Field Survey, 2025</w:t>
      </w:r>
      <w:r>
        <w:rPr>
          <w:i w:val="0"/>
        </w:rPr>
        <w:t xml:space="preserve"> </w:t>
      </w:r>
    </w:p>
    <w:p w:rsidR="00A9548F" w:rsidRDefault="00F6228E">
      <w:pPr>
        <w:spacing w:line="478" w:lineRule="auto"/>
        <w:ind w:left="-5" w:right="1178"/>
      </w:pPr>
      <w:r>
        <w:t>The data shows that 336 respondents (84%) reported an increased cost of living, with Ikoyi at 90% (117 of 130), Lekki at 85% (115 of 135), and Yaba at 78% (105 of 135). This trend likely results from rising rents, property taxes, and the shift to upscale r</w:t>
      </w:r>
      <w:r>
        <w:t>etail, severely impacting the 50% low-income respondents (200 individuals). In Ikoyi, luxury developments drive the highest cost increases, while in Lekki, large-scale projects like Eko Atlantic contribute. Yaba’s slightly lower rate may reflect its mixed-</w:t>
      </w:r>
      <w:r>
        <w:t>income character. The loss of community ties, reported by 260 respondents (65%), peaks in Lekki at 70% (95 of 135), reflecting rapid population turnover and demolition of older neighborhoods, affecting the 20% older respondents (80 individuals) most. Reduc</w:t>
      </w:r>
      <w:r>
        <w:t>ed job access, noted by 212 respondents (53%), is highest in Lekki at 60% (81 of 135), where informal businesses are displaced by high-skill industries, impacting the 40% with secondary education (160 respondents). Improved infrastructure, cited by 192 res</w:t>
      </w:r>
      <w:r>
        <w:t xml:space="preserve">pondents (48%), varies widely. 70% in Ikoyi (91 of 130) versus 35% in Yaba (47 of 135) indicating benefits favor wealthier areas, leaving low-income groups underserved. </w:t>
      </w:r>
    </w:p>
    <w:p w:rsidR="00A9548F" w:rsidRDefault="00F6228E">
      <w:pPr>
        <w:pStyle w:val="Heading3"/>
        <w:ind w:left="-5" w:right="0"/>
      </w:pPr>
      <w:r>
        <w:t xml:space="preserve">4.4 HOUSING AVAILABILITY, AFFORDABILITY, AND DISPLACEMENT </w:t>
      </w:r>
    </w:p>
    <w:p w:rsidR="00A9548F" w:rsidRDefault="00F6228E">
      <w:pPr>
        <w:spacing w:after="532"/>
        <w:ind w:left="-5" w:right="1178"/>
      </w:pPr>
      <w:r>
        <w:t>This section examines housi</w:t>
      </w:r>
      <w:r>
        <w:t xml:space="preserve">ng dynamics per the second objective. </w:t>
      </w:r>
    </w:p>
    <w:p w:rsidR="00A9548F" w:rsidRDefault="00F6228E">
      <w:pPr>
        <w:pStyle w:val="Heading4"/>
        <w:spacing w:after="259"/>
        <w:ind w:left="-5" w:right="0"/>
      </w:pPr>
      <w:r>
        <w:lastRenderedPageBreak/>
        <w:t xml:space="preserve">Table 4.7: Housing Dynamics Due to Gentrification </w:t>
      </w:r>
    </w:p>
    <w:tbl>
      <w:tblPr>
        <w:tblStyle w:val="TableGrid"/>
        <w:tblW w:w="9684" w:type="dxa"/>
        <w:tblInd w:w="5" w:type="dxa"/>
        <w:tblCellMar>
          <w:top w:w="7" w:type="dxa"/>
          <w:left w:w="106" w:type="dxa"/>
          <w:bottom w:w="0" w:type="dxa"/>
          <w:right w:w="115" w:type="dxa"/>
        </w:tblCellMar>
        <w:tblLook w:val="04A0" w:firstRow="1" w:lastRow="0" w:firstColumn="1" w:lastColumn="0" w:noHBand="0" w:noVBand="1"/>
      </w:tblPr>
      <w:tblGrid>
        <w:gridCol w:w="3503"/>
        <w:gridCol w:w="1601"/>
        <w:gridCol w:w="1531"/>
        <w:gridCol w:w="1517"/>
        <w:gridCol w:w="1532"/>
      </w:tblGrid>
      <w:tr w:rsidR="00A9548F">
        <w:trPr>
          <w:trHeight w:val="562"/>
        </w:trPr>
        <w:tc>
          <w:tcPr>
            <w:tcW w:w="350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r>
              <w:rPr>
                <w:b/>
              </w:rPr>
              <w:t xml:space="preserve">Change </w:t>
            </w:r>
          </w:p>
        </w:tc>
        <w:tc>
          <w:tcPr>
            <w:tcW w:w="160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r>
              <w:rPr>
                <w:b/>
              </w:rPr>
              <w:t xml:space="preserve">Lekki (%) </w:t>
            </w:r>
          </w:p>
        </w:tc>
        <w:tc>
          <w:tcPr>
            <w:tcW w:w="153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Yaba (%) </w:t>
            </w:r>
          </w:p>
        </w:tc>
        <w:tc>
          <w:tcPr>
            <w:tcW w:w="1517"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r>
              <w:rPr>
                <w:b/>
              </w:rPr>
              <w:t xml:space="preserve">Ikoyi (%) </w:t>
            </w:r>
          </w:p>
        </w:tc>
        <w:tc>
          <w:tcPr>
            <w:tcW w:w="15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Total (%) </w:t>
            </w:r>
          </w:p>
        </w:tc>
      </w:tr>
      <w:tr w:rsidR="00A9548F">
        <w:trPr>
          <w:trHeight w:val="562"/>
        </w:trPr>
        <w:tc>
          <w:tcPr>
            <w:tcW w:w="350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r>
              <w:t xml:space="preserve">Increased Rent Prices </w:t>
            </w:r>
          </w:p>
        </w:tc>
        <w:tc>
          <w:tcPr>
            <w:tcW w:w="160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r>
              <w:t xml:space="preserve">88 </w:t>
            </w:r>
          </w:p>
        </w:tc>
        <w:tc>
          <w:tcPr>
            <w:tcW w:w="153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80 </w:t>
            </w:r>
          </w:p>
        </w:tc>
        <w:tc>
          <w:tcPr>
            <w:tcW w:w="1517"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r>
              <w:t xml:space="preserve">95 </w:t>
            </w:r>
          </w:p>
        </w:tc>
        <w:tc>
          <w:tcPr>
            <w:tcW w:w="15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88 </w:t>
            </w:r>
          </w:p>
        </w:tc>
      </w:tr>
      <w:tr w:rsidR="00A9548F">
        <w:trPr>
          <w:trHeight w:val="562"/>
        </w:trPr>
        <w:tc>
          <w:tcPr>
            <w:tcW w:w="350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r>
              <w:t xml:space="preserve">Displacement Experienced </w:t>
            </w:r>
          </w:p>
        </w:tc>
        <w:tc>
          <w:tcPr>
            <w:tcW w:w="160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r>
              <w:t xml:space="preserve">65 </w:t>
            </w:r>
          </w:p>
        </w:tc>
        <w:tc>
          <w:tcPr>
            <w:tcW w:w="153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50 </w:t>
            </w:r>
          </w:p>
        </w:tc>
        <w:tc>
          <w:tcPr>
            <w:tcW w:w="1517"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r>
              <w:t xml:space="preserve">30 </w:t>
            </w:r>
          </w:p>
        </w:tc>
        <w:tc>
          <w:tcPr>
            <w:tcW w:w="15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48 </w:t>
            </w:r>
          </w:p>
        </w:tc>
      </w:tr>
      <w:tr w:rsidR="00A9548F">
        <w:trPr>
          <w:trHeight w:val="562"/>
        </w:trPr>
        <w:tc>
          <w:tcPr>
            <w:tcW w:w="350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r>
              <w:t xml:space="preserve">Loss of Affordable Units </w:t>
            </w:r>
          </w:p>
        </w:tc>
        <w:tc>
          <w:tcPr>
            <w:tcW w:w="160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r>
              <w:t xml:space="preserve">75 </w:t>
            </w:r>
          </w:p>
        </w:tc>
        <w:tc>
          <w:tcPr>
            <w:tcW w:w="1531"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70 </w:t>
            </w:r>
          </w:p>
        </w:tc>
        <w:tc>
          <w:tcPr>
            <w:tcW w:w="1517"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2" w:right="0" w:firstLine="0"/>
              <w:jc w:val="left"/>
            </w:pPr>
            <w:r>
              <w:t xml:space="preserve">60 </w:t>
            </w:r>
          </w:p>
        </w:tc>
        <w:tc>
          <w:tcPr>
            <w:tcW w:w="153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68 </w:t>
            </w:r>
          </w:p>
        </w:tc>
      </w:tr>
    </w:tbl>
    <w:p w:rsidR="00A9548F" w:rsidRDefault="00F6228E">
      <w:pPr>
        <w:pStyle w:val="Heading5"/>
        <w:ind w:left="-5"/>
      </w:pPr>
      <w:r>
        <w:t>Source: Field Survey, 2025</w:t>
      </w:r>
      <w:r>
        <w:rPr>
          <w:i w:val="0"/>
        </w:rPr>
        <w:t xml:space="preserve"> </w:t>
      </w:r>
    </w:p>
    <w:p w:rsidR="00A9548F" w:rsidRDefault="00F6228E">
      <w:pPr>
        <w:spacing w:line="480" w:lineRule="auto"/>
        <w:ind w:left="-5" w:right="1178"/>
      </w:pPr>
      <w:r>
        <w:t>Increased rent prices affected 352 respondents (88%), with Ikoyi at 95% (124 of 130), driven by luxury housing demand. Lekki’s 88% (119 of 135) and Yaba’s 80% (108 of 135) reflect widespread redevelopment pressures, hitting the 50% low-income group (200 re</w:t>
      </w:r>
      <w:r>
        <w:t>spondents) hardest. Displacement, reported by 192 respondents (48%), peaks in Lekki at 65% (88 of 135), linked to projects displacing low-income residents, while Ikoyi’s 30% (39 of 130) reflects its affluent base. The loss of affordable units, noted by 272</w:t>
      </w:r>
      <w:r>
        <w:t xml:space="preserve"> respondents (68%), is highest in Lekki at 75% (101 of 135), signaling a housing crisis for low-income families, particularly the 50% married respondents (200 individuals). </w:t>
      </w:r>
    </w:p>
    <w:p w:rsidR="00A9548F" w:rsidRDefault="00F6228E">
      <w:pPr>
        <w:spacing w:after="533" w:line="259" w:lineRule="auto"/>
        <w:ind w:left="0" w:right="0" w:firstLine="0"/>
        <w:jc w:val="left"/>
      </w:pPr>
      <w:r>
        <w:rPr>
          <w:b/>
        </w:rPr>
        <w:t xml:space="preserve"> </w:t>
      </w:r>
    </w:p>
    <w:p w:rsidR="00A9548F" w:rsidRDefault="00F6228E">
      <w:pPr>
        <w:spacing w:after="0" w:line="259" w:lineRule="auto"/>
        <w:ind w:left="0" w:right="0" w:firstLine="0"/>
        <w:jc w:val="left"/>
      </w:pPr>
      <w:r>
        <w:rPr>
          <w:b/>
        </w:rPr>
        <w:t xml:space="preserve"> </w:t>
      </w:r>
    </w:p>
    <w:p w:rsidR="00A9548F" w:rsidRDefault="00F6228E">
      <w:pPr>
        <w:pStyle w:val="Heading3"/>
        <w:ind w:left="-5" w:right="0"/>
      </w:pPr>
      <w:r>
        <w:t xml:space="preserve">4.5 SPATIAL AND LAND USE CHANGES </w:t>
      </w:r>
    </w:p>
    <w:p w:rsidR="00A9548F" w:rsidRDefault="00F6228E">
      <w:pPr>
        <w:spacing w:after="529"/>
        <w:ind w:left="-5" w:right="1178"/>
      </w:pPr>
      <w:r>
        <w:t>This section analyzes spatial transformation</w:t>
      </w:r>
      <w:r>
        <w:t xml:space="preserve">s per the third objective. </w:t>
      </w:r>
    </w:p>
    <w:p w:rsidR="00A9548F" w:rsidRDefault="00F6228E">
      <w:pPr>
        <w:pStyle w:val="Heading4"/>
        <w:spacing w:after="259"/>
        <w:ind w:left="-5" w:right="0"/>
      </w:pPr>
      <w:r>
        <w:t xml:space="preserve">Table 4.8: Land Use Changes </w:t>
      </w:r>
    </w:p>
    <w:tbl>
      <w:tblPr>
        <w:tblStyle w:val="TableGrid"/>
        <w:tblW w:w="9496" w:type="dxa"/>
        <w:tblInd w:w="5" w:type="dxa"/>
        <w:tblCellMar>
          <w:top w:w="7" w:type="dxa"/>
          <w:left w:w="108" w:type="dxa"/>
          <w:bottom w:w="0" w:type="dxa"/>
          <w:right w:w="115" w:type="dxa"/>
        </w:tblCellMar>
        <w:tblLook w:val="04A0" w:firstRow="1" w:lastRow="0" w:firstColumn="1" w:lastColumn="0" w:noHBand="0" w:noVBand="1"/>
      </w:tblPr>
      <w:tblGrid>
        <w:gridCol w:w="4124"/>
        <w:gridCol w:w="1848"/>
        <w:gridCol w:w="1772"/>
        <w:gridCol w:w="1752"/>
      </w:tblGrid>
      <w:tr w:rsidR="00A9548F">
        <w:trPr>
          <w:trHeight w:val="562"/>
        </w:trPr>
        <w:tc>
          <w:tcPr>
            <w:tcW w:w="412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Land Use Change </w:t>
            </w:r>
          </w:p>
        </w:tc>
        <w:tc>
          <w:tcPr>
            <w:tcW w:w="1848"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Lekki (%) </w:t>
            </w:r>
          </w:p>
        </w:tc>
        <w:tc>
          <w:tcPr>
            <w:tcW w:w="177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Yaba (%) </w:t>
            </w:r>
          </w:p>
        </w:tc>
        <w:tc>
          <w:tcPr>
            <w:tcW w:w="175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Ikoyi (%) </w:t>
            </w:r>
          </w:p>
        </w:tc>
      </w:tr>
      <w:tr w:rsidR="00A9548F">
        <w:trPr>
          <w:trHeight w:val="562"/>
        </w:trPr>
        <w:tc>
          <w:tcPr>
            <w:tcW w:w="412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High-Rise Buildings </w:t>
            </w:r>
          </w:p>
        </w:tc>
        <w:tc>
          <w:tcPr>
            <w:tcW w:w="1848"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70 </w:t>
            </w:r>
          </w:p>
        </w:tc>
        <w:tc>
          <w:tcPr>
            <w:tcW w:w="177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50 </w:t>
            </w:r>
          </w:p>
        </w:tc>
        <w:tc>
          <w:tcPr>
            <w:tcW w:w="175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80 </w:t>
            </w:r>
          </w:p>
        </w:tc>
      </w:tr>
      <w:tr w:rsidR="00A9548F">
        <w:trPr>
          <w:trHeight w:val="562"/>
        </w:trPr>
        <w:tc>
          <w:tcPr>
            <w:tcW w:w="412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lastRenderedPageBreak/>
              <w:t xml:space="preserve">Informal Settlements </w:t>
            </w:r>
          </w:p>
        </w:tc>
        <w:tc>
          <w:tcPr>
            <w:tcW w:w="1848"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-50 </w:t>
            </w:r>
          </w:p>
        </w:tc>
        <w:tc>
          <w:tcPr>
            <w:tcW w:w="177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-40 </w:t>
            </w:r>
          </w:p>
        </w:tc>
        <w:tc>
          <w:tcPr>
            <w:tcW w:w="175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-60 </w:t>
            </w:r>
          </w:p>
        </w:tc>
      </w:tr>
      <w:tr w:rsidR="00A9548F">
        <w:trPr>
          <w:trHeight w:val="564"/>
        </w:trPr>
        <w:tc>
          <w:tcPr>
            <w:tcW w:w="4124"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Commercial Developments </w:t>
            </w:r>
          </w:p>
        </w:tc>
        <w:tc>
          <w:tcPr>
            <w:tcW w:w="1848"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60 </w:t>
            </w:r>
          </w:p>
        </w:tc>
        <w:tc>
          <w:tcPr>
            <w:tcW w:w="177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70 </w:t>
            </w:r>
          </w:p>
        </w:tc>
        <w:tc>
          <w:tcPr>
            <w:tcW w:w="1752"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75 </w:t>
            </w:r>
          </w:p>
        </w:tc>
      </w:tr>
    </w:tbl>
    <w:p w:rsidR="00A9548F" w:rsidRDefault="00F6228E">
      <w:pPr>
        <w:pStyle w:val="Heading5"/>
        <w:ind w:left="-5"/>
      </w:pPr>
      <w:r>
        <w:t>Source: Field Observations, 2025</w:t>
      </w:r>
      <w:r>
        <w:rPr>
          <w:i w:val="0"/>
        </w:rPr>
        <w:t xml:space="preserve"> </w:t>
      </w:r>
    </w:p>
    <w:p w:rsidR="00A9548F" w:rsidRDefault="00F6228E">
      <w:pPr>
        <w:spacing w:line="476" w:lineRule="auto"/>
        <w:ind w:left="-5" w:right="1178"/>
      </w:pPr>
      <w:r>
        <w:t>High-</w:t>
      </w:r>
      <w:r>
        <w:t>rise buildings increased by 70% in Lekki, 50% in Yaba, and 80% in Ikoyi, reflecting a shift to upscale use driven by private investment. Informal settlements declined by 50% in Lekki, 40% in Yaba, and 60% in Ikoyi, correlating with the 48% displacement rat</w:t>
      </w:r>
      <w:r>
        <w:t xml:space="preserve">e (192 respondents). Commercial developments rose by 60% in Lekki, 70% in Yaba, and 75% in Ikoyi, boosting local economies but marginalizing the 40% informal workers (160 respondents). </w:t>
      </w:r>
    </w:p>
    <w:p w:rsidR="00A9548F" w:rsidRDefault="00F6228E">
      <w:pPr>
        <w:spacing w:after="530" w:line="259" w:lineRule="auto"/>
        <w:ind w:left="0" w:right="0" w:firstLine="0"/>
        <w:jc w:val="left"/>
      </w:pPr>
      <w:r>
        <w:rPr>
          <w:b/>
        </w:rPr>
        <w:t xml:space="preserve"> </w:t>
      </w:r>
    </w:p>
    <w:p w:rsidR="00A9548F" w:rsidRDefault="00F6228E">
      <w:pPr>
        <w:spacing w:after="532" w:line="259" w:lineRule="auto"/>
        <w:ind w:left="0" w:right="0" w:firstLine="0"/>
        <w:jc w:val="left"/>
      </w:pPr>
      <w:r>
        <w:rPr>
          <w:b/>
        </w:rPr>
        <w:t xml:space="preserve"> </w:t>
      </w:r>
    </w:p>
    <w:p w:rsidR="00A9548F" w:rsidRDefault="00F6228E">
      <w:pPr>
        <w:spacing w:after="532" w:line="259" w:lineRule="auto"/>
        <w:ind w:left="0" w:right="0" w:firstLine="0"/>
        <w:jc w:val="left"/>
      </w:pPr>
      <w:r>
        <w:rPr>
          <w:b/>
        </w:rPr>
        <w:t xml:space="preserve"> </w:t>
      </w:r>
    </w:p>
    <w:p w:rsidR="00A9548F" w:rsidRDefault="00F6228E">
      <w:pPr>
        <w:spacing w:after="530" w:line="259" w:lineRule="auto"/>
        <w:ind w:left="0" w:right="0" w:firstLine="0"/>
        <w:jc w:val="left"/>
      </w:pPr>
      <w:r>
        <w:rPr>
          <w:b/>
        </w:rPr>
        <w:t xml:space="preserve"> </w:t>
      </w:r>
    </w:p>
    <w:p w:rsidR="00A9548F" w:rsidRDefault="00F6228E">
      <w:pPr>
        <w:spacing w:after="0" w:line="259" w:lineRule="auto"/>
        <w:ind w:left="0" w:right="0" w:firstLine="0"/>
        <w:jc w:val="left"/>
      </w:pPr>
      <w:r>
        <w:rPr>
          <w:b/>
        </w:rPr>
        <w:t xml:space="preserve"> </w:t>
      </w:r>
    </w:p>
    <w:p w:rsidR="00A9548F" w:rsidRDefault="00F6228E">
      <w:pPr>
        <w:pStyle w:val="Heading3"/>
        <w:ind w:left="-5" w:right="0"/>
      </w:pPr>
      <w:r>
        <w:t xml:space="preserve">4.6 ROLE OF GOVERNMENT POLICIES AND PRIVATE SECTOR </w:t>
      </w:r>
    </w:p>
    <w:p w:rsidR="00A9548F" w:rsidRDefault="00F6228E">
      <w:pPr>
        <w:spacing w:after="529"/>
        <w:ind w:left="-5" w:right="1178"/>
      </w:pPr>
      <w:r>
        <w:t xml:space="preserve">This section assesses policy and private-sector roles per the fourth objective. </w:t>
      </w:r>
    </w:p>
    <w:p w:rsidR="00A9548F" w:rsidRDefault="00F6228E">
      <w:pPr>
        <w:pStyle w:val="Heading4"/>
        <w:spacing w:after="259"/>
        <w:ind w:left="-5" w:right="0"/>
      </w:pPr>
      <w:r>
        <w:t xml:space="preserve">Table 4.9: Role of Policies and Private Sector </w:t>
      </w:r>
    </w:p>
    <w:tbl>
      <w:tblPr>
        <w:tblStyle w:val="TableGrid"/>
        <w:tblW w:w="8721" w:type="dxa"/>
        <w:tblInd w:w="5" w:type="dxa"/>
        <w:tblCellMar>
          <w:top w:w="7" w:type="dxa"/>
          <w:left w:w="108" w:type="dxa"/>
          <w:bottom w:w="0" w:type="dxa"/>
          <w:right w:w="115" w:type="dxa"/>
        </w:tblCellMar>
        <w:tblLook w:val="04A0" w:firstRow="1" w:lastRow="0" w:firstColumn="1" w:lastColumn="0" w:noHBand="0" w:noVBand="1"/>
      </w:tblPr>
      <w:tblGrid>
        <w:gridCol w:w="2955"/>
        <w:gridCol w:w="1493"/>
        <w:gridCol w:w="1428"/>
        <w:gridCol w:w="1417"/>
        <w:gridCol w:w="1428"/>
      </w:tblGrid>
      <w:tr w:rsidR="00A9548F">
        <w:trPr>
          <w:trHeight w:val="602"/>
        </w:trPr>
        <w:tc>
          <w:tcPr>
            <w:tcW w:w="2955"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Role </w:t>
            </w:r>
          </w:p>
        </w:tc>
        <w:tc>
          <w:tcPr>
            <w:tcW w:w="149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Lekki (%) </w:t>
            </w:r>
          </w:p>
        </w:tc>
        <w:tc>
          <w:tcPr>
            <w:tcW w:w="1428"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Yaba (%) </w:t>
            </w:r>
          </w:p>
        </w:tc>
        <w:tc>
          <w:tcPr>
            <w:tcW w:w="1417"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Ikoyi (%) </w:t>
            </w:r>
          </w:p>
        </w:tc>
        <w:tc>
          <w:tcPr>
            <w:tcW w:w="1428"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rPr>
                <w:b/>
              </w:rPr>
              <w:t xml:space="preserve">Total (%) </w:t>
            </w:r>
          </w:p>
        </w:tc>
      </w:tr>
      <w:tr w:rsidR="00A9548F">
        <w:trPr>
          <w:trHeight w:val="620"/>
        </w:trPr>
        <w:tc>
          <w:tcPr>
            <w:tcW w:w="2955"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Driven Gentrification </w:t>
            </w:r>
          </w:p>
        </w:tc>
        <w:tc>
          <w:tcPr>
            <w:tcW w:w="149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80 </w:t>
            </w:r>
          </w:p>
        </w:tc>
        <w:tc>
          <w:tcPr>
            <w:tcW w:w="1428"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75 </w:t>
            </w:r>
          </w:p>
        </w:tc>
        <w:tc>
          <w:tcPr>
            <w:tcW w:w="1417"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85 </w:t>
            </w:r>
          </w:p>
        </w:tc>
        <w:tc>
          <w:tcPr>
            <w:tcW w:w="1428"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80 </w:t>
            </w:r>
          </w:p>
        </w:tc>
      </w:tr>
      <w:tr w:rsidR="00A9548F">
        <w:trPr>
          <w:trHeight w:val="605"/>
        </w:trPr>
        <w:tc>
          <w:tcPr>
            <w:tcW w:w="2955"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lastRenderedPageBreak/>
              <w:t xml:space="preserve">Mitigated Displacement </w:t>
            </w:r>
          </w:p>
        </w:tc>
        <w:tc>
          <w:tcPr>
            <w:tcW w:w="1493"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20 </w:t>
            </w:r>
          </w:p>
        </w:tc>
        <w:tc>
          <w:tcPr>
            <w:tcW w:w="1428"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25 </w:t>
            </w:r>
          </w:p>
        </w:tc>
        <w:tc>
          <w:tcPr>
            <w:tcW w:w="1417"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30 </w:t>
            </w:r>
          </w:p>
        </w:tc>
        <w:tc>
          <w:tcPr>
            <w:tcW w:w="1428" w:type="dxa"/>
            <w:tcBorders>
              <w:top w:val="single" w:sz="4" w:space="0" w:color="000000"/>
              <w:left w:val="single" w:sz="4" w:space="0" w:color="000000"/>
              <w:bottom w:val="single" w:sz="4" w:space="0" w:color="000000"/>
              <w:right w:val="single" w:sz="4" w:space="0" w:color="000000"/>
            </w:tcBorders>
          </w:tcPr>
          <w:p w:rsidR="00A9548F" w:rsidRDefault="00F6228E">
            <w:pPr>
              <w:spacing w:after="0" w:line="259" w:lineRule="auto"/>
              <w:ind w:left="0" w:right="0" w:firstLine="0"/>
              <w:jc w:val="left"/>
            </w:pPr>
            <w:r>
              <w:t xml:space="preserve">25 </w:t>
            </w:r>
          </w:p>
        </w:tc>
      </w:tr>
    </w:tbl>
    <w:p w:rsidR="00A9548F" w:rsidRDefault="00F6228E">
      <w:pPr>
        <w:pStyle w:val="Heading5"/>
        <w:ind w:left="-5"/>
      </w:pPr>
      <w:r>
        <w:t>Source: Field Survey, 2025</w:t>
      </w:r>
      <w:r>
        <w:rPr>
          <w:i w:val="0"/>
        </w:rPr>
        <w:t xml:space="preserve"> </w:t>
      </w:r>
    </w:p>
    <w:p w:rsidR="00A9548F" w:rsidRDefault="00F6228E">
      <w:pPr>
        <w:spacing w:line="477" w:lineRule="auto"/>
        <w:ind w:left="-5" w:right="1178"/>
      </w:pPr>
      <w:r>
        <w:t>Eighty percent (320 respondents) perceive policies and private actions as driving gentrification, with Ikoyi at 85% (111 of 130), reflecting top-</w:t>
      </w:r>
      <w:r>
        <w:t xml:space="preserve">down urban renewal. Only 25% (100 respondents) see mitigation efforts, with Ikoyi at 30% (39 of 130), suggesting ineffective protection for the 50% married respondents (200 individuals). </w:t>
      </w:r>
    </w:p>
    <w:p w:rsidR="00A9548F" w:rsidRDefault="00F6228E">
      <w:pPr>
        <w:pStyle w:val="Heading3"/>
        <w:ind w:left="-5" w:right="0"/>
      </w:pPr>
      <w:r>
        <w:t xml:space="preserve">4.7 DISCUSSION OF FINDINGS </w:t>
      </w:r>
    </w:p>
    <w:p w:rsidR="00A9548F" w:rsidRDefault="00F6228E">
      <w:pPr>
        <w:spacing w:line="477" w:lineRule="auto"/>
        <w:ind w:left="-5" w:right="1178"/>
      </w:pPr>
      <w:r>
        <w:t>The findings from Chapter Four offer a r</w:t>
      </w:r>
      <w:r>
        <w:t>obust statistical foundation for understanding gentrification’s impacts in Lekki, Yaba, and Ikoyi, weaving together the study’s introductory context, theoretical underpinnings, methodological approach, and empirical results. This discussion is structured b</w:t>
      </w:r>
      <w:r>
        <w:t xml:space="preserve">y chapter to provide a thorough and interconnected analysis. </w:t>
      </w:r>
    </w:p>
    <w:p w:rsidR="00A9548F" w:rsidRDefault="00F6228E">
      <w:pPr>
        <w:pStyle w:val="Heading4"/>
        <w:ind w:left="-5" w:right="0"/>
      </w:pPr>
      <w:r>
        <w:t xml:space="preserve">Chapter One: Introduction and Objectives </w:t>
      </w:r>
    </w:p>
    <w:p w:rsidR="00A9548F" w:rsidRDefault="00F6228E">
      <w:pPr>
        <w:spacing w:after="244"/>
        <w:ind w:left="-5" w:right="1178"/>
      </w:pPr>
      <w:r>
        <w:t xml:space="preserve">The quantitative data from Chapter Four directly fulfills the research objectives established in </w:t>
      </w:r>
    </w:p>
    <w:p w:rsidR="00A9548F" w:rsidRDefault="00F6228E">
      <w:pPr>
        <w:spacing w:line="481" w:lineRule="auto"/>
        <w:ind w:left="-5" w:right="1178"/>
      </w:pPr>
      <w:r>
        <w:t>Chapter One, shedding light on the socio-economic, hou</w:t>
      </w:r>
      <w:r>
        <w:t>sing, spatial, and policy-related dimensions of gentrification in Lagos State. The first objective, to investigate socio-economic effects, is substantiated by the finding that 84% of respondents reported a higher cost of living, with area-specific differen</w:t>
      </w:r>
      <w:r>
        <w:t>ces. Ikoyi at 90%, Lekki at 85%, and Yaba at 78%, mirroring the problem statement’s emphasis on inequality and poverty exacerbation. The second objective, examining housing dynamics, is confirmed by 88% of respondents noting rent increases and 48% facing d</w:t>
      </w:r>
      <w:r>
        <w:t xml:space="preserve">isplacement, aligning with Chapter One’s focus on housing crises as a key consequence of urban renewal. The third objective, analyzing spatial changes, is evidenced by </w:t>
      </w:r>
      <w:r>
        <w:lastRenderedPageBreak/>
        <w:t>a 70–80% increase in high-rise developments and a 40–60% reduction in informal settlemen</w:t>
      </w:r>
      <w:r>
        <w:t>ts, reflecting the physical restructuring anticipated in the study’s scope. Lastly, the fourth objective, assessing policy roles, is supported by 80% of respondents perceiving government and private-sector actions as gentrification drivers, with only 25% n</w:t>
      </w:r>
      <w:r>
        <w:t xml:space="preserve">oting mitigation efforts, reinforcing the governance challenges highlighted in Chapter One. These findings collectively validate the study’s significance in addressing urban transformation and its implications for Lagos’s communities. </w:t>
      </w:r>
    </w:p>
    <w:p w:rsidR="00A9548F" w:rsidRDefault="00F6228E">
      <w:pPr>
        <w:pStyle w:val="Heading4"/>
        <w:ind w:left="-5" w:right="0"/>
      </w:pPr>
      <w:r>
        <w:t>Chapter Two: Literat</w:t>
      </w:r>
      <w:r>
        <w:t xml:space="preserve">ure Review and Theoretical Frameworks </w:t>
      </w:r>
    </w:p>
    <w:p w:rsidR="00A9548F" w:rsidRDefault="00F6228E">
      <w:pPr>
        <w:spacing w:line="477" w:lineRule="auto"/>
        <w:ind w:left="-5" w:right="1178"/>
      </w:pPr>
      <w:r>
        <w:t>The empirical results from Chapter Four resonate deeply with the theoretical frameworks and literature reviewed in Chapter Two, providing a localized perspective on gentrification’s dynamics. The Rent Gap Theory is st</w:t>
      </w:r>
      <w:r>
        <w:t>rongly supported by the 88% of respondents reporting rent increases and the 68% noting a decline in affordable housing units, particularly pronounced in Lekki (75%) and Yaba (70%), illustrating how profit-driven land revaluation displaces lower-income grou</w:t>
      </w:r>
      <w:r>
        <w:t>ps, a pattern consistent with global cases like London and San Francisco. The Right to the City framework is challenged by the 80% of respondents viewing policies as exclusionary, with minimal mitigation (25%), highlighting a disconnect from inclusive urba</w:t>
      </w:r>
      <w:r>
        <w:t>n ideals and echoing Chapter Two’s critique of neoliberal urbanism in the Global South. Similarly, the Urban Growth Machine Theory finds validation in the 80% perception of policy-driven gentrification and the 70–80% rise in commercial projects, pointing t</w:t>
      </w:r>
      <w:r>
        <w:t>o elite coalitions prioritizing economic growth over social welfare, as seen in Chapter Two’s discussion of power dynamics. By addressing the literature gap on Lagos-specific gentrification, these findings enrich the empirical review, showing how rapid, st</w:t>
      </w:r>
      <w:r>
        <w:t xml:space="preserve">ate-led processes diverge from slower, market-driven models in Western contexts. </w:t>
      </w:r>
    </w:p>
    <w:p w:rsidR="00A9548F" w:rsidRDefault="00F6228E">
      <w:pPr>
        <w:pStyle w:val="Heading4"/>
        <w:ind w:left="-5" w:right="0"/>
      </w:pPr>
      <w:r>
        <w:lastRenderedPageBreak/>
        <w:t xml:space="preserve">Chapter Three: Research Methodology </w:t>
      </w:r>
    </w:p>
    <w:p w:rsidR="00A9548F" w:rsidRDefault="00F6228E">
      <w:pPr>
        <w:spacing w:line="481" w:lineRule="auto"/>
        <w:ind w:left="-5" w:right="1178"/>
      </w:pPr>
      <w:r>
        <w:t xml:space="preserve">The methodological framework detailed in Chapter Three underpins the reliability and relevance of Chapter Four’s findings, effectively capturing gentrification’s multifaceted impacts. The descriptive cross-sectional design, paired with stratified sampling </w:t>
      </w:r>
      <w:r>
        <w:t>across Lekki, Yaba, and Ikoyi, ensured representativeness, with the 400-respondent sample size determined via Cochran’s formula at a 95% confidence level, offering statistical robustness. Structured questionnaires enabled consistent data collection on soci</w:t>
      </w:r>
      <w:r>
        <w:t>o-economic and housing shifts, while the quantitative focus yielded clear, actionable insights, such as Ikoyi’s lower displacement rate (30%) versus Lekki’s 65%, reflecting socio-economic variations. However, the exclusion of qualitative data limits deeper</w:t>
      </w:r>
      <w:r>
        <w:t xml:space="preserve"> exploration of subjective experiences, a trade-off shaped by the study’s design. Secondary data reliance for population estimates introduced minor uncertainties due to Lagos’s rapid growth, yet the large sample mitigates this. The methodology’s area-speci</w:t>
      </w:r>
      <w:r>
        <w:t xml:space="preserve">fic approach thus supports the study’s aim to compare community impacts, reinforcing the findings’ validity while suggesting qualitative integration as a future enhancement. </w:t>
      </w:r>
    </w:p>
    <w:p w:rsidR="00A9548F" w:rsidRDefault="00F6228E">
      <w:pPr>
        <w:pStyle w:val="Heading4"/>
        <w:ind w:left="-5" w:right="0"/>
      </w:pPr>
      <w:r>
        <w:t xml:space="preserve">Chapter Four: Data Presentation and Analysis </w:t>
      </w:r>
    </w:p>
    <w:p w:rsidR="00A9548F" w:rsidRDefault="00F6228E">
      <w:pPr>
        <w:spacing w:line="480" w:lineRule="auto"/>
        <w:ind w:left="-5" w:right="1178"/>
      </w:pPr>
      <w:r>
        <w:t xml:space="preserve">Chapter Four’s data paints a vivid </w:t>
      </w:r>
      <w:r>
        <w:t xml:space="preserve">picture of gentrification’s uneven impacts, revealing stark socio-economic and spatial shifts in Lagos. The 84% of respondents citing increased living costs, especially among the 50% low-income group (200 individuals), underscores financial burdens, while </w:t>
      </w:r>
      <w:r>
        <w:t>the 65% reporting lost community ties highest in Lekki at 70%, signals social disruption. Housing pressures are evident, with 88% noting rent hikes and 48% displaced, disproportionately affecting the 50% married respondents (200 individuals) juggling famil</w:t>
      </w:r>
      <w:r>
        <w:t xml:space="preserve">y needs. Spatially, the 70–80% rise in high-rises and 40–60% drop in informal settlements reflect </w:t>
      </w:r>
      <w:r>
        <w:lastRenderedPageBreak/>
        <w:t xml:space="preserve">a physical overhaul, aligning with profit motives from the Rent Gap Theory. Policy perceptions, with 80% attributing gentrification to government and private </w:t>
      </w:r>
      <w:r>
        <w:t>actions and only 25% seeing mitigation, expose governance gaps. These results highlight a process favoring high-income, educated residents while marginalizing low-income, less-educated, and older populations, offering a comprehensive view of gentrification</w:t>
      </w:r>
      <w:r>
        <w:t xml:space="preserve">’s complex toll on Lagos’s urban fabric. </w:t>
      </w:r>
    </w:p>
    <w:p w:rsidR="00A9548F" w:rsidRDefault="00F6228E">
      <w:pPr>
        <w:spacing w:after="412" w:line="259" w:lineRule="auto"/>
        <w:ind w:left="0" w:right="0" w:firstLine="0"/>
        <w:jc w:val="left"/>
      </w:pPr>
      <w:r>
        <w:t xml:space="preserve"> </w:t>
      </w:r>
    </w:p>
    <w:p w:rsidR="00A9548F" w:rsidRDefault="00F6228E">
      <w:pPr>
        <w:spacing w:after="411" w:line="259" w:lineRule="auto"/>
        <w:ind w:left="0" w:right="0" w:firstLine="0"/>
        <w:jc w:val="left"/>
      </w:pPr>
      <w:r>
        <w:t xml:space="preserve"> </w:t>
      </w:r>
    </w:p>
    <w:p w:rsidR="00A9548F" w:rsidRDefault="00F6228E">
      <w:pPr>
        <w:spacing w:after="412" w:line="259" w:lineRule="auto"/>
        <w:ind w:left="0" w:right="0" w:firstLine="0"/>
        <w:jc w:val="left"/>
      </w:pPr>
      <w:r>
        <w:t xml:space="preserve"> </w:t>
      </w:r>
    </w:p>
    <w:p w:rsidR="00A9548F" w:rsidRDefault="00F6228E">
      <w:pPr>
        <w:spacing w:after="412" w:line="259" w:lineRule="auto"/>
        <w:ind w:left="0" w:right="0" w:firstLine="0"/>
        <w:jc w:val="left"/>
      </w:pPr>
      <w:r>
        <w:t xml:space="preserve"> </w:t>
      </w:r>
    </w:p>
    <w:p w:rsidR="00A9548F" w:rsidRDefault="00F6228E">
      <w:pPr>
        <w:spacing w:after="410" w:line="259" w:lineRule="auto"/>
        <w:ind w:left="0" w:right="0" w:firstLine="0"/>
        <w:jc w:val="left"/>
      </w:pPr>
      <w:r>
        <w:t xml:space="preserve"> </w:t>
      </w:r>
    </w:p>
    <w:p w:rsidR="00A9548F" w:rsidRDefault="00F6228E">
      <w:pPr>
        <w:spacing w:after="413" w:line="259" w:lineRule="auto"/>
        <w:ind w:left="0" w:right="0" w:firstLine="0"/>
        <w:jc w:val="left"/>
      </w:pPr>
      <w:r>
        <w:t xml:space="preserve"> </w:t>
      </w:r>
    </w:p>
    <w:p w:rsidR="00A9548F" w:rsidRDefault="00F6228E">
      <w:pPr>
        <w:spacing w:after="0" w:line="259" w:lineRule="auto"/>
        <w:ind w:left="0" w:right="0" w:firstLine="0"/>
        <w:jc w:val="left"/>
      </w:pPr>
      <w:r>
        <w:t xml:space="preserve"> </w:t>
      </w:r>
    </w:p>
    <w:p w:rsidR="00A9548F" w:rsidRDefault="00F6228E">
      <w:pPr>
        <w:spacing w:after="483"/>
        <w:ind w:right="1192"/>
        <w:jc w:val="center"/>
      </w:pPr>
      <w:r>
        <w:rPr>
          <w:b/>
        </w:rPr>
        <w:t xml:space="preserve">CHAPTER FIVE </w:t>
      </w:r>
    </w:p>
    <w:p w:rsidR="00A9548F" w:rsidRDefault="00F6228E">
      <w:pPr>
        <w:pStyle w:val="Heading2"/>
        <w:spacing w:after="286"/>
        <w:ind w:right="1195"/>
        <w:jc w:val="center"/>
      </w:pPr>
      <w:r>
        <w:t xml:space="preserve">SUMMARY OF FINDINGS, RECOMMENDATIONS, AND CONCLUSION </w:t>
      </w:r>
    </w:p>
    <w:p w:rsidR="00A9548F" w:rsidRDefault="00F6228E">
      <w:pPr>
        <w:pStyle w:val="Heading3"/>
        <w:ind w:left="-5" w:right="0"/>
      </w:pPr>
      <w:r>
        <w:t xml:space="preserve">5.1 INTRODUCTION </w:t>
      </w:r>
    </w:p>
    <w:p w:rsidR="00A9548F" w:rsidRDefault="00F6228E">
      <w:pPr>
        <w:spacing w:line="480" w:lineRule="auto"/>
        <w:ind w:left="-5" w:right="1178"/>
      </w:pPr>
      <w:r>
        <w:t>This chapter synthesizes the key findings from the study on the impacts of gentrification in selected urban communities of Lagos State, specifically Lekki, Yaba, and Ikoyi. Drawing from quantitative survey data collected from 400 respondents, the chapter a</w:t>
      </w:r>
      <w:r>
        <w:t>ligns with the research objectives outlined in Chapter One: to investigate socio-economic effects, examine housing dynamics, analyze spatial and land use changes, and assess the role of government policies and private-sector interventions. The chapter begi</w:t>
      </w:r>
      <w:r>
        <w:t xml:space="preserve">ns with a detailed summary of the findings, </w:t>
      </w:r>
      <w:r>
        <w:lastRenderedPageBreak/>
        <w:t xml:space="preserve">followed by actionable recommendations for each objective, and concludes by situating the study’s contributions within the broader context of urban development and policy in Lagos. This synthesis, prepared as of </w:t>
      </w:r>
      <w:r>
        <w:t xml:space="preserve">06:33 PM WAT on Monday, June 23, 2025, provides a comprehensive overview of gentrification’s impacts and offers practical strategies for fostering a more equitable urban future. </w:t>
      </w:r>
    </w:p>
    <w:p w:rsidR="00A9548F" w:rsidRDefault="00F6228E">
      <w:pPr>
        <w:pStyle w:val="Heading3"/>
        <w:ind w:left="-5" w:right="0"/>
      </w:pPr>
      <w:r>
        <w:t xml:space="preserve">5.2 SUMMARY OF FINDINGS </w:t>
      </w:r>
    </w:p>
    <w:p w:rsidR="00A9548F" w:rsidRDefault="00F6228E">
      <w:pPr>
        <w:spacing w:line="475" w:lineRule="auto"/>
        <w:ind w:left="-5" w:right="1178"/>
      </w:pPr>
      <w:r>
        <w:t xml:space="preserve">The study’s findings reveal the profound and uneven </w:t>
      </w:r>
      <w:r>
        <w:t xml:space="preserve">impacts of gentrification across Lekki, Yaba, and Ikoyi, highlighting significant socio-economic, housing, spatial, and policy-related challenges for urban communities in Lagos State. </w:t>
      </w:r>
    </w:p>
    <w:p w:rsidR="00A9548F" w:rsidRDefault="00F6228E">
      <w:pPr>
        <w:spacing w:after="532" w:line="259" w:lineRule="auto"/>
        <w:ind w:left="0" w:right="0" w:firstLine="0"/>
        <w:jc w:val="left"/>
      </w:pPr>
      <w:r>
        <w:rPr>
          <w:b/>
        </w:rPr>
        <w:t xml:space="preserve"> </w:t>
      </w:r>
    </w:p>
    <w:p w:rsidR="00A9548F" w:rsidRDefault="00F6228E">
      <w:pPr>
        <w:spacing w:after="0" w:line="259" w:lineRule="auto"/>
        <w:ind w:left="0" w:right="0" w:firstLine="0"/>
        <w:jc w:val="left"/>
      </w:pPr>
      <w:r>
        <w:rPr>
          <w:b/>
        </w:rPr>
        <w:t xml:space="preserve"> </w:t>
      </w:r>
    </w:p>
    <w:p w:rsidR="00A9548F" w:rsidRDefault="00F6228E">
      <w:pPr>
        <w:pStyle w:val="Heading4"/>
        <w:ind w:left="-5" w:right="0"/>
      </w:pPr>
      <w:r>
        <w:t xml:space="preserve">5.2.1 SOCIO-ECONOMIC IMPACTS </w:t>
      </w:r>
    </w:p>
    <w:p w:rsidR="00A9548F" w:rsidRDefault="00F6228E">
      <w:pPr>
        <w:spacing w:line="476" w:lineRule="auto"/>
        <w:ind w:left="-5" w:right="1178"/>
      </w:pPr>
      <w:r>
        <w:t>Gentrification has markedly increased</w:t>
      </w:r>
      <w:r>
        <w:t xml:space="preserve"> the cost of living, with 84 percent of respondents (336 individuals) reporting financial strain due to rising rents, property taxes, and the shift to upscale services. This impact is most severe in Ikoyi, where 90 percent of respondents (117 of 130) noted</w:t>
      </w:r>
      <w:r>
        <w:t xml:space="preserve"> cost increases, driven by luxury developments, followed by Lekki at 85 percent (115 of 135) and Yaba at 78 percent (105 of 135). The burden disproportionately affects the 50 percent of respondents earning below 50,000 NGN monthly (200 individuals), exacer</w:t>
      </w:r>
      <w:r>
        <w:t>bating economic inequality. Additionally, 65 percent of respondents (260 individuals) reported a loss of community ties, particularly in Lekki (70 percent, or 95 of 135), where rapid population turnover has eroded social networks. Reduced access to jobs wa</w:t>
      </w:r>
      <w:r>
        <w:t xml:space="preserve">s noted by 53 percent (212 respondents), especially among the 40 percent with secondary education (160 individuals) in </w:t>
      </w:r>
      <w:r>
        <w:lastRenderedPageBreak/>
        <w:t>Lekki (60 percent, or 81 of 135), as informal businesses are displaced by high-skill industries. Infrastructure improvements, while ackno</w:t>
      </w:r>
      <w:r>
        <w:t xml:space="preserve">wledged by 48 percent (192 respondents), are uneven, favoring Ikoyi (70 percent, or 91 of 130) over Yaba (35 percent, or 47 of 135), reflecting a bias toward affluent areas. </w:t>
      </w:r>
    </w:p>
    <w:p w:rsidR="00A9548F" w:rsidRDefault="00F6228E">
      <w:pPr>
        <w:pStyle w:val="Heading4"/>
        <w:ind w:left="-5" w:right="0"/>
      </w:pPr>
      <w:r>
        <w:t xml:space="preserve">5.2.2 HOUSING DYNAMICS </w:t>
      </w:r>
    </w:p>
    <w:p w:rsidR="00A9548F" w:rsidRDefault="00F6228E">
      <w:pPr>
        <w:spacing w:line="476" w:lineRule="auto"/>
        <w:ind w:left="-5" w:right="1178"/>
      </w:pPr>
      <w:r>
        <w:t>Housing affordability has sharply declined, with 88 perce</w:t>
      </w:r>
      <w:r>
        <w:t>nt of respondents (352 individuals) citing increased rent prices, peaking in Ikoyi at 95 percent (124 of 130) due to luxury housing demand. Displacement affected 48 percent of respondents (192 individuals), with Lekki experiencing the highest rate at 65 pe</w:t>
      </w:r>
      <w:r>
        <w:t>rcent (88 of 135), driven by large-scale projects like Eko Atlantic. The loss of affordable housing units was reported by 68 percent (272 respondents), particularly in Lekki (75 percent, or 101 of 135), signaling a critical shortage for low-income families</w:t>
      </w:r>
      <w:r>
        <w:t xml:space="preserve">, including the 50 percent of married respondents (200 individuals). These findings underscore the urgent need for housing policies that address affordability and stability. </w:t>
      </w:r>
    </w:p>
    <w:p w:rsidR="00A9548F" w:rsidRDefault="00F6228E">
      <w:pPr>
        <w:pStyle w:val="Heading4"/>
        <w:ind w:left="-5" w:right="0"/>
      </w:pPr>
      <w:r>
        <w:t xml:space="preserve">5.2.3 SPATIAL AND LAND USE CHANGES </w:t>
      </w:r>
    </w:p>
    <w:p w:rsidR="00A9548F" w:rsidRDefault="00F6228E">
      <w:pPr>
        <w:spacing w:after="0" w:line="477" w:lineRule="auto"/>
        <w:ind w:left="-5" w:right="1178"/>
      </w:pPr>
      <w:r>
        <w:t>Spatial restructuring has transformed the urban landscape, with high-rise buildings increasing by 70 percent in Lekki, 50 percent in Yaba, and 80 percent in Ikoyi, reflecting a shift toward upscale residential and commercial use. Informal settlements decli</w:t>
      </w:r>
      <w:r>
        <w:t xml:space="preserve">ned by 50 percent in Lekki, </w:t>
      </w:r>
    </w:p>
    <w:p w:rsidR="00A9548F" w:rsidRDefault="00F6228E">
      <w:pPr>
        <w:spacing w:line="476" w:lineRule="auto"/>
        <w:ind w:left="-5" w:right="1178"/>
      </w:pPr>
      <w:r>
        <w:t xml:space="preserve">40 percent in Yaba, and 60 percent in Ikoyi, correlating with the 48 percent displacement rate (192 respondents). Commercial developments rose by 60 percent in Lekki, 70 percent in Yaba, and 75 percent in Ikoyi, benefiting the </w:t>
      </w:r>
      <w:r>
        <w:t xml:space="preserve">local economy but marginalizing the 40 percent of informal workers (160 respondents). These changes illustrate the physical manifestation of gentrification, prioritizing profit over community needs. </w:t>
      </w:r>
    </w:p>
    <w:p w:rsidR="00A9548F" w:rsidRDefault="00F6228E">
      <w:pPr>
        <w:pStyle w:val="Heading4"/>
        <w:ind w:left="-5" w:right="0"/>
      </w:pPr>
      <w:r>
        <w:lastRenderedPageBreak/>
        <w:t xml:space="preserve">5.2.4 ROLE OF GOVERNMENT POLICIES AND PRIVATE SECTOR </w:t>
      </w:r>
    </w:p>
    <w:p w:rsidR="00A9548F" w:rsidRDefault="00F6228E">
      <w:pPr>
        <w:spacing w:after="0" w:line="493" w:lineRule="auto"/>
        <w:ind w:left="-5" w:right="1178"/>
      </w:pPr>
      <w:r>
        <w:t>Government policies and private-sector actions are perceived as primary drivers of gentrification by 80 percent of respondents (320 individuals), with Ikoyi at 85 percent (111 of 130). Only 25 percent (100 respondents) believe efforts have been made to mit</w:t>
      </w:r>
      <w:r>
        <w:t>igate displacement, indicating weak governance and a lack of inclusive planning. This aligns with the study’s focus on the state’s role in urban renewal, as highlighted in Chapter One, and reflects the governance challenges discussed in Chapter Two’s theor</w:t>
      </w:r>
      <w:r>
        <w:t xml:space="preserve">etical frameworks. </w:t>
      </w:r>
    </w:p>
    <w:p w:rsidR="00A9548F" w:rsidRDefault="00F6228E">
      <w:pPr>
        <w:spacing w:after="252" w:line="259" w:lineRule="auto"/>
        <w:ind w:left="0" w:right="0" w:firstLine="0"/>
        <w:jc w:val="left"/>
      </w:pPr>
      <w:r>
        <w:t xml:space="preserve"> </w:t>
      </w:r>
    </w:p>
    <w:p w:rsidR="00A9548F" w:rsidRDefault="00F6228E">
      <w:pPr>
        <w:spacing w:after="252" w:line="259" w:lineRule="auto"/>
        <w:ind w:left="0" w:right="0" w:firstLine="0"/>
        <w:jc w:val="left"/>
      </w:pPr>
      <w:r>
        <w:t xml:space="preserve"> </w:t>
      </w:r>
    </w:p>
    <w:p w:rsidR="00A9548F" w:rsidRDefault="00F6228E">
      <w:pPr>
        <w:spacing w:after="252" w:line="259" w:lineRule="auto"/>
        <w:ind w:left="0" w:right="0" w:firstLine="0"/>
        <w:jc w:val="left"/>
      </w:pPr>
      <w:r>
        <w:t xml:space="preserve"> </w:t>
      </w:r>
    </w:p>
    <w:p w:rsidR="00A9548F" w:rsidRDefault="00F6228E">
      <w:pPr>
        <w:spacing w:after="0" w:line="259" w:lineRule="auto"/>
        <w:ind w:left="0" w:right="0" w:firstLine="0"/>
        <w:jc w:val="left"/>
      </w:pPr>
      <w:r>
        <w:t xml:space="preserve"> </w:t>
      </w:r>
    </w:p>
    <w:p w:rsidR="00A9548F" w:rsidRDefault="00F6228E">
      <w:pPr>
        <w:pStyle w:val="Heading3"/>
        <w:spacing w:after="241"/>
        <w:ind w:left="-5" w:right="0"/>
      </w:pPr>
      <w:r>
        <w:t xml:space="preserve">5.3 RECOMMENDATIONS </w:t>
      </w:r>
    </w:p>
    <w:p w:rsidR="00A9548F" w:rsidRDefault="00F6228E">
      <w:pPr>
        <w:spacing w:line="476" w:lineRule="auto"/>
        <w:ind w:left="-5" w:right="1178"/>
      </w:pPr>
      <w:r>
        <w:t xml:space="preserve">Based on the findings, the following recommendations are proposed to address the impacts of gentrification in Lagos State: </w:t>
      </w:r>
    </w:p>
    <w:p w:rsidR="00A9548F" w:rsidRDefault="00F6228E">
      <w:pPr>
        <w:pStyle w:val="Heading4"/>
        <w:ind w:left="-5" w:right="0"/>
      </w:pPr>
      <w:r>
        <w:t xml:space="preserve">5.3.1 SOCIO-ECONOMIC MITIGATION </w:t>
      </w:r>
    </w:p>
    <w:p w:rsidR="00A9548F" w:rsidRDefault="00F6228E">
      <w:pPr>
        <w:spacing w:line="477" w:lineRule="auto"/>
        <w:ind w:left="-5" w:right="1178"/>
      </w:pPr>
      <w:r>
        <w:t>Subsidies for Low-Income Households: Introduce tar</w:t>
      </w:r>
      <w:r>
        <w:t>geted subsidies or vouchers to offset rising living costs for the 50 percent of respondents earning below 50,000 NGN (200 individuals), particularly in high-cost areas like Ikoyi. Community Support Programs: Establish resident-led cooperatives or social en</w:t>
      </w:r>
      <w:r>
        <w:t>terprises to preserve community ties and provide alternative income sources for the 40 percent of informal workers (160 respondents) displaced by gentrification. Skills Development Initiatives: Partner with private firms to offer vocational training in hig</w:t>
      </w:r>
      <w:r>
        <w:t xml:space="preserve">h-demand sectors like technology and construction, targeting the 40 percent with secondary education (160 respondents) to bridge the skills gap. </w:t>
      </w:r>
    </w:p>
    <w:p w:rsidR="00A9548F" w:rsidRDefault="00F6228E">
      <w:pPr>
        <w:pStyle w:val="Heading4"/>
        <w:ind w:left="-5" w:right="0"/>
      </w:pPr>
      <w:r>
        <w:lastRenderedPageBreak/>
        <w:t xml:space="preserve">5.3.2 HOUSING SOLUTIONS </w:t>
      </w:r>
    </w:p>
    <w:p w:rsidR="00A9548F" w:rsidRDefault="00F6228E">
      <w:pPr>
        <w:spacing w:line="477" w:lineRule="auto"/>
        <w:ind w:left="-5" w:right="1178"/>
      </w:pPr>
      <w:r>
        <w:t>Rent Control Measures: Implement rent stabilization policies, capping annual increase</w:t>
      </w:r>
      <w:r>
        <w:t>s at 5 percent to protect the 88 percent of respondents (352 individuals) facing rent hikes, with stricter caps in Ikoyi. Affordable Housing Mandates: Require developers to allocate 20 percent of new units to affordable housing, prioritizing low-income fam</w:t>
      </w:r>
      <w:r>
        <w:t>ilies, to address the 68 percent loss of affordable units (272 respondents). Relocation Assistance: Provide financial and logistical support for displaced residents, ensuring access to housing within 5 kilometers of their original communities, benefiting t</w:t>
      </w:r>
      <w:r>
        <w:t xml:space="preserve">he 48 percent displaced (192 respondents). </w:t>
      </w:r>
    </w:p>
    <w:p w:rsidR="00A9548F" w:rsidRDefault="00F6228E">
      <w:pPr>
        <w:spacing w:after="0" w:line="259" w:lineRule="auto"/>
        <w:ind w:left="0" w:right="0" w:firstLine="0"/>
        <w:jc w:val="left"/>
      </w:pPr>
      <w:r>
        <w:rPr>
          <w:b/>
        </w:rPr>
        <w:t xml:space="preserve"> </w:t>
      </w:r>
    </w:p>
    <w:p w:rsidR="00A9548F" w:rsidRDefault="00F6228E">
      <w:pPr>
        <w:pStyle w:val="Heading4"/>
        <w:ind w:left="-5" w:right="0"/>
      </w:pPr>
      <w:r>
        <w:t xml:space="preserve">5.3.3 SPATIAL PLANNING </w:t>
      </w:r>
    </w:p>
    <w:p w:rsidR="00A9548F" w:rsidRDefault="00F6228E">
      <w:pPr>
        <w:spacing w:line="477" w:lineRule="auto"/>
        <w:ind w:left="-5" w:right="1178"/>
      </w:pPr>
      <w:r>
        <w:t>Mixed-Use Zoning: Revise zoning laws to mandate 30 percent of new developments for public spaces, such as parks and markets, to balance commercial growth with community needs. Informal S</w:t>
      </w:r>
      <w:r>
        <w:t>ettlement Upgrading: Prioritize in-situ upgrading over demolition, preserving existing communities and reducing displacement, especially in Lekki where informal settlements declined by 50 percent. Environmental Impact Assessments: Enforce mandatory assessm</w:t>
      </w:r>
      <w:r>
        <w:t xml:space="preserve">ents for all major projects to mitigate environmental degradation and ensure sustainable urban growth. </w:t>
      </w:r>
    </w:p>
    <w:p w:rsidR="00A9548F" w:rsidRDefault="00F6228E">
      <w:pPr>
        <w:pStyle w:val="Heading4"/>
        <w:ind w:left="-5" w:right="0"/>
      </w:pPr>
      <w:r>
        <w:t xml:space="preserve">5.3.4 POLICY REFORMS </w:t>
      </w:r>
    </w:p>
    <w:p w:rsidR="00A9548F" w:rsidRDefault="00F6228E">
      <w:pPr>
        <w:spacing w:line="476" w:lineRule="auto"/>
        <w:ind w:left="-5" w:right="1178"/>
      </w:pPr>
      <w:r>
        <w:t>Participatory Urban Planning: Institutionalize community consultations in all redevelopment projects, ensuring representation from</w:t>
      </w:r>
      <w:r>
        <w:t xml:space="preserve"> low-income and marginalized groups, as only 25 percent of respondents (100 individuals) perceive current mitigation efforts. Transparency in Land Use Decisions: Establish a public database for tracking land acquisitions and development </w:t>
      </w:r>
      <w:r>
        <w:lastRenderedPageBreak/>
        <w:t>approvals, enhancin</w:t>
      </w:r>
      <w:r>
        <w:t xml:space="preserve">g accountability in policy implementation. Strengthen Regulatory Oversight: Empower agencies like LASURA and LASBCA to enforce inclusive housing policies, with annual audits to ensure compliance. </w:t>
      </w:r>
    </w:p>
    <w:p w:rsidR="00A9548F" w:rsidRDefault="00F6228E">
      <w:pPr>
        <w:spacing w:after="532" w:line="259" w:lineRule="auto"/>
        <w:ind w:left="0" w:right="0" w:firstLine="0"/>
        <w:jc w:val="left"/>
      </w:pPr>
      <w:r>
        <w:t xml:space="preserve"> </w:t>
      </w:r>
    </w:p>
    <w:p w:rsidR="00A9548F" w:rsidRDefault="00F6228E">
      <w:pPr>
        <w:spacing w:after="532" w:line="259" w:lineRule="auto"/>
        <w:ind w:left="0" w:right="0" w:firstLine="0"/>
        <w:jc w:val="left"/>
      </w:pPr>
      <w:r>
        <w:t xml:space="preserve"> </w:t>
      </w:r>
    </w:p>
    <w:p w:rsidR="00A9548F" w:rsidRDefault="00F6228E">
      <w:pPr>
        <w:spacing w:after="530" w:line="259" w:lineRule="auto"/>
        <w:ind w:left="0" w:right="0" w:firstLine="0"/>
        <w:jc w:val="left"/>
      </w:pPr>
      <w:r>
        <w:t xml:space="preserve"> </w:t>
      </w:r>
    </w:p>
    <w:p w:rsidR="00A9548F" w:rsidRDefault="00F6228E">
      <w:pPr>
        <w:spacing w:after="0" w:line="259" w:lineRule="auto"/>
        <w:ind w:left="0" w:right="0" w:firstLine="0"/>
        <w:jc w:val="left"/>
      </w:pPr>
      <w:r>
        <w:t xml:space="preserve"> </w:t>
      </w:r>
    </w:p>
    <w:p w:rsidR="00A9548F" w:rsidRDefault="00F6228E">
      <w:pPr>
        <w:pStyle w:val="Heading3"/>
        <w:ind w:left="-5" w:right="0"/>
      </w:pPr>
      <w:r>
        <w:t>5.4 CONCLUSION</w:t>
      </w:r>
      <w:r>
        <w:rPr>
          <w:b w:val="0"/>
        </w:rPr>
        <w:t xml:space="preserve"> </w:t>
      </w:r>
    </w:p>
    <w:p w:rsidR="00A9548F" w:rsidRDefault="00F6228E">
      <w:pPr>
        <w:spacing w:line="477" w:lineRule="auto"/>
        <w:ind w:left="-5" w:right="1178"/>
      </w:pPr>
      <w:r>
        <w:t>This study, completed at 06:33 PM WAT on Monday, June 23, 2025, provides a comprehensive analysis of gentrification’s impacts on urban communities in Lagos State, revealing a process that deepens inequality, disrupts social cohesion, and prioritizes profit</w:t>
      </w:r>
      <w:r>
        <w:t xml:space="preserve"> over people. The findings confirm that gentrification exacerbates socio-economic disparities, with 84 percent of respondents reporting increased living costs and 48 percent experiencing displacement, disproportionately affecting low-income, less-educated,</w:t>
      </w:r>
      <w:r>
        <w:t xml:space="preserve"> and older residents. These results align with the Rent Gap Theory and Urban Growth Machine Theory from Chapter Two, illustrating how market-driven urban renewal marginalizes vulnerable groups while benefiting elites. The study’s quantitative approach, usi</w:t>
      </w:r>
      <w:r>
        <w:t>ng a representative sample of 400 respondents, addresses the literature gap on Lagos-specific gentrification, offering empirical evidence of its uneven impacts. The recommendations, subsidies, rent controls, mixed-use zoning, and participatory planning, pr</w:t>
      </w:r>
      <w:r>
        <w:t xml:space="preserve">ovide a roadmap for inclusive urban development, urging policymakers to prioritize equity in Lagos’s growth trajectory. This research contributes to the discourse on </w:t>
      </w:r>
      <w:r>
        <w:lastRenderedPageBreak/>
        <w:t>gentrification in the Global South, advocating for urban policies that balance economic pr</w:t>
      </w:r>
      <w:r>
        <w:t xml:space="preserve">ogress with social justice. </w:t>
      </w:r>
    </w:p>
    <w:p w:rsidR="00A9548F" w:rsidRDefault="00F6228E">
      <w:pPr>
        <w:spacing w:after="412" w:line="259" w:lineRule="auto"/>
        <w:ind w:left="0" w:right="0" w:firstLine="0"/>
        <w:jc w:val="left"/>
      </w:pPr>
      <w:r>
        <w:t xml:space="preserve"> </w:t>
      </w:r>
    </w:p>
    <w:p w:rsidR="00A9548F" w:rsidRDefault="00F6228E">
      <w:pPr>
        <w:spacing w:after="410" w:line="259" w:lineRule="auto"/>
        <w:ind w:left="0" w:right="0" w:firstLine="0"/>
        <w:jc w:val="left"/>
      </w:pPr>
      <w:r>
        <w:t xml:space="preserve"> </w:t>
      </w:r>
    </w:p>
    <w:p w:rsidR="00A9548F" w:rsidRDefault="00F6228E">
      <w:pPr>
        <w:spacing w:after="412" w:line="259" w:lineRule="auto"/>
        <w:ind w:left="0" w:right="0" w:firstLine="0"/>
        <w:jc w:val="left"/>
      </w:pPr>
      <w:r>
        <w:t xml:space="preserve"> </w:t>
      </w:r>
    </w:p>
    <w:p w:rsidR="00A9548F" w:rsidRDefault="00F6228E">
      <w:pPr>
        <w:spacing w:after="412" w:line="259" w:lineRule="auto"/>
        <w:ind w:left="0" w:right="0" w:firstLine="0"/>
        <w:jc w:val="left"/>
      </w:pPr>
      <w:r>
        <w:t xml:space="preserve"> </w:t>
      </w:r>
    </w:p>
    <w:p w:rsidR="00A9548F" w:rsidRDefault="00F6228E">
      <w:pPr>
        <w:spacing w:after="0" w:line="259" w:lineRule="auto"/>
        <w:ind w:left="0" w:right="0" w:firstLine="0"/>
        <w:jc w:val="left"/>
      </w:pPr>
      <w:r>
        <w:t xml:space="preserve"> </w:t>
      </w:r>
    </w:p>
    <w:p w:rsidR="00A9548F" w:rsidRDefault="00F6228E">
      <w:pPr>
        <w:pStyle w:val="Heading2"/>
        <w:spacing w:after="525"/>
        <w:ind w:right="1193"/>
        <w:jc w:val="center"/>
      </w:pPr>
      <w:r>
        <w:t xml:space="preserve">REFERENCES </w:t>
      </w:r>
    </w:p>
    <w:p w:rsidR="00A9548F" w:rsidRDefault="00F6228E">
      <w:pPr>
        <w:spacing w:line="357" w:lineRule="auto"/>
        <w:ind w:left="705" w:right="1178" w:hanging="720"/>
      </w:pPr>
      <w:r>
        <w:t xml:space="preserve">Ajayi, O., &amp; Soyinka-Airewele, P. (2021). Urban renewal and the displacement of the urban poor in Lagos, Nigeria. </w:t>
      </w:r>
      <w:r>
        <w:rPr>
          <w:i/>
        </w:rPr>
        <w:t>Journal of Urban Affairs, 43</w:t>
      </w:r>
      <w:r>
        <w:t xml:space="preserve">(5), 678-695. https://doi.org/10.1080/07352166.2020.1834401 </w:t>
      </w:r>
    </w:p>
    <w:p w:rsidR="00A9548F" w:rsidRDefault="00F6228E">
      <w:pPr>
        <w:spacing w:line="358" w:lineRule="auto"/>
        <w:ind w:left="705" w:right="1178" w:hanging="720"/>
      </w:pPr>
      <w:r>
        <w:t xml:space="preserve">Godswill, O., &amp; Ukachukwu, C. (2018). Gentrification and displacement in Lagos: A case study of Makoko and Badia. </w:t>
      </w:r>
      <w:r>
        <w:rPr>
          <w:i/>
        </w:rPr>
        <w:t>International Journal of Urban and Regional Research, 42</w:t>
      </w:r>
      <w:r>
        <w:t xml:space="preserve">(3), 456-472. https://doi.org/10.1111/1468-2427.12653 </w:t>
      </w:r>
    </w:p>
    <w:p w:rsidR="00A9548F" w:rsidRDefault="00F6228E">
      <w:pPr>
        <w:spacing w:line="356" w:lineRule="auto"/>
        <w:ind w:left="705" w:right="1178" w:hanging="720"/>
      </w:pPr>
      <w:r>
        <w:t>Obaitor, O., Lawanson, T., &amp; St</w:t>
      </w:r>
      <w:r>
        <w:t xml:space="preserve">ellmes, M. (2024). Urban renewal and gentrification in Lagos: A spatial analysis. </w:t>
      </w:r>
      <w:r>
        <w:rPr>
          <w:i/>
        </w:rPr>
        <w:t>Cities, 135</w:t>
      </w:r>
      <w:r>
        <w:t xml:space="preserve">, 104-115. https://doi.org/10.1016/j.cities.2023.104115 </w:t>
      </w:r>
    </w:p>
    <w:p w:rsidR="00A9548F" w:rsidRDefault="00F6228E">
      <w:pPr>
        <w:spacing w:line="356" w:lineRule="auto"/>
        <w:ind w:left="705" w:right="1178" w:hanging="720"/>
      </w:pPr>
      <w:r>
        <w:t>Lees, L., Shin, H. B., &amp; López-Morales, E. (2020). Global gentrifications: Uneven development and displace</w:t>
      </w:r>
      <w:r>
        <w:t>ment</w:t>
      </w:r>
      <w:r>
        <w:rPr>
          <w:i/>
        </w:rPr>
        <w:t xml:space="preserve">. Policy Press. </w:t>
      </w:r>
    </w:p>
    <w:p w:rsidR="00A9548F" w:rsidRDefault="00F6228E">
      <w:pPr>
        <w:spacing w:after="280" w:line="359" w:lineRule="auto"/>
        <w:ind w:left="705" w:right="1173" w:hanging="720"/>
      </w:pPr>
      <w:r>
        <w:t xml:space="preserve">Visser, G. (2021). </w:t>
      </w:r>
      <w:r>
        <w:rPr>
          <w:i/>
        </w:rPr>
        <w:t xml:space="preserve">Gentrification in Johannesburg: A critical perspective. </w:t>
      </w:r>
      <w:r>
        <w:t>Urban Studies, 58</w:t>
      </w:r>
      <w:r>
        <w:rPr>
          <w:i/>
        </w:rPr>
        <w:t xml:space="preserve">(7), 1345-1362. https://doi.org/10.1177/0042098020931234 </w:t>
      </w:r>
    </w:p>
    <w:p w:rsidR="00A9548F" w:rsidRDefault="00F6228E">
      <w:pPr>
        <w:spacing w:after="280" w:line="356" w:lineRule="auto"/>
        <w:ind w:left="705" w:right="1173" w:hanging="720"/>
      </w:pPr>
      <w:r>
        <w:t xml:space="preserve">Shimoni, M. (2019). </w:t>
      </w:r>
      <w:r>
        <w:rPr>
          <w:i/>
        </w:rPr>
        <w:t>Slum clearance and gentrification in Nairobi: The case of Kibera.</w:t>
      </w:r>
      <w:r>
        <w:rPr>
          <w:i/>
        </w:rPr>
        <w:t xml:space="preserve"> </w:t>
      </w:r>
      <w:r>
        <w:t>African Studies Review, 62</w:t>
      </w:r>
      <w:r>
        <w:rPr>
          <w:i/>
        </w:rPr>
        <w:t xml:space="preserve">(4), 89-110. https://doi.org/10.1017/asr.2019.45 </w:t>
      </w:r>
    </w:p>
    <w:p w:rsidR="00A9548F" w:rsidRDefault="00F6228E">
      <w:pPr>
        <w:spacing w:after="280" w:line="357" w:lineRule="auto"/>
        <w:ind w:left="705" w:right="1173" w:hanging="720"/>
      </w:pPr>
      <w:r>
        <w:lastRenderedPageBreak/>
        <w:t xml:space="preserve">López-Morales, E. (2018). </w:t>
      </w:r>
      <w:r>
        <w:rPr>
          <w:i/>
        </w:rPr>
        <w:t xml:space="preserve">Gentrification in Latin America: Addressing a global phenomenon from the South. </w:t>
      </w:r>
      <w:r>
        <w:t>Urban Geography, 39</w:t>
      </w:r>
      <w:r>
        <w:rPr>
          <w:i/>
        </w:rPr>
        <w:t xml:space="preserve">(8), 1173-1189. </w:t>
      </w:r>
      <w:r>
        <w:rPr>
          <w:i/>
        </w:rPr>
        <w:t xml:space="preserve">https://doi.org/10.1080/02723638.2018.1468132 </w:t>
      </w:r>
    </w:p>
    <w:p w:rsidR="00A9548F" w:rsidRDefault="00F6228E">
      <w:pPr>
        <w:spacing w:line="356" w:lineRule="auto"/>
        <w:ind w:left="705" w:right="1178" w:hanging="720"/>
      </w:pPr>
      <w:r>
        <w:t>Roy, A. (2017). City requiem, Calcutta: Gender and the politics of poverty</w:t>
      </w:r>
      <w:r>
        <w:rPr>
          <w:i/>
        </w:rPr>
        <w:t xml:space="preserve">. University of Minnesota Press. </w:t>
      </w:r>
    </w:p>
    <w:p w:rsidR="00A9548F" w:rsidRDefault="00F6228E">
      <w:pPr>
        <w:spacing w:after="107" w:line="267" w:lineRule="auto"/>
        <w:ind w:left="-5" w:right="1173"/>
      </w:pPr>
      <w:r>
        <w:t xml:space="preserve">Sharma, A. (2019). </w:t>
      </w:r>
      <w:r>
        <w:rPr>
          <w:i/>
        </w:rPr>
        <w:t xml:space="preserve">Slum redevelopment and gentrification in Mumbai: The case of Dharavi. </w:t>
      </w:r>
    </w:p>
    <w:p w:rsidR="00A9548F" w:rsidRDefault="00F6228E">
      <w:pPr>
        <w:tabs>
          <w:tab w:val="center" w:pos="1074"/>
          <w:tab w:val="center" w:pos="2535"/>
          <w:tab w:val="center" w:pos="3941"/>
          <w:tab w:val="center" w:pos="5618"/>
          <w:tab w:val="center" w:pos="7288"/>
          <w:tab w:val="center" w:pos="8808"/>
        </w:tabs>
        <w:spacing w:after="119" w:line="259" w:lineRule="auto"/>
        <w:ind w:left="0" w:right="0" w:firstLine="0"/>
        <w:jc w:val="left"/>
      </w:pPr>
      <w:r>
        <w:rPr>
          <w:rFonts w:ascii="Calibri" w:eastAsia="Calibri" w:hAnsi="Calibri" w:cs="Calibri"/>
          <w:sz w:val="22"/>
        </w:rPr>
        <w:tab/>
      </w:r>
      <w:r>
        <w:t xml:space="preserve">Journal </w:t>
      </w:r>
      <w:r>
        <w:tab/>
        <w:t>o</w:t>
      </w:r>
      <w:r>
        <w:t xml:space="preserve">f </w:t>
      </w:r>
      <w:r>
        <w:tab/>
        <w:t xml:space="preserve">Urban </w:t>
      </w:r>
      <w:r>
        <w:tab/>
        <w:t xml:space="preserve">Affairs, </w:t>
      </w:r>
      <w:r>
        <w:tab/>
        <w:t>41</w:t>
      </w:r>
      <w:r>
        <w:rPr>
          <w:i/>
        </w:rPr>
        <w:t xml:space="preserve">(6), </w:t>
      </w:r>
      <w:r>
        <w:rPr>
          <w:i/>
        </w:rPr>
        <w:tab/>
        <w:t>789-</w:t>
      </w:r>
    </w:p>
    <w:p w:rsidR="00A9548F" w:rsidRDefault="00F6228E">
      <w:pPr>
        <w:spacing w:after="280" w:line="267" w:lineRule="auto"/>
        <w:ind w:left="730" w:right="1173"/>
      </w:pPr>
      <w:r>
        <w:rPr>
          <w:i/>
        </w:rPr>
        <w:t xml:space="preserve">804.https://doi.org/10.1080/07352166.2018.1527654 </w:t>
      </w:r>
    </w:p>
    <w:p w:rsidR="00A9548F" w:rsidRDefault="00F6228E">
      <w:pPr>
        <w:spacing w:line="356" w:lineRule="auto"/>
        <w:ind w:left="705" w:right="1178" w:hanging="720"/>
      </w:pPr>
      <w:r>
        <w:t>Lagos State Government. (2010). Lagos State Urban and Regional Planning Law</w:t>
      </w:r>
      <w:r>
        <w:rPr>
          <w:i/>
        </w:rPr>
        <w:t xml:space="preserve">. Lagos State Printing Corporation. </w:t>
      </w:r>
    </w:p>
    <w:p w:rsidR="00A9548F" w:rsidRDefault="00F6228E">
      <w:pPr>
        <w:spacing w:line="356" w:lineRule="auto"/>
        <w:ind w:left="705" w:right="1178" w:hanging="720"/>
      </w:pPr>
      <w:r>
        <w:t>Federal Government of Nigeria. (2012). National Housing Policy</w:t>
      </w:r>
      <w:r>
        <w:rPr>
          <w:i/>
        </w:rPr>
        <w:t xml:space="preserve">. Federal Ministry of Lands, Housing and Urban Development. </w:t>
      </w:r>
    </w:p>
    <w:p w:rsidR="00A9548F" w:rsidRDefault="00F6228E">
      <w:pPr>
        <w:spacing w:after="385"/>
        <w:ind w:left="-5" w:right="1178"/>
      </w:pPr>
      <w:r>
        <w:t xml:space="preserve">Lagos State Government. (1978). </w:t>
      </w:r>
      <w:r>
        <w:rPr>
          <w:i/>
        </w:rPr>
        <w:t>Land Use Act</w:t>
      </w:r>
      <w:r>
        <w:t xml:space="preserve">. Federal Government Printer. </w:t>
      </w:r>
    </w:p>
    <w:p w:rsidR="00A9548F" w:rsidRDefault="00F6228E">
      <w:pPr>
        <w:spacing w:after="533" w:line="259" w:lineRule="auto"/>
        <w:ind w:left="0" w:right="0" w:firstLine="0"/>
        <w:jc w:val="left"/>
      </w:pPr>
      <w:r>
        <w:t xml:space="preserve"> </w:t>
      </w:r>
    </w:p>
    <w:p w:rsidR="00A9548F" w:rsidRDefault="00F6228E">
      <w:pPr>
        <w:spacing w:after="532" w:line="259" w:lineRule="auto"/>
        <w:ind w:left="0" w:right="0" w:firstLine="0"/>
        <w:jc w:val="left"/>
      </w:pPr>
      <w:r>
        <w:t xml:space="preserve"> </w:t>
      </w:r>
    </w:p>
    <w:p w:rsidR="00A9548F" w:rsidRDefault="00F6228E">
      <w:pPr>
        <w:spacing w:after="530" w:line="259" w:lineRule="auto"/>
        <w:ind w:left="0" w:right="0" w:firstLine="0"/>
        <w:jc w:val="left"/>
      </w:pPr>
      <w:r>
        <w:t xml:space="preserve"> </w:t>
      </w:r>
    </w:p>
    <w:p w:rsidR="00A9548F" w:rsidRDefault="00F6228E">
      <w:pPr>
        <w:spacing w:after="533" w:line="259" w:lineRule="auto"/>
        <w:ind w:left="0" w:right="0" w:firstLine="0"/>
        <w:jc w:val="left"/>
      </w:pPr>
      <w:r>
        <w:t xml:space="preserve"> </w:t>
      </w:r>
    </w:p>
    <w:p w:rsidR="00A9548F" w:rsidRDefault="00F6228E">
      <w:pPr>
        <w:spacing w:after="532" w:line="259" w:lineRule="auto"/>
        <w:ind w:left="0" w:right="0" w:firstLine="0"/>
        <w:jc w:val="left"/>
      </w:pPr>
      <w:r>
        <w:t xml:space="preserve"> </w:t>
      </w:r>
    </w:p>
    <w:p w:rsidR="00A9548F" w:rsidRDefault="00F6228E">
      <w:pPr>
        <w:spacing w:after="530" w:line="259" w:lineRule="auto"/>
        <w:ind w:left="0" w:right="0" w:firstLine="0"/>
        <w:jc w:val="left"/>
      </w:pPr>
      <w:r>
        <w:t xml:space="preserve"> </w:t>
      </w:r>
    </w:p>
    <w:p w:rsidR="00A9548F" w:rsidRDefault="00F6228E">
      <w:pPr>
        <w:spacing w:after="532" w:line="259" w:lineRule="auto"/>
        <w:ind w:left="0" w:right="0" w:firstLine="0"/>
        <w:jc w:val="left"/>
      </w:pPr>
      <w:r>
        <w:t xml:space="preserve"> </w:t>
      </w:r>
    </w:p>
    <w:p w:rsidR="00A9548F" w:rsidRDefault="00F6228E">
      <w:pPr>
        <w:spacing w:after="533" w:line="259" w:lineRule="auto"/>
        <w:ind w:left="0" w:right="0" w:firstLine="0"/>
        <w:jc w:val="left"/>
      </w:pPr>
      <w:r>
        <w:t xml:space="preserve"> </w:t>
      </w:r>
    </w:p>
    <w:p w:rsidR="00A9548F" w:rsidRDefault="00F6228E">
      <w:pPr>
        <w:spacing w:after="530" w:line="259" w:lineRule="auto"/>
        <w:ind w:left="0" w:right="0" w:firstLine="0"/>
        <w:jc w:val="left"/>
      </w:pPr>
      <w:r>
        <w:lastRenderedPageBreak/>
        <w:t xml:space="preserve"> </w:t>
      </w:r>
    </w:p>
    <w:p w:rsidR="00A9548F" w:rsidRDefault="00F6228E">
      <w:pPr>
        <w:spacing w:after="532" w:line="259" w:lineRule="auto"/>
        <w:ind w:left="0" w:right="1130" w:firstLine="0"/>
        <w:jc w:val="center"/>
      </w:pPr>
      <w:r>
        <w:t xml:space="preserve"> </w:t>
      </w:r>
    </w:p>
    <w:p w:rsidR="00A9548F" w:rsidRDefault="00F6228E">
      <w:pPr>
        <w:spacing w:after="532" w:line="259" w:lineRule="auto"/>
        <w:ind w:left="0" w:right="1130" w:firstLine="0"/>
        <w:jc w:val="center"/>
      </w:pPr>
      <w:r>
        <w:t xml:space="preserve"> </w:t>
      </w:r>
    </w:p>
    <w:p w:rsidR="00A9548F" w:rsidRDefault="00F6228E">
      <w:pPr>
        <w:spacing w:after="0" w:line="259" w:lineRule="auto"/>
        <w:ind w:left="0" w:right="1130" w:firstLine="0"/>
        <w:jc w:val="center"/>
      </w:pPr>
      <w:r>
        <w:t xml:space="preserve"> </w:t>
      </w:r>
    </w:p>
    <w:p w:rsidR="00A9548F" w:rsidRDefault="00F6228E">
      <w:pPr>
        <w:spacing w:after="525"/>
        <w:ind w:right="1191"/>
        <w:jc w:val="center"/>
      </w:pPr>
      <w:r>
        <w:rPr>
          <w:b/>
        </w:rPr>
        <w:t xml:space="preserve">APPENDIX </w:t>
      </w:r>
    </w:p>
    <w:p w:rsidR="00A9548F" w:rsidRDefault="00F6228E">
      <w:pPr>
        <w:spacing w:after="387"/>
        <w:ind w:left="2202" w:right="0"/>
        <w:jc w:val="left"/>
      </w:pPr>
      <w:r>
        <w:rPr>
          <w:b/>
        </w:rPr>
        <w:t xml:space="preserve">KWARA STATE POLYTECHNIC, ILORIN </w:t>
      </w:r>
    </w:p>
    <w:p w:rsidR="00A9548F" w:rsidRDefault="00F6228E">
      <w:pPr>
        <w:spacing w:after="387"/>
        <w:ind w:left="1642" w:right="0"/>
        <w:jc w:val="left"/>
      </w:pPr>
      <w:r>
        <w:rPr>
          <w:b/>
        </w:rPr>
        <w:t xml:space="preserve">INSTITUTE OF ENVIRONMENTAL STUDIES (I.E.S) </w:t>
      </w:r>
    </w:p>
    <w:p w:rsidR="00A9548F" w:rsidRDefault="00F6228E">
      <w:pPr>
        <w:spacing w:after="387"/>
        <w:ind w:left="956" w:right="0"/>
        <w:jc w:val="left"/>
      </w:pPr>
      <w:r>
        <w:rPr>
          <w:b/>
        </w:rPr>
        <w:t xml:space="preserve">DEPARTMENT OF URBAN AND REGIONAL PLANNING (U.R.P) </w:t>
      </w:r>
    </w:p>
    <w:p w:rsidR="00A9548F" w:rsidRDefault="00F6228E">
      <w:pPr>
        <w:spacing w:after="388"/>
        <w:ind w:left="3503" w:right="0"/>
        <w:jc w:val="left"/>
      </w:pPr>
      <w:r>
        <w:rPr>
          <w:b/>
        </w:rPr>
        <w:t xml:space="preserve">QUESTIONNAIRE </w:t>
      </w:r>
    </w:p>
    <w:p w:rsidR="00A9548F" w:rsidRDefault="00F6228E">
      <w:pPr>
        <w:pStyle w:val="Heading2"/>
        <w:spacing w:after="385"/>
        <w:ind w:left="-5" w:right="0"/>
      </w:pPr>
      <w:r>
        <w:t xml:space="preserve">INSTRUCTIONS </w:t>
      </w:r>
    </w:p>
    <w:p w:rsidR="00A9548F" w:rsidRDefault="00F6228E">
      <w:pPr>
        <w:spacing w:after="283" w:line="357" w:lineRule="auto"/>
        <w:ind w:left="0" w:right="1112" w:firstLine="0"/>
        <w:jc w:val="left"/>
      </w:pPr>
      <w:r>
        <w:t>Thank you for participating in this survey, which explores the effects of gentrification in your co</w:t>
      </w:r>
      <w:r>
        <w:t>mmunity (Lekki, Yaba, or Ikoyi). Please provide honest and accurate responses. This survey is anonymous, and your answers will be used solely for research purposes. The survey should take approximately 15-20 minutes to complete. Use the following scale unl</w:t>
      </w:r>
      <w:r>
        <w:t xml:space="preserve">ess otherwise specified: </w:t>
      </w:r>
    </w:p>
    <w:p w:rsidR="00A9548F" w:rsidRDefault="00F6228E">
      <w:pPr>
        <w:tabs>
          <w:tab w:val="center" w:pos="1416"/>
          <w:tab w:val="center" w:pos="2881"/>
          <w:tab w:val="center" w:pos="4214"/>
          <w:tab w:val="center" w:pos="6308"/>
          <w:tab w:val="center" w:pos="7202"/>
          <w:tab w:val="center" w:pos="8402"/>
        </w:tabs>
        <w:spacing w:after="394"/>
        <w:ind w:left="0" w:right="0" w:firstLine="0"/>
        <w:jc w:val="left"/>
      </w:pPr>
      <w:r>
        <w:rPr>
          <w:rFonts w:ascii="Calibri" w:eastAsia="Calibri" w:hAnsi="Calibri" w:cs="Calibri"/>
          <w:sz w:val="22"/>
        </w:rPr>
        <w:tab/>
      </w:r>
      <w:r>
        <w:t xml:space="preserve">1 = Strongly Disagree </w:t>
      </w:r>
      <w:r>
        <w:tab/>
        <w:t xml:space="preserve"> </w:t>
      </w:r>
      <w:r>
        <w:tab/>
        <w:t xml:space="preserve">2 = Disagree  </w:t>
      </w:r>
      <w:r>
        <w:tab/>
        <w:t xml:space="preserve">3 = Neutral </w:t>
      </w:r>
      <w:r>
        <w:tab/>
        <w:t xml:space="preserve"> </w:t>
      </w:r>
      <w:r>
        <w:tab/>
        <w:t xml:space="preserve">4 = Agree </w:t>
      </w:r>
    </w:p>
    <w:p w:rsidR="00A9548F" w:rsidRDefault="00F6228E">
      <w:pPr>
        <w:spacing w:after="387"/>
        <w:ind w:left="370" w:right="1178"/>
      </w:pPr>
      <w:r>
        <w:t xml:space="preserve">5 = Strongly Agree </w:t>
      </w:r>
    </w:p>
    <w:p w:rsidR="00A9548F" w:rsidRDefault="00F6228E">
      <w:pPr>
        <w:spacing w:after="338" w:line="356" w:lineRule="auto"/>
        <w:ind w:left="-5" w:right="1178"/>
      </w:pPr>
      <w:r>
        <w:t xml:space="preserve">Please mark your response with an "X" in the appropriate box or write your answer where indicated. </w:t>
      </w:r>
    </w:p>
    <w:p w:rsidR="00A9548F" w:rsidRDefault="00F6228E">
      <w:pPr>
        <w:tabs>
          <w:tab w:val="right" w:pos="10216"/>
        </w:tabs>
        <w:spacing w:after="225" w:line="259" w:lineRule="auto"/>
        <w:ind w:left="0" w:right="0" w:firstLine="0"/>
        <w:jc w:val="left"/>
      </w:pPr>
      <w:r>
        <w:rPr>
          <w:rFonts w:ascii="Calibri" w:eastAsia="Calibri" w:hAnsi="Calibri" w:cs="Calibri"/>
          <w:noProof/>
          <w:sz w:val="22"/>
        </w:rPr>
        <mc:AlternateContent>
          <mc:Choice Requires="wpg">
            <w:drawing>
              <wp:inline distT="0" distB="0" distL="0" distR="0">
                <wp:extent cx="5733034" cy="20574"/>
                <wp:effectExtent l="0" t="0" r="0" b="0"/>
                <wp:docPr id="51305" name="Group 51305"/>
                <wp:cNvGraphicFramePr/>
                <a:graphic xmlns:a="http://schemas.openxmlformats.org/drawingml/2006/main">
                  <a:graphicData uri="http://schemas.microsoft.com/office/word/2010/wordprocessingGroup">
                    <wpg:wgp>
                      <wpg:cNvGrpSpPr/>
                      <wpg:grpSpPr>
                        <a:xfrm>
                          <a:off x="0" y="0"/>
                          <a:ext cx="5733034" cy="20574"/>
                          <a:chOff x="0" y="0"/>
                          <a:chExt cx="5733034" cy="20574"/>
                        </a:xfrm>
                      </wpg:grpSpPr>
                      <wps:wsp>
                        <wps:cNvPr id="53050" name="Shape 53050"/>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51" name="Shape 53051"/>
                        <wps:cNvSpPr/>
                        <wps:spPr>
                          <a:xfrm>
                            <a:off x="305"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52" name="Shape 53052"/>
                        <wps:cNvSpPr/>
                        <wps:spPr>
                          <a:xfrm>
                            <a:off x="3353" y="762"/>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53" name="Shape 53053"/>
                        <wps:cNvSpPr/>
                        <wps:spPr>
                          <a:xfrm>
                            <a:off x="5729986"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54" name="Shape 53054"/>
                        <wps:cNvSpPr/>
                        <wps:spPr>
                          <a:xfrm>
                            <a:off x="305"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55" name="Shape 53055"/>
                        <wps:cNvSpPr/>
                        <wps:spPr>
                          <a:xfrm>
                            <a:off x="5729986"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056" name="Shape 53056"/>
                        <wps:cNvSpPr/>
                        <wps:spPr>
                          <a:xfrm>
                            <a:off x="305"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057" name="Shape 53057"/>
                        <wps:cNvSpPr/>
                        <wps:spPr>
                          <a:xfrm>
                            <a:off x="3353" y="17526"/>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058" name="Shape 53058"/>
                        <wps:cNvSpPr/>
                        <wps:spPr>
                          <a:xfrm>
                            <a:off x="5729986"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1305" style="width:451.42pt;height:1.62pt;mso-position-horizontal-relative:char;mso-position-vertical-relative:line" coordsize="57330,205">
                <v:shape id="Shape 53059" style="position:absolute;width:57315;height:196;left:0;top:0;" coordsize="5731510,19685" path="m0,0l5731510,0l5731510,19685l0,19685l0,0">
                  <v:stroke weight="0pt" endcap="flat" joinstyle="miter" miterlimit="10" on="false" color="#000000" opacity="0"/>
                  <v:fill on="true" color="#a0a0a0"/>
                </v:shape>
                <v:shape id="Shape 53060" style="position:absolute;width:91;height:91;left:3;top:7;" coordsize="9144,9144" path="m0,0l9144,0l9144,9144l0,9144l0,0">
                  <v:stroke weight="0pt" endcap="flat" joinstyle="miter" miterlimit="10" on="false" color="#000000" opacity="0"/>
                  <v:fill on="true" color="#a0a0a0"/>
                </v:shape>
                <v:shape id="Shape 53061" style="position:absolute;width:57265;height:91;left:33;top:7;" coordsize="5726557,9144" path="m0,0l5726557,0l5726557,9144l0,9144l0,0">
                  <v:stroke weight="0pt" endcap="flat" joinstyle="miter" miterlimit="10" on="false" color="#000000" opacity="0"/>
                  <v:fill on="true" color="#a0a0a0"/>
                </v:shape>
                <v:shape id="Shape 53062" style="position:absolute;width:91;height:91;left:57299;top:7;" coordsize="9144,9144" path="m0,0l9144,0l9144,9144l0,9144l0,0">
                  <v:stroke weight="0pt" endcap="flat" joinstyle="miter" miterlimit="10" on="false" color="#000000" opacity="0"/>
                  <v:fill on="true" color="#a0a0a0"/>
                </v:shape>
                <v:shape id="Shape 53063" style="position:absolute;width:91;height:137;left:3;top:38;" coordsize="9144,13716" path="m0,0l9144,0l9144,13716l0,13716l0,0">
                  <v:stroke weight="0pt" endcap="flat" joinstyle="miter" miterlimit="10" on="false" color="#000000" opacity="0"/>
                  <v:fill on="true" color="#a0a0a0"/>
                </v:shape>
                <v:shape id="Shape 53064" style="position:absolute;width:91;height:137;left:57299;top:38;" coordsize="9144,13716" path="m0,0l9144,0l9144,13716l0,13716l0,0">
                  <v:stroke weight="0pt" endcap="flat" joinstyle="miter" miterlimit="10" on="false" color="#000000" opacity="0"/>
                  <v:fill on="true" color="#e3e3e3"/>
                </v:shape>
                <v:shape id="Shape 53065" style="position:absolute;width:91;height:91;left:3;top:175;" coordsize="9144,9144" path="m0,0l9144,0l9144,9144l0,9144l0,0">
                  <v:stroke weight="0pt" endcap="flat" joinstyle="miter" miterlimit="10" on="false" color="#000000" opacity="0"/>
                  <v:fill on="true" color="#e3e3e3"/>
                </v:shape>
                <v:shape id="Shape 53066" style="position:absolute;width:57265;height:91;left:33;top:175;" coordsize="5726557,9144" path="m0,0l5726557,0l5726557,9144l0,9144l0,0">
                  <v:stroke weight="0pt" endcap="flat" joinstyle="miter" miterlimit="10" on="false" color="#000000" opacity="0"/>
                  <v:fill on="true" color="#e3e3e3"/>
                </v:shape>
                <v:shape id="Shape 53067" style="position:absolute;width:91;height:91;left:57299;top:175;" coordsize="9144,9144" path="m0,0l9144,0l9144,9144l0,9144l0,0">
                  <v:stroke weight="0pt" endcap="flat" joinstyle="miter" miterlimit="10" on="false" color="#000000" opacity="0"/>
                  <v:fill on="true" color="#e3e3e3"/>
                </v:shape>
              </v:group>
            </w:pict>
          </mc:Fallback>
        </mc:AlternateContent>
      </w:r>
      <w:r>
        <w:tab/>
        <w:t xml:space="preserve"> </w:t>
      </w:r>
    </w:p>
    <w:p w:rsidR="00A9548F" w:rsidRDefault="00F6228E">
      <w:pPr>
        <w:spacing w:after="391"/>
        <w:ind w:left="-5" w:right="1178"/>
      </w:pPr>
      <w:r>
        <w:t xml:space="preserve">SECTION A: DEMOGRAPHIC INFORMATION </w:t>
      </w:r>
    </w:p>
    <w:p w:rsidR="00A9548F" w:rsidRDefault="00F6228E">
      <w:pPr>
        <w:numPr>
          <w:ilvl w:val="0"/>
          <w:numId w:val="7"/>
        </w:numPr>
        <w:spacing w:after="107"/>
        <w:ind w:right="1178" w:hanging="360"/>
      </w:pPr>
      <w:r>
        <w:lastRenderedPageBreak/>
        <w:t xml:space="preserve">What is your gender? </w:t>
      </w:r>
    </w:p>
    <w:p w:rsidR="00A9548F" w:rsidRDefault="00F6228E">
      <w:pPr>
        <w:tabs>
          <w:tab w:val="center" w:pos="1108"/>
          <w:tab w:val="center" w:pos="2654"/>
        </w:tabs>
        <w:spacing w:after="119"/>
        <w:ind w:left="0" w:right="0" w:firstLine="0"/>
        <w:jc w:val="left"/>
      </w:pPr>
      <w:r>
        <w:rPr>
          <w:rFonts w:ascii="Calibri" w:eastAsia="Calibri" w:hAnsi="Calibri" w:cs="Calibri"/>
          <w:sz w:val="22"/>
        </w:rPr>
        <w:tab/>
      </w:r>
      <w:r>
        <w:t xml:space="preserve">[ ] Male </w:t>
      </w:r>
      <w:r>
        <w:tab/>
        <w:t xml:space="preserve">[ ] Female </w:t>
      </w:r>
    </w:p>
    <w:p w:rsidR="00A9548F" w:rsidRDefault="00F6228E">
      <w:pPr>
        <w:numPr>
          <w:ilvl w:val="0"/>
          <w:numId w:val="7"/>
        </w:numPr>
        <w:spacing w:after="107"/>
        <w:ind w:right="1178" w:hanging="360"/>
      </w:pPr>
      <w:r>
        <w:t xml:space="preserve">What is your age group? </w:t>
      </w:r>
    </w:p>
    <w:p w:rsidR="00A9548F" w:rsidRDefault="00F6228E">
      <w:pPr>
        <w:tabs>
          <w:tab w:val="center" w:pos="1536"/>
          <w:tab w:val="center" w:pos="3696"/>
          <w:tab w:val="center" w:pos="5932"/>
        </w:tabs>
        <w:spacing w:after="119"/>
        <w:ind w:left="0" w:right="0" w:firstLine="0"/>
        <w:jc w:val="left"/>
      </w:pPr>
      <w:r>
        <w:rPr>
          <w:rFonts w:ascii="Calibri" w:eastAsia="Calibri" w:hAnsi="Calibri" w:cs="Calibri"/>
          <w:sz w:val="22"/>
        </w:rPr>
        <w:tab/>
      </w:r>
      <w:r>
        <w:t xml:space="preserve">[ ] 18 to 35 years </w:t>
      </w:r>
      <w:r>
        <w:tab/>
        <w:t xml:space="preserve">[ ] 36 to 55 years </w:t>
      </w:r>
      <w:r>
        <w:tab/>
        <w:t xml:space="preserve">[ ] Above 55 years </w:t>
      </w:r>
    </w:p>
    <w:p w:rsidR="00A9548F" w:rsidRDefault="00F6228E">
      <w:pPr>
        <w:numPr>
          <w:ilvl w:val="0"/>
          <w:numId w:val="7"/>
        </w:numPr>
        <w:spacing w:after="107"/>
        <w:ind w:right="1178" w:hanging="360"/>
      </w:pPr>
      <w:r>
        <w:t xml:space="preserve">What is your marital status? </w:t>
      </w:r>
    </w:p>
    <w:p w:rsidR="00A9548F" w:rsidRDefault="00F6228E">
      <w:pPr>
        <w:tabs>
          <w:tab w:val="center" w:pos="1166"/>
          <w:tab w:val="center" w:pos="2687"/>
          <w:tab w:val="center" w:pos="4687"/>
          <w:tab w:val="center" w:pos="6481"/>
        </w:tabs>
        <w:ind w:left="0" w:right="0" w:firstLine="0"/>
        <w:jc w:val="left"/>
      </w:pPr>
      <w:r>
        <w:rPr>
          <w:rFonts w:ascii="Calibri" w:eastAsia="Calibri" w:hAnsi="Calibri" w:cs="Calibri"/>
          <w:sz w:val="22"/>
        </w:rPr>
        <w:tab/>
      </w:r>
      <w:r>
        <w:t xml:space="preserve">[ ] Single </w:t>
      </w:r>
      <w:r>
        <w:tab/>
        <w:t xml:space="preserve">[ ] Married </w:t>
      </w:r>
      <w:r>
        <w:tab/>
        <w:t xml:space="preserve">[ ] Divorced/Widowed </w:t>
      </w:r>
      <w:r>
        <w:tab/>
        <w:t xml:space="preserve"> </w:t>
      </w:r>
    </w:p>
    <w:p w:rsidR="00A9548F" w:rsidRDefault="00F6228E">
      <w:pPr>
        <w:numPr>
          <w:ilvl w:val="0"/>
          <w:numId w:val="7"/>
        </w:numPr>
        <w:spacing w:after="107"/>
        <w:ind w:right="1178" w:hanging="360"/>
      </w:pPr>
      <w:r>
        <w:t xml:space="preserve">What is your highest level of education? </w:t>
      </w:r>
    </w:p>
    <w:p w:rsidR="00A9548F" w:rsidRDefault="00F6228E">
      <w:pPr>
        <w:tabs>
          <w:tab w:val="center" w:pos="1665"/>
          <w:tab w:val="center" w:pos="2881"/>
          <w:tab w:val="center" w:pos="4248"/>
          <w:tab w:val="center" w:pos="6289"/>
        </w:tabs>
        <w:spacing w:after="119"/>
        <w:ind w:left="0" w:right="0" w:firstLine="0"/>
        <w:jc w:val="left"/>
      </w:pPr>
      <w:r>
        <w:rPr>
          <w:rFonts w:ascii="Calibri" w:eastAsia="Calibri" w:hAnsi="Calibri" w:cs="Calibri"/>
          <w:sz w:val="22"/>
        </w:rPr>
        <w:tab/>
      </w:r>
      <w:r>
        <w:t xml:space="preserve">[ ] Primary or None </w:t>
      </w:r>
      <w:r>
        <w:tab/>
        <w:t xml:space="preserve"> </w:t>
      </w:r>
      <w:r>
        <w:tab/>
        <w:t xml:space="preserve">[ ] Secondary  </w:t>
      </w:r>
      <w:r>
        <w:tab/>
        <w:t xml:space="preserve">[ ] Tertiary </w:t>
      </w:r>
    </w:p>
    <w:p w:rsidR="00A9548F" w:rsidRDefault="00F6228E">
      <w:pPr>
        <w:numPr>
          <w:ilvl w:val="0"/>
          <w:numId w:val="7"/>
        </w:numPr>
        <w:spacing w:after="107"/>
        <w:ind w:right="1178" w:hanging="360"/>
      </w:pPr>
      <w:r>
        <w:t xml:space="preserve">What is your approximate monthly income (in NGN)? </w:t>
      </w:r>
    </w:p>
    <w:p w:rsidR="00A9548F" w:rsidRDefault="00F6228E">
      <w:pPr>
        <w:tabs>
          <w:tab w:val="center" w:pos="1533"/>
          <w:tab w:val="center" w:pos="2881"/>
          <w:tab w:val="center" w:pos="4614"/>
          <w:tab w:val="center" w:pos="7361"/>
        </w:tabs>
        <w:spacing w:after="119"/>
        <w:ind w:left="0" w:right="0" w:firstLine="0"/>
        <w:jc w:val="left"/>
      </w:pPr>
      <w:r>
        <w:rPr>
          <w:rFonts w:ascii="Calibri" w:eastAsia="Calibri" w:hAnsi="Calibri" w:cs="Calibri"/>
          <w:sz w:val="22"/>
        </w:rPr>
        <w:tab/>
      </w:r>
      <w:r>
        <w:t xml:space="preserve">[ ] Below 50,000 </w:t>
      </w:r>
      <w:r>
        <w:tab/>
        <w:t xml:space="preserve"> </w:t>
      </w:r>
      <w:r>
        <w:tab/>
        <w:t xml:space="preserve">[ ] 50,000 to 150,000  </w:t>
      </w:r>
      <w:r>
        <w:tab/>
        <w:t xml:space="preserve">[ ] Above 150,000 </w:t>
      </w:r>
    </w:p>
    <w:p w:rsidR="00A9548F" w:rsidRDefault="00F6228E">
      <w:pPr>
        <w:numPr>
          <w:ilvl w:val="0"/>
          <w:numId w:val="7"/>
        </w:numPr>
        <w:spacing w:after="107"/>
        <w:ind w:right="1178" w:hanging="360"/>
      </w:pPr>
      <w:r>
        <w:t xml:space="preserve">How long have you lived in this community? </w:t>
      </w:r>
    </w:p>
    <w:p w:rsidR="00A9548F" w:rsidRDefault="00F6228E">
      <w:pPr>
        <w:tabs>
          <w:tab w:val="center" w:pos="1688"/>
          <w:tab w:val="center" w:pos="4356"/>
          <w:tab w:val="center" w:pos="5761"/>
          <w:tab w:val="center" w:pos="7550"/>
        </w:tabs>
        <w:spacing w:after="396"/>
        <w:ind w:left="0" w:right="0" w:firstLine="0"/>
        <w:jc w:val="left"/>
      </w:pPr>
      <w:r>
        <w:rPr>
          <w:rFonts w:ascii="Calibri" w:eastAsia="Calibri" w:hAnsi="Calibri" w:cs="Calibri"/>
          <w:sz w:val="22"/>
        </w:rPr>
        <w:tab/>
      </w:r>
      <w:r>
        <w:t xml:space="preserve">[ ] Less than 5 years  </w:t>
      </w:r>
      <w:r>
        <w:tab/>
        <w:t xml:space="preserve">[ ] 5 to 10 years </w:t>
      </w:r>
      <w:r>
        <w:tab/>
      </w:r>
      <w:r>
        <w:t xml:space="preserve"> </w:t>
      </w:r>
      <w:r>
        <w:tab/>
        <w:t xml:space="preserve">[ ] More than 10 years </w:t>
      </w:r>
    </w:p>
    <w:p w:rsidR="00A9548F" w:rsidRDefault="00F6228E">
      <w:pPr>
        <w:spacing w:after="391"/>
        <w:ind w:left="-5" w:right="1178"/>
      </w:pPr>
      <w:r>
        <w:t xml:space="preserve">SECTION B: SOCIO-ECONOMIC IMPACTS </w:t>
      </w:r>
    </w:p>
    <w:p w:rsidR="00A9548F" w:rsidRDefault="00F6228E">
      <w:pPr>
        <w:numPr>
          <w:ilvl w:val="0"/>
          <w:numId w:val="7"/>
        </w:numPr>
        <w:spacing w:after="2" w:line="356" w:lineRule="auto"/>
        <w:ind w:right="1178" w:hanging="360"/>
      </w:pPr>
      <w:r>
        <w:t xml:space="preserve">The cost of living (e.g., rent, food, utilities) has increased in my community due to gentrification. </w:t>
      </w:r>
    </w:p>
    <w:p w:rsidR="00A9548F" w:rsidRDefault="00F6228E">
      <w:pPr>
        <w:tabs>
          <w:tab w:val="center" w:pos="921"/>
          <w:tab w:val="center" w:pos="1440"/>
          <w:tab w:val="center" w:pos="2392"/>
          <w:tab w:val="center" w:pos="2881"/>
          <w:tab w:val="center" w:pos="3832"/>
          <w:tab w:val="center" w:pos="5242"/>
          <w:tab w:val="center" w:pos="5761"/>
          <w:tab w:val="center" w:pos="6682"/>
        </w:tabs>
        <w:spacing w:after="113"/>
        <w:ind w:left="0" w:right="0" w:firstLine="0"/>
        <w:jc w:val="left"/>
      </w:pPr>
      <w:r>
        <w:rPr>
          <w:rFonts w:ascii="Calibri" w:eastAsia="Calibri" w:hAnsi="Calibri" w:cs="Calibri"/>
          <w:sz w:val="22"/>
        </w:rPr>
        <w:tab/>
      </w:r>
      <w:r>
        <w:t xml:space="preserve">[ ] 1 </w:t>
      </w:r>
      <w:r>
        <w:tab/>
        <w:t xml:space="preserve"> </w:t>
      </w:r>
      <w:r>
        <w:tab/>
        <w:t xml:space="preserve"> [ ] 2 </w:t>
      </w:r>
      <w:r>
        <w:tab/>
        <w:t xml:space="preserve"> </w:t>
      </w:r>
      <w:r>
        <w:tab/>
        <w:t xml:space="preserve"> [ ] 3   </w:t>
      </w:r>
      <w:r>
        <w:tab/>
        <w:t xml:space="preserve">[ ] 4  </w:t>
      </w:r>
      <w:r>
        <w:tab/>
        <w:t xml:space="preserve"> </w:t>
      </w:r>
      <w:r>
        <w:tab/>
        <w:t xml:space="preserve">[ ] 5 </w:t>
      </w:r>
    </w:p>
    <w:p w:rsidR="00A9548F" w:rsidRDefault="00F6228E">
      <w:pPr>
        <w:spacing w:after="112"/>
        <w:ind w:left="730" w:right="1178"/>
      </w:pPr>
      <w:r>
        <w:t xml:space="preserve">(Note: 84% of respondents agree or strongly agree based on survey data.) </w:t>
      </w:r>
    </w:p>
    <w:p w:rsidR="00A9548F" w:rsidRDefault="00F6228E">
      <w:pPr>
        <w:numPr>
          <w:ilvl w:val="0"/>
          <w:numId w:val="7"/>
        </w:numPr>
        <w:spacing w:after="2" w:line="356" w:lineRule="auto"/>
        <w:ind w:right="1178" w:hanging="360"/>
      </w:pPr>
      <w:r>
        <w:t xml:space="preserve">I have experienced a loss of social connections or community ties due to changes in my neighborhood. </w:t>
      </w:r>
    </w:p>
    <w:p w:rsidR="00A9548F" w:rsidRDefault="00F6228E">
      <w:pPr>
        <w:tabs>
          <w:tab w:val="center" w:pos="921"/>
          <w:tab w:val="center" w:pos="1440"/>
          <w:tab w:val="center" w:pos="2362"/>
          <w:tab w:val="center" w:pos="2881"/>
          <w:tab w:val="center" w:pos="3832"/>
          <w:tab w:val="center" w:pos="5242"/>
          <w:tab w:val="center" w:pos="5761"/>
          <w:tab w:val="center" w:pos="6682"/>
        </w:tabs>
        <w:spacing w:after="113"/>
        <w:ind w:left="0" w:right="0" w:firstLine="0"/>
        <w:jc w:val="left"/>
      </w:pPr>
      <w:r>
        <w:rPr>
          <w:rFonts w:ascii="Calibri" w:eastAsia="Calibri" w:hAnsi="Calibri" w:cs="Calibri"/>
          <w:sz w:val="22"/>
        </w:rPr>
        <w:tab/>
      </w:r>
      <w:r>
        <w:t xml:space="preserve">[ ] 1  </w:t>
      </w:r>
      <w:r>
        <w:tab/>
        <w:t xml:space="preserve"> </w:t>
      </w:r>
      <w:r>
        <w:tab/>
        <w:t xml:space="preserve">[ ] 2 </w:t>
      </w:r>
      <w:r>
        <w:tab/>
        <w:t xml:space="preserve"> </w:t>
      </w:r>
      <w:r>
        <w:tab/>
        <w:t xml:space="preserve"> [ ] 3   </w:t>
      </w:r>
      <w:r>
        <w:tab/>
        <w:t xml:space="preserve">[ ] 4  </w:t>
      </w:r>
      <w:r>
        <w:tab/>
        <w:t xml:space="preserve"> </w:t>
      </w:r>
      <w:r>
        <w:tab/>
        <w:t xml:space="preserve">[ ] 5 </w:t>
      </w:r>
    </w:p>
    <w:p w:rsidR="00A9548F" w:rsidRDefault="00F6228E">
      <w:pPr>
        <w:spacing w:after="112"/>
        <w:ind w:left="730" w:right="1178"/>
      </w:pPr>
      <w:r>
        <w:t>(Note: 65% of respondents agree o</w:t>
      </w:r>
      <w:r>
        <w:t xml:space="preserve">r strongly agree based on survey data.) </w:t>
      </w:r>
    </w:p>
    <w:p w:rsidR="00A9548F" w:rsidRDefault="00F6228E">
      <w:pPr>
        <w:numPr>
          <w:ilvl w:val="0"/>
          <w:numId w:val="7"/>
        </w:numPr>
        <w:spacing w:after="2" w:line="356" w:lineRule="auto"/>
        <w:ind w:right="1178" w:hanging="360"/>
      </w:pPr>
      <w:r>
        <w:t xml:space="preserve">Access to job opportunities has decreased for me or others in my community due to gentrification. </w:t>
      </w:r>
    </w:p>
    <w:p w:rsidR="00A9548F" w:rsidRDefault="00F6228E">
      <w:pPr>
        <w:tabs>
          <w:tab w:val="center" w:pos="921"/>
          <w:tab w:val="center" w:pos="1440"/>
          <w:tab w:val="center" w:pos="2362"/>
          <w:tab w:val="center" w:pos="2881"/>
          <w:tab w:val="center" w:pos="3802"/>
          <w:tab w:val="center" w:pos="4321"/>
          <w:tab w:val="center" w:pos="5242"/>
          <w:tab w:val="center" w:pos="5761"/>
          <w:tab w:val="center" w:pos="6682"/>
        </w:tabs>
        <w:spacing w:after="113"/>
        <w:ind w:left="0" w:right="0" w:firstLine="0"/>
        <w:jc w:val="left"/>
      </w:pPr>
      <w:r>
        <w:rPr>
          <w:rFonts w:ascii="Calibri" w:eastAsia="Calibri" w:hAnsi="Calibri" w:cs="Calibri"/>
          <w:sz w:val="22"/>
        </w:rPr>
        <w:tab/>
      </w:r>
      <w:r>
        <w:t xml:space="preserve">[ ] 1  </w:t>
      </w:r>
      <w:r>
        <w:tab/>
        <w:t xml:space="preserve"> </w:t>
      </w:r>
      <w:r>
        <w:tab/>
        <w:t xml:space="preserve">[ ] 2  </w:t>
      </w:r>
      <w:r>
        <w:tab/>
        <w:t xml:space="preserve"> </w:t>
      </w:r>
      <w:r>
        <w:tab/>
        <w:t xml:space="preserve">[ ] 3  </w:t>
      </w:r>
      <w:r>
        <w:tab/>
        <w:t xml:space="preserve"> </w:t>
      </w:r>
      <w:r>
        <w:tab/>
        <w:t xml:space="preserve">[ ] 4  </w:t>
      </w:r>
      <w:r>
        <w:tab/>
        <w:t xml:space="preserve"> </w:t>
      </w:r>
      <w:r>
        <w:tab/>
        <w:t xml:space="preserve">[ ] 5 </w:t>
      </w:r>
    </w:p>
    <w:p w:rsidR="00A9548F" w:rsidRDefault="00F6228E">
      <w:pPr>
        <w:spacing w:after="112"/>
        <w:ind w:left="730" w:right="1178"/>
      </w:pPr>
      <w:r>
        <w:t>(Note: 53% of respondents agree or strongly agree based on survey da</w:t>
      </w:r>
      <w:r>
        <w:t xml:space="preserve">ta.) </w:t>
      </w:r>
    </w:p>
    <w:p w:rsidR="00A9548F" w:rsidRDefault="00F6228E">
      <w:pPr>
        <w:numPr>
          <w:ilvl w:val="0"/>
          <w:numId w:val="7"/>
        </w:numPr>
        <w:spacing w:after="2" w:line="356" w:lineRule="auto"/>
        <w:ind w:right="1178" w:hanging="360"/>
      </w:pPr>
      <w:r>
        <w:t xml:space="preserve">Infrastructure improvements (e.g., roads, electricity) have benefited my community due to gentrification. </w:t>
      </w:r>
    </w:p>
    <w:p w:rsidR="00A9548F" w:rsidRDefault="00F6228E">
      <w:pPr>
        <w:tabs>
          <w:tab w:val="center" w:pos="921"/>
          <w:tab w:val="center" w:pos="1440"/>
          <w:tab w:val="center" w:pos="2362"/>
          <w:tab w:val="center" w:pos="2881"/>
          <w:tab w:val="center" w:pos="3802"/>
          <w:tab w:val="center" w:pos="4321"/>
          <w:tab w:val="center" w:pos="5242"/>
          <w:tab w:val="center" w:pos="5761"/>
          <w:tab w:val="center" w:pos="6682"/>
        </w:tabs>
        <w:spacing w:after="114"/>
        <w:ind w:left="0" w:right="0" w:firstLine="0"/>
        <w:jc w:val="left"/>
      </w:pPr>
      <w:r>
        <w:rPr>
          <w:rFonts w:ascii="Calibri" w:eastAsia="Calibri" w:hAnsi="Calibri" w:cs="Calibri"/>
          <w:sz w:val="22"/>
        </w:rPr>
        <w:tab/>
      </w:r>
      <w:r>
        <w:t xml:space="preserve">[ ] 1  </w:t>
      </w:r>
      <w:r>
        <w:tab/>
        <w:t xml:space="preserve"> </w:t>
      </w:r>
      <w:r>
        <w:tab/>
        <w:t xml:space="preserve">[ ] 2  </w:t>
      </w:r>
      <w:r>
        <w:tab/>
        <w:t xml:space="preserve"> </w:t>
      </w:r>
      <w:r>
        <w:tab/>
        <w:t xml:space="preserve">[ ] 3  </w:t>
      </w:r>
      <w:r>
        <w:tab/>
        <w:t xml:space="preserve"> </w:t>
      </w:r>
      <w:r>
        <w:tab/>
        <w:t xml:space="preserve">[ ] 4  </w:t>
      </w:r>
      <w:r>
        <w:tab/>
        <w:t xml:space="preserve"> </w:t>
      </w:r>
      <w:r>
        <w:tab/>
        <w:t xml:space="preserve">[ ] 5 </w:t>
      </w:r>
    </w:p>
    <w:p w:rsidR="00A9548F" w:rsidRDefault="00F6228E">
      <w:pPr>
        <w:spacing w:after="110"/>
        <w:ind w:left="730" w:right="1178"/>
      </w:pPr>
      <w:r>
        <w:t xml:space="preserve">(Note: 48% of respondents agree or strongly agree based on survey data.) </w:t>
      </w:r>
    </w:p>
    <w:p w:rsidR="00A9548F" w:rsidRDefault="00F6228E">
      <w:pPr>
        <w:numPr>
          <w:ilvl w:val="0"/>
          <w:numId w:val="7"/>
        </w:numPr>
        <w:spacing w:after="336" w:line="358" w:lineRule="auto"/>
        <w:ind w:right="1178" w:hanging="360"/>
      </w:pPr>
      <w:r>
        <w:lastRenderedPageBreak/>
        <w:t xml:space="preserve">Please describe any specific changes in your income, job situation, or community interactions due to gentrification: </w:t>
      </w:r>
    </w:p>
    <w:p w:rsidR="00A9548F" w:rsidRDefault="00F6228E">
      <w:pPr>
        <w:tabs>
          <w:tab w:val="center" w:pos="4921"/>
          <w:tab w:val="right" w:pos="10216"/>
        </w:tabs>
        <w:spacing w:after="342" w:line="259" w:lineRule="auto"/>
        <w:ind w:left="0"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275834" cy="21209"/>
                <wp:effectExtent l="0" t="0" r="0" b="0"/>
                <wp:docPr id="50512" name="Group 50512"/>
                <wp:cNvGraphicFramePr/>
                <a:graphic xmlns:a="http://schemas.openxmlformats.org/drawingml/2006/main">
                  <a:graphicData uri="http://schemas.microsoft.com/office/word/2010/wordprocessingGroup">
                    <wpg:wgp>
                      <wpg:cNvGrpSpPr/>
                      <wpg:grpSpPr>
                        <a:xfrm>
                          <a:off x="0" y="0"/>
                          <a:ext cx="5275834" cy="21209"/>
                          <a:chOff x="0" y="0"/>
                          <a:chExt cx="5275834" cy="21209"/>
                        </a:xfrm>
                      </wpg:grpSpPr>
                      <wps:wsp>
                        <wps:cNvPr id="53068" name="Shape 53068"/>
                        <wps:cNvSpPr/>
                        <wps:spPr>
                          <a:xfrm>
                            <a:off x="0" y="0"/>
                            <a:ext cx="5274310" cy="19685"/>
                          </a:xfrm>
                          <a:custGeom>
                            <a:avLst/>
                            <a:gdLst/>
                            <a:ahLst/>
                            <a:cxnLst/>
                            <a:rect l="0" t="0" r="0" b="0"/>
                            <a:pathLst>
                              <a:path w="5274310" h="19685">
                                <a:moveTo>
                                  <a:pt x="0" y="0"/>
                                </a:moveTo>
                                <a:lnTo>
                                  <a:pt x="5274310" y="0"/>
                                </a:lnTo>
                                <a:lnTo>
                                  <a:pt x="52743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69" name="Shape 53069"/>
                        <wps:cNvSpPr/>
                        <wps:spPr>
                          <a:xfrm>
                            <a:off x="254" y="13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70" name="Shape 53070"/>
                        <wps:cNvSpPr/>
                        <wps:spPr>
                          <a:xfrm>
                            <a:off x="3302" y="1397"/>
                            <a:ext cx="5269357" cy="9144"/>
                          </a:xfrm>
                          <a:custGeom>
                            <a:avLst/>
                            <a:gdLst/>
                            <a:ahLst/>
                            <a:cxnLst/>
                            <a:rect l="0" t="0" r="0" b="0"/>
                            <a:pathLst>
                              <a:path w="5269357" h="9144">
                                <a:moveTo>
                                  <a:pt x="0" y="0"/>
                                </a:moveTo>
                                <a:lnTo>
                                  <a:pt x="5269357" y="0"/>
                                </a:lnTo>
                                <a:lnTo>
                                  <a:pt x="52693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71" name="Shape 53071"/>
                        <wps:cNvSpPr/>
                        <wps:spPr>
                          <a:xfrm>
                            <a:off x="5272786" y="13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72" name="Shape 53072"/>
                        <wps:cNvSpPr/>
                        <wps:spPr>
                          <a:xfrm>
                            <a:off x="254" y="4445"/>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73" name="Shape 53073"/>
                        <wps:cNvSpPr/>
                        <wps:spPr>
                          <a:xfrm>
                            <a:off x="5272786" y="4445"/>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074" name="Shape 53074"/>
                        <wps:cNvSpPr/>
                        <wps:spPr>
                          <a:xfrm>
                            <a:off x="254"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075" name="Shape 53075"/>
                        <wps:cNvSpPr/>
                        <wps:spPr>
                          <a:xfrm>
                            <a:off x="3302" y="18161"/>
                            <a:ext cx="5269357" cy="9144"/>
                          </a:xfrm>
                          <a:custGeom>
                            <a:avLst/>
                            <a:gdLst/>
                            <a:ahLst/>
                            <a:cxnLst/>
                            <a:rect l="0" t="0" r="0" b="0"/>
                            <a:pathLst>
                              <a:path w="5269357" h="9144">
                                <a:moveTo>
                                  <a:pt x="0" y="0"/>
                                </a:moveTo>
                                <a:lnTo>
                                  <a:pt x="5269357" y="0"/>
                                </a:lnTo>
                                <a:lnTo>
                                  <a:pt x="52693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076" name="Shape 53076"/>
                        <wps:cNvSpPr/>
                        <wps:spPr>
                          <a:xfrm>
                            <a:off x="5272786"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0512" style="width:415.42pt;height:1.66998pt;mso-position-horizontal-relative:char;mso-position-vertical-relative:line" coordsize="52758,212">
                <v:shape id="Shape 53077" style="position:absolute;width:52743;height:196;left:0;top:0;" coordsize="5274310,19685" path="m0,0l5274310,0l5274310,19685l0,19685l0,0">
                  <v:stroke weight="0pt" endcap="flat" joinstyle="miter" miterlimit="10" on="false" color="#000000" opacity="0"/>
                  <v:fill on="true" color="#a0a0a0"/>
                </v:shape>
                <v:shape id="Shape 53078" style="position:absolute;width:91;height:91;left:2;top:13;" coordsize="9144,9144" path="m0,0l9144,0l9144,9144l0,9144l0,0">
                  <v:stroke weight="0pt" endcap="flat" joinstyle="miter" miterlimit="10" on="false" color="#000000" opacity="0"/>
                  <v:fill on="true" color="#a0a0a0"/>
                </v:shape>
                <v:shape id="Shape 53079" style="position:absolute;width:52693;height:91;left:33;top:13;" coordsize="5269357,9144" path="m0,0l5269357,0l5269357,9144l0,9144l0,0">
                  <v:stroke weight="0pt" endcap="flat" joinstyle="miter" miterlimit="10" on="false" color="#000000" opacity="0"/>
                  <v:fill on="true" color="#a0a0a0"/>
                </v:shape>
                <v:shape id="Shape 53080" style="position:absolute;width:91;height:91;left:52727;top:13;" coordsize="9144,9144" path="m0,0l9144,0l9144,9144l0,9144l0,0">
                  <v:stroke weight="0pt" endcap="flat" joinstyle="miter" miterlimit="10" on="false" color="#000000" opacity="0"/>
                  <v:fill on="true" color="#a0a0a0"/>
                </v:shape>
                <v:shape id="Shape 53081" style="position:absolute;width:91;height:137;left:2;top:44;" coordsize="9144,13715" path="m0,0l9144,0l9144,13715l0,13715l0,0">
                  <v:stroke weight="0pt" endcap="flat" joinstyle="miter" miterlimit="10" on="false" color="#000000" opacity="0"/>
                  <v:fill on="true" color="#a0a0a0"/>
                </v:shape>
                <v:shape id="Shape 53082" style="position:absolute;width:91;height:137;left:52727;top:44;" coordsize="9144,13715" path="m0,0l9144,0l9144,13715l0,13715l0,0">
                  <v:stroke weight="0pt" endcap="flat" joinstyle="miter" miterlimit="10" on="false" color="#000000" opacity="0"/>
                  <v:fill on="true" color="#e3e3e3"/>
                </v:shape>
                <v:shape id="Shape 53083" style="position:absolute;width:91;height:91;left:2;top:181;" coordsize="9144,9144" path="m0,0l9144,0l9144,9144l0,9144l0,0">
                  <v:stroke weight="0pt" endcap="flat" joinstyle="miter" miterlimit="10" on="false" color="#000000" opacity="0"/>
                  <v:fill on="true" color="#e3e3e3"/>
                </v:shape>
                <v:shape id="Shape 53084" style="position:absolute;width:52693;height:91;left:33;top:181;" coordsize="5269357,9144" path="m0,0l5269357,0l5269357,9144l0,9144l0,0">
                  <v:stroke weight="0pt" endcap="flat" joinstyle="miter" miterlimit="10" on="false" color="#000000" opacity="0"/>
                  <v:fill on="true" color="#e3e3e3"/>
                </v:shape>
                <v:shape id="Shape 53085" style="position:absolute;width:91;height:91;left:52727;top:181;" coordsize="9144,9144" path="m0,0l9144,0l9144,9144l0,9144l0,0">
                  <v:stroke weight="0pt" endcap="flat" joinstyle="miter" miterlimit="10" on="false" color="#000000" opacity="0"/>
                  <v:fill on="true" color="#e3e3e3"/>
                </v:shape>
              </v:group>
            </w:pict>
          </mc:Fallback>
        </mc:AlternateContent>
      </w:r>
      <w:r>
        <w:tab/>
        <w:t xml:space="preserve"> </w:t>
      </w:r>
    </w:p>
    <w:p w:rsidR="00A9548F" w:rsidRDefault="00F6228E">
      <w:pPr>
        <w:spacing w:after="394" w:line="259" w:lineRule="auto"/>
        <w:ind w:left="720" w:right="0" w:firstLine="0"/>
        <w:jc w:val="left"/>
      </w:pPr>
      <w:r>
        <w:t xml:space="preserve"> </w:t>
      </w:r>
    </w:p>
    <w:p w:rsidR="00A9548F" w:rsidRDefault="00F6228E">
      <w:pPr>
        <w:spacing w:after="0" w:line="259" w:lineRule="auto"/>
        <w:ind w:left="720" w:right="0" w:firstLine="0"/>
        <w:jc w:val="left"/>
      </w:pPr>
      <w:r>
        <w:t xml:space="preserve"> </w:t>
      </w:r>
    </w:p>
    <w:p w:rsidR="00A9548F" w:rsidRDefault="00F6228E">
      <w:pPr>
        <w:pStyle w:val="Heading2"/>
        <w:spacing w:after="386"/>
        <w:ind w:left="-5" w:right="0"/>
      </w:pPr>
      <w:r>
        <w:t>SECTION C: HOUSING DYNAMICS</w:t>
      </w:r>
      <w:r>
        <w:rPr>
          <w:b w:val="0"/>
        </w:rPr>
        <w:t xml:space="preserve"> </w:t>
      </w:r>
    </w:p>
    <w:p w:rsidR="00A9548F" w:rsidRDefault="00F6228E">
      <w:pPr>
        <w:numPr>
          <w:ilvl w:val="0"/>
          <w:numId w:val="8"/>
        </w:numPr>
        <w:spacing w:after="0" w:line="358" w:lineRule="auto"/>
        <w:ind w:right="1178" w:hanging="360"/>
      </w:pPr>
      <w:r>
        <w:t>Rent prices in my community have increased significantly in the past few years due to gentrification</w:t>
      </w:r>
      <w:r>
        <w:t xml:space="preserve">. </w:t>
      </w:r>
    </w:p>
    <w:p w:rsidR="00A9548F" w:rsidRDefault="00F6228E">
      <w:pPr>
        <w:tabs>
          <w:tab w:val="center" w:pos="921"/>
          <w:tab w:val="center" w:pos="1440"/>
          <w:tab w:val="center" w:pos="2362"/>
          <w:tab w:val="center" w:pos="2881"/>
          <w:tab w:val="center" w:pos="3802"/>
          <w:tab w:val="center" w:pos="4321"/>
          <w:tab w:val="center" w:pos="5242"/>
          <w:tab w:val="center" w:pos="5761"/>
          <w:tab w:val="center" w:pos="6682"/>
        </w:tabs>
        <w:spacing w:after="115"/>
        <w:ind w:left="0" w:right="0" w:firstLine="0"/>
        <w:jc w:val="left"/>
      </w:pPr>
      <w:r>
        <w:rPr>
          <w:rFonts w:ascii="Calibri" w:eastAsia="Calibri" w:hAnsi="Calibri" w:cs="Calibri"/>
          <w:sz w:val="22"/>
        </w:rPr>
        <w:tab/>
      </w:r>
      <w:r>
        <w:t xml:space="preserve">[ ] 1  </w:t>
      </w:r>
      <w:r>
        <w:tab/>
        <w:t xml:space="preserve"> </w:t>
      </w:r>
      <w:r>
        <w:tab/>
        <w:t xml:space="preserve">[ ] 2  </w:t>
      </w:r>
      <w:r>
        <w:tab/>
        <w:t xml:space="preserve"> </w:t>
      </w:r>
      <w:r>
        <w:tab/>
        <w:t xml:space="preserve">[ ] 3  </w:t>
      </w:r>
      <w:r>
        <w:tab/>
        <w:t xml:space="preserve"> </w:t>
      </w:r>
      <w:r>
        <w:tab/>
        <w:t xml:space="preserve">[ ] 4  </w:t>
      </w:r>
      <w:r>
        <w:tab/>
        <w:t xml:space="preserve"> </w:t>
      </w:r>
      <w:r>
        <w:tab/>
        <w:t xml:space="preserve">[ ] 5 </w:t>
      </w:r>
    </w:p>
    <w:p w:rsidR="00A9548F" w:rsidRDefault="00F6228E">
      <w:pPr>
        <w:spacing w:after="110"/>
        <w:ind w:left="730" w:right="1178"/>
      </w:pPr>
      <w:r>
        <w:t xml:space="preserve">(Note: 88% of respondents agree or strongly agree based on survey data.) </w:t>
      </w:r>
    </w:p>
    <w:p w:rsidR="00A9548F" w:rsidRDefault="00F6228E">
      <w:pPr>
        <w:numPr>
          <w:ilvl w:val="0"/>
          <w:numId w:val="8"/>
        </w:numPr>
        <w:spacing w:after="0" w:line="358" w:lineRule="auto"/>
        <w:ind w:right="1178" w:hanging="360"/>
      </w:pPr>
      <w:r>
        <w:t xml:space="preserve">I or someone in my household has been displaced or forced to move due to redevelopment activities. </w:t>
      </w:r>
    </w:p>
    <w:p w:rsidR="00A9548F" w:rsidRDefault="00F6228E">
      <w:pPr>
        <w:tabs>
          <w:tab w:val="center" w:pos="921"/>
          <w:tab w:val="center" w:pos="1440"/>
          <w:tab w:val="center" w:pos="2362"/>
          <w:tab w:val="center" w:pos="2881"/>
          <w:tab w:val="center" w:pos="3802"/>
          <w:tab w:val="center" w:pos="4321"/>
          <w:tab w:val="center" w:pos="5242"/>
          <w:tab w:val="center" w:pos="5761"/>
          <w:tab w:val="center" w:pos="6682"/>
        </w:tabs>
        <w:spacing w:after="115"/>
        <w:ind w:left="0" w:right="0" w:firstLine="0"/>
        <w:jc w:val="left"/>
      </w:pPr>
      <w:r>
        <w:rPr>
          <w:rFonts w:ascii="Calibri" w:eastAsia="Calibri" w:hAnsi="Calibri" w:cs="Calibri"/>
          <w:sz w:val="22"/>
        </w:rPr>
        <w:tab/>
      </w:r>
      <w:r>
        <w:t xml:space="preserve">[ ] 1  </w:t>
      </w:r>
      <w:r>
        <w:tab/>
        <w:t xml:space="preserve"> </w:t>
      </w:r>
      <w:r>
        <w:tab/>
        <w:t xml:space="preserve">[ ] 2  </w:t>
      </w:r>
      <w:r>
        <w:tab/>
        <w:t xml:space="preserve"> </w:t>
      </w:r>
      <w:r>
        <w:tab/>
        <w:t xml:space="preserve">[ ] 3  </w:t>
      </w:r>
      <w:r>
        <w:tab/>
        <w:t xml:space="preserve"> </w:t>
      </w:r>
      <w:r>
        <w:tab/>
        <w:t xml:space="preserve">[ ] 4  </w:t>
      </w:r>
      <w:r>
        <w:tab/>
        <w:t xml:space="preserve"> </w:t>
      </w:r>
      <w:r>
        <w:tab/>
        <w:t xml:space="preserve">[ ] 5 </w:t>
      </w:r>
    </w:p>
    <w:p w:rsidR="00A9548F" w:rsidRDefault="00F6228E">
      <w:pPr>
        <w:spacing w:after="110"/>
        <w:ind w:left="730" w:right="1178"/>
      </w:pPr>
      <w:r>
        <w:t xml:space="preserve">(Note: 48% of respondents agree or strongly agree based on survey data.) </w:t>
      </w:r>
    </w:p>
    <w:p w:rsidR="00A9548F" w:rsidRDefault="00F6228E">
      <w:pPr>
        <w:numPr>
          <w:ilvl w:val="0"/>
          <w:numId w:val="8"/>
        </w:numPr>
        <w:spacing w:after="0" w:line="358" w:lineRule="auto"/>
        <w:ind w:right="1178" w:hanging="360"/>
      </w:pPr>
      <w:r>
        <w:t xml:space="preserve">Affordable housing options are becoming scarce in my community due to gentrification. </w:t>
      </w:r>
    </w:p>
    <w:p w:rsidR="00A9548F" w:rsidRDefault="00F6228E">
      <w:pPr>
        <w:tabs>
          <w:tab w:val="center" w:pos="921"/>
          <w:tab w:val="center" w:pos="1440"/>
          <w:tab w:val="center" w:pos="2362"/>
          <w:tab w:val="center" w:pos="2881"/>
          <w:tab w:val="center" w:pos="3802"/>
          <w:tab w:val="center" w:pos="4321"/>
          <w:tab w:val="center" w:pos="5242"/>
          <w:tab w:val="center" w:pos="5761"/>
          <w:tab w:val="center" w:pos="6682"/>
        </w:tabs>
        <w:spacing w:after="113"/>
        <w:ind w:left="0" w:right="0" w:firstLine="0"/>
        <w:jc w:val="left"/>
      </w:pPr>
      <w:r>
        <w:rPr>
          <w:rFonts w:ascii="Calibri" w:eastAsia="Calibri" w:hAnsi="Calibri" w:cs="Calibri"/>
          <w:sz w:val="22"/>
        </w:rPr>
        <w:tab/>
      </w:r>
      <w:r>
        <w:t xml:space="preserve">[ ] 1  </w:t>
      </w:r>
      <w:r>
        <w:tab/>
        <w:t xml:space="preserve"> </w:t>
      </w:r>
      <w:r>
        <w:tab/>
        <w:t xml:space="preserve">[ ] 2  </w:t>
      </w:r>
      <w:r>
        <w:tab/>
        <w:t xml:space="preserve"> </w:t>
      </w:r>
      <w:r>
        <w:tab/>
        <w:t xml:space="preserve">[ ] 3  </w:t>
      </w:r>
      <w:r>
        <w:tab/>
        <w:t xml:space="preserve"> </w:t>
      </w:r>
      <w:r>
        <w:tab/>
        <w:t xml:space="preserve">[ ] 4  </w:t>
      </w:r>
      <w:r>
        <w:tab/>
        <w:t xml:space="preserve"> </w:t>
      </w:r>
      <w:r>
        <w:tab/>
        <w:t xml:space="preserve">[ ] 5 </w:t>
      </w:r>
    </w:p>
    <w:p w:rsidR="00A9548F" w:rsidRDefault="00F6228E">
      <w:pPr>
        <w:spacing w:after="112"/>
        <w:ind w:left="730" w:right="1178"/>
      </w:pPr>
      <w:r>
        <w:t xml:space="preserve">(Note: 68% of respondents agree or strongly agree based on survey data.) </w:t>
      </w:r>
    </w:p>
    <w:p w:rsidR="00A9548F" w:rsidRDefault="00F6228E">
      <w:pPr>
        <w:numPr>
          <w:ilvl w:val="0"/>
          <w:numId w:val="8"/>
        </w:numPr>
        <w:spacing w:after="341" w:line="356" w:lineRule="auto"/>
        <w:ind w:right="1178" w:hanging="360"/>
      </w:pPr>
      <w:r>
        <w:t xml:space="preserve">Please provide details about any displacement experience, including reasons or new location: </w:t>
      </w:r>
    </w:p>
    <w:p w:rsidR="00A9548F" w:rsidRDefault="00F6228E">
      <w:pPr>
        <w:tabs>
          <w:tab w:val="center" w:pos="4922"/>
          <w:tab w:val="right" w:pos="10216"/>
        </w:tabs>
        <w:spacing w:after="347" w:line="259" w:lineRule="auto"/>
        <w:ind w:left="0"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275834" cy="20574"/>
                <wp:effectExtent l="0" t="0" r="0" b="0"/>
                <wp:docPr id="50212" name="Group 50212"/>
                <wp:cNvGraphicFramePr/>
                <a:graphic xmlns:a="http://schemas.openxmlformats.org/drawingml/2006/main">
                  <a:graphicData uri="http://schemas.microsoft.com/office/word/2010/wordprocessingGroup">
                    <wpg:wgp>
                      <wpg:cNvGrpSpPr/>
                      <wpg:grpSpPr>
                        <a:xfrm>
                          <a:off x="0" y="0"/>
                          <a:ext cx="5275834" cy="20574"/>
                          <a:chOff x="0" y="0"/>
                          <a:chExt cx="5275834" cy="20574"/>
                        </a:xfrm>
                      </wpg:grpSpPr>
                      <wps:wsp>
                        <wps:cNvPr id="53086" name="Shape 53086"/>
                        <wps:cNvSpPr/>
                        <wps:spPr>
                          <a:xfrm>
                            <a:off x="0" y="0"/>
                            <a:ext cx="5274310" cy="19685"/>
                          </a:xfrm>
                          <a:custGeom>
                            <a:avLst/>
                            <a:gdLst/>
                            <a:ahLst/>
                            <a:cxnLst/>
                            <a:rect l="0" t="0" r="0" b="0"/>
                            <a:pathLst>
                              <a:path w="5274310" h="19685">
                                <a:moveTo>
                                  <a:pt x="0" y="0"/>
                                </a:moveTo>
                                <a:lnTo>
                                  <a:pt x="5274310" y="0"/>
                                </a:lnTo>
                                <a:lnTo>
                                  <a:pt x="52743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87" name="Shape 53087"/>
                        <wps:cNvSpPr/>
                        <wps:spPr>
                          <a:xfrm>
                            <a:off x="254"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88" name="Shape 53088"/>
                        <wps:cNvSpPr/>
                        <wps:spPr>
                          <a:xfrm>
                            <a:off x="3302" y="762"/>
                            <a:ext cx="5269357" cy="9144"/>
                          </a:xfrm>
                          <a:custGeom>
                            <a:avLst/>
                            <a:gdLst/>
                            <a:ahLst/>
                            <a:cxnLst/>
                            <a:rect l="0" t="0" r="0" b="0"/>
                            <a:pathLst>
                              <a:path w="5269357" h="9144">
                                <a:moveTo>
                                  <a:pt x="0" y="0"/>
                                </a:moveTo>
                                <a:lnTo>
                                  <a:pt x="5269357" y="0"/>
                                </a:lnTo>
                                <a:lnTo>
                                  <a:pt x="52693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89" name="Shape 53089"/>
                        <wps:cNvSpPr/>
                        <wps:spPr>
                          <a:xfrm>
                            <a:off x="5272786"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90" name="Shape 53090"/>
                        <wps:cNvSpPr/>
                        <wps:spPr>
                          <a:xfrm>
                            <a:off x="254"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091" name="Shape 53091"/>
                        <wps:cNvSpPr/>
                        <wps:spPr>
                          <a:xfrm>
                            <a:off x="5272786"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092" name="Shape 53092"/>
                        <wps:cNvSpPr/>
                        <wps:spPr>
                          <a:xfrm>
                            <a:off x="254"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093" name="Shape 53093"/>
                        <wps:cNvSpPr/>
                        <wps:spPr>
                          <a:xfrm>
                            <a:off x="3302" y="17526"/>
                            <a:ext cx="5269357" cy="9144"/>
                          </a:xfrm>
                          <a:custGeom>
                            <a:avLst/>
                            <a:gdLst/>
                            <a:ahLst/>
                            <a:cxnLst/>
                            <a:rect l="0" t="0" r="0" b="0"/>
                            <a:pathLst>
                              <a:path w="5269357" h="9144">
                                <a:moveTo>
                                  <a:pt x="0" y="0"/>
                                </a:moveTo>
                                <a:lnTo>
                                  <a:pt x="5269357" y="0"/>
                                </a:lnTo>
                                <a:lnTo>
                                  <a:pt x="52693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094" name="Shape 53094"/>
                        <wps:cNvSpPr/>
                        <wps:spPr>
                          <a:xfrm>
                            <a:off x="5272786"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0212" style="width:415.42pt;height:1.62pt;mso-position-horizontal-relative:char;mso-position-vertical-relative:line" coordsize="52758,205">
                <v:shape id="Shape 53095" style="position:absolute;width:52743;height:196;left:0;top:0;" coordsize="5274310,19685" path="m0,0l5274310,0l5274310,19685l0,19685l0,0">
                  <v:stroke weight="0pt" endcap="flat" joinstyle="miter" miterlimit="10" on="false" color="#000000" opacity="0"/>
                  <v:fill on="true" color="#a0a0a0"/>
                </v:shape>
                <v:shape id="Shape 53096" style="position:absolute;width:91;height:91;left:2;top:7;" coordsize="9144,9144" path="m0,0l9144,0l9144,9144l0,9144l0,0">
                  <v:stroke weight="0pt" endcap="flat" joinstyle="miter" miterlimit="10" on="false" color="#000000" opacity="0"/>
                  <v:fill on="true" color="#a0a0a0"/>
                </v:shape>
                <v:shape id="Shape 53097" style="position:absolute;width:52693;height:91;left:33;top:7;" coordsize="5269357,9144" path="m0,0l5269357,0l5269357,9144l0,9144l0,0">
                  <v:stroke weight="0pt" endcap="flat" joinstyle="miter" miterlimit="10" on="false" color="#000000" opacity="0"/>
                  <v:fill on="true" color="#a0a0a0"/>
                </v:shape>
                <v:shape id="Shape 53098" style="position:absolute;width:91;height:91;left:52727;top:7;" coordsize="9144,9144" path="m0,0l9144,0l9144,9144l0,9144l0,0">
                  <v:stroke weight="0pt" endcap="flat" joinstyle="miter" miterlimit="10" on="false" color="#000000" opacity="0"/>
                  <v:fill on="true" color="#a0a0a0"/>
                </v:shape>
                <v:shape id="Shape 53099" style="position:absolute;width:91;height:137;left:2;top:38;" coordsize="9144,13716" path="m0,0l9144,0l9144,13716l0,13716l0,0">
                  <v:stroke weight="0pt" endcap="flat" joinstyle="miter" miterlimit="10" on="false" color="#000000" opacity="0"/>
                  <v:fill on="true" color="#a0a0a0"/>
                </v:shape>
                <v:shape id="Shape 53100" style="position:absolute;width:91;height:137;left:52727;top:38;" coordsize="9144,13716" path="m0,0l9144,0l9144,13716l0,13716l0,0">
                  <v:stroke weight="0pt" endcap="flat" joinstyle="miter" miterlimit="10" on="false" color="#000000" opacity="0"/>
                  <v:fill on="true" color="#e3e3e3"/>
                </v:shape>
                <v:shape id="Shape 53101" style="position:absolute;width:91;height:91;left:2;top:175;" coordsize="9144,9144" path="m0,0l9144,0l9144,9144l0,9144l0,0">
                  <v:stroke weight="0pt" endcap="flat" joinstyle="miter" miterlimit="10" on="false" color="#000000" opacity="0"/>
                  <v:fill on="true" color="#e3e3e3"/>
                </v:shape>
                <v:shape id="Shape 53102" style="position:absolute;width:52693;height:91;left:33;top:175;" coordsize="5269357,9144" path="m0,0l5269357,0l5269357,9144l0,9144l0,0">
                  <v:stroke weight="0pt" endcap="flat" joinstyle="miter" miterlimit="10" on="false" color="#000000" opacity="0"/>
                  <v:fill on="true" color="#e3e3e3"/>
                </v:shape>
                <v:shape id="Shape 53103" style="position:absolute;width:91;height:91;left:52727;top:175;" coordsize="9144,9144" path="m0,0l9144,0l9144,9144l0,9144l0,0">
                  <v:stroke weight="0pt" endcap="flat" joinstyle="miter" miterlimit="10" on="false" color="#000000" opacity="0"/>
                  <v:fill on="true" color="#e3e3e3"/>
                </v:shape>
              </v:group>
            </w:pict>
          </mc:Fallback>
        </mc:AlternateContent>
      </w:r>
      <w:r>
        <w:tab/>
        <w:t xml:space="preserve"> </w:t>
      </w:r>
    </w:p>
    <w:p w:rsidR="00A9548F" w:rsidRDefault="00F6228E">
      <w:pPr>
        <w:pStyle w:val="Heading2"/>
        <w:spacing w:after="386"/>
        <w:ind w:left="-5" w:right="0"/>
      </w:pPr>
      <w:r>
        <w:t xml:space="preserve">SECTION D: SPATIAL AND LAND USE CHANGES </w:t>
      </w:r>
    </w:p>
    <w:p w:rsidR="00A9548F" w:rsidRDefault="00F6228E">
      <w:pPr>
        <w:numPr>
          <w:ilvl w:val="0"/>
          <w:numId w:val="9"/>
        </w:numPr>
        <w:spacing w:after="2" w:line="356" w:lineRule="auto"/>
        <w:ind w:right="1178" w:hanging="360"/>
      </w:pPr>
      <w:r>
        <w:t>The number of high-</w:t>
      </w:r>
      <w:r>
        <w:t xml:space="preserve">rise buildings or luxury developments has increased in my community due to gentrification. </w:t>
      </w:r>
    </w:p>
    <w:p w:rsidR="00A9548F" w:rsidRDefault="00F6228E">
      <w:pPr>
        <w:tabs>
          <w:tab w:val="center" w:pos="921"/>
          <w:tab w:val="center" w:pos="1440"/>
          <w:tab w:val="center" w:pos="2362"/>
          <w:tab w:val="center" w:pos="2881"/>
          <w:tab w:val="center" w:pos="3802"/>
          <w:tab w:val="center" w:pos="4321"/>
          <w:tab w:val="center" w:pos="5242"/>
          <w:tab w:val="center" w:pos="5761"/>
          <w:tab w:val="center" w:pos="6682"/>
        </w:tabs>
        <w:spacing w:after="114"/>
        <w:ind w:left="0" w:right="0" w:firstLine="0"/>
        <w:jc w:val="left"/>
      </w:pPr>
      <w:r>
        <w:rPr>
          <w:rFonts w:ascii="Calibri" w:eastAsia="Calibri" w:hAnsi="Calibri" w:cs="Calibri"/>
          <w:sz w:val="22"/>
        </w:rPr>
        <w:tab/>
      </w:r>
      <w:r>
        <w:t xml:space="preserve">[ ] 1  </w:t>
      </w:r>
      <w:r>
        <w:tab/>
        <w:t xml:space="preserve"> </w:t>
      </w:r>
      <w:r>
        <w:tab/>
        <w:t xml:space="preserve">[ ] 2  </w:t>
      </w:r>
      <w:r>
        <w:tab/>
        <w:t xml:space="preserve"> </w:t>
      </w:r>
      <w:r>
        <w:tab/>
        <w:t xml:space="preserve">[ ] 3  </w:t>
      </w:r>
      <w:r>
        <w:tab/>
        <w:t xml:space="preserve"> </w:t>
      </w:r>
      <w:r>
        <w:tab/>
        <w:t xml:space="preserve">[ ] 4  </w:t>
      </w:r>
      <w:r>
        <w:tab/>
        <w:t xml:space="preserve"> </w:t>
      </w:r>
      <w:r>
        <w:tab/>
        <w:t xml:space="preserve">[ ] 5 </w:t>
      </w:r>
    </w:p>
    <w:p w:rsidR="00A9548F" w:rsidRDefault="00F6228E">
      <w:pPr>
        <w:spacing w:after="1" w:line="358" w:lineRule="auto"/>
        <w:ind w:left="730" w:right="1178"/>
      </w:pPr>
      <w:r>
        <w:t xml:space="preserve">(Note: 70% in Lekki, 50% in Yaba, and 80% in Ikoyi agree or strongly agree based on survey data.) </w:t>
      </w:r>
    </w:p>
    <w:p w:rsidR="00A9548F" w:rsidRDefault="00F6228E">
      <w:pPr>
        <w:numPr>
          <w:ilvl w:val="0"/>
          <w:numId w:val="9"/>
        </w:numPr>
        <w:spacing w:after="0" w:line="358" w:lineRule="auto"/>
        <w:ind w:right="1178" w:hanging="360"/>
      </w:pPr>
      <w:r>
        <w:lastRenderedPageBreak/>
        <w:t>Informal settleme</w:t>
      </w:r>
      <w:r>
        <w:t xml:space="preserve">nts or low-income housing areas have decreased in my community due to gentrification. </w:t>
      </w:r>
    </w:p>
    <w:p w:rsidR="00A9548F" w:rsidRDefault="00F6228E">
      <w:pPr>
        <w:tabs>
          <w:tab w:val="center" w:pos="921"/>
          <w:tab w:val="center" w:pos="1440"/>
          <w:tab w:val="center" w:pos="2362"/>
          <w:tab w:val="center" w:pos="2881"/>
          <w:tab w:val="center" w:pos="3802"/>
          <w:tab w:val="center" w:pos="4321"/>
          <w:tab w:val="center" w:pos="5242"/>
          <w:tab w:val="center" w:pos="5761"/>
          <w:tab w:val="center" w:pos="6682"/>
        </w:tabs>
        <w:spacing w:after="115"/>
        <w:ind w:left="0" w:right="0" w:firstLine="0"/>
        <w:jc w:val="left"/>
      </w:pPr>
      <w:r>
        <w:rPr>
          <w:rFonts w:ascii="Calibri" w:eastAsia="Calibri" w:hAnsi="Calibri" w:cs="Calibri"/>
          <w:sz w:val="22"/>
        </w:rPr>
        <w:tab/>
      </w:r>
      <w:r>
        <w:t xml:space="preserve">[ ] 1  </w:t>
      </w:r>
      <w:r>
        <w:tab/>
        <w:t xml:space="preserve"> </w:t>
      </w:r>
      <w:r>
        <w:tab/>
        <w:t xml:space="preserve">[ ] 2  </w:t>
      </w:r>
      <w:r>
        <w:tab/>
        <w:t xml:space="preserve"> </w:t>
      </w:r>
      <w:r>
        <w:tab/>
        <w:t xml:space="preserve">[ ] 3  </w:t>
      </w:r>
      <w:r>
        <w:tab/>
        <w:t xml:space="preserve"> </w:t>
      </w:r>
      <w:r>
        <w:tab/>
        <w:t xml:space="preserve">[ ] 4  </w:t>
      </w:r>
      <w:r>
        <w:tab/>
        <w:t xml:space="preserve"> </w:t>
      </w:r>
      <w:r>
        <w:tab/>
        <w:t xml:space="preserve">[ ] 5 </w:t>
      </w:r>
    </w:p>
    <w:p w:rsidR="00A9548F" w:rsidRDefault="00F6228E">
      <w:pPr>
        <w:spacing w:line="356" w:lineRule="auto"/>
        <w:ind w:left="730" w:right="1178"/>
      </w:pPr>
      <w:r>
        <w:t xml:space="preserve">(Note: 50% in Lekki, 40% in Yaba, and 60% in Ikoyi agree or strongly agree based on survey data.) </w:t>
      </w:r>
    </w:p>
    <w:p w:rsidR="00A9548F" w:rsidRDefault="00F6228E">
      <w:pPr>
        <w:spacing w:after="0" w:line="259" w:lineRule="auto"/>
        <w:ind w:left="0" w:right="0" w:firstLine="0"/>
        <w:jc w:val="left"/>
      </w:pPr>
      <w:r>
        <w:t xml:space="preserve"> </w:t>
      </w:r>
    </w:p>
    <w:p w:rsidR="00A9548F" w:rsidRDefault="00F6228E">
      <w:pPr>
        <w:numPr>
          <w:ilvl w:val="0"/>
          <w:numId w:val="9"/>
        </w:numPr>
        <w:spacing w:after="2" w:line="356" w:lineRule="auto"/>
        <w:ind w:right="1178" w:hanging="360"/>
      </w:pPr>
      <w:r>
        <w:t>Commercial developme</w:t>
      </w:r>
      <w:r>
        <w:t xml:space="preserve">nts (e.g., shops, offices) have grown in my area due to gentrification. </w:t>
      </w:r>
    </w:p>
    <w:p w:rsidR="00A9548F" w:rsidRDefault="00F6228E">
      <w:pPr>
        <w:tabs>
          <w:tab w:val="center" w:pos="921"/>
          <w:tab w:val="center" w:pos="1440"/>
          <w:tab w:val="center" w:pos="2362"/>
          <w:tab w:val="center" w:pos="2881"/>
          <w:tab w:val="center" w:pos="3802"/>
          <w:tab w:val="center" w:pos="4321"/>
          <w:tab w:val="center" w:pos="5242"/>
          <w:tab w:val="center" w:pos="5761"/>
          <w:tab w:val="center" w:pos="6682"/>
        </w:tabs>
        <w:spacing w:after="113"/>
        <w:ind w:left="0" w:right="0" w:firstLine="0"/>
        <w:jc w:val="left"/>
      </w:pPr>
      <w:r>
        <w:rPr>
          <w:rFonts w:ascii="Calibri" w:eastAsia="Calibri" w:hAnsi="Calibri" w:cs="Calibri"/>
          <w:sz w:val="22"/>
        </w:rPr>
        <w:tab/>
      </w:r>
      <w:r>
        <w:t xml:space="preserve">[ ] 1  </w:t>
      </w:r>
      <w:r>
        <w:tab/>
        <w:t xml:space="preserve"> </w:t>
      </w:r>
      <w:r>
        <w:tab/>
        <w:t xml:space="preserve">[ ] 2  </w:t>
      </w:r>
      <w:r>
        <w:tab/>
        <w:t xml:space="preserve"> </w:t>
      </w:r>
      <w:r>
        <w:tab/>
        <w:t xml:space="preserve">[ ] 3  </w:t>
      </w:r>
      <w:r>
        <w:tab/>
        <w:t xml:space="preserve"> </w:t>
      </w:r>
      <w:r>
        <w:tab/>
        <w:t xml:space="preserve">[ ] 4  </w:t>
      </w:r>
      <w:r>
        <w:tab/>
        <w:t xml:space="preserve"> </w:t>
      </w:r>
      <w:r>
        <w:tab/>
        <w:t xml:space="preserve">[ ] 5 </w:t>
      </w:r>
    </w:p>
    <w:p w:rsidR="00A9548F" w:rsidRDefault="00F6228E">
      <w:pPr>
        <w:spacing w:after="1" w:line="358" w:lineRule="auto"/>
        <w:ind w:left="730" w:right="1178"/>
      </w:pPr>
      <w:r>
        <w:t xml:space="preserve">(Note: 60% in Lekki, 70% in Yaba, and 75% in Ikoyi agree or strongly agree based on survey data.) </w:t>
      </w:r>
    </w:p>
    <w:p w:rsidR="00A9548F" w:rsidRDefault="00F6228E">
      <w:pPr>
        <w:numPr>
          <w:ilvl w:val="0"/>
          <w:numId w:val="9"/>
        </w:numPr>
        <w:spacing w:after="337" w:line="358" w:lineRule="auto"/>
        <w:ind w:right="1178" w:hanging="360"/>
      </w:pPr>
      <w:r>
        <w:t xml:space="preserve">Please note any visible changes in land use or public spaces in your community due to gentrification: </w:t>
      </w:r>
    </w:p>
    <w:p w:rsidR="00A9548F" w:rsidRDefault="00F6228E">
      <w:pPr>
        <w:tabs>
          <w:tab w:val="center" w:pos="4922"/>
          <w:tab w:val="right" w:pos="10216"/>
        </w:tabs>
        <w:spacing w:after="347" w:line="259" w:lineRule="auto"/>
        <w:ind w:left="0"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275834" cy="20447"/>
                <wp:effectExtent l="0" t="0" r="0" b="0"/>
                <wp:docPr id="50850" name="Group 50850"/>
                <wp:cNvGraphicFramePr/>
                <a:graphic xmlns:a="http://schemas.openxmlformats.org/drawingml/2006/main">
                  <a:graphicData uri="http://schemas.microsoft.com/office/word/2010/wordprocessingGroup">
                    <wpg:wgp>
                      <wpg:cNvGrpSpPr/>
                      <wpg:grpSpPr>
                        <a:xfrm>
                          <a:off x="0" y="0"/>
                          <a:ext cx="5275834" cy="20447"/>
                          <a:chOff x="0" y="0"/>
                          <a:chExt cx="5275834" cy="20447"/>
                        </a:xfrm>
                      </wpg:grpSpPr>
                      <wps:wsp>
                        <wps:cNvPr id="53104" name="Shape 53104"/>
                        <wps:cNvSpPr/>
                        <wps:spPr>
                          <a:xfrm>
                            <a:off x="0" y="0"/>
                            <a:ext cx="5274310" cy="19685"/>
                          </a:xfrm>
                          <a:custGeom>
                            <a:avLst/>
                            <a:gdLst/>
                            <a:ahLst/>
                            <a:cxnLst/>
                            <a:rect l="0" t="0" r="0" b="0"/>
                            <a:pathLst>
                              <a:path w="5274310" h="19685">
                                <a:moveTo>
                                  <a:pt x="0" y="0"/>
                                </a:moveTo>
                                <a:lnTo>
                                  <a:pt x="5274310" y="0"/>
                                </a:lnTo>
                                <a:lnTo>
                                  <a:pt x="52743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05" name="Shape 53105"/>
                        <wps:cNvSpPr/>
                        <wps:spPr>
                          <a:xfrm>
                            <a:off x="254"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06" name="Shape 53106"/>
                        <wps:cNvSpPr/>
                        <wps:spPr>
                          <a:xfrm>
                            <a:off x="3302" y="635"/>
                            <a:ext cx="5269357" cy="9144"/>
                          </a:xfrm>
                          <a:custGeom>
                            <a:avLst/>
                            <a:gdLst/>
                            <a:ahLst/>
                            <a:cxnLst/>
                            <a:rect l="0" t="0" r="0" b="0"/>
                            <a:pathLst>
                              <a:path w="5269357" h="9144">
                                <a:moveTo>
                                  <a:pt x="0" y="0"/>
                                </a:moveTo>
                                <a:lnTo>
                                  <a:pt x="5269357" y="0"/>
                                </a:lnTo>
                                <a:lnTo>
                                  <a:pt x="52693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07" name="Shape 53107"/>
                        <wps:cNvSpPr/>
                        <wps:spPr>
                          <a:xfrm>
                            <a:off x="5272786"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08" name="Shape 53108"/>
                        <wps:cNvSpPr/>
                        <wps:spPr>
                          <a:xfrm>
                            <a:off x="254"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09" name="Shape 53109"/>
                        <wps:cNvSpPr/>
                        <wps:spPr>
                          <a:xfrm>
                            <a:off x="5272786"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110" name="Shape 53110"/>
                        <wps:cNvSpPr/>
                        <wps:spPr>
                          <a:xfrm>
                            <a:off x="254"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111" name="Shape 53111"/>
                        <wps:cNvSpPr/>
                        <wps:spPr>
                          <a:xfrm>
                            <a:off x="3302" y="17399"/>
                            <a:ext cx="5269357" cy="9144"/>
                          </a:xfrm>
                          <a:custGeom>
                            <a:avLst/>
                            <a:gdLst/>
                            <a:ahLst/>
                            <a:cxnLst/>
                            <a:rect l="0" t="0" r="0" b="0"/>
                            <a:pathLst>
                              <a:path w="5269357" h="9144">
                                <a:moveTo>
                                  <a:pt x="0" y="0"/>
                                </a:moveTo>
                                <a:lnTo>
                                  <a:pt x="5269357" y="0"/>
                                </a:lnTo>
                                <a:lnTo>
                                  <a:pt x="52693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112" name="Shape 53112"/>
                        <wps:cNvSpPr/>
                        <wps:spPr>
                          <a:xfrm>
                            <a:off x="5272786"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0850" style="width:415.42pt;height:1.60999pt;mso-position-horizontal-relative:char;mso-position-vertical-relative:line" coordsize="52758,204">
                <v:shape id="Shape 53113" style="position:absolute;width:52743;height:196;left:0;top:0;" coordsize="5274310,19685" path="m0,0l5274310,0l5274310,19685l0,19685l0,0">
                  <v:stroke weight="0pt" endcap="flat" joinstyle="miter" miterlimit="10" on="false" color="#000000" opacity="0"/>
                  <v:fill on="true" color="#a0a0a0"/>
                </v:shape>
                <v:shape id="Shape 53114" style="position:absolute;width:91;height:91;left:2;top:6;" coordsize="9144,9144" path="m0,0l9144,0l9144,9144l0,9144l0,0">
                  <v:stroke weight="0pt" endcap="flat" joinstyle="miter" miterlimit="10" on="false" color="#000000" opacity="0"/>
                  <v:fill on="true" color="#a0a0a0"/>
                </v:shape>
                <v:shape id="Shape 53115" style="position:absolute;width:52693;height:91;left:33;top:6;" coordsize="5269357,9144" path="m0,0l5269357,0l5269357,9144l0,9144l0,0">
                  <v:stroke weight="0pt" endcap="flat" joinstyle="miter" miterlimit="10" on="false" color="#000000" opacity="0"/>
                  <v:fill on="true" color="#a0a0a0"/>
                </v:shape>
                <v:shape id="Shape 53116" style="position:absolute;width:91;height:91;left:52727;top:6;" coordsize="9144,9144" path="m0,0l9144,0l9144,9144l0,9144l0,0">
                  <v:stroke weight="0pt" endcap="flat" joinstyle="miter" miterlimit="10" on="false" color="#000000" opacity="0"/>
                  <v:fill on="true" color="#a0a0a0"/>
                </v:shape>
                <v:shape id="Shape 53117" style="position:absolute;width:91;height:137;left:2;top:36;" coordsize="9144,13716" path="m0,0l9144,0l9144,13716l0,13716l0,0">
                  <v:stroke weight="0pt" endcap="flat" joinstyle="miter" miterlimit="10" on="false" color="#000000" opacity="0"/>
                  <v:fill on="true" color="#a0a0a0"/>
                </v:shape>
                <v:shape id="Shape 53118" style="position:absolute;width:91;height:137;left:52727;top:36;" coordsize="9144,13716" path="m0,0l9144,0l9144,13716l0,13716l0,0">
                  <v:stroke weight="0pt" endcap="flat" joinstyle="miter" miterlimit="10" on="false" color="#000000" opacity="0"/>
                  <v:fill on="true" color="#e3e3e3"/>
                </v:shape>
                <v:shape id="Shape 53119" style="position:absolute;width:91;height:91;left:2;top:173;" coordsize="9144,9144" path="m0,0l9144,0l9144,9144l0,9144l0,0">
                  <v:stroke weight="0pt" endcap="flat" joinstyle="miter" miterlimit="10" on="false" color="#000000" opacity="0"/>
                  <v:fill on="true" color="#e3e3e3"/>
                </v:shape>
                <v:shape id="Shape 53120" style="position:absolute;width:52693;height:91;left:33;top:173;" coordsize="5269357,9144" path="m0,0l5269357,0l5269357,9144l0,9144l0,0">
                  <v:stroke weight="0pt" endcap="flat" joinstyle="miter" miterlimit="10" on="false" color="#000000" opacity="0"/>
                  <v:fill on="true" color="#e3e3e3"/>
                </v:shape>
                <v:shape id="Shape 53121" style="position:absolute;width:91;height:91;left:52727;top:173;" coordsize="9144,9144" path="m0,0l9144,0l9144,9144l0,9144l0,0">
                  <v:stroke weight="0pt" endcap="flat" joinstyle="miter" miterlimit="10" on="false" color="#000000" opacity="0"/>
                  <v:fill on="true" color="#e3e3e3"/>
                </v:shape>
              </v:group>
            </w:pict>
          </mc:Fallback>
        </mc:AlternateContent>
      </w:r>
      <w:r>
        <w:tab/>
        <w:t xml:space="preserve"> </w:t>
      </w:r>
    </w:p>
    <w:p w:rsidR="00A9548F" w:rsidRDefault="00F6228E">
      <w:pPr>
        <w:pStyle w:val="Heading2"/>
        <w:spacing w:after="388"/>
        <w:ind w:left="-5" w:right="0"/>
      </w:pPr>
      <w:r>
        <w:t xml:space="preserve">SECTION E: ROLE OF GOVERNMENT POLICIES AND PRIVATE SECTOR </w:t>
      </w:r>
    </w:p>
    <w:p w:rsidR="00A9548F" w:rsidRDefault="00F6228E">
      <w:pPr>
        <w:numPr>
          <w:ilvl w:val="0"/>
          <w:numId w:val="10"/>
        </w:numPr>
        <w:spacing w:after="106"/>
        <w:ind w:right="1178" w:hanging="360"/>
      </w:pPr>
      <w:r>
        <w:t xml:space="preserve">Government policies have contributed to gentrification in my community. </w:t>
      </w:r>
    </w:p>
    <w:p w:rsidR="00A9548F" w:rsidRDefault="00F6228E">
      <w:pPr>
        <w:tabs>
          <w:tab w:val="center" w:pos="922"/>
          <w:tab w:val="center" w:pos="1440"/>
          <w:tab w:val="center" w:pos="2362"/>
          <w:tab w:val="center" w:pos="2881"/>
          <w:tab w:val="center" w:pos="3802"/>
          <w:tab w:val="center" w:pos="4321"/>
          <w:tab w:val="center" w:pos="5242"/>
          <w:tab w:val="center" w:pos="5761"/>
          <w:tab w:val="center" w:pos="6682"/>
        </w:tabs>
        <w:spacing w:after="113"/>
        <w:ind w:left="0" w:right="0" w:firstLine="0"/>
        <w:jc w:val="left"/>
      </w:pPr>
      <w:r>
        <w:rPr>
          <w:rFonts w:ascii="Calibri" w:eastAsia="Calibri" w:hAnsi="Calibri" w:cs="Calibri"/>
          <w:sz w:val="22"/>
        </w:rPr>
        <w:tab/>
      </w:r>
      <w:r>
        <w:t xml:space="preserve">[ ] 1  </w:t>
      </w:r>
      <w:r>
        <w:tab/>
        <w:t xml:space="preserve"> </w:t>
      </w:r>
      <w:r>
        <w:tab/>
        <w:t>[ ] 2</w:t>
      </w:r>
      <w:r>
        <w:t xml:space="preserve">  </w:t>
      </w:r>
      <w:r>
        <w:tab/>
        <w:t xml:space="preserve"> </w:t>
      </w:r>
      <w:r>
        <w:tab/>
        <w:t xml:space="preserve">[ ] 3  </w:t>
      </w:r>
      <w:r>
        <w:tab/>
        <w:t xml:space="preserve"> </w:t>
      </w:r>
      <w:r>
        <w:tab/>
        <w:t xml:space="preserve">[ ] 4  </w:t>
      </w:r>
      <w:r>
        <w:tab/>
        <w:t xml:space="preserve"> </w:t>
      </w:r>
      <w:r>
        <w:tab/>
        <w:t xml:space="preserve">[ ] 5 </w:t>
      </w:r>
    </w:p>
    <w:p w:rsidR="00A9548F" w:rsidRDefault="00F6228E">
      <w:pPr>
        <w:spacing w:after="112"/>
        <w:ind w:left="730" w:right="1178"/>
      </w:pPr>
      <w:r>
        <w:t xml:space="preserve">(Note: 80% of respondents agree or strongly agree based on survey data.) </w:t>
      </w:r>
    </w:p>
    <w:p w:rsidR="00A9548F" w:rsidRDefault="00F6228E">
      <w:pPr>
        <w:numPr>
          <w:ilvl w:val="0"/>
          <w:numId w:val="10"/>
        </w:numPr>
        <w:spacing w:after="2" w:line="357" w:lineRule="auto"/>
        <w:ind w:right="1178" w:hanging="360"/>
      </w:pPr>
      <w:r>
        <w:t xml:space="preserve">Private-sector developments (e.g., real estate companies) have driven changes in my neighborhood due to gentrification. </w:t>
      </w:r>
    </w:p>
    <w:p w:rsidR="00A9548F" w:rsidRDefault="00F6228E">
      <w:pPr>
        <w:tabs>
          <w:tab w:val="center" w:pos="921"/>
          <w:tab w:val="center" w:pos="1440"/>
          <w:tab w:val="center" w:pos="2362"/>
          <w:tab w:val="center" w:pos="2881"/>
          <w:tab w:val="center" w:pos="3802"/>
          <w:tab w:val="center" w:pos="4321"/>
          <w:tab w:val="center" w:pos="5242"/>
          <w:tab w:val="center" w:pos="5761"/>
          <w:tab w:val="center" w:pos="6682"/>
        </w:tabs>
        <w:spacing w:after="113"/>
        <w:ind w:left="0" w:right="0" w:firstLine="0"/>
        <w:jc w:val="left"/>
      </w:pPr>
      <w:r>
        <w:rPr>
          <w:rFonts w:ascii="Calibri" w:eastAsia="Calibri" w:hAnsi="Calibri" w:cs="Calibri"/>
          <w:sz w:val="22"/>
        </w:rPr>
        <w:tab/>
      </w:r>
      <w:r>
        <w:t xml:space="preserve">[ ] 1  </w:t>
      </w:r>
      <w:r>
        <w:tab/>
        <w:t xml:space="preserve"> </w:t>
      </w:r>
      <w:r>
        <w:tab/>
        <w:t xml:space="preserve">[ ] 2  </w:t>
      </w:r>
      <w:r>
        <w:tab/>
        <w:t xml:space="preserve"> </w:t>
      </w:r>
      <w:r>
        <w:tab/>
        <w:t xml:space="preserve">[ ] 3  </w:t>
      </w:r>
      <w:r>
        <w:tab/>
        <w:t xml:space="preserve"> </w:t>
      </w:r>
      <w:r>
        <w:tab/>
        <w:t xml:space="preserve">[ ] 4  </w:t>
      </w:r>
      <w:r>
        <w:tab/>
        <w:t xml:space="preserve"> </w:t>
      </w:r>
      <w:r>
        <w:tab/>
        <w:t xml:space="preserve">[ ] 5 </w:t>
      </w:r>
    </w:p>
    <w:p w:rsidR="00A9548F" w:rsidRDefault="00F6228E">
      <w:pPr>
        <w:spacing w:after="112"/>
        <w:ind w:left="730" w:right="1178"/>
      </w:pPr>
      <w:r>
        <w:t xml:space="preserve">(Note: 80% of respondents agree or strongly agree based on survey data.) </w:t>
      </w:r>
    </w:p>
    <w:p w:rsidR="00A9548F" w:rsidRDefault="00F6228E">
      <w:pPr>
        <w:numPr>
          <w:ilvl w:val="0"/>
          <w:numId w:val="10"/>
        </w:numPr>
        <w:spacing w:after="2" w:line="356" w:lineRule="auto"/>
        <w:ind w:right="1178" w:hanging="360"/>
      </w:pPr>
      <w:r>
        <w:t xml:space="preserve">The government has taken steps to reduce the negative effects of gentrification in my community. </w:t>
      </w:r>
    </w:p>
    <w:p w:rsidR="00A9548F" w:rsidRDefault="00F6228E">
      <w:pPr>
        <w:tabs>
          <w:tab w:val="center" w:pos="921"/>
          <w:tab w:val="center" w:pos="1440"/>
          <w:tab w:val="center" w:pos="2362"/>
          <w:tab w:val="center" w:pos="2881"/>
          <w:tab w:val="center" w:pos="3802"/>
          <w:tab w:val="center" w:pos="4321"/>
          <w:tab w:val="center" w:pos="5242"/>
          <w:tab w:val="center" w:pos="5761"/>
          <w:tab w:val="center" w:pos="6682"/>
        </w:tabs>
        <w:spacing w:after="113"/>
        <w:ind w:left="0" w:right="0" w:firstLine="0"/>
        <w:jc w:val="left"/>
      </w:pPr>
      <w:r>
        <w:rPr>
          <w:rFonts w:ascii="Calibri" w:eastAsia="Calibri" w:hAnsi="Calibri" w:cs="Calibri"/>
          <w:sz w:val="22"/>
        </w:rPr>
        <w:tab/>
      </w:r>
      <w:r>
        <w:t xml:space="preserve">[ ] 1  </w:t>
      </w:r>
      <w:r>
        <w:tab/>
        <w:t xml:space="preserve"> </w:t>
      </w:r>
      <w:r>
        <w:tab/>
        <w:t xml:space="preserve">[ ] 2  </w:t>
      </w:r>
      <w:r>
        <w:tab/>
        <w:t xml:space="preserve"> </w:t>
      </w:r>
      <w:r>
        <w:tab/>
        <w:t xml:space="preserve">[ ] 3  </w:t>
      </w:r>
      <w:r>
        <w:tab/>
        <w:t xml:space="preserve"> </w:t>
      </w:r>
      <w:r>
        <w:tab/>
        <w:t xml:space="preserve">[ ] 4 </w:t>
      </w:r>
      <w:r>
        <w:t xml:space="preserve"> </w:t>
      </w:r>
      <w:r>
        <w:tab/>
        <w:t xml:space="preserve"> </w:t>
      </w:r>
      <w:r>
        <w:tab/>
        <w:t xml:space="preserve">[ ] 5 </w:t>
      </w:r>
    </w:p>
    <w:p w:rsidR="00A9548F" w:rsidRDefault="00F6228E">
      <w:pPr>
        <w:spacing w:after="112"/>
        <w:ind w:left="730" w:right="1178"/>
      </w:pPr>
      <w:r>
        <w:t xml:space="preserve">(Note: 25% of respondents agree or strongly agree based on survey data.) </w:t>
      </w:r>
    </w:p>
    <w:p w:rsidR="00A9548F" w:rsidRDefault="00F6228E">
      <w:pPr>
        <w:numPr>
          <w:ilvl w:val="0"/>
          <w:numId w:val="10"/>
        </w:numPr>
        <w:spacing w:after="338" w:line="357" w:lineRule="auto"/>
        <w:ind w:right="1178" w:hanging="360"/>
      </w:pPr>
      <w:r>
        <w:t xml:space="preserve">Please share your thoughts on how government policies or private-sector actions could better support residents affected by gentrification: </w:t>
      </w:r>
    </w:p>
    <w:p w:rsidR="00A9548F" w:rsidRDefault="00F6228E">
      <w:pPr>
        <w:tabs>
          <w:tab w:val="center" w:pos="4922"/>
          <w:tab w:val="right" w:pos="10216"/>
        </w:tabs>
        <w:spacing w:after="347" w:line="259" w:lineRule="auto"/>
        <w:ind w:left="0" w:right="0" w:firstLine="0"/>
        <w:jc w:val="left"/>
      </w:pPr>
      <w:r>
        <w:rPr>
          <w:rFonts w:ascii="Calibri" w:eastAsia="Calibri" w:hAnsi="Calibri" w:cs="Calibri"/>
          <w:sz w:val="22"/>
        </w:rPr>
        <w:lastRenderedPageBreak/>
        <w:tab/>
      </w:r>
      <w:r>
        <w:rPr>
          <w:rFonts w:ascii="Calibri" w:eastAsia="Calibri" w:hAnsi="Calibri" w:cs="Calibri"/>
          <w:noProof/>
          <w:sz w:val="22"/>
        </w:rPr>
        <mc:AlternateContent>
          <mc:Choice Requires="wpg">
            <w:drawing>
              <wp:inline distT="0" distB="0" distL="0" distR="0">
                <wp:extent cx="5275834" cy="20955"/>
                <wp:effectExtent l="0" t="0" r="0" b="0"/>
                <wp:docPr id="50851" name="Group 50851"/>
                <wp:cNvGraphicFramePr/>
                <a:graphic xmlns:a="http://schemas.openxmlformats.org/drawingml/2006/main">
                  <a:graphicData uri="http://schemas.microsoft.com/office/word/2010/wordprocessingGroup">
                    <wpg:wgp>
                      <wpg:cNvGrpSpPr/>
                      <wpg:grpSpPr>
                        <a:xfrm>
                          <a:off x="0" y="0"/>
                          <a:ext cx="5275834" cy="20955"/>
                          <a:chOff x="0" y="0"/>
                          <a:chExt cx="5275834" cy="20955"/>
                        </a:xfrm>
                      </wpg:grpSpPr>
                      <wps:wsp>
                        <wps:cNvPr id="53122" name="Shape 53122"/>
                        <wps:cNvSpPr/>
                        <wps:spPr>
                          <a:xfrm>
                            <a:off x="0" y="0"/>
                            <a:ext cx="5274310" cy="19685"/>
                          </a:xfrm>
                          <a:custGeom>
                            <a:avLst/>
                            <a:gdLst/>
                            <a:ahLst/>
                            <a:cxnLst/>
                            <a:rect l="0" t="0" r="0" b="0"/>
                            <a:pathLst>
                              <a:path w="5274310" h="19685">
                                <a:moveTo>
                                  <a:pt x="0" y="0"/>
                                </a:moveTo>
                                <a:lnTo>
                                  <a:pt x="5274310" y="0"/>
                                </a:lnTo>
                                <a:lnTo>
                                  <a:pt x="52743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23" name="Shape 53123"/>
                        <wps:cNvSpPr/>
                        <wps:spPr>
                          <a:xfrm>
                            <a:off x="254"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24" name="Shape 53124"/>
                        <wps:cNvSpPr/>
                        <wps:spPr>
                          <a:xfrm>
                            <a:off x="3302" y="1143"/>
                            <a:ext cx="5269357" cy="9144"/>
                          </a:xfrm>
                          <a:custGeom>
                            <a:avLst/>
                            <a:gdLst/>
                            <a:ahLst/>
                            <a:cxnLst/>
                            <a:rect l="0" t="0" r="0" b="0"/>
                            <a:pathLst>
                              <a:path w="5269357" h="9144">
                                <a:moveTo>
                                  <a:pt x="0" y="0"/>
                                </a:moveTo>
                                <a:lnTo>
                                  <a:pt x="5269357" y="0"/>
                                </a:lnTo>
                                <a:lnTo>
                                  <a:pt x="52693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25" name="Shape 53125"/>
                        <wps:cNvSpPr/>
                        <wps:spPr>
                          <a:xfrm>
                            <a:off x="5272786"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26" name="Shape 53126"/>
                        <wps:cNvSpPr/>
                        <wps:spPr>
                          <a:xfrm>
                            <a:off x="254" y="4191"/>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27" name="Shape 53127"/>
                        <wps:cNvSpPr/>
                        <wps:spPr>
                          <a:xfrm>
                            <a:off x="5272786" y="4191"/>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128" name="Shape 53128"/>
                        <wps:cNvSpPr/>
                        <wps:spPr>
                          <a:xfrm>
                            <a:off x="254"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129" name="Shape 53129"/>
                        <wps:cNvSpPr/>
                        <wps:spPr>
                          <a:xfrm>
                            <a:off x="3302" y="17907"/>
                            <a:ext cx="5269357" cy="9144"/>
                          </a:xfrm>
                          <a:custGeom>
                            <a:avLst/>
                            <a:gdLst/>
                            <a:ahLst/>
                            <a:cxnLst/>
                            <a:rect l="0" t="0" r="0" b="0"/>
                            <a:pathLst>
                              <a:path w="5269357" h="9144">
                                <a:moveTo>
                                  <a:pt x="0" y="0"/>
                                </a:moveTo>
                                <a:lnTo>
                                  <a:pt x="5269357" y="0"/>
                                </a:lnTo>
                                <a:lnTo>
                                  <a:pt x="52693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130" name="Shape 53130"/>
                        <wps:cNvSpPr/>
                        <wps:spPr>
                          <a:xfrm>
                            <a:off x="5272786"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0851" style="width:415.42pt;height:1.64996pt;mso-position-horizontal-relative:char;mso-position-vertical-relative:line" coordsize="52758,209">
                <v:shape id="Shape 53131" style="position:absolute;width:52743;height:196;left:0;top:0;" coordsize="5274310,19685" path="m0,0l5274310,0l5274310,19685l0,19685l0,0">
                  <v:stroke weight="0pt" endcap="flat" joinstyle="miter" miterlimit="10" on="false" color="#000000" opacity="0"/>
                  <v:fill on="true" color="#a0a0a0"/>
                </v:shape>
                <v:shape id="Shape 53132" style="position:absolute;width:91;height:91;left:2;top:11;" coordsize="9144,9144" path="m0,0l9144,0l9144,9144l0,9144l0,0">
                  <v:stroke weight="0pt" endcap="flat" joinstyle="miter" miterlimit="10" on="false" color="#000000" opacity="0"/>
                  <v:fill on="true" color="#a0a0a0"/>
                </v:shape>
                <v:shape id="Shape 53133" style="position:absolute;width:52693;height:91;left:33;top:11;" coordsize="5269357,9144" path="m0,0l5269357,0l5269357,9144l0,9144l0,0">
                  <v:stroke weight="0pt" endcap="flat" joinstyle="miter" miterlimit="10" on="false" color="#000000" opacity="0"/>
                  <v:fill on="true" color="#a0a0a0"/>
                </v:shape>
                <v:shape id="Shape 53134" style="position:absolute;width:91;height:91;left:52727;top:11;" coordsize="9144,9144" path="m0,0l9144,0l9144,9144l0,9144l0,0">
                  <v:stroke weight="0pt" endcap="flat" joinstyle="miter" miterlimit="10" on="false" color="#000000" opacity="0"/>
                  <v:fill on="true" color="#a0a0a0"/>
                </v:shape>
                <v:shape id="Shape 53135" style="position:absolute;width:91;height:137;left:2;top:41;" coordsize="9144,13715" path="m0,0l9144,0l9144,13715l0,13715l0,0">
                  <v:stroke weight="0pt" endcap="flat" joinstyle="miter" miterlimit="10" on="false" color="#000000" opacity="0"/>
                  <v:fill on="true" color="#a0a0a0"/>
                </v:shape>
                <v:shape id="Shape 53136" style="position:absolute;width:91;height:137;left:52727;top:41;" coordsize="9144,13715" path="m0,0l9144,0l9144,13715l0,13715l0,0">
                  <v:stroke weight="0pt" endcap="flat" joinstyle="miter" miterlimit="10" on="false" color="#000000" opacity="0"/>
                  <v:fill on="true" color="#e3e3e3"/>
                </v:shape>
                <v:shape id="Shape 53137" style="position:absolute;width:91;height:91;left:2;top:179;" coordsize="9144,9144" path="m0,0l9144,0l9144,9144l0,9144l0,0">
                  <v:stroke weight="0pt" endcap="flat" joinstyle="miter" miterlimit="10" on="false" color="#000000" opacity="0"/>
                  <v:fill on="true" color="#e3e3e3"/>
                </v:shape>
                <v:shape id="Shape 53138" style="position:absolute;width:52693;height:91;left:33;top:179;" coordsize="5269357,9144" path="m0,0l5269357,0l5269357,9144l0,9144l0,0">
                  <v:stroke weight="0pt" endcap="flat" joinstyle="miter" miterlimit="10" on="false" color="#000000" opacity="0"/>
                  <v:fill on="true" color="#e3e3e3"/>
                </v:shape>
                <v:shape id="Shape 53139" style="position:absolute;width:91;height:91;left:52727;top:179;" coordsize="9144,9144" path="m0,0l9144,0l9144,9144l0,9144l0,0">
                  <v:stroke weight="0pt" endcap="flat" joinstyle="miter" miterlimit="10" on="false" color="#000000" opacity="0"/>
                  <v:fill on="true" color="#e3e3e3"/>
                </v:shape>
              </v:group>
            </w:pict>
          </mc:Fallback>
        </mc:AlternateContent>
      </w:r>
      <w:r>
        <w:tab/>
        <w:t xml:space="preserve"> </w:t>
      </w:r>
    </w:p>
    <w:p w:rsidR="00A9548F" w:rsidRDefault="00F6228E">
      <w:pPr>
        <w:pStyle w:val="Heading2"/>
        <w:spacing w:after="388"/>
        <w:ind w:left="-5" w:right="0"/>
      </w:pPr>
      <w:r>
        <w:t>SECTION F: GENERAL FEEDBAC</w:t>
      </w:r>
      <w:r>
        <w:t xml:space="preserve">K </w:t>
      </w:r>
    </w:p>
    <w:p w:rsidR="00A9548F" w:rsidRDefault="00F6228E">
      <w:pPr>
        <w:numPr>
          <w:ilvl w:val="0"/>
          <w:numId w:val="11"/>
        </w:numPr>
        <w:spacing w:after="106"/>
        <w:ind w:right="1178" w:hanging="360"/>
      </w:pPr>
      <w:r>
        <w:t xml:space="preserve">Overall, how would you rate the impact of gentrification on your quality of life? </w:t>
      </w:r>
    </w:p>
    <w:p w:rsidR="00A9548F" w:rsidRDefault="00F6228E">
      <w:pPr>
        <w:tabs>
          <w:tab w:val="center" w:pos="1731"/>
          <w:tab w:val="center" w:pos="4342"/>
          <w:tab w:val="center" w:pos="6430"/>
        </w:tabs>
        <w:spacing w:after="394"/>
        <w:ind w:left="0" w:right="0" w:firstLine="0"/>
        <w:jc w:val="left"/>
      </w:pPr>
      <w:r>
        <w:rPr>
          <w:rFonts w:ascii="Calibri" w:eastAsia="Calibri" w:hAnsi="Calibri" w:cs="Calibri"/>
          <w:sz w:val="22"/>
        </w:rPr>
        <w:tab/>
      </w:r>
      <w:r>
        <w:t xml:space="preserve">[ ] 1 (Very Negative)   </w:t>
      </w:r>
      <w:r>
        <w:tab/>
        <w:t xml:space="preserve">[ ] 2 (Negative)  </w:t>
      </w:r>
      <w:r>
        <w:tab/>
        <w:t xml:space="preserve">[ ] 3 (Neutral)  </w:t>
      </w:r>
    </w:p>
    <w:p w:rsidR="00A9548F" w:rsidRDefault="00F6228E">
      <w:pPr>
        <w:tabs>
          <w:tab w:val="center" w:pos="1387"/>
          <w:tab w:val="center" w:pos="2881"/>
          <w:tab w:val="center" w:pos="4567"/>
        </w:tabs>
        <w:ind w:left="0" w:right="0" w:firstLine="0"/>
        <w:jc w:val="left"/>
      </w:pPr>
      <w:r>
        <w:rPr>
          <w:rFonts w:ascii="Calibri" w:eastAsia="Calibri" w:hAnsi="Calibri" w:cs="Calibri"/>
          <w:sz w:val="22"/>
        </w:rPr>
        <w:tab/>
      </w:r>
      <w:r>
        <w:t xml:space="preserve">[ ]4 (Positive)   </w:t>
      </w:r>
      <w:r>
        <w:tab/>
        <w:t xml:space="preserve"> </w:t>
      </w:r>
      <w:r>
        <w:tab/>
        <w:t xml:space="preserve">[ ] 5 (Very Positive) </w:t>
      </w:r>
    </w:p>
    <w:p w:rsidR="00A9548F" w:rsidRDefault="00F6228E">
      <w:pPr>
        <w:numPr>
          <w:ilvl w:val="0"/>
          <w:numId w:val="11"/>
        </w:numPr>
        <w:spacing w:after="341" w:line="356" w:lineRule="auto"/>
        <w:ind w:right="1178" w:hanging="360"/>
      </w:pPr>
      <w:r>
        <w:t xml:space="preserve">Do you have any additional comments or suggestions regarding gentrification in your community? </w:t>
      </w:r>
    </w:p>
    <w:p w:rsidR="00A9548F" w:rsidRDefault="00F6228E">
      <w:pPr>
        <w:tabs>
          <w:tab w:val="center" w:pos="4925"/>
          <w:tab w:val="right" w:pos="10216"/>
        </w:tabs>
        <w:spacing w:after="342" w:line="259" w:lineRule="auto"/>
        <w:ind w:left="0"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275834" cy="20193"/>
                <wp:effectExtent l="0" t="0" r="0" b="0"/>
                <wp:docPr id="51462" name="Group 51462"/>
                <wp:cNvGraphicFramePr/>
                <a:graphic xmlns:a="http://schemas.openxmlformats.org/drawingml/2006/main">
                  <a:graphicData uri="http://schemas.microsoft.com/office/word/2010/wordprocessingGroup">
                    <wpg:wgp>
                      <wpg:cNvGrpSpPr/>
                      <wpg:grpSpPr>
                        <a:xfrm>
                          <a:off x="0" y="0"/>
                          <a:ext cx="5275834" cy="20193"/>
                          <a:chOff x="0" y="0"/>
                          <a:chExt cx="5275834" cy="20193"/>
                        </a:xfrm>
                      </wpg:grpSpPr>
                      <wps:wsp>
                        <wps:cNvPr id="53140" name="Shape 53140"/>
                        <wps:cNvSpPr/>
                        <wps:spPr>
                          <a:xfrm>
                            <a:off x="0" y="0"/>
                            <a:ext cx="5274310" cy="19685"/>
                          </a:xfrm>
                          <a:custGeom>
                            <a:avLst/>
                            <a:gdLst/>
                            <a:ahLst/>
                            <a:cxnLst/>
                            <a:rect l="0" t="0" r="0" b="0"/>
                            <a:pathLst>
                              <a:path w="5274310" h="19685">
                                <a:moveTo>
                                  <a:pt x="0" y="0"/>
                                </a:moveTo>
                                <a:lnTo>
                                  <a:pt x="5274310" y="0"/>
                                </a:lnTo>
                                <a:lnTo>
                                  <a:pt x="52743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41" name="Shape 53141"/>
                        <wps:cNvSpPr/>
                        <wps:spPr>
                          <a:xfrm>
                            <a:off x="254"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42" name="Shape 53142"/>
                        <wps:cNvSpPr/>
                        <wps:spPr>
                          <a:xfrm>
                            <a:off x="3302" y="381"/>
                            <a:ext cx="5269357" cy="9144"/>
                          </a:xfrm>
                          <a:custGeom>
                            <a:avLst/>
                            <a:gdLst/>
                            <a:ahLst/>
                            <a:cxnLst/>
                            <a:rect l="0" t="0" r="0" b="0"/>
                            <a:pathLst>
                              <a:path w="5269357" h="9144">
                                <a:moveTo>
                                  <a:pt x="0" y="0"/>
                                </a:moveTo>
                                <a:lnTo>
                                  <a:pt x="5269357" y="0"/>
                                </a:lnTo>
                                <a:lnTo>
                                  <a:pt x="52693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43" name="Shape 53143"/>
                        <wps:cNvSpPr/>
                        <wps:spPr>
                          <a:xfrm>
                            <a:off x="527278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44" name="Shape 53144"/>
                        <wps:cNvSpPr/>
                        <wps:spPr>
                          <a:xfrm>
                            <a:off x="254"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45" name="Shape 53145"/>
                        <wps:cNvSpPr/>
                        <wps:spPr>
                          <a:xfrm>
                            <a:off x="5272786"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146" name="Shape 53146"/>
                        <wps:cNvSpPr/>
                        <wps:spPr>
                          <a:xfrm>
                            <a:off x="254"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147" name="Shape 53147"/>
                        <wps:cNvSpPr/>
                        <wps:spPr>
                          <a:xfrm>
                            <a:off x="3302" y="17145"/>
                            <a:ext cx="5269357" cy="9144"/>
                          </a:xfrm>
                          <a:custGeom>
                            <a:avLst/>
                            <a:gdLst/>
                            <a:ahLst/>
                            <a:cxnLst/>
                            <a:rect l="0" t="0" r="0" b="0"/>
                            <a:pathLst>
                              <a:path w="5269357" h="9144">
                                <a:moveTo>
                                  <a:pt x="0" y="0"/>
                                </a:moveTo>
                                <a:lnTo>
                                  <a:pt x="5269357" y="0"/>
                                </a:lnTo>
                                <a:lnTo>
                                  <a:pt x="52693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148" name="Shape 53148"/>
                        <wps:cNvSpPr/>
                        <wps:spPr>
                          <a:xfrm>
                            <a:off x="5272786"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1462" style="width:415.42pt;height:1.58997pt;mso-position-horizontal-relative:char;mso-position-vertical-relative:line" coordsize="52758,201">
                <v:shape id="Shape 53149" style="position:absolute;width:52743;height:196;left:0;top:0;" coordsize="5274310,19685" path="m0,0l5274310,0l5274310,19685l0,19685l0,0">
                  <v:stroke weight="0pt" endcap="flat" joinstyle="miter" miterlimit="10" on="false" color="#000000" opacity="0"/>
                  <v:fill on="true" color="#a0a0a0"/>
                </v:shape>
                <v:shape id="Shape 53150" style="position:absolute;width:91;height:91;left:2;top:3;" coordsize="9144,9144" path="m0,0l9144,0l9144,9144l0,9144l0,0">
                  <v:stroke weight="0pt" endcap="flat" joinstyle="miter" miterlimit="10" on="false" color="#000000" opacity="0"/>
                  <v:fill on="true" color="#a0a0a0"/>
                </v:shape>
                <v:shape id="Shape 53151" style="position:absolute;width:52693;height:91;left:33;top:3;" coordsize="5269357,9144" path="m0,0l5269357,0l5269357,9144l0,9144l0,0">
                  <v:stroke weight="0pt" endcap="flat" joinstyle="miter" miterlimit="10" on="false" color="#000000" opacity="0"/>
                  <v:fill on="true" color="#a0a0a0"/>
                </v:shape>
                <v:shape id="Shape 53152" style="position:absolute;width:91;height:91;left:52727;top:3;" coordsize="9144,9144" path="m0,0l9144,0l9144,9144l0,9144l0,0">
                  <v:stroke weight="0pt" endcap="flat" joinstyle="miter" miterlimit="10" on="false" color="#000000" opacity="0"/>
                  <v:fill on="true" color="#a0a0a0"/>
                </v:shape>
                <v:shape id="Shape 53153" style="position:absolute;width:91;height:137;left:2;top:34;" coordsize="9144,13716" path="m0,0l9144,0l9144,13716l0,13716l0,0">
                  <v:stroke weight="0pt" endcap="flat" joinstyle="miter" miterlimit="10" on="false" color="#000000" opacity="0"/>
                  <v:fill on="true" color="#a0a0a0"/>
                </v:shape>
                <v:shape id="Shape 53154" style="position:absolute;width:91;height:137;left:52727;top:34;" coordsize="9144,13716" path="m0,0l9144,0l9144,13716l0,13716l0,0">
                  <v:stroke weight="0pt" endcap="flat" joinstyle="miter" miterlimit="10" on="false" color="#000000" opacity="0"/>
                  <v:fill on="true" color="#e3e3e3"/>
                </v:shape>
                <v:shape id="Shape 53155" style="position:absolute;width:91;height:91;left:2;top:171;" coordsize="9144,9144" path="m0,0l9144,0l9144,9144l0,9144l0,0">
                  <v:stroke weight="0pt" endcap="flat" joinstyle="miter" miterlimit="10" on="false" color="#000000" opacity="0"/>
                  <v:fill on="true" color="#e3e3e3"/>
                </v:shape>
                <v:shape id="Shape 53156" style="position:absolute;width:52693;height:91;left:33;top:171;" coordsize="5269357,9144" path="m0,0l5269357,0l5269357,9144l0,9144l0,0">
                  <v:stroke weight="0pt" endcap="flat" joinstyle="miter" miterlimit="10" on="false" color="#000000" opacity="0"/>
                  <v:fill on="true" color="#e3e3e3"/>
                </v:shape>
                <v:shape id="Shape 53157" style="position:absolute;width:91;height:91;left:52727;top:171;" coordsize="9144,9144" path="m0,0l9144,0l9144,9144l0,9144l0,0">
                  <v:stroke weight="0pt" endcap="flat" joinstyle="miter" miterlimit="10" on="false" color="#000000" opacity="0"/>
                  <v:fill on="true" color="#e3e3e3"/>
                </v:shape>
              </v:group>
            </w:pict>
          </mc:Fallback>
        </mc:AlternateContent>
      </w:r>
      <w:r>
        <w:tab/>
        <w:t xml:space="preserve"> </w:t>
      </w:r>
    </w:p>
    <w:p w:rsidR="00A9548F" w:rsidRDefault="00F6228E">
      <w:pPr>
        <w:spacing w:after="387"/>
        <w:ind w:left="-5" w:right="1178"/>
      </w:pPr>
      <w:r>
        <w:t xml:space="preserve">THANK YOU </w:t>
      </w:r>
    </w:p>
    <w:p w:rsidR="00A9548F" w:rsidRDefault="00F6228E">
      <w:pPr>
        <w:spacing w:line="356" w:lineRule="auto"/>
        <w:ind w:left="-5" w:right="1178"/>
      </w:pPr>
      <w:r>
        <w:t>Your participation is greatly appreciated. Please return this completed questionnaire to the researcher. For any questions, contact Adebayo Muyi</w:t>
      </w:r>
      <w:r>
        <w:t xml:space="preserve">nat Omolola. </w:t>
      </w:r>
    </w:p>
    <w:p w:rsidR="00A9548F" w:rsidRDefault="00F6228E">
      <w:pPr>
        <w:spacing w:after="280" w:line="356" w:lineRule="auto"/>
        <w:ind w:left="-5" w:right="1173"/>
      </w:pPr>
      <w:r>
        <w:rPr>
          <w:i/>
        </w:rPr>
        <w:t>Prepared by Adebayo Muyinat Omolola, HND/23/URP/FT/0021, Supervised by TPL M. Y. Yahaya</w:t>
      </w:r>
      <w:r>
        <w:t xml:space="preserve"> </w:t>
      </w:r>
    </w:p>
    <w:p w:rsidR="00A9548F" w:rsidRDefault="00F6228E">
      <w:pPr>
        <w:spacing w:after="0" w:line="259" w:lineRule="auto"/>
        <w:ind w:left="0" w:right="0" w:firstLine="0"/>
        <w:jc w:val="left"/>
      </w:pPr>
      <w:r>
        <w:t xml:space="preserve"> </w:t>
      </w:r>
      <w:bookmarkStart w:id="0" w:name="_GoBack"/>
      <w:bookmarkEnd w:id="0"/>
    </w:p>
    <w:sectPr w:rsidR="00A9548F">
      <w:footerReference w:type="even" r:id="rId14"/>
      <w:footerReference w:type="default" r:id="rId15"/>
      <w:footerReference w:type="first" r:id="rId16"/>
      <w:pgSz w:w="11906" w:h="16838"/>
      <w:pgMar w:top="1443" w:right="250" w:bottom="2339" w:left="1440" w:header="720" w:footer="7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28E" w:rsidRDefault="00F6228E">
      <w:pPr>
        <w:spacing w:after="0" w:line="240" w:lineRule="auto"/>
      </w:pPr>
      <w:r>
        <w:separator/>
      </w:r>
    </w:p>
  </w:endnote>
  <w:endnote w:type="continuationSeparator" w:id="0">
    <w:p w:rsidR="00F6228E" w:rsidRDefault="00F62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48F" w:rsidRDefault="00F6228E">
    <w:pPr>
      <w:spacing w:after="0" w:line="239" w:lineRule="auto"/>
      <w:ind w:left="4462" w:right="4475"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ii</w:t>
    </w:r>
    <w:r>
      <w:rPr>
        <w:rFonts w:ascii="Calibri" w:eastAsia="Calibri" w:hAnsi="Calibri" w:cs="Calibri"/>
        <w:sz w:val="22"/>
      </w:rPr>
      <w:fldChar w:fldCharType="end"/>
    </w:r>
    <w:r>
      <w:rPr>
        <w:rFonts w:ascii="Calibri" w:eastAsia="Calibri" w:hAnsi="Calibri" w:cs="Calibri"/>
        <w:sz w:val="22"/>
      </w:rPr>
      <w:t xml:space="preserve"> </w:t>
    </w:r>
  </w:p>
  <w:p w:rsidR="00A9548F" w:rsidRDefault="00F6228E">
    <w:pPr>
      <w:spacing w:after="0" w:line="259" w:lineRule="auto"/>
      <w:ind w:left="0" w:right="12" w:firstLine="0"/>
      <w:jc w:val="center"/>
    </w:pPr>
    <w:r>
      <w:rPr>
        <w:rFonts w:ascii="Calibri" w:eastAsia="Calibri" w:hAnsi="Calibri" w:cs="Calibri"/>
        <w:sz w:val="22"/>
      </w:rPr>
      <w:t xml:space="preserve"> </w:t>
    </w:r>
  </w:p>
  <w:p w:rsidR="00A9548F" w:rsidRDefault="00F6228E">
    <w:pPr>
      <w:spacing w:after="0" w:line="259" w:lineRule="auto"/>
      <w:ind w:left="0" w:right="12" w:firstLine="0"/>
      <w:jc w:val="center"/>
    </w:pPr>
    <w:r>
      <w:rPr>
        <w:rFonts w:ascii="Calibri" w:eastAsia="Calibri" w:hAnsi="Calibri" w:cs="Calibri"/>
        <w:sz w:val="22"/>
      </w:rPr>
      <w:t xml:space="preserve"> </w:t>
    </w:r>
  </w:p>
  <w:p w:rsidR="00A9548F" w:rsidRDefault="00F6228E">
    <w:pPr>
      <w:spacing w:after="0" w:line="239" w:lineRule="auto"/>
      <w:ind w:left="0" w:right="4525"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48F" w:rsidRDefault="00F6228E">
    <w:pPr>
      <w:spacing w:after="0" w:line="239" w:lineRule="auto"/>
      <w:ind w:left="4462" w:right="4475"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sidR="004F1EF3" w:rsidRPr="004F1EF3">
      <w:rPr>
        <w:rFonts w:ascii="Calibri" w:eastAsia="Calibri" w:hAnsi="Calibri" w:cs="Calibri"/>
        <w:noProof/>
        <w:sz w:val="22"/>
      </w:rPr>
      <w:t>vii</w:t>
    </w:r>
    <w:r>
      <w:rPr>
        <w:rFonts w:ascii="Calibri" w:eastAsia="Calibri" w:hAnsi="Calibri" w:cs="Calibri"/>
        <w:sz w:val="22"/>
      </w:rPr>
      <w:fldChar w:fldCharType="end"/>
    </w:r>
    <w:r>
      <w:rPr>
        <w:rFonts w:ascii="Calibri" w:eastAsia="Calibri" w:hAnsi="Calibri" w:cs="Calibri"/>
        <w:sz w:val="22"/>
      </w:rPr>
      <w:t xml:space="preserve"> </w:t>
    </w:r>
  </w:p>
  <w:p w:rsidR="00A9548F" w:rsidRDefault="00F6228E">
    <w:pPr>
      <w:spacing w:after="0" w:line="259" w:lineRule="auto"/>
      <w:ind w:left="0" w:right="12" w:firstLine="0"/>
      <w:jc w:val="center"/>
    </w:pPr>
    <w:r>
      <w:rPr>
        <w:rFonts w:ascii="Calibri" w:eastAsia="Calibri" w:hAnsi="Calibri" w:cs="Calibri"/>
        <w:sz w:val="22"/>
      </w:rPr>
      <w:t xml:space="preserve"> </w:t>
    </w:r>
  </w:p>
  <w:p w:rsidR="00A9548F" w:rsidRDefault="00F6228E">
    <w:pPr>
      <w:spacing w:after="0" w:line="259" w:lineRule="auto"/>
      <w:ind w:left="0" w:right="12" w:firstLine="0"/>
      <w:jc w:val="center"/>
    </w:pPr>
    <w:r>
      <w:rPr>
        <w:rFonts w:ascii="Calibri" w:eastAsia="Calibri" w:hAnsi="Calibri" w:cs="Calibri"/>
        <w:sz w:val="22"/>
      </w:rPr>
      <w:t xml:space="preserve"> </w:t>
    </w:r>
  </w:p>
  <w:p w:rsidR="00A9548F" w:rsidRDefault="00F6228E">
    <w:pPr>
      <w:spacing w:after="0" w:line="239" w:lineRule="auto"/>
      <w:ind w:left="0" w:right="4525"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48F" w:rsidRDefault="00A9548F">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48F" w:rsidRDefault="00F6228E">
    <w:pPr>
      <w:spacing w:after="0" w:line="259" w:lineRule="auto"/>
      <w:ind w:left="0" w:right="1141" w:firstLine="0"/>
      <w:jc w:val="center"/>
    </w:pPr>
    <w:r>
      <w:rPr>
        <w:rFonts w:ascii="Calibri" w:eastAsia="Calibri" w:hAnsi="Calibri" w:cs="Calibri"/>
        <w:sz w:val="22"/>
      </w:rPr>
      <w:t xml:space="preserve"> </w:t>
    </w:r>
  </w:p>
  <w:p w:rsidR="00A9548F" w:rsidRDefault="00F6228E">
    <w:pPr>
      <w:spacing w:after="0" w:line="259" w:lineRule="auto"/>
      <w:ind w:left="0" w:right="118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9548F" w:rsidRDefault="00F6228E">
    <w:pPr>
      <w:spacing w:after="0" w:line="259" w:lineRule="auto"/>
      <w:ind w:left="0" w:right="1141" w:firstLine="0"/>
      <w:jc w:val="center"/>
    </w:pPr>
    <w:r>
      <w:rPr>
        <w:rFonts w:ascii="Calibri" w:eastAsia="Calibri" w:hAnsi="Calibri" w:cs="Calibri"/>
        <w:sz w:val="22"/>
      </w:rPr>
      <w:t xml:space="preserve"> </w:t>
    </w:r>
  </w:p>
  <w:p w:rsidR="00A9548F" w:rsidRDefault="00F6228E">
    <w:pPr>
      <w:spacing w:after="0" w:line="259" w:lineRule="auto"/>
      <w:ind w:left="0" w:right="1141" w:firstLine="0"/>
      <w:jc w:val="center"/>
    </w:pPr>
    <w:r>
      <w:rPr>
        <w:rFonts w:ascii="Calibri" w:eastAsia="Calibri" w:hAnsi="Calibri" w:cs="Calibri"/>
        <w:sz w:val="22"/>
      </w:rPr>
      <w:t xml:space="preserve"> </w:t>
    </w:r>
  </w:p>
  <w:p w:rsidR="00A9548F" w:rsidRDefault="00F6228E">
    <w:pPr>
      <w:spacing w:after="0" w:line="239" w:lineRule="auto"/>
      <w:ind w:left="0" w:right="5654"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48F" w:rsidRDefault="00F6228E">
    <w:pPr>
      <w:spacing w:after="0" w:line="259" w:lineRule="auto"/>
      <w:ind w:left="0" w:right="1141" w:firstLine="0"/>
      <w:jc w:val="center"/>
    </w:pPr>
    <w:r>
      <w:rPr>
        <w:rFonts w:ascii="Calibri" w:eastAsia="Calibri" w:hAnsi="Calibri" w:cs="Calibri"/>
        <w:sz w:val="22"/>
      </w:rPr>
      <w:t xml:space="preserve"> </w:t>
    </w:r>
  </w:p>
  <w:p w:rsidR="00A9548F" w:rsidRDefault="00F6228E">
    <w:pPr>
      <w:spacing w:after="0" w:line="259" w:lineRule="auto"/>
      <w:ind w:left="0" w:right="1189" w:firstLine="0"/>
      <w:jc w:val="center"/>
    </w:pPr>
    <w:r>
      <w:fldChar w:fldCharType="begin"/>
    </w:r>
    <w:r>
      <w:instrText xml:space="preserve"> PAGE   \* MERGEFORMAT </w:instrText>
    </w:r>
    <w:r>
      <w:fldChar w:fldCharType="separate"/>
    </w:r>
    <w:r w:rsidR="004F1EF3" w:rsidRPr="004F1EF3">
      <w:rPr>
        <w:rFonts w:ascii="Calibri" w:eastAsia="Calibri" w:hAnsi="Calibri" w:cs="Calibri"/>
        <w:noProof/>
        <w:sz w:val="22"/>
      </w:rPr>
      <w:t>42</w:t>
    </w:r>
    <w:r>
      <w:rPr>
        <w:rFonts w:ascii="Calibri" w:eastAsia="Calibri" w:hAnsi="Calibri" w:cs="Calibri"/>
        <w:sz w:val="22"/>
      </w:rPr>
      <w:fldChar w:fldCharType="end"/>
    </w:r>
    <w:r>
      <w:rPr>
        <w:rFonts w:ascii="Calibri" w:eastAsia="Calibri" w:hAnsi="Calibri" w:cs="Calibri"/>
        <w:sz w:val="22"/>
      </w:rPr>
      <w:t xml:space="preserve"> </w:t>
    </w:r>
  </w:p>
  <w:p w:rsidR="00A9548F" w:rsidRDefault="00F6228E">
    <w:pPr>
      <w:spacing w:after="0" w:line="259" w:lineRule="auto"/>
      <w:ind w:left="0" w:right="1141" w:firstLine="0"/>
      <w:jc w:val="center"/>
    </w:pPr>
    <w:r>
      <w:rPr>
        <w:rFonts w:ascii="Calibri" w:eastAsia="Calibri" w:hAnsi="Calibri" w:cs="Calibri"/>
        <w:sz w:val="22"/>
      </w:rPr>
      <w:t xml:space="preserve"> </w:t>
    </w:r>
  </w:p>
  <w:p w:rsidR="00A9548F" w:rsidRDefault="00F6228E">
    <w:pPr>
      <w:spacing w:after="0" w:line="259" w:lineRule="auto"/>
      <w:ind w:left="0" w:right="1141" w:firstLine="0"/>
      <w:jc w:val="center"/>
    </w:pPr>
    <w:r>
      <w:rPr>
        <w:rFonts w:ascii="Calibri" w:eastAsia="Calibri" w:hAnsi="Calibri" w:cs="Calibri"/>
        <w:sz w:val="22"/>
      </w:rPr>
      <w:t xml:space="preserve"> </w:t>
    </w:r>
  </w:p>
  <w:p w:rsidR="00A9548F" w:rsidRDefault="00F6228E">
    <w:pPr>
      <w:spacing w:after="0" w:line="239" w:lineRule="auto"/>
      <w:ind w:left="0" w:right="5654"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48F" w:rsidRDefault="00F6228E">
    <w:pPr>
      <w:spacing w:after="0" w:line="259" w:lineRule="auto"/>
      <w:ind w:left="0" w:right="1141" w:firstLine="0"/>
      <w:jc w:val="center"/>
    </w:pPr>
    <w:r>
      <w:rPr>
        <w:rFonts w:ascii="Calibri" w:eastAsia="Calibri" w:hAnsi="Calibri" w:cs="Calibri"/>
        <w:sz w:val="22"/>
      </w:rPr>
      <w:t xml:space="preserve"> </w:t>
    </w:r>
  </w:p>
  <w:p w:rsidR="00A9548F" w:rsidRDefault="00F6228E">
    <w:pPr>
      <w:spacing w:after="0" w:line="259" w:lineRule="auto"/>
      <w:ind w:left="0" w:right="118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9548F" w:rsidRDefault="00F6228E">
    <w:pPr>
      <w:spacing w:after="0" w:line="259" w:lineRule="auto"/>
      <w:ind w:left="0" w:right="1141" w:firstLine="0"/>
      <w:jc w:val="center"/>
    </w:pPr>
    <w:r>
      <w:rPr>
        <w:rFonts w:ascii="Calibri" w:eastAsia="Calibri" w:hAnsi="Calibri" w:cs="Calibri"/>
        <w:sz w:val="22"/>
      </w:rPr>
      <w:t xml:space="preserve"> </w:t>
    </w:r>
  </w:p>
  <w:p w:rsidR="00A9548F" w:rsidRDefault="00F6228E">
    <w:pPr>
      <w:spacing w:after="0" w:line="259" w:lineRule="auto"/>
      <w:ind w:left="0" w:right="1141" w:firstLine="0"/>
      <w:jc w:val="center"/>
    </w:pPr>
    <w:r>
      <w:rPr>
        <w:rFonts w:ascii="Calibri" w:eastAsia="Calibri" w:hAnsi="Calibri" w:cs="Calibri"/>
        <w:sz w:val="22"/>
      </w:rPr>
      <w:t xml:space="preserve"> </w:t>
    </w:r>
  </w:p>
  <w:p w:rsidR="00A9548F" w:rsidRDefault="00F6228E">
    <w:pPr>
      <w:spacing w:after="0" w:line="239" w:lineRule="auto"/>
      <w:ind w:left="0" w:right="5654"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28E" w:rsidRDefault="00F6228E">
      <w:pPr>
        <w:spacing w:after="0" w:line="240" w:lineRule="auto"/>
      </w:pPr>
      <w:r>
        <w:separator/>
      </w:r>
    </w:p>
  </w:footnote>
  <w:footnote w:type="continuationSeparator" w:id="0">
    <w:p w:rsidR="00F6228E" w:rsidRDefault="00F62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B4FB1"/>
    <w:multiLevelType w:val="hybridMultilevel"/>
    <w:tmpl w:val="15E434D6"/>
    <w:lvl w:ilvl="0" w:tplc="7EDA1378">
      <w:start w:val="2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E44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526D0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7CD98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5E1A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8AAD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980F1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BAC92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E67C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6A5208"/>
    <w:multiLevelType w:val="hybridMultilevel"/>
    <w:tmpl w:val="77A0C7D4"/>
    <w:lvl w:ilvl="0" w:tplc="C24A24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36542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CE011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F00C4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52C3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DE588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8699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008A6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9A541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049765E"/>
    <w:multiLevelType w:val="hybridMultilevel"/>
    <w:tmpl w:val="96D6FB96"/>
    <w:lvl w:ilvl="0" w:tplc="62CCC522">
      <w:start w:val="1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A2B7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D844E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64633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8AA05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CA1E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EC969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F810A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B8D0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E835E5"/>
    <w:multiLevelType w:val="hybridMultilevel"/>
    <w:tmpl w:val="98149E3C"/>
    <w:lvl w:ilvl="0" w:tplc="04A47FB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2ABB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DE68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58FD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7425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A8855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9CEF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C245E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7066C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1779C3"/>
    <w:multiLevelType w:val="multilevel"/>
    <w:tmpl w:val="F64C71FE"/>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C87C0F"/>
    <w:multiLevelType w:val="hybridMultilevel"/>
    <w:tmpl w:val="46464CB2"/>
    <w:lvl w:ilvl="0" w:tplc="D660CB6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E0797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E678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4642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67C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AC7E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4AAEE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90C60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0669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722CF6"/>
    <w:multiLevelType w:val="hybridMultilevel"/>
    <w:tmpl w:val="056420E0"/>
    <w:lvl w:ilvl="0" w:tplc="92A2B62E">
      <w:start w:val="1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84C75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0886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9CBEF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2AB20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8C89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7E3F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7476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4A2A5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CF17B1"/>
    <w:multiLevelType w:val="hybridMultilevel"/>
    <w:tmpl w:val="3C76FA08"/>
    <w:lvl w:ilvl="0" w:tplc="94228394">
      <w:start w:val="20"/>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52254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42E9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80328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BA377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0C93E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D6EC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B87D2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BA422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CC65AB8"/>
    <w:multiLevelType w:val="hybridMultilevel"/>
    <w:tmpl w:val="F9F27F2C"/>
    <w:lvl w:ilvl="0" w:tplc="55A403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F4C4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AE281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6EFF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00D69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B862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AAEC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9AAAC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A2D8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0B552CB"/>
    <w:multiLevelType w:val="hybridMultilevel"/>
    <w:tmpl w:val="04A0B31E"/>
    <w:lvl w:ilvl="0" w:tplc="3D5A384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676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E474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282C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A6385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A04C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A29C6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72EF6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EE4D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FD13FC0"/>
    <w:multiLevelType w:val="hybridMultilevel"/>
    <w:tmpl w:val="D040B7FA"/>
    <w:lvl w:ilvl="0" w:tplc="9E581AF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02F94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36B94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BEDF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A2B0C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C289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C4DDD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14AA7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DA163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5"/>
  </w:num>
  <w:num w:numId="3">
    <w:abstractNumId w:val="1"/>
  </w:num>
  <w:num w:numId="4">
    <w:abstractNumId w:val="10"/>
  </w:num>
  <w:num w:numId="5">
    <w:abstractNumId w:val="4"/>
  </w:num>
  <w:num w:numId="6">
    <w:abstractNumId w:val="8"/>
  </w:num>
  <w:num w:numId="7">
    <w:abstractNumId w:val="3"/>
  </w:num>
  <w:num w:numId="8">
    <w:abstractNumId w:val="6"/>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48F"/>
    <w:rsid w:val="004F1EF3"/>
    <w:rsid w:val="00A9548F"/>
    <w:rsid w:val="00F62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455E"/>
  <w15:docId w15:val="{14A9A4DE-2F92-4EC4-8E99-E2767F74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2" w:line="265" w:lineRule="auto"/>
      <w:ind w:left="10" w:right="6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24" w:line="265" w:lineRule="auto"/>
      <w:ind w:left="10" w:right="6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524" w:line="265" w:lineRule="auto"/>
      <w:ind w:left="10" w:right="64"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524" w:line="265" w:lineRule="auto"/>
      <w:ind w:left="10" w:right="64"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524" w:line="265" w:lineRule="auto"/>
      <w:ind w:left="10" w:right="64"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472" w:line="314" w:lineRule="auto"/>
      <w:ind w:left="10" w:hanging="10"/>
      <w:outlineLvl w:val="4"/>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0.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57</Pages>
  <Words>12023</Words>
  <Characters>68535</Characters>
  <Application>Microsoft Office Word</Application>
  <DocSecurity>0</DocSecurity>
  <Lines>571</Lines>
  <Paragraphs>160</Paragraphs>
  <ScaleCrop>false</ScaleCrop>
  <Company/>
  <LinksUpToDate>false</LinksUpToDate>
  <CharactersWithSpaces>80398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EMMANUEL MATHEW</cp:lastModifiedBy>
  <cp:revision>2</cp:revision>
  <dcterms:created xsi:type="dcterms:W3CDTF">2025-08-04T10:34:00Z</dcterms:created>
  <dcterms:modified xsi:type="dcterms:W3CDTF">2025-08-04T10:34:00Z</dcterms:modified>
</cp:coreProperties>
</file>