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r w:rsidRPr="006F1DF8">
        <w:rPr>
          <w:rFonts w:ascii="Times New Roman" w:hAnsi="Times New Roman" w:cs="Times New Roman"/>
          <w:b/>
          <w:i/>
          <w:sz w:val="28"/>
          <w:szCs w:val="28"/>
        </w:rPr>
        <w:t>prunusavium</w:t>
      </w:r>
      <w:r w:rsidRPr="006F1DF8">
        <w:rPr>
          <w:rFonts w:ascii="Times New Roman" w:hAnsi="Times New Roman" w:cs="Times New Roman"/>
          <w:b/>
          <w:sz w:val="28"/>
          <w:szCs w:val="28"/>
        </w:rPr>
        <w:t>) SEEDS</w:t>
      </w: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rsidR="006F1DF8" w:rsidRPr="002D0010" w:rsidRDefault="005B1826"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BELLO FAYISAT MOYOSORE</w:t>
      </w:r>
    </w:p>
    <w:p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HND/23/SLT/FT/037</w:t>
      </w:r>
      <w:r w:rsidR="005B1826">
        <w:rPr>
          <w:rFonts w:ascii="Times New Roman" w:hAnsi="Times New Roman" w:cs="Times New Roman"/>
          <w:b/>
          <w:bCs/>
          <w:sz w:val="28"/>
          <w:szCs w:val="28"/>
        </w:rPr>
        <w:t>8</w:t>
      </w: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rsidR="006F1DF8" w:rsidRPr="002D0010" w:rsidRDefault="006F1DF8" w:rsidP="006F1DF8">
      <w:pPr>
        <w:spacing w:after="0"/>
        <w:rPr>
          <w:rFonts w:ascii="Times New Roman" w:hAnsi="Times New Roman" w:cs="Times New Roman"/>
          <w:b/>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Default="006F1DF8" w:rsidP="006F1DF8">
      <w:pPr>
        <w:rPr>
          <w:rFonts w:ascii="Times New Roman" w:hAnsi="Times New Roman" w:cs="Times New Roman"/>
          <w:b/>
          <w:bCs/>
          <w:sz w:val="28"/>
          <w:szCs w:val="28"/>
        </w:rPr>
      </w:pPr>
    </w:p>
    <w:p w:rsidR="00F93789" w:rsidRDefault="00F93789" w:rsidP="006F1DF8">
      <w:pPr>
        <w:rPr>
          <w:rFonts w:ascii="Times New Roman" w:hAnsi="Times New Roman" w:cs="Times New Roman"/>
          <w:b/>
          <w:bCs/>
          <w:sz w:val="28"/>
          <w:szCs w:val="28"/>
        </w:rPr>
      </w:pPr>
    </w:p>
    <w:p w:rsidR="00F93789" w:rsidRPr="002D0010" w:rsidRDefault="00F93789"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rsidR="006F1DF8" w:rsidRDefault="006F1DF8" w:rsidP="006F1DF8">
      <w:pPr>
        <w:spacing w:line="480" w:lineRule="auto"/>
        <w:rPr>
          <w:rFonts w:ascii="Times New Roman" w:hAnsi="Times New Roman" w:cs="Times New Roman"/>
          <w:b/>
          <w:bCs/>
          <w:sz w:val="24"/>
          <w:szCs w:val="24"/>
        </w:rPr>
      </w:pPr>
    </w:p>
    <w:p w:rsidR="00025516" w:rsidRPr="00E21816" w:rsidRDefault="00025516" w:rsidP="006F1DF8">
      <w:pPr>
        <w:spacing w:line="480" w:lineRule="auto"/>
        <w:rPr>
          <w:rFonts w:ascii="Times New Roman" w:hAnsi="Times New Roman" w:cs="Times New Roman"/>
          <w:b/>
          <w:bCs/>
          <w:sz w:val="24"/>
          <w:szCs w:val="24"/>
        </w:rPr>
      </w:pPr>
    </w:p>
    <w:p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lastRenderedPageBreak/>
        <w:t>CERTIFICATION</w:t>
      </w:r>
    </w:p>
    <w:p w:rsidR="006F1DF8" w:rsidRPr="00E21816" w:rsidRDefault="006F1DF8" w:rsidP="00F93789">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5B1826">
        <w:rPr>
          <w:rFonts w:ascii="Times New Roman" w:hAnsi="Times New Roman" w:cs="Times New Roman"/>
          <w:sz w:val="24"/>
          <w:szCs w:val="24"/>
        </w:rPr>
        <w:t>BELLO FAYISAT MOYOSORE</w:t>
      </w:r>
      <w:r w:rsidRPr="00E21816">
        <w:rPr>
          <w:rFonts w:ascii="Times New Roman" w:hAnsi="Times New Roman" w:cs="Times New Roman"/>
          <w:sz w:val="24"/>
          <w:szCs w:val="24"/>
        </w:rPr>
        <w:t xml:space="preserve"> with matric number </w:t>
      </w:r>
      <w:r w:rsidR="005B1826">
        <w:rPr>
          <w:rFonts w:ascii="Times New Roman" w:hAnsi="Times New Roman" w:cs="Times New Roman"/>
          <w:sz w:val="24"/>
          <w:szCs w:val="24"/>
        </w:rPr>
        <w:t>HND/23/SLT/FT/0378</w:t>
      </w:r>
      <w:r w:rsidRPr="00E21816">
        <w:rPr>
          <w:rFonts w:ascii="Times New Roman" w:hAnsi="Times New Roman" w:cs="Times New Roman"/>
          <w:sz w:val="24"/>
          <w:szCs w:val="24"/>
        </w:rPr>
        <w:t xml:space="preserve"> 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Kwara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rsidR="006F1DF8" w:rsidRPr="00E21816" w:rsidRDefault="006F1DF8" w:rsidP="00F93789">
      <w:pPr>
        <w:spacing w:line="480" w:lineRule="auto"/>
        <w:jc w:val="both"/>
        <w:rPr>
          <w:rFonts w:ascii="Times New Roman" w:hAnsi="Times New Roman" w:cs="Times New Roman"/>
          <w:sz w:val="24"/>
          <w:szCs w:val="24"/>
        </w:rPr>
      </w:pPr>
    </w:p>
    <w:p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rsidR="006F1DF8" w:rsidRPr="00E21816" w:rsidRDefault="006F1DF8" w:rsidP="006F1DF8">
      <w:pPr>
        <w:spacing w:after="0" w:line="360" w:lineRule="auto"/>
        <w:rPr>
          <w:rFonts w:ascii="Times New Roman" w:hAnsi="Times New Roman" w:cs="Times New Roman"/>
          <w:sz w:val="24"/>
          <w:szCs w:val="24"/>
        </w:rPr>
      </w:pPr>
    </w:p>
    <w:p w:rsidR="006F1DF8" w:rsidRPr="00E21816" w:rsidRDefault="006F1DF8" w:rsidP="006F1DF8">
      <w:pPr>
        <w:spacing w:after="0" w:line="360" w:lineRule="auto"/>
        <w:jc w:val="center"/>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DEDICATION</w:t>
      </w:r>
    </w:p>
    <w:p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Default="006F1DF8" w:rsidP="006F1DF8">
      <w:pPr>
        <w:spacing w:line="480" w:lineRule="auto"/>
        <w:rPr>
          <w:rFonts w:ascii="Times New Roman" w:hAnsi="Times New Roman" w:cs="Times New Roman"/>
          <w:sz w:val="24"/>
          <w:szCs w:val="24"/>
        </w:rPr>
      </w:pPr>
    </w:p>
    <w:p w:rsidR="00025516" w:rsidRPr="00E21816" w:rsidRDefault="00025516"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ACKNOWLEDGEMENT</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special gratitude goes to my ever kindness and loving supervisor in person of Dr. JamiuWasiu, for his advice, thorough supervision, moral support and word of encouragement to the successful completion of this project. May God Almighty continue to preserve, guide and shower His blessings on you sir.</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appreciation goes to the Head of Department of SLT, </w:t>
      </w:r>
      <w:r w:rsidR="00025516">
        <w:rPr>
          <w:rFonts w:ascii="Times New Roman" w:hAnsi="Times New Roman" w:cs="Times New Roman"/>
          <w:sz w:val="24"/>
          <w:szCs w:val="24"/>
        </w:rPr>
        <w:t>HOU Biochemistry</w:t>
      </w:r>
      <w:r w:rsidRPr="00E21816">
        <w:rPr>
          <w:rFonts w:ascii="Times New Roman" w:hAnsi="Times New Roman" w:cs="Times New Roman"/>
          <w:sz w:val="24"/>
          <w:szCs w:val="24"/>
        </w:rPr>
        <w:t xml:space="preserve"> and all lecturers for their kind gesture, may Almighty God continue to bless you all.</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sincere appreciation goes to my beloved parents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labour.</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profound gratitude also goes to my beloved friends and course mates who have been supporting me in all ways to make this program successful. May the lord reward you all abundantly and meet you at the point of your needs (amen). </w:t>
      </w:r>
    </w:p>
    <w:p w:rsidR="006F1DF8" w:rsidRPr="00E21816" w:rsidRDefault="006F1DF8" w:rsidP="006F1DF8">
      <w:pPr>
        <w:spacing w:after="0" w:line="480" w:lineRule="auto"/>
        <w:jc w:val="both"/>
        <w:rPr>
          <w:rFonts w:ascii="Times New Roman" w:hAnsi="Times New Roman" w:cs="Times New Roman"/>
          <w:b/>
          <w:sz w:val="24"/>
          <w:szCs w:val="24"/>
        </w:rPr>
      </w:pPr>
    </w:p>
    <w:p w:rsidR="006F1DF8" w:rsidRPr="00E21816" w:rsidRDefault="006F1DF8" w:rsidP="006F1DF8">
      <w:pPr>
        <w:spacing w:line="480" w:lineRule="auto"/>
        <w:rPr>
          <w:rFonts w:ascii="Times New Roman" w:hAnsi="Times New Roman" w:cs="Times New Roman"/>
          <w:b/>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TABLE OF CONTENTS</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iv</w:t>
      </w:r>
      <w:r w:rsidRPr="00E21816">
        <w:rPr>
          <w:rFonts w:ascii="Times New Roman" w:hAnsi="Times New Roman" w:cs="Times New Roman"/>
          <w:sz w:val="24"/>
          <w:szCs w:val="24"/>
        </w:rPr>
        <w:tab/>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vi</w:t>
      </w:r>
    </w:p>
    <w:bookmarkEnd w:id="0"/>
    <w:bookmarkEnd w:id="1"/>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w:t>
      </w:r>
      <w:bookmarkStart w:id="2" w:name="_GoBack"/>
      <w:bookmarkEnd w:id="2"/>
      <w:r w:rsidRPr="00FB327D">
        <w:rPr>
          <w:rFonts w:ascii="Times New Roman" w:hAnsi="Times New Roman" w:cs="Times New Roman"/>
          <w:sz w:val="24"/>
          <w:szCs w:val="24"/>
        </w:rPr>
        <w:t>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r w:rsidRPr="00FB327D">
        <w:rPr>
          <w:rFonts w:ascii="Times New Roman" w:eastAsia="Times New Roman" w:hAnsi="Times New Roman" w:cs="Times New Roman"/>
          <w:bCs/>
          <w:i/>
          <w:iCs/>
          <w:sz w:val="24"/>
          <w:szCs w:val="24"/>
        </w:rPr>
        <w:t>Prunusavium</w:t>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Ethnopharmacological Profile of Prunusavium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lastRenderedPageBreak/>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center"/>
        <w:rPr>
          <w:rFonts w:ascii="Times New Roman" w:hAnsi="Times New Roman" w:cs="Times New Roman"/>
          <w:sz w:val="24"/>
          <w:szCs w:val="24"/>
        </w:rPr>
      </w:pPr>
    </w:p>
    <w:p w:rsidR="00347D68" w:rsidRPr="00FB327D" w:rsidRDefault="00347D68" w:rsidP="00347D68">
      <w:pPr>
        <w:spacing w:after="0" w:line="360" w:lineRule="auto"/>
      </w:pPr>
    </w:p>
    <w:p w:rsidR="006F1DF8" w:rsidRPr="00E21816" w:rsidRDefault="006F1DF8" w:rsidP="006F1DF8">
      <w:pPr>
        <w:spacing w:line="480" w:lineRule="auto"/>
        <w:jc w:val="both"/>
        <w:rPr>
          <w:rFonts w:ascii="Times New Roman" w:hAnsi="Times New Roman" w:cs="Times New Roman"/>
          <w:b/>
          <w:sz w:val="24"/>
          <w:szCs w:val="24"/>
        </w:rPr>
      </w:pPr>
    </w:p>
    <w:p w:rsidR="007701A6" w:rsidRDefault="007701A6"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6F1DF8" w:rsidRPr="00F4630F" w:rsidRDefault="006F1DF8" w:rsidP="00F4630F">
      <w:pPr>
        <w:pStyle w:val="ds-markdown-paragraph"/>
        <w:spacing w:before="0" w:beforeAutospacing="0" w:after="0" w:afterAutospacing="0" w:line="360" w:lineRule="auto"/>
        <w:jc w:val="center"/>
        <w:rPr>
          <w:b/>
        </w:rPr>
      </w:pPr>
      <w:r w:rsidRPr="00F4630F">
        <w:rPr>
          <w:b/>
        </w:rPr>
        <w:lastRenderedPageBreak/>
        <w:t>ABSTRACT</w:t>
      </w:r>
    </w:p>
    <w:p w:rsidR="006F1DF8" w:rsidRDefault="006F1DF8" w:rsidP="00F4630F">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rsidR="006F1DF8" w:rsidRDefault="006F1DF8" w:rsidP="00F4630F">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rsidR="006F1DF8" w:rsidRDefault="006F1DF8" w:rsidP="00F4630F">
      <w:pPr>
        <w:pStyle w:val="ds-markdown-paragraph"/>
        <w:spacing w:before="0" w:beforeAutospacing="0" w:after="0" w:afterAutospacing="0" w:line="360" w:lineRule="auto"/>
        <w:jc w:val="both"/>
      </w:pPr>
      <w:r>
        <w:t xml:space="preserve">The findings suggest that </w:t>
      </w:r>
      <w:r>
        <w:rPr>
          <w:rStyle w:val="Emphasis"/>
        </w:rPr>
        <w:t>Prunusavium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rsidR="006F1DF8" w:rsidRDefault="006F1DF8"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7"/>
          <w:pgSz w:w="12240" w:h="15840"/>
          <w:pgMar w:top="1440" w:right="1440" w:bottom="1440" w:left="1440" w:header="720" w:footer="720" w:gutter="0"/>
          <w:pgNumType w:fmt="lowerRoman" w:start="1"/>
          <w:cols w:space="720"/>
          <w:docGrid w:linePitch="360"/>
        </w:sectPr>
      </w:pPr>
    </w:p>
    <w:p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w:t>
      </w:r>
      <w:r w:rsidR="00E5704A">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(Pisoschi and</w:t>
      </w:r>
      <w:r w:rsidRPr="007701A6">
        <w:rPr>
          <w:rFonts w:ascii="Times New Roman" w:eastAsia="Times New Roman" w:hAnsi="Times New Roman" w:cs="Times New Roman"/>
          <w:sz w:val="24"/>
          <w:szCs w:val="24"/>
        </w:rPr>
        <w:t xml:space="preserve"> Pop, 2015).</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sidRPr="007701A6">
        <w:rPr>
          <w:rFonts w:ascii="Times New Roman" w:eastAsia="Times New Roman" w:hAnsi="Times New Roman" w:cs="Times New Roman"/>
          <w:sz w:val="24"/>
          <w:szCs w:val="24"/>
        </w:rPr>
        <w:lastRenderedPageBreak/>
        <w:t>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Prunusavium L., commonly referred to as sweet cherry, is a deciduous tree belonging to the Rosaceae family. Its fruit is widely consumed, and recent pharmacological investigations have highlighted the health-promoting potential of its bioactive constituents. While the pulp has been </w:t>
      </w:r>
      <w:r w:rsidRPr="007701A6">
        <w:rPr>
          <w:rFonts w:ascii="Times New Roman" w:eastAsia="Times New Roman" w:hAnsi="Times New Roman" w:cs="Times New Roman"/>
          <w:sz w:val="24"/>
          <w:szCs w:val="24"/>
        </w:rPr>
        <w:lastRenderedPageBreak/>
        <w:t>extensively studied, the seed, which is often discarded as agro-waste, contains significant phytochemical compounds including polyphenols, flavonoids, and tannins (Ferretti</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Chaovanalikit</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Botting, 1998). These limitations necessitate the exploration of safer, plant-based alternatives. Despite the bioactive richness of Prunusavium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carry out qualitative and quantitative phytochemical analysis of methanolic extracts of Prunusavium seeds.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focuses on in vitro assays using methanolic extracts of Prunusavium seeds. It does not include in vivo evaluations, pharmacokinetic assessments, or toxicological profiling. Future research may address these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Default="007701A6"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TWO</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r w:rsidRPr="007701A6">
        <w:rPr>
          <w:rFonts w:ascii="Times New Roman" w:eastAsia="Times New Roman" w:hAnsi="Times New Roman" w:cs="Times New Roman"/>
          <w:b/>
          <w:bCs/>
          <w:i/>
          <w:iCs/>
          <w:sz w:val="24"/>
          <w:szCs w:val="24"/>
        </w:rPr>
        <w:t>Prunusavium</w:t>
      </w:r>
      <w:r w:rsidRPr="007701A6">
        <w:rPr>
          <w:rFonts w:ascii="Times New Roman" w:eastAsia="Times New Roman" w:hAnsi="Times New Roman" w:cs="Times New Roman"/>
          <w:b/>
          <w:bCs/>
          <w:sz w:val="24"/>
          <w:szCs w:val="24"/>
        </w:rPr>
        <w:t xml:space="preserve"> and Its Seeds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P. avium</w:t>
      </w:r>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contain cyanogenic glycosides (notably </w:t>
      </w:r>
      <w:r w:rsidRPr="00347D68">
        <w:rPr>
          <w:rFonts w:ascii="Times New Roman" w:eastAsia="Times New Roman" w:hAnsi="Times New Roman" w:cs="Times New Roman"/>
          <w:bCs/>
          <w:sz w:val="24"/>
          <w:szCs w:val="24"/>
        </w:rPr>
        <w:t>prunasin</w:t>
      </w:r>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However, aside from cyanogenic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natureinbottle.com</w:t>
      </w:r>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9C2E59">
        <w:rPr>
          <w:rFonts w:ascii="Times New Roman" w:eastAsia="Times New Roman" w:hAnsi="Times New Roman" w:cs="Times New Roman"/>
          <w:bCs/>
          <w:sz w:val="24"/>
          <w:szCs w:val="24"/>
        </w:rPr>
        <w:t>proanthocyanidins</w:t>
      </w:r>
      <w:r w:rsidRPr="009C2E59">
        <w:rPr>
          <w:rFonts w:ascii="Times New Roman" w:eastAsia="Times New Roman" w:hAnsi="Times New Roman" w:cs="Times New Roman"/>
          <w:sz w:val="24"/>
          <w:szCs w:val="24"/>
        </w:rPr>
        <w:t xml:space="preserve"> (condensed tannins), </w:t>
      </w:r>
      <w:r w:rsidRPr="009C2E59">
        <w:rPr>
          <w:rFonts w:ascii="Times New Roman" w:eastAsia="Times New Roman" w:hAnsi="Times New Roman" w:cs="Times New Roman"/>
          <w:bCs/>
          <w:sz w:val="24"/>
          <w:szCs w:val="24"/>
        </w:rPr>
        <w:t>flavonols</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diglucoside of mandelonitrile) and its monoglucoside form prunasin are found in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r w:rsidRPr="007701A6">
        <w:rPr>
          <w:rFonts w:ascii="Times New Roman" w:eastAsia="Times New Roman" w:hAnsi="Times New Roman" w:cs="Times New Roman"/>
          <w:b/>
          <w:bCs/>
          <w:i/>
          <w:iCs/>
          <w:sz w:val="24"/>
          <w:szCs w:val="24"/>
        </w:rPr>
        <w:t>Prunusavium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w:t>
      </w:r>
      <w:r w:rsidRPr="007701A6">
        <w:rPr>
          <w:rFonts w:ascii="Times New Roman" w:eastAsia="Times New Roman" w:hAnsi="Times New Roman" w:cs="Times New Roman"/>
          <w:sz w:val="24"/>
          <w:szCs w:val="24"/>
        </w:rPr>
        <w:lastRenderedPageBreak/>
        <w:t>evidence has begun to support these uses: for instance, cherry consumption has been associated with reduced inflammation and oxidative stress in conditions like arthritis and cardiovascular.</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t>Cherry Bark:</w:t>
      </w:r>
      <w:r w:rsidRPr="009C2E59">
        <w:rPr>
          <w:rFonts w:ascii="Times New Roman" w:eastAsia="Times New Roman" w:hAnsi="Times New Roman" w:cs="Times New Roman"/>
          <w:sz w:val="24"/>
          <w:szCs w:val="24"/>
        </w:rPr>
        <w:t xml:space="preserve"> The bark of wild cherry (</w:t>
      </w:r>
      <w:r w:rsidRPr="009C2E59">
        <w:rPr>
          <w:rFonts w:ascii="Times New Roman" w:eastAsia="Times New Roman" w:hAnsi="Times New Roman" w:cs="Times New Roman"/>
          <w:i/>
          <w:iCs/>
          <w:sz w:val="24"/>
          <w:szCs w:val="24"/>
        </w:rPr>
        <w:t>Prunusserotina</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P. avium</w:t>
      </w:r>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9C2E59">
        <w:rPr>
          <w:rFonts w:ascii="Times New Roman" w:eastAsia="Times New Roman" w:hAnsi="Times New Roman" w:cs="Times New Roman"/>
          <w:i/>
          <w:iCs/>
          <w:sz w:val="24"/>
          <w:szCs w:val="24"/>
        </w:rPr>
        <w:t>Prunusavium</w:t>
      </w:r>
      <w:r w:rsidRPr="009C2E59">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7701A6">
        <w:rPr>
          <w:rFonts w:ascii="Times New Roman" w:eastAsia="Times New Roman" w:hAnsi="Times New Roman" w:cs="Times New Roman"/>
          <w:i/>
          <w:iCs/>
          <w:sz w:val="24"/>
          <w:szCs w:val="24"/>
        </w:rPr>
        <w:t>Prunuscerasus</w:t>
      </w:r>
      <w:r w:rsidRPr="007701A6">
        <w:rPr>
          <w:rFonts w:ascii="Times New Roman" w:eastAsia="Times New Roman" w:hAnsi="Times New Roman" w:cs="Times New Roman"/>
          <w:sz w:val="24"/>
          <w:szCs w:val="24"/>
        </w:rPr>
        <w:t xml:space="preserve">) in </w:t>
      </w:r>
      <w:r w:rsidRPr="007701A6">
        <w:rPr>
          <w:rFonts w:ascii="Times New Roman" w:eastAsia="Times New Roman" w:hAnsi="Times New Roman" w:cs="Times New Roman"/>
          <w:sz w:val="24"/>
          <w:szCs w:val="24"/>
        </w:rPr>
        <w:lastRenderedPageBreak/>
        <w:t xml:space="preserve">particular have a notable history as an anti-gout and anti-arthritis remedy; while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In summary,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2.5 Ethnopharmacological Profile of Prunusavium</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THREE</w:t>
      </w:r>
    </w:p>
    <w:p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The plant was identified as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3.3 Preparation of Methanolic Extract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Soxhlet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Soxhlet apparatus.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Soxhlet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w:t>
      </w:r>
      <w:r w:rsidRPr="007701A6">
        <w:rPr>
          <w:rFonts w:ascii="Times New Roman" w:eastAsia="Times New Roman" w:hAnsi="Times New Roman" w:cs="Times New Roman"/>
          <w:sz w:val="24"/>
          <w:szCs w:val="24"/>
        </w:rPr>
        <w:lastRenderedPageBreak/>
        <w:t>indicating extraction of compounds from the seeds. After 6 hours, the solvent in the Soxhlet siphon was nearly the same color as in previous cycle, suggesting that extraction was exhaustive and most extractable material had been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methanolic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For anti-inflammatory assays, we prepared dilutions in relevant solvents (water or buffer) as needed, sometimes requiring the aid of a small amount of DMSO or methanol to help </w:t>
      </w:r>
      <w:r w:rsidRPr="007701A6">
        <w:rPr>
          <w:rFonts w:ascii="Times New Roman" w:eastAsia="Times New Roman" w:hAnsi="Times New Roman" w:cs="Times New Roman"/>
          <w:sz w:val="24"/>
          <w:szCs w:val="24"/>
        </w:rPr>
        <w:lastRenderedPageBreak/>
        <w:t>dissolve (ensuring final DMSO/methanol in assay is very low and accounted for in controls).</w:t>
      </w:r>
    </w:p>
    <w:p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3.4 Qualitative Phytochemical Screening Procedures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tests needing acidic or basic conditions, adjustments were made as per protocols (e.g., acidifying for Bornträger’s, etc.)</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Dragendorff’s Test:</w:t>
      </w:r>
      <w:r w:rsidRPr="007701A6">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Dragendorff’s) 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Shinoda (Mg/HCl)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w:t>
      </w:r>
      <w:r w:rsidRPr="007701A6">
        <w:rPr>
          <w:rFonts w:ascii="Times New Roman" w:eastAsia="Times New Roman" w:hAnsi="Times New Roman" w:cs="Times New Roman"/>
          <w:sz w:val="24"/>
          <w:szCs w:val="24"/>
        </w:rPr>
        <w:lastRenderedPageBreak/>
        <w:t>contain flavonols or flavanones. (Indeed, a pink shade did appear, as will be reported.)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and Phenolics: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FeCl₃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gallic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FeCl₃ test is 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FeCl₃ can be corrosive; handled with care.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saponins, we looked for frothing.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Glycosides:</w:t>
      </w:r>
      <w:r w:rsidRPr="007701A6">
        <w:rPr>
          <w:rFonts w:ascii="Times New Roman" w:eastAsia="Times New Roman" w:hAnsi="Times New Roman" w:cs="Times New Roman"/>
          <w:sz w:val="24"/>
          <w:szCs w:val="24"/>
        </w:rPr>
        <w:br/>
        <w:t xml:space="preserve">(a) </w:t>
      </w:r>
      <w:r w:rsidRPr="007701A6">
        <w:rPr>
          <w:rFonts w:ascii="Times New Roman" w:eastAsia="Times New Roman" w:hAnsi="Times New Roman" w:cs="Times New Roman"/>
          <w:i/>
          <w:iCs/>
          <w:sz w:val="24"/>
          <w:szCs w:val="24"/>
        </w:rPr>
        <w:t>Salkowski’s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Keller-Kiliani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t xml:space="preserve">(c) </w:t>
      </w:r>
      <w:r w:rsidRPr="007701A6">
        <w:rPr>
          <w:rFonts w:ascii="Times New Roman" w:eastAsia="Times New Roman" w:hAnsi="Times New Roman" w:cs="Times New Roman"/>
          <w:i/>
          <w:iCs/>
          <w:sz w:val="24"/>
          <w:szCs w:val="24"/>
        </w:rPr>
        <w:t>Bornträger’s Test for Anthraquinone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w:t>
      </w:r>
      <w:r w:rsidRPr="007701A6">
        <w:rPr>
          <w:rFonts w:ascii="Times New Roman" w:eastAsia="Times New Roman" w:hAnsi="Times New Roman" w:cs="Times New Roman"/>
          <w:sz w:val="24"/>
          <w:szCs w:val="24"/>
        </w:rPr>
        <w:lastRenderedPageBreak/>
        <w:t>supporting presence of amygdalin/prunasin, but since it’s a qualitative observation, we mention it narratively rather than as a main result.)</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 and Steroids: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Liebermann-Burchard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triterpenes.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(We already have Salkowski above, which is a similar test. Salkowski yields red for terpenoids).</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 (Fehling’s Test):</w:t>
      </w:r>
      <w:r w:rsidRPr="007701A6">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Amino Acids (Ninhydrin Test):</w:t>
      </w:r>
      <w:r w:rsidRPr="007701A6">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w:t>
      </w:r>
      <w:r w:rsidRPr="007701A6">
        <w:rPr>
          <w:rFonts w:ascii="Times New Roman" w:eastAsia="Times New Roman" w:hAnsi="Times New Roman" w:cs="Times New Roman"/>
          <w:sz w:val="24"/>
          <w:szCs w:val="24"/>
        </w:rPr>
        <w:lastRenderedPageBreak/>
        <w:t xml:space="preserve">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sidRPr="007701A6">
        <w:rPr>
          <w:rFonts w:ascii="Times New Roman" w:eastAsia="Times New Roman" w:hAnsi="Times New Roman" w:cs="Times New Roman"/>
          <w:b/>
          <w:bCs/>
          <w:sz w:val="24"/>
          <w:szCs w:val="24"/>
        </w:rPr>
        <w:t>Diclofenac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standard drug, 0.45 mL BSA + 0.05 mL diclofenac solution (prepared in PBS).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whereOD_control is the absorbance of heated BSA without any drug or extract (just solvent).</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Diclofenac</w:t>
      </w:r>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FOUR</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P. avium</w:t>
      </w:r>
      <w:r w:rsidRPr="007701A6">
        <w:rPr>
          <w:rFonts w:ascii="Times New Roman" w:eastAsia="Times New Roman" w:hAnsi="Times New Roman" w:cs="Times New Roman"/>
          <w:b/>
          <w:bCs/>
          <w:sz w:val="24"/>
          <w:szCs w:val="24"/>
        </w:rPr>
        <w:t xml:space="preserve"> Seed Methanolic Extract</w:t>
      </w:r>
    </w:p>
    <w:tbl>
      <w:tblPr>
        <w:tblStyle w:val="TableGrid"/>
        <w:tblW w:w="0" w:type="auto"/>
        <w:tblLook w:val="04A0"/>
      </w:tblPr>
      <w:tblGrid>
        <w:gridCol w:w="2025"/>
        <w:gridCol w:w="1983"/>
        <w:gridCol w:w="3598"/>
        <w:gridCol w:w="1970"/>
      </w:tblGrid>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Mayer’s and </w:t>
            </w:r>
            <w:r w:rsidRPr="009C2E59">
              <w:rPr>
                <w:rFonts w:ascii="Times New Roman" w:eastAsia="Times New Roman" w:hAnsi="Times New Roman" w:cs="Times New Roman"/>
                <w:sz w:val="24"/>
                <w:szCs w:val="24"/>
              </w:rPr>
              <w:lastRenderedPageBreak/>
              <w:t>Dragendorff’s reagents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lastRenderedPageBreak/>
              <w:t xml:space="preserve">Slight turbidity with </w:t>
            </w:r>
            <w:r w:rsidRPr="009C2E59">
              <w:rPr>
                <w:rFonts w:ascii="Times New Roman" w:eastAsia="Times New Roman" w:hAnsi="Times New Roman" w:cs="Times New Roman"/>
                <w:sz w:val="24"/>
                <w:szCs w:val="24"/>
              </w:rPr>
              <w:lastRenderedPageBreak/>
              <w:t>Dragendorff’s; very faint precipitate with Mayer’s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(trace presence)</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Flavonoids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Shinoda test (Mg/HCl)</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 (general)</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Salkowski’s (H₂SO₄)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Keller-Kiliani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Anthraquinone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Bornträger’s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pink/red color in ammoniacal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w:t>
            </w:r>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Liebermann-Burchard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(triterpenoids present; no free sterols)</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Fehling’s A &amp; B (Benedict’s </w:t>
            </w:r>
            <w:r w:rsidRPr="007701A6">
              <w:rPr>
                <w:rFonts w:ascii="Times New Roman" w:eastAsia="Times New Roman" w:hAnsi="Times New Roman" w:cs="Times New Roman"/>
                <w:sz w:val="24"/>
                <w:szCs w:val="24"/>
              </w:rPr>
              <w:lastRenderedPageBreak/>
              <w:t>similar)</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lastRenderedPageBreak/>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Proteins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Ninhydrin test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Shinoda reaction (pink/red color) 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w:t>
      </w:r>
      <w:r w:rsidRPr="007701A6">
        <w:rPr>
          <w:rFonts w:ascii="Times New Roman" w:eastAsia="Times New Roman" w:hAnsi="Times New Roman" w:cs="Times New Roman"/>
          <w:sz w:val="24"/>
          <w:szCs w:val="24"/>
        </w:rPr>
        <w:lastRenderedPageBreak/>
        <w:t>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7701A6">
        <w:rPr>
          <w:rFonts w:ascii="Times New Roman" w:eastAsia="Times New Roman" w:hAnsi="Times New Roman" w:cs="Times New Roman"/>
          <w:i/>
          <w:iCs/>
          <w:sz w:val="24"/>
          <w:szCs w:val="24"/>
        </w:rPr>
        <w:t>triterpenoidsaponins or other glycosides</w:t>
      </w:r>
      <w:r w:rsidRPr="007701A6">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seedsals-journal.com.</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Alkaloids:</w:t>
      </w:r>
      <w:r w:rsidRPr="007701A6">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Peganumharmala seeds in Nitrariaceae) are not known for alkaloid content. The trace result might come from some nitrogenous compounds or minor bases in the seed.</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Proteins/Amino acids:</w:t>
      </w:r>
      <w:r w:rsidRPr="007701A6">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The presence of these compounds in the extract provides clues to the potential mechanisms of any bioactivity:</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Steroidal/triterpenoid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 anti-oxidant potential of the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00263DD9">
        <w:rPr>
          <w:rFonts w:ascii="Times New Roman" w:eastAsia="Times New Roman" w:hAnsi="Times New Roman" w:cs="Times New Roman"/>
          <w:noProof/>
          <w:sz w:val="24"/>
          <w:szCs w:val="24"/>
        </w:rPr>
      </w:r>
      <w:r w:rsidR="00263DD9">
        <w:rPr>
          <w:rFonts w:ascii="Times New Roman" w:eastAsia="Times New Roman" w:hAnsi="Times New Roman" w:cs="Times New Roman"/>
          <w:noProof/>
          <w:sz w:val="24"/>
          <w:szCs w:val="24"/>
        </w:rPr>
        <w:pict>
          <v:rect id="Rectangle 7" o:spid="_x0000_s1026" alt="blob:https://chatgpt.com/6329d7f5-145f-4e29-9d2e-1e6449ebb264"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wrap type="none"/>
            <w10:anchorlock/>
          </v:rect>
        </w:pic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FIVE</w:t>
      </w:r>
    </w:p>
    <w:p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seeds. Through a structured series of experiments, we achieved the following:</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w:t>
      </w:r>
      <w:r w:rsidRPr="007701A6">
        <w:rPr>
          <w:rFonts w:ascii="Times New Roman" w:eastAsia="Times New Roman" w:hAnsi="Times New Roman" w:cs="Times New Roman"/>
          <w:sz w:val="24"/>
          <w:szCs w:val="24"/>
        </w:rPr>
        <w:lastRenderedPageBreak/>
        <w:t>for analysis, which appeared rich in polar phytochemicals as indicated by its dark brown color and solubility in water/methanol.</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Shinoda test) and </w:t>
      </w:r>
      <w:r w:rsidRPr="00BC03D9">
        <w:rPr>
          <w:rFonts w:ascii="Times New Roman" w:eastAsia="Times New Roman" w:hAnsi="Times New Roman" w:cs="Times New Roman"/>
          <w:bCs/>
          <w:sz w:val="24"/>
          <w:szCs w:val="24"/>
        </w:rPr>
        <w:t>tannins/phenolics</w:t>
      </w:r>
      <w:r w:rsidRPr="00BC03D9">
        <w:rPr>
          <w:rFonts w:ascii="Times New Roman" w:eastAsia="Times New Roman" w:hAnsi="Times New Roman" w:cs="Times New Roman"/>
          <w:sz w:val="24"/>
          <w:szCs w:val="24"/>
        </w:rPr>
        <w:t xml:space="preserve"> (detected by FeCl₃ test) were prominently present, indicating a high polyphenolic content. </w:t>
      </w:r>
      <w:r w:rsidRPr="00BC03D9">
        <w:rPr>
          <w:rFonts w:ascii="Times New Roman" w:eastAsia="Times New Roman" w:hAnsi="Times New Roman" w:cs="Times New Roman"/>
          <w:bCs/>
          <w:sz w:val="24"/>
          <w:szCs w:val="24"/>
        </w:rPr>
        <w:t>Saponins</w:t>
      </w:r>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sidRPr="00BC03D9">
        <w:rPr>
          <w:rFonts w:ascii="Times New Roman" w:eastAsia="Times New Roman" w:hAnsi="Times New Roman" w:cs="Times New Roman"/>
          <w:bCs/>
          <w:sz w:val="24"/>
          <w:szCs w:val="24"/>
        </w:rPr>
        <w:t>Cyanogenic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w:t>
      </w:r>
      <w:r w:rsidRPr="007701A6">
        <w:rPr>
          <w:rFonts w:ascii="Times New Roman" w:eastAsia="Times New Roman" w:hAnsi="Times New Roman" w:cs="Times New Roman"/>
          <w:sz w:val="24"/>
          <w:szCs w:val="24"/>
        </w:rPr>
        <w:lastRenderedPageBreak/>
        <w:t>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the methanolic extract of sweet cherry seeds shows promise as a natural anti-inflammatory agent</w:t>
      </w:r>
      <w:r w:rsidRPr="007701A6">
        <w:rPr>
          <w:rFonts w:ascii="Times New Roman" w:eastAsia="Times New Roman" w:hAnsi="Times New Roman" w:cs="Times New Roman"/>
          <w:sz w:val="24"/>
          <w:szCs w:val="24"/>
        </w:rPr>
        <w:t xml:space="preserve">,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w:t>
      </w:r>
      <w:r w:rsidRPr="007701A6">
        <w:rPr>
          <w:rFonts w:ascii="Times New Roman" w:eastAsia="Times New Roman" w:hAnsi="Times New Roman" w:cs="Times New Roman"/>
          <w:sz w:val="24"/>
          <w:szCs w:val="24"/>
        </w:rPr>
        <w:lastRenderedPageBreak/>
        <w:t>cherry pit, often simply cast aside, thus emerges as a repository of bioactive substances that could benefit human health.</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5.3 Recommendations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1. Bioactive Compound Isolation and Characterization: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rsidR="00E611FE" w:rsidRDefault="00E611FE"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2. </w:t>
      </w:r>
      <w:r w:rsidRPr="007701A6">
        <w:rPr>
          <w:rFonts w:ascii="Times New Roman" w:eastAsia="Times New Roman" w:hAnsi="Times New Roman" w:cs="Times New Roman"/>
          <w:b/>
          <w:bCs/>
          <w:sz w:val="24"/>
          <w:szCs w:val="24"/>
        </w:rPr>
        <w:t>Quantitative Phytochemical Analysis: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Concluding Remark:</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(Prunusavium L.). Journal of Agricultural and Food Chemistry, 52(4), 803-809.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Ferretti, G., Bacchetti, T., Belleggia, A., &amp;Neri, D. (2010). Cherry antioxidants: From farm to table. Molecules, 15(10), 6993-7005.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Grant, N. H., Alburn, H. E., &amp;Kryzanauskas, C. (1970). Stabilization of serum albumin by anti-inflammatory drugs. Biochemical Pharmacology, 19(3), 715-722.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Harborne, J. B. (1998). Phytochemical Methods: A Guide to Modern Techniques of Plant Analysis (3rd ed.). Springer.</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Medzhitov, R. (2008). Origin and physiological roles of inflammation. Nature, 454(7203), 428–435.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Nathan, C., &amp; Ding, A. (2010). Nonresolving inflammation. Cell, 140(6), 871–882.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Shinde, U. A., Phadke, A. S., Nair, A. M., Mungantiwar, A. A., Dikshit, V. J., &amp;Saraf, M. N. (1999). Membrane stabilizing activity—a possible mechanism of action for the anti-inflammatory activity of Cedrusdeodara wood oil. Fitoterapia, 70(3), 251–257.</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Trease, G. E., &amp; Evans, W. C. (2002). Pharmacognosy (15th ed.). Saunders.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Vane, J. R., &amp;Botting, R. M. (1998). Mechanism of action of anti-inflammatory drugs. International Journal of Tissue Reactions, 20(1), 3–15.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Nunes, M. A., Batista, Â. G., Cazarin, C. B. B., &amp;Maróstica, M. R. (2021). Bioactive compounds and biological activities of Prunus spp. by-products: A systematic review. Antioxidants, 10(9), 1363.</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Pereira, J. A., Oliveira, I., Sousa, A., Ferreira, I. C. F. R., Bento, A., &amp;Estevinho, L. (2007). Bioactive properties and chemical composition of six walnut (Juglansregia L.) cultivars. Food and Chemical Toxicology, 46(7), 2103–2111.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Wang, H., Nair, M. G., Strasburg, G. M., Chang, Y. C., Booren, A. M., Gray, J. I., &amp; DeWitt, D. L. (1999). Antioxidant and anti-inflammatory activities of anthocyanins and their aglycon, cyanidin, from tart cherries. Journal of Natural Products, 62(2), 294–296.</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Rice-Evans, C. A., Miller, N. J., &amp;Paganga, G. (1997). Antioxidant properties of phenolic compounds. Trends in Plant Science, 2(4), 152–159.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Middleton, E., Kandaswami, C., &amp;Theoharides, T. C. (2000). The effects of plant flavonoids on mammalian cells: Implications for inflammation, heart disease, and cancer. Pharmacological Reviews, 52(4), 673–751.</w:t>
      </w:r>
    </w:p>
    <w:p w:rsidR="007701A6" w:rsidRPr="007701A6" w:rsidRDefault="007701A6" w:rsidP="009C2E59">
      <w:pPr>
        <w:spacing w:after="0" w:line="480" w:lineRule="auto"/>
        <w:ind w:left="720" w:hanging="720"/>
        <w:jc w:val="both"/>
        <w:rPr>
          <w:b/>
          <w:bCs/>
          <w:sz w:val="24"/>
          <w:szCs w:val="24"/>
        </w:rPr>
      </w:pPr>
    </w:p>
    <w:p w:rsidR="007701A6" w:rsidRPr="007701A6" w:rsidRDefault="007701A6" w:rsidP="009C2E59">
      <w:pPr>
        <w:spacing w:after="0" w:line="480" w:lineRule="auto"/>
        <w:rPr>
          <w:sz w:val="24"/>
          <w:szCs w:val="24"/>
        </w:rPr>
      </w:pPr>
    </w:p>
    <w:p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52B" w:rsidRDefault="009C552B" w:rsidP="00E611FE">
      <w:pPr>
        <w:spacing w:after="0" w:line="240" w:lineRule="auto"/>
      </w:pPr>
      <w:r>
        <w:separator/>
      </w:r>
    </w:p>
  </w:endnote>
  <w:endnote w:type="continuationSeparator" w:id="1">
    <w:p w:rsidR="009C552B" w:rsidRDefault="009C552B" w:rsidP="00E61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20949"/>
      <w:docPartObj>
        <w:docPartGallery w:val="Page Numbers (Bottom of Page)"/>
        <w:docPartUnique/>
      </w:docPartObj>
    </w:sdtPr>
    <w:sdtEndPr>
      <w:rPr>
        <w:noProof/>
      </w:rPr>
    </w:sdtEndPr>
    <w:sdtContent>
      <w:p w:rsidR="00E611FE" w:rsidRDefault="00263DD9">
        <w:pPr>
          <w:pStyle w:val="Footer"/>
          <w:jc w:val="center"/>
        </w:pPr>
        <w:r>
          <w:fldChar w:fldCharType="begin"/>
        </w:r>
        <w:r w:rsidR="00E611FE">
          <w:instrText xml:space="preserve"> PAGE   \* MERGEFORMAT </w:instrText>
        </w:r>
        <w:r>
          <w:fldChar w:fldCharType="separate"/>
        </w:r>
        <w:r w:rsidR="005B1826">
          <w:rPr>
            <w:noProof/>
          </w:rPr>
          <w:t>ii</w:t>
        </w:r>
        <w:r>
          <w:rPr>
            <w:noProof/>
          </w:rPr>
          <w:fldChar w:fldCharType="end"/>
        </w:r>
      </w:p>
    </w:sdtContent>
  </w:sdt>
  <w:p w:rsidR="00E611FE" w:rsidRDefault="00E61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52B" w:rsidRDefault="009C552B" w:rsidP="00E611FE">
      <w:pPr>
        <w:spacing w:after="0" w:line="240" w:lineRule="auto"/>
      </w:pPr>
      <w:r>
        <w:separator/>
      </w:r>
    </w:p>
  </w:footnote>
  <w:footnote w:type="continuationSeparator" w:id="1">
    <w:p w:rsidR="009C552B" w:rsidRDefault="009C552B" w:rsidP="00E611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5"/>
  </w:num>
  <w:num w:numId="4">
    <w:abstractNumId w:val="11"/>
  </w:num>
  <w:num w:numId="5">
    <w:abstractNumId w:val="7"/>
  </w:num>
  <w:num w:numId="6">
    <w:abstractNumId w:val="4"/>
  </w:num>
  <w:num w:numId="7">
    <w:abstractNumId w:val="3"/>
  </w:num>
  <w:num w:numId="8">
    <w:abstractNumId w:val="13"/>
  </w:num>
  <w:num w:numId="9">
    <w:abstractNumId w:val="6"/>
  </w:num>
  <w:num w:numId="10">
    <w:abstractNumId w:val="8"/>
  </w:num>
  <w:num w:numId="11">
    <w:abstractNumId w:val="9"/>
  </w:num>
  <w:num w:numId="12">
    <w:abstractNumId w:val="0"/>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7701A6"/>
    <w:rsid w:val="00025516"/>
    <w:rsid w:val="00263DD9"/>
    <w:rsid w:val="00347D68"/>
    <w:rsid w:val="00570F34"/>
    <w:rsid w:val="005B1826"/>
    <w:rsid w:val="006F1DF8"/>
    <w:rsid w:val="007701A6"/>
    <w:rsid w:val="007A316E"/>
    <w:rsid w:val="009C2E59"/>
    <w:rsid w:val="009C552B"/>
    <w:rsid w:val="009F272E"/>
    <w:rsid w:val="00B206CB"/>
    <w:rsid w:val="00BC03D9"/>
    <w:rsid w:val="00E5704A"/>
    <w:rsid w:val="00E611FE"/>
    <w:rsid w:val="00E92242"/>
    <w:rsid w:val="00F4630F"/>
    <w:rsid w:val="00F93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r="http://schemas.openxmlformats.org/officeDocument/2006/relationships" xmlns:w="http://schemas.openxmlformats.org/wordprocessingml/2006/main">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43</Pages>
  <Words>9112</Words>
  <Characters>51940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ENGR. JOHN TEMITOPE</cp:lastModifiedBy>
  <cp:revision>12</cp:revision>
  <dcterms:created xsi:type="dcterms:W3CDTF">2025-07-19T06:25:00Z</dcterms:created>
  <dcterms:modified xsi:type="dcterms:W3CDTF">2025-08-04T10:21:00Z</dcterms:modified>
</cp:coreProperties>
</file>