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042" w:rsidRPr="00697C46" w:rsidRDefault="00B72042" w:rsidP="00B72042">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RHIZOPUS STOLONIFER TOXIN</w:t>
      </w:r>
    </w:p>
    <w:p w:rsidR="00B72042" w:rsidRPr="00697C46" w:rsidRDefault="00B72042" w:rsidP="00B72042">
      <w:pPr>
        <w:jc w:val="center"/>
        <w:rPr>
          <w:rFonts w:ascii="Times New Roman" w:hAnsi="Times New Roman" w:cs="Times New Roman"/>
          <w:b/>
          <w:sz w:val="28"/>
          <w:szCs w:val="28"/>
        </w:rPr>
      </w:pPr>
    </w:p>
    <w:p w:rsidR="00B72042" w:rsidRPr="00697C46" w:rsidRDefault="00B72042" w:rsidP="00B72042">
      <w:pPr>
        <w:jc w:val="center"/>
        <w:rPr>
          <w:rFonts w:ascii="Times New Roman" w:hAnsi="Times New Roman" w:cs="Times New Roman"/>
          <w:b/>
          <w:sz w:val="28"/>
          <w:szCs w:val="28"/>
        </w:rPr>
      </w:pPr>
      <w:r w:rsidRPr="00697C46">
        <w:rPr>
          <w:rFonts w:ascii="Times New Roman" w:hAnsi="Times New Roman" w:cs="Times New Roman"/>
          <w:b/>
          <w:sz w:val="28"/>
          <w:szCs w:val="28"/>
        </w:rPr>
        <w:t>BY</w:t>
      </w:r>
    </w:p>
    <w:p w:rsidR="00B72042" w:rsidRPr="00697C46" w:rsidRDefault="00B72042" w:rsidP="00B72042">
      <w:pPr>
        <w:jc w:val="center"/>
        <w:rPr>
          <w:rFonts w:ascii="Times New Roman" w:hAnsi="Times New Roman" w:cs="Times New Roman"/>
          <w:b/>
          <w:sz w:val="28"/>
          <w:szCs w:val="28"/>
        </w:rPr>
      </w:pPr>
    </w:p>
    <w:p w:rsidR="00B72042" w:rsidRPr="00697C46" w:rsidRDefault="00B72042" w:rsidP="00B72042">
      <w:pPr>
        <w:jc w:val="center"/>
        <w:rPr>
          <w:rFonts w:ascii="Times New Roman" w:hAnsi="Times New Roman" w:cs="Times New Roman"/>
          <w:b/>
          <w:sz w:val="28"/>
          <w:szCs w:val="28"/>
        </w:rPr>
      </w:pPr>
      <w:r>
        <w:rPr>
          <w:rFonts w:ascii="Times New Roman" w:hAnsi="Times New Roman" w:cs="Times New Roman"/>
          <w:b/>
          <w:sz w:val="28"/>
          <w:szCs w:val="28"/>
        </w:rPr>
        <w:t>AJADI JUSTINAH OPEYEMI</w:t>
      </w:r>
    </w:p>
    <w:p w:rsidR="00B72042" w:rsidRPr="00697C46" w:rsidRDefault="00B72042" w:rsidP="00B72042">
      <w:pPr>
        <w:jc w:val="center"/>
        <w:rPr>
          <w:rFonts w:ascii="Times New Roman" w:hAnsi="Times New Roman" w:cs="Times New Roman"/>
          <w:b/>
          <w:sz w:val="28"/>
          <w:szCs w:val="28"/>
        </w:rPr>
      </w:pPr>
      <w:r>
        <w:rPr>
          <w:rFonts w:ascii="Times New Roman" w:hAnsi="Times New Roman" w:cs="Times New Roman"/>
          <w:b/>
          <w:sz w:val="28"/>
          <w:szCs w:val="28"/>
        </w:rPr>
        <w:t>HND/23/SLT/FT/0</w:t>
      </w:r>
      <w:r w:rsidRPr="00697C46">
        <w:rPr>
          <w:rFonts w:ascii="Times New Roman" w:hAnsi="Times New Roman" w:cs="Times New Roman"/>
          <w:b/>
          <w:sz w:val="28"/>
          <w:szCs w:val="28"/>
        </w:rPr>
        <w:t>5</w:t>
      </w:r>
      <w:r>
        <w:rPr>
          <w:rFonts w:ascii="Times New Roman" w:hAnsi="Times New Roman" w:cs="Times New Roman"/>
          <w:b/>
          <w:sz w:val="28"/>
          <w:szCs w:val="28"/>
        </w:rPr>
        <w:t>21</w:t>
      </w:r>
    </w:p>
    <w:p w:rsidR="00B72042" w:rsidRPr="00BF66D0" w:rsidRDefault="00B72042" w:rsidP="00B72042">
      <w:pPr>
        <w:spacing w:line="240" w:lineRule="auto"/>
        <w:jc w:val="center"/>
        <w:rPr>
          <w:rFonts w:ascii="Times New Roman" w:hAnsi="Times New Roman" w:cs="Times New Roman"/>
          <w:b/>
          <w:sz w:val="28"/>
          <w:szCs w:val="28"/>
        </w:rPr>
      </w:pPr>
    </w:p>
    <w:p w:rsidR="00B72042" w:rsidRDefault="00B72042" w:rsidP="00B7204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B72042" w:rsidRDefault="00B72042" w:rsidP="00B72042">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B72042" w:rsidRDefault="00B72042" w:rsidP="00B7204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rsidR="00B72042" w:rsidRDefault="00B72042" w:rsidP="00B72042">
      <w:pPr>
        <w:spacing w:after="0" w:line="360" w:lineRule="auto"/>
        <w:jc w:val="center"/>
        <w:rPr>
          <w:rFonts w:ascii="Times New Roman" w:hAnsi="Times New Roman" w:cs="Times New Roman"/>
          <w:b/>
          <w:sz w:val="28"/>
          <w:szCs w:val="28"/>
        </w:rPr>
      </w:pPr>
    </w:p>
    <w:p w:rsidR="00B72042" w:rsidRDefault="00B72042" w:rsidP="00B72042">
      <w:pPr>
        <w:spacing w:after="0" w:line="360" w:lineRule="auto"/>
        <w:rPr>
          <w:rFonts w:ascii="Times New Roman" w:hAnsi="Times New Roman" w:cs="Times New Roman"/>
          <w:b/>
          <w:bCs/>
          <w:sz w:val="28"/>
          <w:szCs w:val="28"/>
        </w:rPr>
      </w:pPr>
    </w:p>
    <w:p w:rsidR="00B72042" w:rsidRDefault="00B72042" w:rsidP="00B72042">
      <w:pPr>
        <w:spacing w:after="0" w:line="360" w:lineRule="auto"/>
        <w:ind w:left="5040" w:firstLine="720"/>
        <w:jc w:val="center"/>
        <w:rPr>
          <w:rFonts w:ascii="Times New Roman" w:hAnsi="Times New Roman" w:cs="Times New Roman"/>
          <w:b/>
          <w:bCs/>
          <w:sz w:val="28"/>
          <w:szCs w:val="28"/>
        </w:rPr>
        <w:sectPr w:rsidR="00B72042" w:rsidSect="00E61F41">
          <w:footerReference w:type="default" r:id="rId7"/>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rsidR="00802D11" w:rsidRDefault="00802D11" w:rsidP="00802D11">
      <w:pPr>
        <w:pStyle w:val="NormalWeb"/>
        <w:sectPr w:rsidR="00802D11" w:rsidSect="00802D11">
          <w:footerReference w:type="default" r:id="rId8"/>
          <w:pgSz w:w="12240" w:h="15840"/>
          <w:pgMar w:top="720" w:right="720" w:bottom="720" w:left="720" w:header="706" w:footer="706" w:gutter="0"/>
          <w:pgNumType w:fmt="lowerRoman" w:start="1"/>
          <w:cols w:space="708"/>
          <w:docGrid w:linePitch="360"/>
        </w:sectPr>
      </w:pPr>
      <w:r>
        <w:rPr>
          <w:noProof/>
        </w:rPr>
        <w:lastRenderedPageBreak/>
        <w:drawing>
          <wp:inline distT="0" distB="0" distL="0" distR="0">
            <wp:extent cx="7004050" cy="9428480"/>
            <wp:effectExtent l="0" t="0" r="6350" b="1270"/>
            <wp:docPr id="6" name="Picture 6" descr="C:\Users\BALOGUN JAMIU\Downloads\AJADI JUSTI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LOGUN JAMIU\Downloads\AJADI JUSTINA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13414" cy="9441085"/>
                    </a:xfrm>
                    <a:prstGeom prst="rect">
                      <a:avLst/>
                    </a:prstGeom>
                    <a:noFill/>
                    <a:ln>
                      <a:noFill/>
                    </a:ln>
                  </pic:spPr>
                </pic:pic>
              </a:graphicData>
            </a:graphic>
          </wp:inline>
        </w:drawing>
      </w:r>
    </w:p>
    <w:p w:rsidR="00802D11" w:rsidRDefault="00802D11" w:rsidP="00802D11">
      <w:pPr>
        <w:pStyle w:val="NormalWeb"/>
      </w:pPr>
    </w:p>
    <w:p w:rsidR="00B72042" w:rsidRPr="00D6009D" w:rsidRDefault="00B72042" w:rsidP="00B72042">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rsidR="00B72042" w:rsidRPr="00806C1F" w:rsidRDefault="00B72042" w:rsidP="00B72042">
      <w:pPr>
        <w:spacing w:before="100" w:beforeAutospacing="1" w:line="36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This project is dedicated to God almighty for his infinite mercy and grace to run this degree program successfully</w:t>
      </w:r>
    </w:p>
    <w:p w:rsidR="00B72042" w:rsidRDefault="00B72042" w:rsidP="00B72042">
      <w:pPr>
        <w:spacing w:before="100" w:beforeAutospacing="1" w:line="360" w:lineRule="auto"/>
        <w:jc w:val="both"/>
        <w:rPr>
          <w:rFonts w:ascii="Times New Roman" w:eastAsia="Calibri" w:hAnsi="Times New Roman" w:cs="Times New Roman"/>
          <w:sz w:val="28"/>
          <w:szCs w:val="28"/>
        </w:rPr>
      </w:pPr>
    </w:p>
    <w:p w:rsidR="00B72042" w:rsidRDefault="00B72042" w:rsidP="00B72042">
      <w:pPr>
        <w:spacing w:before="100" w:beforeAutospacing="1" w:line="360" w:lineRule="auto"/>
        <w:jc w:val="both"/>
        <w:rPr>
          <w:rFonts w:ascii="Times New Roman" w:eastAsia="Calibri" w:hAnsi="Times New Roman" w:cs="Times New Roman"/>
          <w:sz w:val="28"/>
          <w:szCs w:val="28"/>
        </w:rPr>
      </w:pPr>
    </w:p>
    <w:p w:rsidR="00B72042" w:rsidRDefault="00B72042" w:rsidP="00B72042">
      <w:pPr>
        <w:spacing w:before="100" w:beforeAutospacing="1" w:line="360" w:lineRule="auto"/>
        <w:jc w:val="both"/>
        <w:rPr>
          <w:rFonts w:ascii="Times New Roman" w:eastAsia="Calibri" w:hAnsi="Times New Roman" w:cs="Times New Roman"/>
          <w:sz w:val="28"/>
          <w:szCs w:val="28"/>
        </w:rPr>
      </w:pPr>
    </w:p>
    <w:p w:rsidR="00B72042" w:rsidRDefault="00B72042" w:rsidP="00B72042">
      <w:pPr>
        <w:spacing w:before="100" w:beforeAutospacing="1" w:line="360" w:lineRule="auto"/>
        <w:jc w:val="both"/>
        <w:rPr>
          <w:rFonts w:ascii="Times New Roman" w:eastAsia="Calibri" w:hAnsi="Times New Roman" w:cs="Times New Roman"/>
          <w:sz w:val="28"/>
          <w:szCs w:val="28"/>
        </w:rPr>
      </w:pPr>
    </w:p>
    <w:p w:rsidR="00B72042" w:rsidRDefault="00B72042" w:rsidP="00B72042">
      <w:pPr>
        <w:spacing w:before="100" w:beforeAutospacing="1" w:line="360" w:lineRule="auto"/>
        <w:jc w:val="both"/>
        <w:rPr>
          <w:rFonts w:ascii="Times New Roman" w:eastAsia="Calibri" w:hAnsi="Times New Roman" w:cs="Times New Roman"/>
          <w:sz w:val="28"/>
          <w:szCs w:val="28"/>
        </w:rPr>
      </w:pPr>
    </w:p>
    <w:p w:rsidR="00B72042" w:rsidRDefault="00B72042" w:rsidP="00B72042">
      <w:pPr>
        <w:spacing w:before="100" w:beforeAutospacing="1" w:line="360" w:lineRule="auto"/>
        <w:jc w:val="both"/>
        <w:rPr>
          <w:rFonts w:ascii="Times New Roman" w:eastAsia="Calibri" w:hAnsi="Times New Roman" w:cs="Times New Roman"/>
          <w:sz w:val="28"/>
          <w:szCs w:val="28"/>
        </w:rPr>
      </w:pPr>
    </w:p>
    <w:p w:rsidR="00B72042" w:rsidRDefault="00B72042" w:rsidP="00B72042">
      <w:pPr>
        <w:spacing w:before="100" w:beforeAutospacing="1" w:line="360" w:lineRule="auto"/>
        <w:jc w:val="both"/>
        <w:rPr>
          <w:rFonts w:ascii="Times New Roman" w:eastAsia="Calibri" w:hAnsi="Times New Roman" w:cs="Times New Roman"/>
          <w:sz w:val="28"/>
          <w:szCs w:val="28"/>
        </w:rPr>
      </w:pPr>
    </w:p>
    <w:p w:rsidR="00B72042" w:rsidRDefault="00B72042" w:rsidP="00B72042">
      <w:pPr>
        <w:spacing w:before="100" w:beforeAutospacing="1" w:line="360" w:lineRule="auto"/>
        <w:jc w:val="both"/>
        <w:rPr>
          <w:rFonts w:ascii="Times New Roman" w:eastAsia="Calibri" w:hAnsi="Times New Roman" w:cs="Times New Roman"/>
          <w:sz w:val="28"/>
          <w:szCs w:val="28"/>
        </w:rPr>
      </w:pPr>
    </w:p>
    <w:p w:rsidR="00B72042" w:rsidRDefault="00B72042" w:rsidP="00B72042">
      <w:pPr>
        <w:spacing w:before="100" w:beforeAutospacing="1" w:line="360" w:lineRule="auto"/>
        <w:jc w:val="both"/>
        <w:rPr>
          <w:rFonts w:ascii="Times New Roman" w:eastAsia="Calibri" w:hAnsi="Times New Roman" w:cs="Times New Roman"/>
          <w:sz w:val="28"/>
          <w:szCs w:val="28"/>
        </w:rPr>
      </w:pPr>
    </w:p>
    <w:p w:rsidR="00B72042" w:rsidRDefault="00B72042" w:rsidP="00B72042">
      <w:pPr>
        <w:spacing w:before="100" w:beforeAutospacing="1" w:line="360" w:lineRule="auto"/>
        <w:jc w:val="both"/>
        <w:rPr>
          <w:rFonts w:ascii="Times New Roman" w:eastAsia="Calibri" w:hAnsi="Times New Roman" w:cs="Times New Roman"/>
          <w:sz w:val="28"/>
          <w:szCs w:val="28"/>
        </w:rPr>
      </w:pPr>
    </w:p>
    <w:p w:rsidR="00B72042" w:rsidRDefault="00B72042" w:rsidP="00B72042">
      <w:pPr>
        <w:spacing w:line="480" w:lineRule="auto"/>
        <w:jc w:val="both"/>
        <w:rPr>
          <w:rFonts w:ascii="Times New Roman" w:eastAsia="Calibri" w:hAnsi="Times New Roman" w:cs="Times New Roman"/>
          <w:sz w:val="28"/>
          <w:szCs w:val="28"/>
        </w:rPr>
      </w:pPr>
    </w:p>
    <w:p w:rsidR="00B72042" w:rsidRDefault="00B72042" w:rsidP="00B72042">
      <w:pPr>
        <w:spacing w:line="480" w:lineRule="auto"/>
        <w:jc w:val="both"/>
        <w:rPr>
          <w:rFonts w:ascii="Times New Roman" w:eastAsia="Calibri" w:hAnsi="Times New Roman" w:cs="Times New Roman"/>
          <w:sz w:val="28"/>
          <w:szCs w:val="28"/>
        </w:rPr>
      </w:pPr>
    </w:p>
    <w:p w:rsidR="00B72042" w:rsidRDefault="00B72042" w:rsidP="00B72042">
      <w:pPr>
        <w:spacing w:line="480" w:lineRule="auto"/>
        <w:jc w:val="both"/>
        <w:rPr>
          <w:rFonts w:ascii="Times New Roman" w:eastAsia="Calibri" w:hAnsi="Times New Roman" w:cs="Times New Roman"/>
          <w:sz w:val="28"/>
          <w:szCs w:val="28"/>
        </w:rPr>
      </w:pPr>
    </w:p>
    <w:p w:rsidR="00802D11" w:rsidRDefault="00802D11" w:rsidP="00B72042">
      <w:pPr>
        <w:spacing w:line="480" w:lineRule="auto"/>
        <w:ind w:left="2160" w:firstLine="720"/>
        <w:jc w:val="both"/>
        <w:rPr>
          <w:rFonts w:ascii="Times New Roman" w:hAnsi="Times New Roman" w:cs="Times New Roman"/>
          <w:b/>
          <w:bCs/>
          <w:sz w:val="28"/>
          <w:szCs w:val="28"/>
        </w:rPr>
      </w:pPr>
      <w:bookmarkStart w:id="1" w:name="_GoBack"/>
      <w:bookmarkEnd w:id="1"/>
    </w:p>
    <w:p w:rsidR="00B72042" w:rsidRDefault="00B72042" w:rsidP="00B72042">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rsidR="00B72042" w:rsidRPr="00806C1F" w:rsidRDefault="00B72042" w:rsidP="00B72042">
      <w:pPr>
        <w:spacing w:before="100" w:beforeAutospacing="1" w:line="36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I am grateful to Almighty God for giving me strength, knowledge and understanding to complete this project. His love has been more than sufficient to keep and sustain me.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I would like to extend special regards to my amazing parents MR &amp; MRS AJADI for their unfailing support,</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they have been source of my inspiration and gave me their moral,</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spiritual,</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emotional and financial support,</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they instilled in me a desire to learn and made sacrifices so I would have access to high quality education from an early </w:t>
      </w:r>
      <w:proofErr w:type="spellStart"/>
      <w:r w:rsidRPr="00806C1F">
        <w:rPr>
          <w:rFonts w:ascii="Times New Roman" w:eastAsia="Calibri" w:hAnsi="Times New Roman" w:cs="Times New Roman"/>
          <w:sz w:val="28"/>
          <w:szCs w:val="28"/>
        </w:rPr>
        <w:t>age.May</w:t>
      </w:r>
      <w:proofErr w:type="spellEnd"/>
      <w:r w:rsidRPr="00806C1F">
        <w:rPr>
          <w:rFonts w:ascii="Times New Roman" w:eastAsia="Calibri" w:hAnsi="Times New Roman" w:cs="Times New Roman"/>
          <w:sz w:val="28"/>
          <w:szCs w:val="28"/>
        </w:rPr>
        <w:t xml:space="preserve"> Almighty God continue showering them with </w:t>
      </w:r>
      <w:proofErr w:type="gramStart"/>
      <w:r w:rsidRPr="00806C1F">
        <w:rPr>
          <w:rFonts w:ascii="Times New Roman" w:eastAsia="Calibri" w:hAnsi="Times New Roman" w:cs="Times New Roman"/>
          <w:sz w:val="28"/>
          <w:szCs w:val="28"/>
        </w:rPr>
        <w:t>blessings(</w:t>
      </w:r>
      <w:proofErr w:type="gramEnd"/>
      <w:r w:rsidRPr="00806C1F">
        <w:rPr>
          <w:rFonts w:ascii="Times New Roman" w:eastAsia="Calibri" w:hAnsi="Times New Roman" w:cs="Times New Roman"/>
          <w:sz w:val="28"/>
          <w:szCs w:val="28"/>
        </w:rPr>
        <w:t>Amen)</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also appreciate my </w:t>
      </w:r>
      <w:proofErr w:type="spellStart"/>
      <w:r w:rsidRPr="00806C1F">
        <w:rPr>
          <w:rFonts w:ascii="Times New Roman" w:eastAsia="Calibri" w:hAnsi="Times New Roman" w:cs="Times New Roman"/>
          <w:sz w:val="28"/>
          <w:szCs w:val="28"/>
        </w:rPr>
        <w:t>man</w:t>
      </w:r>
      <w:proofErr w:type="gramStart"/>
      <w:r w:rsidRPr="00806C1F">
        <w:rPr>
          <w:rFonts w:ascii="Times New Roman" w:eastAsia="Calibri" w:hAnsi="Times New Roman" w:cs="Times New Roman"/>
          <w:sz w:val="28"/>
          <w:szCs w:val="28"/>
        </w:rPr>
        <w:t>,your</w:t>
      </w:r>
      <w:proofErr w:type="spellEnd"/>
      <w:proofErr w:type="gramEnd"/>
      <w:r w:rsidRPr="00806C1F">
        <w:rPr>
          <w:rFonts w:ascii="Times New Roman" w:eastAsia="Calibri" w:hAnsi="Times New Roman" w:cs="Times New Roman"/>
          <w:sz w:val="28"/>
          <w:szCs w:val="28"/>
        </w:rPr>
        <w:t xml:space="preserve"> presence in my life has been a blessing,</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couldn’t have done it without </w:t>
      </w:r>
      <w:proofErr w:type="spellStart"/>
      <w:r w:rsidRPr="00806C1F">
        <w:rPr>
          <w:rFonts w:ascii="Times New Roman" w:eastAsia="Calibri" w:hAnsi="Times New Roman" w:cs="Times New Roman"/>
          <w:sz w:val="28"/>
          <w:szCs w:val="28"/>
        </w:rPr>
        <w:t>you,your</w:t>
      </w:r>
      <w:proofErr w:type="spellEnd"/>
      <w:r w:rsidRPr="00806C1F">
        <w:rPr>
          <w:rFonts w:ascii="Times New Roman" w:eastAsia="Calibri" w:hAnsi="Times New Roman" w:cs="Times New Roman"/>
          <w:sz w:val="28"/>
          <w:szCs w:val="28"/>
        </w:rPr>
        <w:t xml:space="preserve"> support and love have been invaluable,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your influence has shaped me into the person I am today.</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Thank you for believing in me,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thank you for standing by me through thick and thin,</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Thank you for being my rock throughout my school </w:t>
      </w:r>
      <w:proofErr w:type="spellStart"/>
      <w:r w:rsidRPr="00806C1F">
        <w:rPr>
          <w:rFonts w:ascii="Times New Roman" w:eastAsia="Calibri" w:hAnsi="Times New Roman" w:cs="Times New Roman"/>
          <w:sz w:val="28"/>
          <w:szCs w:val="28"/>
        </w:rPr>
        <w:t>journey.Your</w:t>
      </w:r>
      <w:proofErr w:type="spellEnd"/>
      <w:r w:rsidRPr="00806C1F">
        <w:rPr>
          <w:rFonts w:ascii="Times New Roman" w:eastAsia="Calibri" w:hAnsi="Times New Roman" w:cs="Times New Roman"/>
          <w:sz w:val="28"/>
          <w:szCs w:val="28"/>
        </w:rPr>
        <w:t xml:space="preserve"> support means the world to me ILYSM (MBF) My profound gratitude goes to my wonderful supervis</w:t>
      </w:r>
      <w:r>
        <w:rPr>
          <w:rFonts w:ascii="Times New Roman" w:eastAsia="Calibri" w:hAnsi="Times New Roman" w:cs="Times New Roman"/>
          <w:sz w:val="28"/>
          <w:szCs w:val="28"/>
        </w:rPr>
        <w:t xml:space="preserve">or, </w:t>
      </w:r>
      <w:proofErr w:type="spellStart"/>
      <w:r>
        <w:rPr>
          <w:rFonts w:ascii="Times New Roman" w:eastAsia="Calibri" w:hAnsi="Times New Roman" w:cs="Times New Roman"/>
          <w:sz w:val="28"/>
          <w:szCs w:val="28"/>
        </w:rPr>
        <w:t>Mr</w:t>
      </w:r>
      <w:proofErr w:type="spellEnd"/>
      <w:r>
        <w:rPr>
          <w:rFonts w:ascii="Times New Roman" w:eastAsia="Calibri" w:hAnsi="Times New Roman" w:cs="Times New Roman"/>
          <w:sz w:val="28"/>
          <w:szCs w:val="28"/>
        </w:rPr>
        <w:t xml:space="preserve"> Olarongbe G. O</w:t>
      </w:r>
      <w:r w:rsidRPr="00806C1F">
        <w:rPr>
          <w:rFonts w:ascii="Times New Roman" w:eastAsia="Calibri" w:hAnsi="Times New Roman" w:cs="Times New Roman"/>
          <w:sz w:val="28"/>
          <w:szCs w:val="28"/>
        </w:rPr>
        <w:t xml:space="preserve"> for his invaluable support, patience, time and guidance in seeing me through this research work,</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Almighty God will reward you sir(Amen) And also extend my profound gratitude and appreciation to my lecturers and other staff members of the Department of Science Laboratory Technology who have impacted my life through learning, mentorship and innumerable contributions which cannot be forgotten in a hurry.</w:t>
      </w:r>
    </w:p>
    <w:p w:rsidR="00B72042" w:rsidRDefault="00B72042" w:rsidP="00B72042">
      <w:pPr>
        <w:spacing w:before="100" w:beforeAutospacing="1" w:line="36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And lastly,</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also appreciate my friends </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our friendship has meant the world to </w:t>
      </w:r>
      <w:proofErr w:type="spellStart"/>
      <w:r w:rsidRPr="00806C1F">
        <w:rPr>
          <w:rFonts w:ascii="Times New Roman" w:eastAsia="Calibri" w:hAnsi="Times New Roman" w:cs="Times New Roman"/>
          <w:sz w:val="28"/>
          <w:szCs w:val="28"/>
        </w:rPr>
        <w:t>me,we</w:t>
      </w:r>
      <w:proofErr w:type="spellEnd"/>
      <w:r w:rsidRPr="00806C1F">
        <w:rPr>
          <w:rFonts w:ascii="Times New Roman" w:eastAsia="Calibri" w:hAnsi="Times New Roman" w:cs="Times New Roman"/>
          <w:sz w:val="28"/>
          <w:szCs w:val="28"/>
        </w:rPr>
        <w:t xml:space="preserve"> survived school together,</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you’re the best classmate and friends a person could ask for,</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I’m so grateful for friends like you who’ve made school more enjoyable and memorable,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Thanks for being there to study, laugh and grow </w:t>
      </w:r>
    </w:p>
    <w:p w:rsidR="00B72042" w:rsidRPr="00806C1F" w:rsidRDefault="00B72042" w:rsidP="00B72042">
      <w:pPr>
        <w:spacing w:before="100" w:beforeAutospacing="1" w:line="360" w:lineRule="auto"/>
        <w:jc w:val="both"/>
        <w:rPr>
          <w:rFonts w:ascii="Times New Roman" w:eastAsia="Calibri" w:hAnsi="Times New Roman" w:cs="Times New Roman"/>
          <w:sz w:val="28"/>
          <w:szCs w:val="28"/>
        </w:rPr>
      </w:pPr>
      <w:proofErr w:type="gramStart"/>
      <w:r w:rsidRPr="00806C1F">
        <w:rPr>
          <w:rFonts w:ascii="Times New Roman" w:eastAsia="Calibri" w:hAnsi="Times New Roman" w:cs="Times New Roman"/>
          <w:sz w:val="28"/>
          <w:szCs w:val="28"/>
        </w:rPr>
        <w:t>together</w:t>
      </w:r>
      <w:proofErr w:type="gramEnd"/>
      <w:r w:rsidRPr="00806C1F">
        <w:rPr>
          <w:rFonts w:ascii="Times New Roman" w:eastAsia="Calibri" w:hAnsi="Times New Roman" w:cs="Times New Roman"/>
          <w:sz w:val="28"/>
          <w:szCs w:val="28"/>
        </w:rPr>
        <w:t>. I Love y’all</w:t>
      </w:r>
      <w:r>
        <w:rPr>
          <w:rFonts w:ascii="Times New Roman" w:eastAsia="Calibri" w:hAnsi="Times New Roman" w:cs="Times New Roman"/>
          <w:sz w:val="28"/>
          <w:szCs w:val="28"/>
        </w:rPr>
        <w:t>.</w:t>
      </w:r>
    </w:p>
    <w:bookmarkEnd w:id="0"/>
    <w:p w:rsidR="00B72042" w:rsidRDefault="00B72042" w:rsidP="00B72042">
      <w:pPr>
        <w:spacing w:line="24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DEDICATION --------------------------------------------------------------------------ii</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ACKNOWLEDGEMENTS ----------------------------------------------------------iii</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TABLE OF CONTENT--- ------------------------------------------------------------vii</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ABSTRACT -----------------------------------------------------------------------------ix</w:t>
      </w:r>
    </w:p>
    <w:p w:rsidR="00B72042" w:rsidRDefault="00B72042" w:rsidP="00B72042">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rsidR="00B72042" w:rsidRDefault="00B72042" w:rsidP="00B72042">
      <w:pPr>
        <w:spacing w:line="240" w:lineRule="auto"/>
        <w:jc w:val="both"/>
        <w:rPr>
          <w:rFonts w:ascii="Times New Roman" w:hAnsi="Times New Roman" w:cs="Times New Roman"/>
          <w:b/>
          <w:bCs/>
          <w:sz w:val="28"/>
          <w:szCs w:val="28"/>
        </w:rPr>
      </w:pPr>
    </w:p>
    <w:p w:rsidR="00B72042" w:rsidRDefault="00B72042" w:rsidP="00B7204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--------------------------------------------------------------------11</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----------------------------------------13</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----------------------------------------14</w:t>
      </w:r>
    </w:p>
    <w:p w:rsidR="00B72042" w:rsidRPr="009E77A8" w:rsidRDefault="00B72042" w:rsidP="00B72042">
      <w:pPr>
        <w:spacing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proofErr w:type="spellStart"/>
      <w:r w:rsidRPr="009E77A8">
        <w:rPr>
          <w:rFonts w:ascii="Times New Roman" w:hAnsi="Times New Roman" w:cs="Times New Roman"/>
          <w:bCs/>
          <w:i/>
          <w:iCs/>
          <w:sz w:val="28"/>
          <w:szCs w:val="28"/>
        </w:rPr>
        <w:t>Rhizopus</w:t>
      </w:r>
      <w:proofErr w:type="spellEnd"/>
      <w:r w:rsidRPr="009E77A8">
        <w:rPr>
          <w:rFonts w:ascii="Times New Roman" w:hAnsi="Times New Roman" w:cs="Times New Roman"/>
          <w:bCs/>
          <w:i/>
          <w:iCs/>
          <w:sz w:val="28"/>
          <w:szCs w:val="28"/>
        </w:rPr>
        <w:t xml:space="preserve">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Pr>
          <w:rFonts w:ascii="Times New Roman" w:hAnsi="Times New Roman" w:cs="Times New Roman"/>
          <w:sz w:val="28"/>
          <w:szCs w:val="28"/>
        </w:rPr>
        <w:t>--------------------------14</w:t>
      </w:r>
    </w:p>
    <w:p w:rsidR="00B72042" w:rsidRPr="004C2EAC" w:rsidRDefault="00B72042" w:rsidP="00B7204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proofErr w:type="spellStart"/>
      <w:r w:rsidRPr="004C2EAC">
        <w:rPr>
          <w:rFonts w:ascii="Times New Roman" w:eastAsia="Times New Roman" w:hAnsi="Times New Roman" w:cs="Times New Roman"/>
          <w:bCs/>
          <w:i/>
          <w:iCs/>
          <w:sz w:val="28"/>
          <w:szCs w:val="28"/>
        </w:rPr>
        <w:t>Rhizopus</w:t>
      </w:r>
      <w:proofErr w:type="spellEnd"/>
      <w:r w:rsidRPr="004C2EAC">
        <w:rPr>
          <w:rFonts w:ascii="Times New Roman" w:eastAsia="Times New Roman" w:hAnsi="Times New Roman" w:cs="Times New Roman"/>
          <w:bCs/>
          <w:i/>
          <w:iCs/>
          <w:sz w:val="28"/>
          <w:szCs w:val="28"/>
        </w:rPr>
        <w:t xml:space="preserve">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Pr>
          <w:rFonts w:ascii="Times New Roman" w:hAnsi="Times New Roman" w:cs="Times New Roman"/>
          <w:sz w:val="28"/>
          <w:szCs w:val="28"/>
        </w:rPr>
        <w:t>-----------------15</w:t>
      </w:r>
    </w:p>
    <w:p w:rsidR="00B72042" w:rsidRPr="008E3E32" w:rsidRDefault="00B72042" w:rsidP="00B72042">
      <w:pPr>
        <w:spacing w:line="24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Pr>
          <w:rFonts w:ascii="Times New Roman" w:hAnsi="Times New Roman" w:cs="Times New Roman"/>
          <w:sz w:val="28"/>
          <w:szCs w:val="28"/>
        </w:rPr>
        <w:t>-17</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rsidR="00B72042" w:rsidRPr="00A874C5" w:rsidRDefault="00B72042" w:rsidP="00B72042">
      <w:pPr>
        <w:spacing w:line="24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rsidR="00B72042" w:rsidRDefault="00B72042" w:rsidP="00B7204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B72042" w:rsidRPr="00A874C5" w:rsidRDefault="00B72042" w:rsidP="00B72042">
      <w:pPr>
        <w:spacing w:line="24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Discussion ---------------------------------------------------------------------24        </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rsidR="00B72042" w:rsidRDefault="00B72042" w:rsidP="00B7204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B72042" w:rsidRDefault="00B72042" w:rsidP="00B72042">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rsidR="00B72042" w:rsidRPr="00A633C9" w:rsidRDefault="00B72042" w:rsidP="00B72042">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rsidR="00B72042" w:rsidRDefault="00B72042" w:rsidP="00B72042">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rsidR="00B72042" w:rsidRDefault="00B72042">
      <w:pPr>
        <w:rPr>
          <w:rFonts w:ascii="Times New Roman" w:hAnsi="Times New Roman" w:cs="Times New Roman"/>
          <w:b/>
          <w:bCs/>
          <w:sz w:val="28"/>
          <w:szCs w:val="28"/>
        </w:rPr>
      </w:pPr>
      <w:r>
        <w:rPr>
          <w:rFonts w:ascii="Times New Roman" w:hAnsi="Times New Roman" w:cs="Times New Roman"/>
          <w:b/>
          <w:bCs/>
          <w:sz w:val="28"/>
          <w:szCs w:val="28"/>
        </w:rPr>
        <w:br w:type="page"/>
      </w:r>
    </w:p>
    <w:p w:rsidR="00B72042" w:rsidRDefault="00B72042" w:rsidP="00B7204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rsidR="00B72042" w:rsidRDefault="00B72042" w:rsidP="00B72042">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rsidR="00B72042" w:rsidRDefault="00B72042" w:rsidP="00B72042">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p>
    <w:p w:rsidR="00B72042" w:rsidRDefault="00B72042" w:rsidP="00B7204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rsidR="00B72042" w:rsidRDefault="00B72042" w:rsidP="00B72042">
      <w:pPr>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tabs>
          <w:tab w:val="left" w:pos="3780"/>
        </w:tabs>
        <w:spacing w:line="480" w:lineRule="auto"/>
        <w:jc w:val="both"/>
        <w:rPr>
          <w:rFonts w:ascii="Times New Roman" w:hAnsi="Times New Roman" w:cs="Times New Roman"/>
          <w:sz w:val="28"/>
          <w:szCs w:val="28"/>
        </w:rPr>
      </w:pPr>
    </w:p>
    <w:p w:rsidR="00B72042" w:rsidRDefault="00B72042" w:rsidP="00B72042">
      <w:pPr>
        <w:spacing w:before="100" w:beforeAutospacing="1" w:line="360" w:lineRule="auto"/>
        <w:jc w:val="center"/>
        <w:rPr>
          <w:rFonts w:ascii="Times New Roman" w:eastAsia="Calibri" w:hAnsi="Times New Roman" w:cs="Times New Roman"/>
          <w:b/>
          <w:sz w:val="28"/>
          <w:szCs w:val="28"/>
        </w:rPr>
      </w:pPr>
    </w:p>
    <w:p w:rsidR="00B72042" w:rsidRDefault="00B72042" w:rsidP="00B72042">
      <w:pPr>
        <w:spacing w:before="100" w:beforeAutospacing="1" w:line="360" w:lineRule="auto"/>
        <w:jc w:val="center"/>
        <w:rPr>
          <w:rFonts w:ascii="Times New Roman" w:eastAsia="Calibri" w:hAnsi="Times New Roman" w:cs="Times New Roman"/>
          <w:b/>
          <w:sz w:val="28"/>
          <w:szCs w:val="28"/>
        </w:rPr>
      </w:pPr>
    </w:p>
    <w:p w:rsidR="00B72042" w:rsidRDefault="00B72042">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B72042" w:rsidRDefault="00B72042" w:rsidP="00B72042">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rsidR="00B72042" w:rsidRPr="00D03079" w:rsidRDefault="00B72042" w:rsidP="00B72042">
      <w:pPr>
        <w:spacing w:before="100" w:beforeAutospacing="1" w:line="360" w:lineRule="auto"/>
        <w:jc w:val="both"/>
        <w:rPr>
          <w:rFonts w:ascii="Times New Roman" w:eastAsia="Calibri" w:hAnsi="Times New Roman" w:cs="Times New Roman"/>
          <w:sz w:val="28"/>
          <w:szCs w:val="28"/>
        </w:rPr>
      </w:pPr>
      <w:proofErr w:type="spellStart"/>
      <w:r w:rsidRPr="00D03079">
        <w:rPr>
          <w:rFonts w:ascii="Times New Roman" w:eastAsia="Calibri" w:hAnsi="Times New Roman" w:cs="Times New Roman"/>
          <w:i/>
          <w:sz w:val="28"/>
          <w:szCs w:val="28"/>
        </w:rPr>
        <w:t>Rhizopus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w:t>
      </w:r>
      <w:proofErr w:type="spellStart"/>
      <w:r w:rsidRPr="00D03079">
        <w:rPr>
          <w:rFonts w:ascii="Times New Roman" w:eastAsia="Calibri" w:hAnsi="Times New Roman" w:cs="Times New Roman"/>
          <w:sz w:val="28"/>
          <w:szCs w:val="28"/>
        </w:rPr>
        <w:t>mycotoxins</w:t>
      </w:r>
      <w:proofErr w:type="spellEnd"/>
      <w:r w:rsidRPr="00D03079">
        <w:rPr>
          <w:rFonts w:ascii="Times New Roman" w:eastAsia="Calibri" w:hAnsi="Times New Roman" w:cs="Times New Roman"/>
          <w:sz w:val="28"/>
          <w:szCs w:val="28"/>
        </w:rPr>
        <w:t xml:space="preserve">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proofErr w:type="spellStart"/>
      <w:r w:rsidRPr="00D03079">
        <w:rPr>
          <w:rFonts w:ascii="Times New Roman" w:eastAsia="Calibri" w:hAnsi="Times New Roman" w:cs="Times New Roman"/>
          <w:i/>
          <w:sz w:val="28"/>
          <w:szCs w:val="28"/>
        </w:rPr>
        <w:t>Rattus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norvegicus</w:t>
      </w:r>
      <w:proofErr w:type="spellEnd"/>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rsidR="00B72042" w:rsidRDefault="00B72042" w:rsidP="00B72042">
      <w:pPr>
        <w:rPr>
          <w:rFonts w:ascii="Times New Roman" w:eastAsia="Calibri" w:hAnsi="Times New Roman" w:cs="Times New Roman"/>
          <w:sz w:val="28"/>
          <w:szCs w:val="28"/>
        </w:rPr>
        <w:sectPr w:rsidR="00B72042" w:rsidSect="00802D11">
          <w:pgSz w:w="12240" w:h="15840"/>
          <w:pgMar w:top="1440" w:right="1440" w:bottom="1440" w:left="1440" w:header="708" w:footer="708" w:gutter="0"/>
          <w:pgNumType w:fmt="lowerRoman"/>
          <w:cols w:space="708"/>
          <w:docGrid w:linePitch="360"/>
        </w:sect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proofErr w:type="spellStart"/>
      <w:r w:rsidRPr="00EA7FF2">
        <w:rPr>
          <w:rFonts w:ascii="Times New Roman" w:eastAsia="Calibri" w:hAnsi="Times New Roman" w:cs="Times New Roman"/>
          <w:i/>
          <w:sz w:val="28"/>
          <w:szCs w:val="28"/>
        </w:rPr>
        <w:t>Rhizopus</w:t>
      </w:r>
      <w:proofErr w:type="spellEnd"/>
      <w:r w:rsidRPr="00EA7FF2">
        <w:rPr>
          <w:rFonts w:ascii="Times New Roman" w:eastAsia="Calibri" w:hAnsi="Times New Roman" w:cs="Times New Roman"/>
          <w:i/>
          <w:sz w:val="28"/>
          <w:szCs w:val="28"/>
        </w:rPr>
        <w:t xml:space="preserve"> </w:t>
      </w:r>
      <w:proofErr w:type="spell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xml:space="preserve">, </w:t>
      </w:r>
      <w:proofErr w:type="spellStart"/>
      <w:r w:rsidRPr="00EA7FF2">
        <w:rPr>
          <w:rFonts w:ascii="Times New Roman" w:eastAsia="Calibri" w:hAnsi="Times New Roman" w:cs="Times New Roman"/>
          <w:sz w:val="28"/>
          <w:szCs w:val="28"/>
        </w:rPr>
        <w:t>mycotoxin</w:t>
      </w:r>
      <w:proofErr w:type="spellEnd"/>
      <w:r w:rsidRPr="00EA7FF2">
        <w:rPr>
          <w:rFonts w:ascii="Times New Roman" w:eastAsia="Calibri" w:hAnsi="Times New Roman" w:cs="Times New Roman"/>
          <w:sz w:val="28"/>
          <w:szCs w:val="28"/>
        </w:rPr>
        <w:t>, food safety, organ damage, fungal contamination</w:t>
      </w:r>
    </w:p>
    <w:p w:rsidR="00304E18" w:rsidRPr="007F4066" w:rsidRDefault="00304E18" w:rsidP="00B72042">
      <w:pPr>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CHAPTER ONE</w:t>
      </w:r>
    </w:p>
    <w:p w:rsidR="00280381"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 AND LITERATURE REVIEW</w:t>
      </w:r>
    </w:p>
    <w:p w:rsidR="00304E18" w:rsidRPr="007F4066" w:rsidRDefault="00304E18" w:rsidP="007F4066">
      <w:pPr>
        <w:pStyle w:val="ListParagraph"/>
        <w:numPr>
          <w:ilvl w:val="0"/>
          <w:numId w:val="1"/>
        </w:numPr>
        <w:spacing w:before="100" w:beforeAutospacing="1" w:after="100" w:afterAutospacing="1" w:line="480" w:lineRule="auto"/>
        <w:jc w:val="both"/>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w:t>
      </w:r>
    </w:p>
    <w:p w:rsidR="00304E18"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7F4066">
        <w:rPr>
          <w:rFonts w:ascii="Times New Roman" w:eastAsia="Times New Roman" w:hAnsi="Times New Roman" w:cs="Times New Roman"/>
          <w:i/>
          <w:sz w:val="28"/>
          <w:szCs w:val="28"/>
        </w:rPr>
        <w:t>Rhizopus</w:t>
      </w:r>
      <w:proofErr w:type="spellEnd"/>
      <w:r w:rsidRPr="007F4066">
        <w:rPr>
          <w:rFonts w:ascii="Times New Roman" w:eastAsia="Times New Roman" w:hAnsi="Times New Roman" w:cs="Times New Roman"/>
          <w:i/>
          <w:sz w:val="28"/>
          <w:szCs w:val="28"/>
        </w:rPr>
        <w:t xml:space="preserve">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commonly known as black bread mold, is a ubiquitous filamentous fungus belonging to the phylum </w:t>
      </w:r>
      <w:proofErr w:type="spellStart"/>
      <w:r w:rsidR="00304E18" w:rsidRPr="007F4066">
        <w:rPr>
          <w:rFonts w:ascii="Times New Roman" w:eastAsia="Times New Roman" w:hAnsi="Times New Roman" w:cs="Times New Roman"/>
          <w:sz w:val="28"/>
          <w:szCs w:val="28"/>
        </w:rPr>
        <w:t>Zygomycota</w:t>
      </w:r>
      <w:proofErr w:type="spellEnd"/>
      <w:r w:rsidR="00304E18" w:rsidRPr="007F4066">
        <w:rPr>
          <w:rFonts w:ascii="Times New Roman" w:eastAsia="Times New Roman" w:hAnsi="Times New Roman" w:cs="Times New Roman"/>
          <w:sz w:val="28"/>
          <w:szCs w:val="28"/>
        </w:rPr>
        <w:t xml:space="preserve">. It is renowned for its rapid growth and widespread presence in various environments, particularly in decaying organic matter. While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primarily recognized for its role in food spoilage, recent studies have highlighted its </w:t>
      </w:r>
      <w:r w:rsidR="001C6DC8" w:rsidRPr="007F4066">
        <w:rPr>
          <w:rFonts w:ascii="Times New Roman" w:eastAsia="Times New Roman" w:hAnsi="Times New Roman" w:cs="Times New Roman"/>
          <w:sz w:val="28"/>
          <w:szCs w:val="28"/>
        </w:rPr>
        <w:t xml:space="preserve">potential to produce </w:t>
      </w:r>
      <w:proofErr w:type="spellStart"/>
      <w:r w:rsidR="001C6DC8" w:rsidRPr="007F4066">
        <w:rPr>
          <w:rFonts w:ascii="Times New Roman" w:eastAsia="Times New Roman" w:hAnsi="Times New Roman" w:cs="Times New Roman"/>
          <w:sz w:val="28"/>
          <w:szCs w:val="28"/>
        </w:rPr>
        <w:t>mycotoxins</w:t>
      </w:r>
      <w:proofErr w:type="spellEnd"/>
      <w:r w:rsidR="001C6DC8" w:rsidRPr="007F4066">
        <w:rPr>
          <w:rFonts w:ascii="Times New Roman" w:eastAsia="Times New Roman" w:hAnsi="Times New Roman" w:cs="Times New Roman"/>
          <w:sz w:val="28"/>
          <w:szCs w:val="28"/>
        </w:rPr>
        <w:t xml:space="preserve"> </w:t>
      </w:r>
      <w:r w:rsidR="00304E18" w:rsidRPr="007F4066">
        <w:rPr>
          <w:rFonts w:ascii="Times New Roman" w:eastAsia="Times New Roman" w:hAnsi="Times New Roman" w:cs="Times New Roman"/>
          <w:sz w:val="28"/>
          <w:szCs w:val="28"/>
        </w:rPr>
        <w:t xml:space="preserve">secondary metabolites that can be harmful to both humans and animals. These </w:t>
      </w:r>
      <w:proofErr w:type="spellStart"/>
      <w:r w:rsidR="00304E18" w:rsidRPr="007F4066">
        <w:rPr>
          <w:rFonts w:ascii="Times New Roman" w:eastAsia="Times New Roman" w:hAnsi="Times New Roman" w:cs="Times New Roman"/>
          <w:sz w:val="28"/>
          <w:szCs w:val="28"/>
        </w:rPr>
        <w:t>mycotoxins</w:t>
      </w:r>
      <w:proofErr w:type="spellEnd"/>
      <w:r w:rsidR="00304E18" w:rsidRPr="007F4066">
        <w:rPr>
          <w:rFonts w:ascii="Times New Roman" w:eastAsia="Times New Roman" w:hAnsi="Times New Roman" w:cs="Times New Roman"/>
          <w:sz w:val="28"/>
          <w:szCs w:val="28"/>
        </w:rPr>
        <w:t xml:space="preserve"> have been implicated in various health issues, prompting scientific investigations into their potency and effects. </w:t>
      </w:r>
      <w:r w:rsidR="001C6DC8" w:rsidRPr="007F4066">
        <w:rPr>
          <w:rFonts w:ascii="Times New Roman" w:eastAsia="Times New Roman" w:hAnsi="Times New Roman" w:cs="Times New Roman"/>
          <w:sz w:val="28"/>
          <w:szCs w:val="28"/>
        </w:rPr>
        <w:t>T</w:t>
      </w:r>
      <w:r w:rsidR="00304E18" w:rsidRPr="007F4066">
        <w:rPr>
          <w:rFonts w:ascii="Times New Roman" w:eastAsia="Times New Roman" w:hAnsi="Times New Roman" w:cs="Times New Roman"/>
          <w:sz w:val="28"/>
          <w:szCs w:val="28"/>
        </w:rPr>
        <w:t xml:space="preserve">he toxicological profile of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crucial, especially considering its prevalence in food products and the environment. This study aims to evaluate the potency of 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using white rats as a model organism to assess potential health risks associated with exposure.</w:t>
      </w:r>
      <w:r w:rsidR="001C6DC8" w:rsidRPr="007F4066">
        <w:rPr>
          <w:rFonts w:ascii="Times New Roman" w:eastAsia="Times New Roman" w:hAnsi="Times New Roman" w:cs="Times New Roman"/>
          <w:sz w:val="28"/>
          <w:szCs w:val="28"/>
        </w:rPr>
        <w:t xml:space="preserve">  </w:t>
      </w:r>
      <w:proofErr w:type="spellStart"/>
      <w:r w:rsidR="00304E18" w:rsidRPr="007F4066">
        <w:rPr>
          <w:rFonts w:ascii="Times New Roman" w:eastAsia="Times New Roman" w:hAnsi="Times New Roman" w:cs="Times New Roman"/>
          <w:sz w:val="28"/>
          <w:szCs w:val="28"/>
        </w:rPr>
        <w:t>Mycotoxins</w:t>
      </w:r>
      <w:proofErr w:type="spellEnd"/>
      <w:r w:rsidR="00304E18" w:rsidRPr="007F4066">
        <w:rPr>
          <w:rFonts w:ascii="Times New Roman" w:eastAsia="Times New Roman" w:hAnsi="Times New Roman" w:cs="Times New Roman"/>
          <w:sz w:val="28"/>
          <w:szCs w:val="28"/>
        </w:rPr>
        <w:t xml:space="preserve"> are toxic compounds produced by certain molds, including species of </w:t>
      </w:r>
      <w:proofErr w:type="spellStart"/>
      <w:r w:rsidR="00304E18" w:rsidRPr="007F4066">
        <w:rPr>
          <w:rFonts w:ascii="Times New Roman" w:eastAsia="Times New Roman" w:hAnsi="Times New Roman" w:cs="Times New Roman"/>
          <w:sz w:val="28"/>
          <w:szCs w:val="28"/>
        </w:rPr>
        <w:t>Rhizopus</w:t>
      </w:r>
      <w:proofErr w:type="spellEnd"/>
      <w:r w:rsidR="00304E18" w:rsidRPr="007F4066">
        <w:rPr>
          <w:rFonts w:ascii="Times New Roman" w:eastAsia="Times New Roman" w:hAnsi="Times New Roman" w:cs="Times New Roman"/>
          <w:sz w:val="28"/>
          <w:szCs w:val="28"/>
        </w:rPr>
        <w:t xml:space="preserve">, under specific environmental conditions. These toxins can contaminate food and feed, leading to acute or chronic health effects upon ingestion. The severity of </w:t>
      </w:r>
      <w:proofErr w:type="spellStart"/>
      <w:r w:rsidR="00304E18" w:rsidRPr="007F4066">
        <w:rPr>
          <w:rFonts w:ascii="Times New Roman" w:eastAsia="Times New Roman" w:hAnsi="Times New Roman" w:cs="Times New Roman"/>
          <w:sz w:val="28"/>
          <w:szCs w:val="28"/>
        </w:rPr>
        <w:t>mycotoxin</w:t>
      </w:r>
      <w:proofErr w:type="spellEnd"/>
      <w:r w:rsidR="00304E18" w:rsidRPr="007F4066">
        <w:rPr>
          <w:rFonts w:ascii="Times New Roman" w:eastAsia="Times New Roman" w:hAnsi="Times New Roman" w:cs="Times New Roman"/>
          <w:sz w:val="28"/>
          <w:szCs w:val="28"/>
        </w:rPr>
        <w:t xml:space="preserve">-induced diseases, known as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depends on factors such as the type of toxin, exposure level, and duration. In animals,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can result in reduced productivity, immune suppression, and even death. In humans, they have been linked to various health issues, including liver and kidney damage, immunosuppression, and carcinogenic effects. Given the potential health risks, it is imperative to study the specific </w:t>
      </w:r>
      <w:proofErr w:type="spellStart"/>
      <w:r w:rsidR="00304E18" w:rsidRPr="007F4066">
        <w:rPr>
          <w:rFonts w:ascii="Times New Roman" w:eastAsia="Times New Roman" w:hAnsi="Times New Roman" w:cs="Times New Roman"/>
          <w:sz w:val="28"/>
          <w:szCs w:val="28"/>
        </w:rPr>
        <w:t>mycotoxins</w:t>
      </w:r>
      <w:proofErr w:type="spellEnd"/>
      <w:r w:rsidR="00304E18" w:rsidRPr="007F4066">
        <w:rPr>
          <w:rFonts w:ascii="Times New Roman" w:eastAsia="Times New Roman" w:hAnsi="Times New Roman" w:cs="Times New Roman"/>
          <w:sz w:val="28"/>
          <w:szCs w:val="28"/>
        </w:rPr>
        <w:t xml:space="preserve">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and their effects on biological systems. Such studies can inform risk assessments and guide the development of mitigation strategies to ensure food safety and public health</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Liu et al., 2024</w:t>
      </w:r>
      <w:r w:rsidR="00540A49" w:rsidRPr="007F4066">
        <w:rPr>
          <w:rFonts w:ascii="Times New Roman" w:eastAsia="Times New Roman" w:hAnsi="Times New Roman" w:cs="Times New Roman"/>
          <w:sz w:val="28"/>
          <w:szCs w:val="28"/>
        </w:rPr>
        <w:t>)</w:t>
      </w:r>
      <w:r w:rsidR="00304E18"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p>
    <w:p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White rats (</w:t>
      </w:r>
      <w:proofErr w:type="spellStart"/>
      <w:r w:rsidRPr="007F4066">
        <w:rPr>
          <w:rFonts w:ascii="Times New Roman" w:eastAsia="Times New Roman" w:hAnsi="Times New Roman" w:cs="Times New Roman"/>
          <w:i/>
          <w:sz w:val="28"/>
          <w:szCs w:val="28"/>
        </w:rPr>
        <w:t>Rattus</w:t>
      </w:r>
      <w:proofErr w:type="spellEnd"/>
      <w:r w:rsidRPr="007F4066">
        <w:rPr>
          <w:rFonts w:ascii="Times New Roman" w:eastAsia="Times New Roman" w:hAnsi="Times New Roman" w:cs="Times New Roman"/>
          <w:i/>
          <w:sz w:val="28"/>
          <w:szCs w:val="28"/>
        </w:rPr>
        <w:t xml:space="preserve"> </w:t>
      </w:r>
      <w:proofErr w:type="spellStart"/>
      <w:r w:rsidRPr="007F4066">
        <w:rPr>
          <w:rFonts w:ascii="Times New Roman" w:eastAsia="Times New Roman" w:hAnsi="Times New Roman" w:cs="Times New Roman"/>
          <w:i/>
          <w:sz w:val="28"/>
          <w:szCs w:val="28"/>
        </w:rPr>
        <w:t>norvegicus</w:t>
      </w:r>
      <w:proofErr w:type="spellEnd"/>
      <w:r w:rsidRPr="007F4066">
        <w:rPr>
          <w:rFonts w:ascii="Times New Roman" w:eastAsia="Times New Roman" w:hAnsi="Times New Roman" w:cs="Times New Roman"/>
          <w:sz w:val="28"/>
          <w:szCs w:val="28"/>
        </w:rPr>
        <w:t xml:space="preserve">) are commonly used in toxicological studies due to their physiological and genetic similarities to humans. They serve as valuable models for assessing the toxicity of various substances, including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administering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to white rats, researchers can observe potential health effects, such as changes in organ function,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alterations, and behavioral responses. These observations provide insights into the potential risks posed by these toxins to human health. Furthermore, studying the effects in a controlled laboratory setting allows for the identification of specific dose-response relationships and the determination of safe exposure levels</w:t>
      </w:r>
      <w:r w:rsidR="002D55FC" w:rsidRPr="007F4066">
        <w:rPr>
          <w:rFonts w:ascii="Times New Roman" w:eastAsia="Times New Roman" w:hAnsi="Times New Roman" w:cs="Times New Roman"/>
          <w:sz w:val="28"/>
          <w:szCs w:val="28"/>
        </w:rPr>
        <w:t xml:space="preserve"> (</w:t>
      </w:r>
      <w:proofErr w:type="spellStart"/>
      <w:r w:rsidR="002D55FC" w:rsidRPr="007F4066">
        <w:rPr>
          <w:rFonts w:ascii="Times New Roman" w:hAnsi="Times New Roman" w:cs="Times New Roman"/>
          <w:color w:val="222222"/>
          <w:sz w:val="28"/>
          <w:szCs w:val="28"/>
          <w:shd w:val="clear" w:color="auto" w:fill="FFFFFF"/>
        </w:rPr>
        <w:t>Udoudoakpan</w:t>
      </w:r>
      <w:proofErr w:type="spellEnd"/>
      <w:r w:rsidR="002D55FC" w:rsidRPr="007F4066">
        <w:rPr>
          <w:rFonts w:ascii="Times New Roman" w:hAnsi="Times New Roman" w:cs="Times New Roman"/>
          <w:color w:val="222222"/>
          <w:sz w:val="28"/>
          <w:szCs w:val="28"/>
          <w:shd w:val="clear" w:color="auto" w:fill="FFFFFF"/>
        </w:rPr>
        <w:t xml:space="preserve"> &amp; </w:t>
      </w:r>
      <w:proofErr w:type="spellStart"/>
      <w:r w:rsidR="002D55FC" w:rsidRPr="007F4066">
        <w:rPr>
          <w:rFonts w:ascii="Times New Roman" w:hAnsi="Times New Roman" w:cs="Times New Roman"/>
          <w:color w:val="222222"/>
          <w:sz w:val="28"/>
          <w:szCs w:val="28"/>
          <w:shd w:val="clear" w:color="auto" w:fill="FFFFFF"/>
        </w:rPr>
        <w:t>Effiong</w:t>
      </w:r>
      <w:proofErr w:type="spellEnd"/>
      <w:r w:rsidR="002D55FC" w:rsidRPr="007F4066">
        <w:rPr>
          <w:rFonts w:ascii="Times New Roman" w:hAnsi="Times New Roman" w:cs="Times New Roman"/>
          <w:color w:val="222222"/>
          <w:sz w:val="28"/>
          <w:szCs w:val="28"/>
          <w:shd w:val="clear" w:color="auto" w:fill="FFFFFF"/>
        </w:rPr>
        <w:t>, 2024</w:t>
      </w:r>
      <w:r w:rsidR="002D55FC"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This information is crucial for establishing regulatory standards and guidelines for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contamination in food and feed.</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production of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influenced by various environmental factors, including temperature, humidity, and substrate composition. Optimal conditions for toxin production often coincide with those favorable for fungal growth, such as warm and humid environments. This makes stored food products particularly susceptible to contamination, especially in regions with tropical climates. In Nigeria, for instance, the warm and humid conditions prevalent in many areas create an ideal environment for the growth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subsequent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production. This underscores the importance of proper food storage and handling practices to minimize the risk of contamination. Additionally, understanding the environmental factors that promote toxin production can aid in developing targeted interventions to prevent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contamination.</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Previous studies have identified several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including </w:t>
      </w:r>
      <w:proofErr w:type="spellStart"/>
      <w:r w:rsidRPr="007F4066">
        <w:rPr>
          <w:rFonts w:ascii="Times New Roman" w:eastAsia="Times New Roman" w:hAnsi="Times New Roman" w:cs="Times New Roman"/>
          <w:sz w:val="28"/>
          <w:szCs w:val="28"/>
        </w:rPr>
        <w:t>ochratoxin</w:t>
      </w:r>
      <w:proofErr w:type="spellEnd"/>
      <w:r w:rsidRPr="007F4066">
        <w:rPr>
          <w:rFonts w:ascii="Times New Roman" w:eastAsia="Times New Roman" w:hAnsi="Times New Roman" w:cs="Times New Roman"/>
          <w:sz w:val="28"/>
          <w:szCs w:val="28"/>
        </w:rPr>
        <w:t xml:space="preserve"> A, </w:t>
      </w:r>
      <w:proofErr w:type="spellStart"/>
      <w:r w:rsidRPr="007F4066">
        <w:rPr>
          <w:rFonts w:ascii="Times New Roman" w:eastAsia="Times New Roman" w:hAnsi="Times New Roman" w:cs="Times New Roman"/>
          <w:sz w:val="28"/>
          <w:szCs w:val="28"/>
        </w:rPr>
        <w:t>zearalenone</w:t>
      </w:r>
      <w:proofErr w:type="spellEnd"/>
      <w:r w:rsidRPr="007F4066">
        <w:rPr>
          <w:rFonts w:ascii="Times New Roman" w:eastAsia="Times New Roman" w:hAnsi="Times New Roman" w:cs="Times New Roman"/>
          <w:sz w:val="28"/>
          <w:szCs w:val="28"/>
        </w:rPr>
        <w:t xml:space="preserve">, and </w:t>
      </w:r>
      <w:proofErr w:type="spellStart"/>
      <w:r w:rsidRPr="007F4066">
        <w:rPr>
          <w:rFonts w:ascii="Times New Roman" w:eastAsia="Times New Roman" w:hAnsi="Times New Roman" w:cs="Times New Roman"/>
          <w:sz w:val="28"/>
          <w:szCs w:val="28"/>
        </w:rPr>
        <w:t>patulin</w:t>
      </w:r>
      <w:proofErr w:type="spellEnd"/>
      <w:r w:rsidRPr="007F4066">
        <w:rPr>
          <w:rFonts w:ascii="Times New Roman" w:eastAsia="Times New Roman" w:hAnsi="Times New Roman" w:cs="Times New Roman"/>
          <w:sz w:val="28"/>
          <w:szCs w:val="28"/>
        </w:rPr>
        <w:t xml:space="preserve">. These toxins have been associated with various toxic effects in animals and humans. For example, </w:t>
      </w:r>
      <w:proofErr w:type="spellStart"/>
      <w:r w:rsidRPr="007F4066">
        <w:rPr>
          <w:rFonts w:ascii="Times New Roman" w:eastAsia="Times New Roman" w:hAnsi="Times New Roman" w:cs="Times New Roman"/>
          <w:sz w:val="28"/>
          <w:szCs w:val="28"/>
        </w:rPr>
        <w:t>ochratoxin</w:t>
      </w:r>
      <w:proofErr w:type="spellEnd"/>
      <w:r w:rsidRPr="007F4066">
        <w:rPr>
          <w:rFonts w:ascii="Times New Roman" w:eastAsia="Times New Roman" w:hAnsi="Times New Roman" w:cs="Times New Roman"/>
          <w:sz w:val="28"/>
          <w:szCs w:val="28"/>
        </w:rPr>
        <w:t xml:space="preserve"> A is known to cause kidney damage and has been classified as a possible human carcinogen. </w:t>
      </w:r>
      <w:proofErr w:type="spellStart"/>
      <w:r w:rsidRPr="007F4066">
        <w:rPr>
          <w:rFonts w:ascii="Times New Roman" w:eastAsia="Times New Roman" w:hAnsi="Times New Roman" w:cs="Times New Roman"/>
          <w:sz w:val="28"/>
          <w:szCs w:val="28"/>
        </w:rPr>
        <w:t>Zearalenone</w:t>
      </w:r>
      <w:proofErr w:type="spellEnd"/>
      <w:r w:rsidRPr="007F4066">
        <w:rPr>
          <w:rFonts w:ascii="Times New Roman" w:eastAsia="Times New Roman" w:hAnsi="Times New Roman" w:cs="Times New Roman"/>
          <w:sz w:val="28"/>
          <w:szCs w:val="28"/>
        </w:rPr>
        <w:t xml:space="preserve"> exhibits estrogenic activity, leading to reproductive disorders, while </w:t>
      </w:r>
      <w:proofErr w:type="spellStart"/>
      <w:r w:rsidRPr="007F4066">
        <w:rPr>
          <w:rFonts w:ascii="Times New Roman" w:eastAsia="Times New Roman" w:hAnsi="Times New Roman" w:cs="Times New Roman"/>
          <w:sz w:val="28"/>
          <w:szCs w:val="28"/>
        </w:rPr>
        <w:t>patulin</w:t>
      </w:r>
      <w:proofErr w:type="spellEnd"/>
      <w:r w:rsidRPr="007F4066">
        <w:rPr>
          <w:rFonts w:ascii="Times New Roman" w:eastAsia="Times New Roman" w:hAnsi="Times New Roman" w:cs="Times New Roman"/>
          <w:sz w:val="28"/>
          <w:szCs w:val="28"/>
        </w:rPr>
        <w:t xml:space="preserve"> is associated with </w:t>
      </w:r>
      <w:proofErr w:type="spellStart"/>
      <w:r w:rsidRPr="007F4066">
        <w:rPr>
          <w:rFonts w:ascii="Times New Roman" w:eastAsia="Times New Roman" w:hAnsi="Times New Roman" w:cs="Times New Roman"/>
          <w:sz w:val="28"/>
          <w:szCs w:val="28"/>
        </w:rPr>
        <w:t>immunotoxicity</w:t>
      </w:r>
      <w:proofErr w:type="spellEnd"/>
      <w:r w:rsidRPr="007F4066">
        <w:rPr>
          <w:rFonts w:ascii="Times New Roman" w:eastAsia="Times New Roman" w:hAnsi="Times New Roman" w:cs="Times New Roman"/>
          <w:sz w:val="28"/>
          <w:szCs w:val="28"/>
        </w:rPr>
        <w:t xml:space="preserve"> and neurotoxicity. The presence of these toxins in food products poses significant health risks, necessitating thorough investigations into their occurrence and effects. By studying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impacts on white rats, researchers can better understand the potential health hazards and develop appropriate risk management strategies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Toigo</w:t>
      </w:r>
      <w:proofErr w:type="spellEnd"/>
      <w:r w:rsidR="00540A49" w:rsidRPr="007F4066">
        <w:rPr>
          <w:rFonts w:ascii="Times New Roman" w:hAnsi="Times New Roman" w:cs="Times New Roman"/>
          <w:color w:val="222222"/>
          <w:sz w:val="28"/>
          <w:szCs w:val="28"/>
          <w:shd w:val="clear" w:color="auto" w:fill="FFFFFF"/>
        </w:rPr>
        <w:t xml:space="preserve"> et al., 2022</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w:t>
      </w:r>
    </w:p>
    <w:p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methodology for assessing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in white rats involves several key steps. First, the fungus is cultured under controlled laboratory conditions to induce toxin production. The resulting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are then extracted and quantified using analytical techniques such as high-performance liquid chromatogr</w:t>
      </w:r>
      <w:r w:rsidR="001C6DC8" w:rsidRPr="007F4066">
        <w:rPr>
          <w:rFonts w:ascii="Times New Roman" w:eastAsia="Times New Roman" w:hAnsi="Times New Roman" w:cs="Times New Roman"/>
          <w:sz w:val="28"/>
          <w:szCs w:val="28"/>
        </w:rPr>
        <w:t>aphy (HPLC) or Spectrophotometer</w:t>
      </w:r>
      <w:r w:rsidRPr="007F4066">
        <w:rPr>
          <w:rFonts w:ascii="Times New Roman" w:eastAsia="Times New Roman" w:hAnsi="Times New Roman" w:cs="Times New Roman"/>
          <w:sz w:val="28"/>
          <w:szCs w:val="28"/>
        </w:rPr>
        <w:t xml:space="preserve">. Subsequently, the toxins are administered to white rats through various routes, such as oral gavage or </w:t>
      </w:r>
      <w:proofErr w:type="spellStart"/>
      <w:r w:rsidRPr="007F4066">
        <w:rPr>
          <w:rFonts w:ascii="Times New Roman" w:eastAsia="Times New Roman" w:hAnsi="Times New Roman" w:cs="Times New Roman"/>
          <w:sz w:val="28"/>
          <w:szCs w:val="28"/>
        </w:rPr>
        <w:t>intraperitoneal</w:t>
      </w:r>
      <w:proofErr w:type="spellEnd"/>
      <w:r w:rsidRPr="007F4066">
        <w:rPr>
          <w:rFonts w:ascii="Times New Roman" w:eastAsia="Times New Roman" w:hAnsi="Times New Roman" w:cs="Times New Roman"/>
          <w:sz w:val="28"/>
          <w:szCs w:val="28"/>
        </w:rPr>
        <w:t xml:space="preserve"> injection, at different dosage levels. The rats are monitored for clinical signs of toxicity, changes in body weight, food and water intake, and behavioral alterations. At the end of the exposure period, the animals are euthanized, and their organs are examined for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changes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Abdelhameed</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Khalifa</w:t>
      </w:r>
      <w:proofErr w:type="spellEnd"/>
      <w:r w:rsidR="00540A49" w:rsidRPr="007F4066">
        <w:rPr>
          <w:rFonts w:ascii="Times New Roman" w:hAnsi="Times New Roman" w:cs="Times New Roman"/>
          <w:color w:val="222222"/>
          <w:sz w:val="28"/>
          <w:szCs w:val="28"/>
          <w:shd w:val="clear" w:color="auto" w:fill="FFFFFF"/>
        </w:rPr>
        <w:t>, 2024</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findings from such studies have significant implications for public health and food safety. If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confirmed to produce potent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that cause adverse health effects in white rats, it suggests a potential risk to humans, especially in regions where the fungus is prevalent. This information can inform regulatory agencies and policymakers in establishing maximum allowable levels of these toxins in food and feed products. Furthermore, it highlights the need for routine monitoring of food products for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contamination and the implementation of preventive measures to reduce fungal growth and toxin production. Public awareness campaigns can also be initiated to educate consumers and food handlers about the risks associated with mold contamination and the importance of proper food storage practices.</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In addition to public health considerations, understanding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has economic implications. Contamination of food and feed products with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can lead to significant economic losses due to product recalls, reduced livestock productivity, and trade restrictions. By identifying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effects, stakeholders in the agricultural and food industries can develop targeted strategies to mitigate these risks. This may include the development of resistant crop varieties, improved storage facilities, and the use of antifungal agents. Moreover, research into the mechanisms of toxin production can lead to innovative approaches for controlling fungal growth and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synthesis, thereby enhancing food security and economic stability</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 et al., 2021</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rsidR="001C6DC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use of white rats in toxicity studies also provides a foundation for further research into the mechanisms of action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examining the molecular and cellular pathways affected by these toxins, researchers can gain insights into their modes of toxicity. This knowledge can contribute to the development of therapeutic interventions and antidotes for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poisoning. Additionally, it can aid in the identification of biomarkers for early detection of exposure, facilitating prompt medical responses. Understanding the mechanisms of toxicity also has broader implications for toxicology and pharmacology, as it can reveal novel targets for drug development and contribute to the field of risk assessment.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Furthermore, the study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in white rats can serve as a model for investigating other fungal toxins and their effects. The methodologies and findings can be applied to studies of other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-producing fungi, enhancing our overall understanding of fungal toxicology. This comparative approach can identify common pathways of toxicity and potential cross-</w:t>
      </w:r>
      <w:proofErr w:type="spellStart"/>
      <w:r w:rsidRPr="007F4066">
        <w:rPr>
          <w:rFonts w:ascii="Times New Roman" w:eastAsia="Times New Roman" w:hAnsi="Times New Roman" w:cs="Times New Roman"/>
          <w:sz w:val="28"/>
          <w:szCs w:val="28"/>
        </w:rPr>
        <w:t>reactivities</w:t>
      </w:r>
      <w:proofErr w:type="spellEnd"/>
      <w:r w:rsidRPr="007F4066">
        <w:rPr>
          <w:rFonts w:ascii="Times New Roman" w:eastAsia="Times New Roman" w:hAnsi="Times New Roman" w:cs="Times New Roman"/>
          <w:sz w:val="28"/>
          <w:szCs w:val="28"/>
        </w:rPr>
        <w:t>, informing comprehensive risk assessments</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Wang et al., 2025</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It also underscores the importance of interdisciplinary collaboration, integrating mycology, toxicology, pathology, and public health to address the complex challenges posed by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By building a robust body of knowledge, researchers and policymakers can develop effective strategies to protect public health and ensure food safety.</w:t>
      </w:r>
      <w:r w:rsidR="001C6DC8" w:rsidRPr="007F4066">
        <w:rPr>
          <w:rFonts w:ascii="Times New Roman" w:eastAsia="Times New Roman" w:hAnsi="Times New Roman" w:cs="Times New Roman"/>
          <w:sz w:val="28"/>
          <w:szCs w:val="28"/>
        </w:rPr>
        <w:t xml:space="preserve"> T</w:t>
      </w:r>
      <w:r w:rsidRPr="007F4066">
        <w:rPr>
          <w:rFonts w:ascii="Times New Roman" w:eastAsia="Times New Roman" w:hAnsi="Times New Roman" w:cs="Times New Roman"/>
          <w:sz w:val="28"/>
          <w:szCs w:val="28"/>
        </w:rPr>
        <w:t xml:space="preserve">he investigation into the potency of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using white rats as a model organism is a critical step in understanding the potential health risks associated with this common fungus. Given its widespread presence in the environment and food products, elucidating the toxicological profile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essential for public health, food safety, and economic stability. Through comprehensive studies involving toxin extraction, administration, and assessment of health effects in white rats, researchers can provide valuable data to inform regulatory standards and preventive measures. This research not only addresses immediate health concerns but also contributes to the broader scientific understanding of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and their impacts on biological systems. Continued efforts in this field are necessary to safeguard human and animal health against the threats posed by fungal toxins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Alamer</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Abdelkhalig</w:t>
      </w:r>
      <w:proofErr w:type="spellEnd"/>
      <w:r w:rsidR="00540A49" w:rsidRPr="007F4066">
        <w:rPr>
          <w:rFonts w:ascii="Times New Roman" w:hAnsi="Times New Roman" w:cs="Times New Roman"/>
          <w:color w:val="222222"/>
          <w:sz w:val="28"/>
          <w:szCs w:val="28"/>
          <w:shd w:val="clear" w:color="auto" w:fill="FFFFFF"/>
        </w:rPr>
        <w:t>, 2023</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1.1 LITERATURE REVIEW</w:t>
      </w:r>
    </w:p>
    <w:p w:rsidR="0006041A" w:rsidRPr="007F4066" w:rsidRDefault="0006041A"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According to </w:t>
      </w:r>
      <w:proofErr w:type="spellStart"/>
      <w:r w:rsidRPr="007F4066">
        <w:rPr>
          <w:rFonts w:ascii="Times New Roman" w:eastAsia="Times New Roman" w:hAnsi="Times New Roman" w:cs="Times New Roman"/>
          <w:sz w:val="28"/>
          <w:szCs w:val="28"/>
        </w:rPr>
        <w:t>Mlikota</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Gabler</w:t>
      </w:r>
      <w:proofErr w:type="spellEnd"/>
      <w:r w:rsidRPr="007F4066">
        <w:rPr>
          <w:rFonts w:ascii="Times New Roman" w:eastAsia="Times New Roman" w:hAnsi="Times New Roman" w:cs="Times New Roman"/>
          <w:sz w:val="28"/>
          <w:szCs w:val="28"/>
        </w:rPr>
        <w:t xml:space="preserve"> et al. (2004),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commonly known as black bread mold, is a ubiquitous fungus that can produce spores capable of surviving under various environmental conditions. Their study demonstrated that the spores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 significant resistance to ethanol and heat treatments, with an estimated 50% inhibition of spore germination (LD₅₀) occurring at 20.6% ethanol concentration at 40°C. This resilience suggests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can persist in diverse environments, potentially leading to contamination of food products and subsequent exposure to its metabolites. While the study focused on the survival of spores rather than toxin production, the ability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withstand common decontamination methods raises concerns about its potential to produce harmful metabolites that could affect both human and animal health. According to Zimmermann et al. (1978),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produced by certain fungal species, such as </w:t>
      </w:r>
      <w:proofErr w:type="spellStart"/>
      <w:r w:rsidRPr="007F4066">
        <w:rPr>
          <w:rFonts w:ascii="Times New Roman" w:eastAsia="Times New Roman" w:hAnsi="Times New Roman" w:cs="Times New Roman"/>
          <w:sz w:val="28"/>
          <w:szCs w:val="28"/>
        </w:rPr>
        <w:t>Aspergillus</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can induce severe toxic effects in animal models. In their study, rats fed diets containing cultural products of A.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exhibited reduced weight gain, high mortality rates, and significant organ damage, including liver necrosis and kidney discoloration. Although this study did not specifically investigate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it highlights the potential for fungal metabolites to cause systemic toxicity in mammals. Given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also known to produce secondary metabolites, there is a plausible risk that its toxins could elicit similar adverse effects in animal models, such as white rats. According to </w:t>
      </w:r>
      <w:proofErr w:type="spellStart"/>
      <w:r w:rsidRPr="007F4066">
        <w:rPr>
          <w:rFonts w:ascii="Times New Roman" w:eastAsia="Times New Roman" w:hAnsi="Times New Roman" w:cs="Times New Roman"/>
          <w:sz w:val="28"/>
          <w:szCs w:val="28"/>
        </w:rPr>
        <w:t>Kępińska-Pacelik</w:t>
      </w:r>
      <w:proofErr w:type="spellEnd"/>
      <w:r w:rsidRPr="007F4066">
        <w:rPr>
          <w:rFonts w:ascii="Times New Roman" w:eastAsia="Times New Roman" w:hAnsi="Times New Roman" w:cs="Times New Roman"/>
          <w:sz w:val="28"/>
          <w:szCs w:val="28"/>
        </w:rPr>
        <w:t xml:space="preserve"> and Biel (2021),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are secondary metabolites produced by fungi that pose significant health risks to both humans and animals. These compounds are resistant to common food processing methods, such as cooking and baking, making them persistent contaminants in the food supply. The study emphasizes that even low levels of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can lead to serious health consequences, including immunosuppression, reproductive issues, and increased susceptibility to diseases. While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not among the most commonly studied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-producing fungi, its widespread presence and potential to produce harmful metabolites necessitate further investigation into its toxicological impact on animal models.  According to </w:t>
      </w:r>
      <w:proofErr w:type="spellStart"/>
      <w:r w:rsidRPr="007F4066">
        <w:rPr>
          <w:rFonts w:ascii="Times New Roman" w:eastAsia="Times New Roman" w:hAnsi="Times New Roman" w:cs="Times New Roman"/>
          <w:sz w:val="28"/>
          <w:szCs w:val="28"/>
        </w:rPr>
        <w:t>Nešić</w:t>
      </w:r>
      <w:proofErr w:type="spellEnd"/>
      <w:r w:rsidRPr="007F4066">
        <w:rPr>
          <w:rFonts w:ascii="Times New Roman" w:eastAsia="Times New Roman" w:hAnsi="Times New Roman" w:cs="Times New Roman"/>
          <w:sz w:val="28"/>
          <w:szCs w:val="28"/>
        </w:rPr>
        <w:t xml:space="preserve"> et al. (2021), biological control methods have been explored as strategies to mitigate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contamination in food and feed. Their review discusses the use of microorganisms, such as bacteria and non-toxigenic fungi, to degrade or adsorb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thereby reducing their bioavailability and toxicity. Although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has been studied for its potential in biodegradation processes, its role as a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producer raises concerns about its dualistic nature. Understanding the conditions under which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produces toxins versus when it contributes to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degradation is crucial for assessing its safety and potential applications in food safety interventions.  According to the study by the Department of </w:t>
      </w:r>
      <w:proofErr w:type="spellStart"/>
      <w:r w:rsidRPr="007F4066">
        <w:rPr>
          <w:rFonts w:ascii="Times New Roman" w:eastAsia="Times New Roman" w:hAnsi="Times New Roman" w:cs="Times New Roman"/>
          <w:sz w:val="28"/>
          <w:szCs w:val="28"/>
        </w:rPr>
        <w:t>Pharmacognosy</w:t>
      </w:r>
      <w:proofErr w:type="spellEnd"/>
      <w:r w:rsidRPr="007F4066">
        <w:rPr>
          <w:rFonts w:ascii="Times New Roman" w:eastAsia="Times New Roman" w:hAnsi="Times New Roman" w:cs="Times New Roman"/>
          <w:sz w:val="28"/>
          <w:szCs w:val="28"/>
        </w:rPr>
        <w:t xml:space="preserve"> at </w:t>
      </w:r>
      <w:proofErr w:type="spellStart"/>
      <w:r w:rsidRPr="007F4066">
        <w:rPr>
          <w:rFonts w:ascii="Times New Roman" w:eastAsia="Times New Roman" w:hAnsi="Times New Roman" w:cs="Times New Roman"/>
          <w:sz w:val="28"/>
          <w:szCs w:val="28"/>
        </w:rPr>
        <w:t>Misr</w:t>
      </w:r>
      <w:proofErr w:type="spellEnd"/>
      <w:r w:rsidRPr="007F4066">
        <w:rPr>
          <w:rFonts w:ascii="Times New Roman" w:eastAsia="Times New Roman" w:hAnsi="Times New Roman" w:cs="Times New Roman"/>
          <w:sz w:val="28"/>
          <w:szCs w:val="28"/>
        </w:rPr>
        <w:t xml:space="preserve"> University for Science and Technology (2024),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exhibits pharmacological activities, including antimicrobial and </w:t>
      </w:r>
      <w:proofErr w:type="spellStart"/>
      <w:r w:rsidRPr="007F4066">
        <w:rPr>
          <w:rFonts w:ascii="Times New Roman" w:eastAsia="Times New Roman" w:hAnsi="Times New Roman" w:cs="Times New Roman"/>
          <w:sz w:val="28"/>
          <w:szCs w:val="28"/>
        </w:rPr>
        <w:t>antidiabetic</w:t>
      </w:r>
      <w:proofErr w:type="spellEnd"/>
      <w:r w:rsidRPr="007F4066">
        <w:rPr>
          <w:rFonts w:ascii="Times New Roman" w:eastAsia="Times New Roman" w:hAnsi="Times New Roman" w:cs="Times New Roman"/>
          <w:sz w:val="28"/>
          <w:szCs w:val="28"/>
        </w:rPr>
        <w:t xml:space="preserve"> effects. The research involved administering </w:t>
      </w:r>
      <w:proofErr w:type="spellStart"/>
      <w:r w:rsidRPr="007F4066">
        <w:rPr>
          <w:rFonts w:ascii="Times New Roman" w:eastAsia="Times New Roman" w:hAnsi="Times New Roman" w:cs="Times New Roman"/>
          <w:sz w:val="28"/>
          <w:szCs w:val="28"/>
        </w:rPr>
        <w:t>ethanolic</w:t>
      </w:r>
      <w:proofErr w:type="spellEnd"/>
      <w:r w:rsidRPr="007F4066">
        <w:rPr>
          <w:rFonts w:ascii="Times New Roman" w:eastAsia="Times New Roman" w:hAnsi="Times New Roman" w:cs="Times New Roman"/>
          <w:sz w:val="28"/>
          <w:szCs w:val="28"/>
        </w:rPr>
        <w:t xml:space="preserve"> extracts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diabetic mice, resulting in significant reductions in blood glucose levels and protective effects on pancreatic beta cells. While these findings suggest potential therapeutic applications, they also underscore the complexity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r w:rsidRPr="007F4066">
        <w:rPr>
          <w:rFonts w:ascii="Times New Roman" w:eastAsia="Times New Roman" w:hAnsi="Times New Roman" w:cs="Times New Roman"/>
          <w:sz w:val="28"/>
          <w:szCs w:val="28"/>
        </w:rPr>
        <w:t>'s</w:t>
      </w:r>
      <w:proofErr w:type="spellEnd"/>
      <w:r w:rsidRPr="007F4066">
        <w:rPr>
          <w:rFonts w:ascii="Times New Roman" w:eastAsia="Times New Roman" w:hAnsi="Times New Roman" w:cs="Times New Roman"/>
          <w:sz w:val="28"/>
          <w:szCs w:val="28"/>
        </w:rPr>
        <w:t xml:space="preserve"> metabolic profile. The same organism capable of producing beneficial compounds may also synthesize harmful toxins under different conditions, highlighting the importance of comprehensive toxicological assessments, particularly when considering its effects on animal models like white rats. </w:t>
      </w:r>
    </w:p>
    <w:p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STATEMENT OF THE PROBLEM</w:t>
      </w:r>
    </w:p>
    <w:p w:rsidR="0006041A" w:rsidRPr="007F4066" w:rsidRDefault="0006041A"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potential health risks posed by fungal toxins remain underexplored, particularly those produced by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This study investigates the toxic effects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on white rats to assess its potency and implications for food safety.</w:t>
      </w:r>
    </w:p>
    <w:p w:rsidR="002D55FC" w:rsidRPr="007F4066" w:rsidRDefault="002D55FC" w:rsidP="007F4066">
      <w:pPr>
        <w:spacing w:line="480" w:lineRule="auto"/>
        <w:jc w:val="both"/>
        <w:rPr>
          <w:rFonts w:ascii="Times New Roman" w:hAnsi="Times New Roman" w:cs="Times New Roman"/>
          <w:sz w:val="28"/>
          <w:szCs w:val="28"/>
        </w:rPr>
      </w:pPr>
    </w:p>
    <w:p w:rsidR="002D55FC" w:rsidRPr="007F4066" w:rsidRDefault="002D55FC" w:rsidP="007F4066">
      <w:pPr>
        <w:spacing w:line="480" w:lineRule="auto"/>
        <w:jc w:val="both"/>
        <w:rPr>
          <w:rFonts w:ascii="Times New Roman" w:eastAsia="Times New Roman" w:hAnsi="Times New Roman" w:cs="Times New Roman"/>
          <w:b/>
          <w:bCs/>
          <w:sz w:val="28"/>
          <w:szCs w:val="28"/>
        </w:rPr>
      </w:pPr>
    </w:p>
    <w:p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JUSTIFICATION OF THE STUDY</w:t>
      </w:r>
    </w:p>
    <w:p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t xml:space="preserve">This study is justified by the need to evaluate the potential health risks associated with exposure to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toxins. Investigating its effects on white rats provides insight into possible toxicological impacts on mammals, including humans. </w:t>
      </w:r>
      <w:r w:rsidRPr="007F4066">
        <w:rPr>
          <w:rFonts w:ascii="Times New Roman" w:hAnsi="Times New Roman" w:cs="Times New Roman"/>
          <w:b/>
          <w:sz w:val="28"/>
          <w:szCs w:val="28"/>
        </w:rPr>
        <w:t>OBJECTIVES TO THE STUDY</w:t>
      </w:r>
    </w:p>
    <w:p w:rsidR="002D55FC" w:rsidRPr="007F4066" w:rsidRDefault="00540A49"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primary objective of this research project is to assess the potency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and its toxic effects on white rats. Specifically, the study aims to:</w:t>
      </w:r>
    </w:p>
    <w:p w:rsidR="002D55FC" w:rsidRPr="007F4066" w:rsidRDefault="00540A49" w:rsidP="007F4066">
      <w:pPr>
        <w:pStyle w:val="ListParagraph"/>
        <w:numPr>
          <w:ilvl w:val="0"/>
          <w:numId w:val="4"/>
        </w:numPr>
        <w:spacing w:line="480" w:lineRule="auto"/>
        <w:jc w:val="both"/>
        <w:rPr>
          <w:rFonts w:ascii="Times New Roman" w:eastAsia="Times New Roman" w:hAnsi="Times New Roman" w:cs="Times New Roman"/>
          <w:b/>
          <w:bCs/>
          <w:sz w:val="28"/>
          <w:szCs w:val="28"/>
        </w:rPr>
      </w:pPr>
      <w:r w:rsidRPr="007F4066">
        <w:rPr>
          <w:rFonts w:ascii="Times New Roman" w:hAnsi="Times New Roman" w:cs="Times New Roman"/>
          <w:sz w:val="28"/>
          <w:szCs w:val="28"/>
        </w:rPr>
        <w:t xml:space="preserve">Investigate the toxicity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on white rats, focusing on the effects of toxin exposure</w:t>
      </w:r>
    </w:p>
    <w:p w:rsidR="002D55FC" w:rsidRPr="007F4066" w:rsidRDefault="00540A49" w:rsidP="007F4066">
      <w:pPr>
        <w:pStyle w:val="ListParagraph"/>
        <w:numPr>
          <w:ilvl w:val="0"/>
          <w:numId w:val="4"/>
        </w:num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Evaluate the potential physiological and biochemical impacts of the toxin on the rats' health and organ functions</w:t>
      </w:r>
    </w:p>
    <w:p w:rsidR="002D55FC" w:rsidRPr="007F4066" w:rsidRDefault="002D55FC" w:rsidP="007F4066">
      <w:pPr>
        <w:spacing w:line="480" w:lineRule="auto"/>
        <w:rPr>
          <w:rFonts w:ascii="Times New Roman" w:hAnsi="Times New Roman" w:cs="Times New Roman"/>
          <w:sz w:val="28"/>
          <w:szCs w:val="28"/>
        </w:rPr>
      </w:pPr>
      <w:r w:rsidRPr="007F4066">
        <w:rPr>
          <w:rFonts w:ascii="Times New Roman" w:hAnsi="Times New Roman" w:cs="Times New Roman"/>
          <w:sz w:val="28"/>
          <w:szCs w:val="28"/>
        </w:rPr>
        <w:br w:type="page"/>
      </w:r>
    </w:p>
    <w:p w:rsidR="002D55FC" w:rsidRPr="007F4066" w:rsidRDefault="002D55FC"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t>CHAPTER TWO</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2.0   MATERIALS AND METHODS</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2.1   STERILIZATION OF GLASSWARES</w:t>
      </w:r>
    </w:p>
    <w:p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2.2 MATERIALS USED</w:t>
      </w:r>
    </w:p>
    <w:p w:rsidR="002D55FC" w:rsidRPr="007F4066" w:rsidRDefault="00EB6950" w:rsidP="007F4066">
      <w:pPr>
        <w:spacing w:line="480" w:lineRule="auto"/>
        <w:jc w:val="both"/>
        <w:rPr>
          <w:rFonts w:ascii="Times New Roman" w:hAnsi="Times New Roman" w:cs="Times New Roman"/>
          <w:sz w:val="28"/>
          <w:szCs w:val="28"/>
        </w:rPr>
      </w:pPr>
      <w:r w:rsidRPr="00EB6950">
        <w:rPr>
          <w:rFonts w:ascii="Times New Roman" w:hAnsi="Times New Roman" w:cs="Times New Roman"/>
          <w:sz w:val="28"/>
          <w:szCs w:val="28"/>
        </w:rPr>
        <w:t xml:space="preserve">The following materials will be used during the course of the research: Petri dishes, Ethanol, </w:t>
      </w:r>
      <w:proofErr w:type="spellStart"/>
      <w:r w:rsidRPr="00EB6950">
        <w:rPr>
          <w:rFonts w:ascii="Times New Roman" w:hAnsi="Times New Roman" w:cs="Times New Roman"/>
          <w:sz w:val="28"/>
          <w:szCs w:val="28"/>
        </w:rPr>
        <w:t>Bursen</w:t>
      </w:r>
      <w:proofErr w:type="spellEnd"/>
      <w:r w:rsidRPr="00EB6950">
        <w:rPr>
          <w:rFonts w:ascii="Times New Roman" w:hAnsi="Times New Roman" w:cs="Times New Roman"/>
          <w:sz w:val="28"/>
          <w:szCs w:val="28"/>
        </w:rPr>
        <w:t xml:space="preserve"> burner, Potato dextrose agar, Conical flask, Beaker, Weigh balance Distilled water, Test tubes, Inoculating loop, Cotton wool, Gloves,  Nose mask, Measuring cylinder, Stirring rod ,Spatula, Reagent bottles, Potato Dextrose broth(PDB) , </w:t>
      </w:r>
      <w:proofErr w:type="spellStart"/>
      <w:r w:rsidRPr="00EB6950">
        <w:rPr>
          <w:rFonts w:ascii="Times New Roman" w:hAnsi="Times New Roman" w:cs="Times New Roman"/>
          <w:sz w:val="28"/>
          <w:szCs w:val="28"/>
        </w:rPr>
        <w:t>Scapel</w:t>
      </w:r>
      <w:proofErr w:type="spellEnd"/>
      <w:r w:rsidRPr="00EB6950">
        <w:rPr>
          <w:rFonts w:ascii="Times New Roman" w:hAnsi="Times New Roman" w:cs="Times New Roman"/>
          <w:sz w:val="28"/>
          <w:szCs w:val="28"/>
        </w:rPr>
        <w:t xml:space="preserve">, Buffer solution, Normal saline, Centrifuge, Test tube rack, Pipette, </w:t>
      </w:r>
      <w:proofErr w:type="spellStart"/>
      <w:r w:rsidRPr="00EB6950">
        <w:rPr>
          <w:rFonts w:ascii="Times New Roman" w:hAnsi="Times New Roman" w:cs="Times New Roman"/>
          <w:sz w:val="28"/>
          <w:szCs w:val="28"/>
        </w:rPr>
        <w:t>Kovac’s</w:t>
      </w:r>
      <w:proofErr w:type="spellEnd"/>
      <w:r w:rsidRPr="00EB6950">
        <w:rPr>
          <w:rFonts w:ascii="Times New Roman" w:hAnsi="Times New Roman" w:cs="Times New Roman"/>
          <w:sz w:val="28"/>
          <w:szCs w:val="28"/>
        </w:rPr>
        <w:t xml:space="preserve"> reagent, Methyl red, </w:t>
      </w:r>
      <w:proofErr w:type="spellStart"/>
      <w:r w:rsidRPr="00EB6950">
        <w:rPr>
          <w:rFonts w:ascii="Times New Roman" w:hAnsi="Times New Roman" w:cs="Times New Roman"/>
          <w:sz w:val="28"/>
          <w:szCs w:val="28"/>
        </w:rPr>
        <w:t>Barritt’s</w:t>
      </w:r>
      <w:proofErr w:type="spellEnd"/>
      <w:r w:rsidRPr="00EB6950">
        <w:rPr>
          <w:rFonts w:ascii="Times New Roman" w:hAnsi="Times New Roman" w:cs="Times New Roman"/>
          <w:sz w:val="28"/>
          <w:szCs w:val="28"/>
        </w:rPr>
        <w:t xml:space="preserve"> A and B reagent, Magnetic stirrer, Mortar and pistil, </w:t>
      </w:r>
      <w:proofErr w:type="spellStart"/>
      <w:r w:rsidRPr="00EB6950">
        <w:rPr>
          <w:rFonts w:ascii="Times New Roman" w:hAnsi="Times New Roman" w:cs="Times New Roman"/>
          <w:sz w:val="28"/>
          <w:szCs w:val="28"/>
        </w:rPr>
        <w:t>lactophenol</w:t>
      </w:r>
      <w:proofErr w:type="spellEnd"/>
      <w:r w:rsidRPr="00EB6950">
        <w:rPr>
          <w:rFonts w:ascii="Times New Roman" w:hAnsi="Times New Roman" w:cs="Times New Roman"/>
          <w:sz w:val="28"/>
          <w:szCs w:val="28"/>
        </w:rPr>
        <w:t xml:space="preserve"> cotton blue stain, Bread, Peptone water, cover slip, microscope, Syringe, incubator, Spectrophotometer and needle</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2.3 SAMPLE COLLECTION</w:t>
      </w:r>
    </w:p>
    <w:p w:rsidR="004D7DC1" w:rsidRPr="007F4066" w:rsidRDefault="004D7DC1"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Samples of </w:t>
      </w:r>
      <w:proofErr w:type="spellStart"/>
      <w:r w:rsidRPr="007F4066">
        <w:rPr>
          <w:rFonts w:ascii="Times New Roman" w:hAnsi="Times New Roman" w:cs="Times New Roman"/>
          <w:i/>
          <w:sz w:val="28"/>
          <w:szCs w:val="28"/>
        </w:rPr>
        <w:t>Rhizopus</w:t>
      </w:r>
      <w:proofErr w:type="spellEnd"/>
      <w:r w:rsidRPr="007F4066">
        <w:rPr>
          <w:rFonts w:ascii="Times New Roman" w:hAnsi="Times New Roman" w:cs="Times New Roman"/>
          <w:i/>
          <w:sz w:val="28"/>
          <w:szCs w:val="28"/>
        </w:rPr>
        <w:t xml:space="preserve"> </w:t>
      </w:r>
      <w:proofErr w:type="spellStart"/>
      <w:r w:rsidRPr="007F4066">
        <w:rPr>
          <w:rFonts w:ascii="Times New Roman" w:hAnsi="Times New Roman" w:cs="Times New Roman"/>
          <w:i/>
          <w:sz w:val="28"/>
          <w:szCs w:val="28"/>
        </w:rPr>
        <w:t>stolonifer</w:t>
      </w:r>
      <w:proofErr w:type="spellEnd"/>
      <w:r w:rsidRPr="007F4066">
        <w:rPr>
          <w:rFonts w:ascii="Times New Roman" w:hAnsi="Times New Roman" w:cs="Times New Roman"/>
          <w:sz w:val="28"/>
          <w:szCs w:val="28"/>
        </w:rPr>
        <w:t xml:space="preserve"> were isolated from visibly moldy bread that had been stored under moist conditions to promote fungal growth. The collected fungal specimens were carefully transferred into sterile containers and immediately transported to the microbiology laboratory under refrigerated conditions to maintain their viability. Upon arrival, the samples were stored at 4 °C until further processing. To ensure experimental consistency, only fresh and actively growing fungal cultures were selected for toxin extraction. All procedures involving sample handling were conducted under strict aseptic conditions to preserve the purity of the isolates for subsequent toxicological experiments on white rats.</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2.4 PREPARATION OF MEDIA</w:t>
      </w:r>
    </w:p>
    <w:p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 Media were prepared according to manufacturer′s instruction and then autoclave at 121</w:t>
      </w:r>
      <w:r w:rsidRPr="007F4066">
        <w:rPr>
          <w:rFonts w:ascii="Times New Roman" w:hAnsi="Times New Roman" w:cs="Times New Roman"/>
          <w:sz w:val="28"/>
          <w:szCs w:val="28"/>
          <w:vertAlign w:val="superscript"/>
        </w:rPr>
        <w:t xml:space="preserve">0 </w:t>
      </w:r>
      <w:r w:rsidRPr="007F4066">
        <w:rPr>
          <w:rFonts w:ascii="Times New Roman" w:hAnsi="Times New Roman" w:cs="Times New Roman"/>
          <w:sz w:val="28"/>
          <w:szCs w:val="28"/>
        </w:rPr>
        <w:t xml:space="preserve">C for 15 minutes. The following are the media used during the laboratory bench work </w:t>
      </w:r>
    </w:p>
    <w:p w:rsidR="002D55FC" w:rsidRPr="007F4066"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Agar (PDA) </w:t>
      </w:r>
    </w:p>
    <w:p w:rsidR="002D55FC"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Broth (PDB) </w:t>
      </w:r>
    </w:p>
    <w:p w:rsidR="00EB6950" w:rsidRDefault="00EB6950" w:rsidP="00EB6950">
      <w:pPr>
        <w:spacing w:after="200" w:line="480" w:lineRule="auto"/>
        <w:jc w:val="both"/>
        <w:rPr>
          <w:rFonts w:ascii="Times New Roman" w:hAnsi="Times New Roman" w:cs="Times New Roman"/>
          <w:sz w:val="28"/>
          <w:szCs w:val="28"/>
        </w:rPr>
      </w:pPr>
    </w:p>
    <w:p w:rsidR="00EB6950" w:rsidRPr="00EB6950" w:rsidRDefault="00EB6950" w:rsidP="00EB6950">
      <w:pPr>
        <w:spacing w:after="200" w:line="480" w:lineRule="auto"/>
        <w:jc w:val="both"/>
        <w:rPr>
          <w:rFonts w:ascii="Times New Roman" w:hAnsi="Times New Roman" w:cs="Times New Roman"/>
          <w:sz w:val="28"/>
          <w:szCs w:val="28"/>
        </w:rPr>
      </w:pP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2.4.1 PREPARATION OF POTATO DEXTROSE AGAR (PDA)</w:t>
      </w:r>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Potato Dextrose Agar (PDA) was prepared by dissolving 39 grams of commercially available PDA powder in 1 liter of distilled water. The mixture was stirred thoroughly to ensure even distribution of the components and then heated 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2.4.2 PREPARATION OF POTATO DEXTROSE BROTH (PDB)</w:t>
      </w:r>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and for the extraction of fungal metabolites, including toxins, by allowing the fungus to grow under stationary conditions for several days.</w:t>
      </w: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 xml:space="preserve">2.5 ISOLATION OF </w:t>
      </w:r>
      <w:r w:rsidR="004D7DC1" w:rsidRPr="007F4066">
        <w:rPr>
          <w:rFonts w:ascii="Times New Roman" w:eastAsia="Times New Roman" w:hAnsi="Times New Roman" w:cs="Times New Roman"/>
          <w:b/>
          <w:bCs/>
          <w:i/>
          <w:iCs/>
          <w:sz w:val="28"/>
          <w:szCs w:val="28"/>
        </w:rPr>
        <w:t xml:space="preserve">RHIZOPUS STOLONIFER </w:t>
      </w:r>
      <w:r w:rsidRPr="007F4066">
        <w:rPr>
          <w:rFonts w:ascii="Times New Roman" w:eastAsia="Times New Roman" w:hAnsi="Times New Roman" w:cs="Times New Roman"/>
          <w:b/>
          <w:bCs/>
          <w:sz w:val="28"/>
          <w:szCs w:val="28"/>
        </w:rPr>
        <w:t xml:space="preserve">FROM </w:t>
      </w:r>
      <w:r w:rsidR="004D7DC1" w:rsidRPr="007F4066">
        <w:rPr>
          <w:rFonts w:ascii="Times New Roman" w:eastAsia="Times New Roman" w:hAnsi="Times New Roman" w:cs="Times New Roman"/>
          <w:b/>
          <w:bCs/>
          <w:sz w:val="28"/>
          <w:szCs w:val="28"/>
        </w:rPr>
        <w:t>MOLDY BREAD</w:t>
      </w:r>
    </w:p>
    <w:p w:rsidR="004D7DC1" w:rsidRPr="007F4066" w:rsidRDefault="00195412" w:rsidP="007F4066">
      <w:pPr>
        <w:spacing w:before="100" w:beforeAutospacing="1" w:after="100" w:afterAutospacing="1" w:line="480" w:lineRule="auto"/>
        <w:jc w:val="both"/>
        <w:rPr>
          <w:rFonts w:ascii="Times New Roman" w:eastAsia="Times New Roman" w:hAnsi="Times New Roman" w:cs="Times New Roman"/>
          <w:sz w:val="28"/>
          <w:szCs w:val="28"/>
        </w:rPr>
      </w:pPr>
      <w:r w:rsidRPr="00195412">
        <w:rPr>
          <w:rFonts w:ascii="Times New Roman" w:eastAsia="Times New Roman" w:hAnsi="Times New Roman" w:cs="Times New Roman"/>
          <w:sz w:val="28"/>
          <w:szCs w:val="28"/>
        </w:rPr>
        <w:t xml:space="preserve">To isolate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visibly moldy bread samples showing characteristic black or grayish fungal growth were selected, as such discoloration often indicates the presence of the fungus. The surface of the moldy bread was gently cleaned using sterile forceps to remove loose debris. Small portions of the contaminated areas were then cut using a sterile scalpel and crushed into smaller fragments with a sterile mortar and pestle. The resulting material was susp</w:t>
      </w:r>
      <w:r>
        <w:rPr>
          <w:rFonts w:ascii="Times New Roman" w:eastAsia="Times New Roman" w:hAnsi="Times New Roman" w:cs="Times New Roman"/>
          <w:sz w:val="28"/>
          <w:szCs w:val="28"/>
        </w:rPr>
        <w:t>ended in sterile normal saline</w:t>
      </w:r>
      <w:r w:rsidRPr="00195412">
        <w:rPr>
          <w:rFonts w:ascii="Times New Roman" w:eastAsia="Times New Roman" w:hAnsi="Times New Roman" w:cs="Times New Roman"/>
          <w:sz w:val="28"/>
          <w:szCs w:val="28"/>
        </w:rPr>
        <w:t xml:space="preserve"> and subjected to serial dilution up to 10⁻⁴ (four dilution levels). From each dilution, 1 ml was aseptically transferred and spread onto the surface of prepared and solidified Potato Dextrose Agar (PDA) plates. The inoculated plates were incubated at 28 °C for 4 to 5 days. Fungal growth was monitored daily, with special attention given to colonies exhibiting the typical morphology of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such as fast-growing, fluffy mycelia and the formation of black sporangia. Colonies with these features were sub-cultured onto fresh PDA plates to obtain pure isolates for further identification and subsequent toxin analysis.</w:t>
      </w:r>
    </w:p>
    <w:p w:rsidR="004D7DC1" w:rsidRPr="007F4066" w:rsidRDefault="004D7DC1" w:rsidP="007F4066">
      <w:pPr>
        <w:spacing w:before="100" w:beforeAutospacing="1" w:after="100" w:afterAutospacing="1" w:line="480" w:lineRule="auto"/>
        <w:jc w:val="both"/>
        <w:rPr>
          <w:rFonts w:ascii="Times New Roman" w:eastAsia="Times New Roman" w:hAnsi="Times New Roman" w:cs="Times New Roman"/>
          <w:sz w:val="28"/>
          <w:szCs w:val="28"/>
        </w:rPr>
      </w:pP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 xml:space="preserve">2.6 CHARACTERIZATION AND IDENTIFICATION OF </w:t>
      </w:r>
      <w:r w:rsidR="00871091" w:rsidRPr="007F4066">
        <w:rPr>
          <w:rFonts w:ascii="Times New Roman" w:eastAsia="Times New Roman" w:hAnsi="Times New Roman" w:cs="Times New Roman"/>
          <w:b/>
          <w:bCs/>
          <w:i/>
          <w:iCs/>
          <w:sz w:val="28"/>
          <w:szCs w:val="28"/>
        </w:rPr>
        <w:t>RHIZOPUS STOLONIFER</w:t>
      </w:r>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w:t>
      </w:r>
      <w:proofErr w:type="spellStart"/>
      <w:r w:rsidRPr="007F4066">
        <w:rPr>
          <w:rFonts w:ascii="Times New Roman" w:eastAsia="Times New Roman" w:hAnsi="Times New Roman" w:cs="Times New Roman"/>
          <w:sz w:val="28"/>
          <w:szCs w:val="28"/>
        </w:rPr>
        <w:t>lactophenol</w:t>
      </w:r>
      <w:proofErr w:type="spellEnd"/>
      <w:r w:rsidRPr="007F4066">
        <w:rPr>
          <w:rFonts w:ascii="Times New Roman" w:eastAsia="Times New Roman" w:hAnsi="Times New Roman" w:cs="Times New Roman"/>
          <w:sz w:val="28"/>
          <w:szCs w:val="28"/>
        </w:rPr>
        <w:t xml:space="preserve"> cotton blue mounts and observing under a microscope. Features such as </w:t>
      </w:r>
      <w:proofErr w:type="spellStart"/>
      <w:r w:rsidRPr="007F4066">
        <w:rPr>
          <w:rFonts w:ascii="Times New Roman" w:eastAsia="Times New Roman" w:hAnsi="Times New Roman" w:cs="Times New Roman"/>
          <w:sz w:val="28"/>
          <w:szCs w:val="28"/>
        </w:rPr>
        <w:t>macroconidia</w:t>
      </w:r>
      <w:proofErr w:type="spellEnd"/>
      <w:r w:rsidRPr="007F4066">
        <w:rPr>
          <w:rFonts w:ascii="Times New Roman" w:eastAsia="Times New Roman" w:hAnsi="Times New Roman" w:cs="Times New Roman"/>
          <w:sz w:val="28"/>
          <w:szCs w:val="28"/>
        </w:rPr>
        <w:t xml:space="preserve"> shape, number of septa, and </w:t>
      </w:r>
      <w:proofErr w:type="spellStart"/>
      <w:r w:rsidRPr="007F4066">
        <w:rPr>
          <w:rFonts w:ascii="Times New Roman" w:eastAsia="Times New Roman" w:hAnsi="Times New Roman" w:cs="Times New Roman"/>
          <w:sz w:val="28"/>
          <w:szCs w:val="28"/>
        </w:rPr>
        <w:t>hyphal</w:t>
      </w:r>
      <w:proofErr w:type="spellEnd"/>
      <w:r w:rsidRPr="007F4066">
        <w:rPr>
          <w:rFonts w:ascii="Times New Roman" w:eastAsia="Times New Roman" w:hAnsi="Times New Roman" w:cs="Times New Roman"/>
          <w:sz w:val="28"/>
          <w:szCs w:val="28"/>
        </w:rPr>
        <w:t xml:space="preserve"> structure were compared with standard taxonomic keys to confirm the presence of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71091" w:rsidRPr="007F4066">
        <w:rPr>
          <w:rFonts w:ascii="Times New Roman" w:eastAsia="Times New Roman" w:hAnsi="Times New Roman" w:cs="Times New Roman"/>
          <w:sz w:val="28"/>
          <w:szCs w:val="28"/>
        </w:rPr>
        <w:t>.</w:t>
      </w:r>
    </w:p>
    <w:p w:rsidR="002D55FC" w:rsidRPr="007F4066" w:rsidRDefault="002D55FC" w:rsidP="007F4066">
      <w:pPr>
        <w:spacing w:before="100" w:beforeAutospacing="1" w:after="100" w:afterAutospacing="1" w:line="480" w:lineRule="auto"/>
        <w:jc w:val="both"/>
        <w:rPr>
          <w:rFonts w:ascii="Times New Roman" w:hAnsi="Times New Roman" w:cs="Times New Roman"/>
          <w:b/>
          <w:i/>
          <w:sz w:val="28"/>
          <w:szCs w:val="28"/>
        </w:rPr>
      </w:pPr>
      <w:r w:rsidRPr="007F4066">
        <w:rPr>
          <w:rFonts w:ascii="Times New Roman" w:hAnsi="Times New Roman" w:cs="Times New Roman"/>
          <w:b/>
          <w:sz w:val="28"/>
          <w:szCs w:val="28"/>
        </w:rPr>
        <w:t xml:space="preserve">2.7 SUB-CULTURING AND EXTRACTION OF </w:t>
      </w:r>
      <w:r w:rsidR="00871091" w:rsidRPr="007F4066">
        <w:rPr>
          <w:rFonts w:ascii="Times New Roman" w:eastAsia="Times New Roman" w:hAnsi="Times New Roman" w:cs="Times New Roman"/>
          <w:b/>
          <w:bCs/>
          <w:i/>
          <w:iCs/>
          <w:sz w:val="28"/>
          <w:szCs w:val="28"/>
        </w:rPr>
        <w:t>RHIZOPUS STOLONIFER</w:t>
      </w:r>
    </w:p>
    <w:p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After characterization, fungi identified as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hAnsi="Times New Roman" w:cs="Times New Roman"/>
          <w:sz w:val="28"/>
          <w:szCs w:val="28"/>
        </w:rPr>
        <w:t xml:space="preserve"> </w:t>
      </w:r>
      <w:r w:rsidRPr="007F4066">
        <w:rPr>
          <w:rFonts w:ascii="Times New Roman" w:hAnsi="Times New Roman" w:cs="Times New Roman"/>
          <w:sz w:val="28"/>
          <w:szCs w:val="28"/>
        </w:rPr>
        <w:t>in the isolates were sub-cultured in Potato Dextrose Broth (PDB) and incubated</w:t>
      </w:r>
      <w:r w:rsidR="00871091" w:rsidRPr="007F4066">
        <w:rPr>
          <w:rFonts w:ascii="Times New Roman" w:hAnsi="Times New Roman" w:cs="Times New Roman"/>
          <w:sz w:val="28"/>
          <w:szCs w:val="28"/>
        </w:rPr>
        <w:t xml:space="preserve"> in a shaking incubator</w:t>
      </w:r>
      <w:r w:rsidRPr="007F4066">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w:t>
      </w:r>
      <w:r w:rsidR="00871091" w:rsidRPr="007F4066">
        <w:rPr>
          <w:rFonts w:ascii="Times New Roman" w:hAnsi="Times New Roman" w:cs="Times New Roman"/>
          <w:sz w:val="28"/>
          <w:szCs w:val="28"/>
        </w:rPr>
        <w:t>l biomass, and the supernatant</w:t>
      </w:r>
      <w:r w:rsidRPr="007F4066">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rsidR="00871091" w:rsidRPr="007F4066" w:rsidRDefault="00871091" w:rsidP="007F4066">
      <w:pPr>
        <w:spacing w:line="480" w:lineRule="auto"/>
        <w:jc w:val="both"/>
        <w:rPr>
          <w:rFonts w:ascii="Times New Roman" w:hAnsi="Times New Roman" w:cs="Times New Roman"/>
          <w:sz w:val="28"/>
          <w:szCs w:val="28"/>
        </w:rPr>
      </w:pP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t xml:space="preserve">2.8 </w:t>
      </w:r>
      <w:r w:rsidRPr="007F4066">
        <w:rPr>
          <w:rFonts w:ascii="Times New Roman" w:hAnsi="Times New Roman" w:cs="Times New Roman"/>
          <w:b/>
          <w:sz w:val="28"/>
          <w:szCs w:val="28"/>
        </w:rPr>
        <w:t>ADMINISTRATION AND EVALUATION OF THE POTENCY OF THE TOXIN IN WHITE RATS</w:t>
      </w:r>
    </w:p>
    <w:p w:rsidR="006F4717" w:rsidRPr="007F4066" w:rsidRDefault="002D55FC" w:rsidP="007F4066">
      <w:pPr>
        <w:spacing w:line="480" w:lineRule="auto"/>
        <w:jc w:val="both"/>
        <w:rPr>
          <w:rFonts w:ascii="Times New Roman" w:hAnsi="Times New Roman" w:cs="Times New Roman"/>
          <w:sz w:val="28"/>
          <w:szCs w:val="28"/>
        </w:rPr>
        <w:sectPr w:rsidR="006F4717" w:rsidRPr="007F4066" w:rsidSect="00B72042">
          <w:pgSz w:w="12240" w:h="15840"/>
          <w:pgMar w:top="1440" w:right="1440" w:bottom="1440" w:left="1440" w:header="708" w:footer="708" w:gutter="0"/>
          <w:pgNumType w:start="1"/>
          <w:cols w:space="708"/>
          <w:docGrid w:linePitch="360"/>
        </w:sectPr>
      </w:pPr>
      <w:r w:rsidRPr="007F4066">
        <w:rPr>
          <w:rFonts w:ascii="Times New Roman" w:hAnsi="Times New Roman" w:cs="Times New Roman"/>
          <w:sz w:val="28"/>
          <w:szCs w:val="28"/>
        </w:rPr>
        <w:t xml:space="preserve">To evaluate the potency of the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Pr="007F4066">
        <w:rPr>
          <w:rFonts w:ascii="Times New Roman" w:hAnsi="Times New Roman" w:cs="Times New Roman"/>
          <w:sz w:val="28"/>
          <w:szCs w:val="28"/>
        </w:rPr>
        <w:t>,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 the 5</w:t>
      </w:r>
      <w:r w:rsidRPr="007F4066">
        <w:rPr>
          <w:rFonts w:ascii="Times New Roman" w:hAnsi="Times New Roman" w:cs="Times New Roman"/>
          <w:sz w:val="28"/>
          <w:szCs w:val="28"/>
          <w:vertAlign w:val="superscript"/>
        </w:rPr>
        <w:t>th</w:t>
      </w:r>
      <w:r w:rsidRPr="007F4066">
        <w:rPr>
          <w:rFonts w:ascii="Times New Roman" w:hAnsi="Times New Roman" w:cs="Times New Roman"/>
          <w:sz w:val="28"/>
          <w:szCs w:val="28"/>
        </w:rPr>
        <w:t xml:space="preserve"> rat was not injected serving as a control.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71091" w:rsidRPr="007F4066">
        <w:rPr>
          <w:rStyle w:val="Emphasis"/>
          <w:rFonts w:ascii="Times New Roman" w:hAnsi="Times New Roman" w:cs="Times New Roman"/>
          <w:sz w:val="28"/>
          <w:szCs w:val="28"/>
        </w:rPr>
        <w:t>Rhizopus</w:t>
      </w:r>
      <w:proofErr w:type="spellEnd"/>
      <w:r w:rsidR="00871091" w:rsidRPr="007F4066">
        <w:rPr>
          <w:rStyle w:val="Emphasis"/>
          <w:rFonts w:ascii="Times New Roman" w:hAnsi="Times New Roman" w:cs="Times New Roman"/>
          <w:sz w:val="28"/>
          <w:szCs w:val="28"/>
        </w:rPr>
        <w:t xml:space="preserve"> </w:t>
      </w:r>
      <w:proofErr w:type="spellStart"/>
      <w:r w:rsidR="00871091" w:rsidRPr="007F4066">
        <w:rPr>
          <w:rStyle w:val="Emphasis"/>
          <w:rFonts w:ascii="Times New Roman" w:hAnsi="Times New Roman" w:cs="Times New Roman"/>
          <w:sz w:val="28"/>
          <w:szCs w:val="28"/>
        </w:rPr>
        <w:t>stolonifer</w:t>
      </w:r>
      <w:proofErr w:type="spellEnd"/>
      <w:r w:rsidR="00871091" w:rsidRPr="007F4066">
        <w:rPr>
          <w:rFonts w:ascii="Times New Roman" w:hAnsi="Times New Roman" w:cs="Times New Roman"/>
          <w:sz w:val="28"/>
          <w:szCs w:val="28"/>
        </w:rPr>
        <w:t xml:space="preserve"> </w:t>
      </w:r>
      <w:r w:rsidRPr="007F4066">
        <w:rPr>
          <w:rFonts w:ascii="Times New Roman" w:hAnsi="Times New Roman" w:cs="Times New Roman"/>
          <w:sz w:val="28"/>
          <w:szCs w:val="28"/>
        </w:rPr>
        <w:t>toxin at different concentrations.</w:t>
      </w:r>
    </w:p>
    <w:p w:rsidR="006F4717" w:rsidRDefault="006F4717"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t>CHAPTER THREE</w:t>
      </w:r>
    </w:p>
    <w:p w:rsidR="000332CE" w:rsidRPr="004C6431" w:rsidRDefault="00E233CD" w:rsidP="004C6431">
      <w:pPr>
        <w:spacing w:line="480" w:lineRule="auto"/>
        <w:rPr>
          <w:rFonts w:ascii="Times New Roman" w:hAnsi="Times New Roman" w:cs="Times New Roman"/>
          <w:b/>
          <w:sz w:val="28"/>
          <w:szCs w:val="28"/>
        </w:rPr>
      </w:pPr>
      <w:r w:rsidRPr="004C6431">
        <w:rPr>
          <w:rFonts w:ascii="Times New Roman" w:hAnsi="Times New Roman" w:cs="Times New Roman"/>
          <w:b/>
          <w:sz w:val="28"/>
          <w:szCs w:val="28"/>
        </w:rPr>
        <w:t>3.</w:t>
      </w:r>
      <w:r w:rsidR="001E62E6" w:rsidRPr="004C6431">
        <w:rPr>
          <w:rFonts w:ascii="Times New Roman" w:hAnsi="Times New Roman" w:cs="Times New Roman"/>
          <w:b/>
          <w:sz w:val="28"/>
          <w:szCs w:val="28"/>
        </w:rPr>
        <w:t>1</w:t>
      </w:r>
      <w:r w:rsidRPr="004C6431">
        <w:rPr>
          <w:rFonts w:ascii="Times New Roman" w:hAnsi="Times New Roman" w:cs="Times New Roman"/>
          <w:b/>
          <w:sz w:val="28"/>
          <w:szCs w:val="28"/>
        </w:rPr>
        <w:t xml:space="preserve"> </w:t>
      </w:r>
      <w:r w:rsidR="001E62E6" w:rsidRPr="004C6431">
        <w:rPr>
          <w:rFonts w:ascii="Times New Roman" w:hAnsi="Times New Roman" w:cs="Times New Roman"/>
          <w:b/>
          <w:sz w:val="28"/>
          <w:szCs w:val="28"/>
        </w:rPr>
        <w:t>Characterization and Identification of Fungal Isolate</w:t>
      </w:r>
    </w:p>
    <w:p w:rsidR="00E233CD" w:rsidRPr="004C6431" w:rsidRDefault="00E233CD" w:rsidP="004C6431">
      <w:pPr>
        <w:spacing w:before="100" w:beforeAutospacing="1" w:after="100" w:afterAutospacing="1"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b/>
          <w:bCs/>
          <w:sz w:val="28"/>
          <w:szCs w:val="28"/>
        </w:rPr>
        <w:t>Table</w:t>
      </w:r>
      <w:r w:rsidR="001E62E6" w:rsidRPr="004C6431">
        <w:rPr>
          <w:rFonts w:ascii="Times New Roman" w:eastAsia="Times New Roman" w:hAnsi="Times New Roman" w:cs="Times New Roman"/>
          <w:b/>
          <w:bCs/>
          <w:sz w:val="28"/>
          <w:szCs w:val="28"/>
        </w:rPr>
        <w:t xml:space="preserve"> 1</w:t>
      </w:r>
      <w:r w:rsidRPr="004C6431">
        <w:rPr>
          <w:rFonts w:ascii="Times New Roman" w:eastAsia="Times New Roman" w:hAnsi="Times New Roman" w:cs="Times New Roman"/>
          <w:b/>
          <w:bCs/>
          <w:sz w:val="28"/>
          <w:szCs w:val="28"/>
        </w:rPr>
        <w:t xml:space="preserve">: </w:t>
      </w:r>
      <w:r w:rsidR="001E62E6" w:rsidRPr="004C6431">
        <w:rPr>
          <w:rFonts w:ascii="Times New Roman" w:hAnsi="Times New Roman" w:cs="Times New Roman"/>
          <w:b/>
          <w:sz w:val="28"/>
          <w:szCs w:val="28"/>
        </w:rPr>
        <w:t>Characterization and Identification of Fungal Isolate</w:t>
      </w:r>
    </w:p>
    <w:tbl>
      <w:tblPr>
        <w:tblStyle w:val="ListTable6Colorful"/>
        <w:tblW w:w="0" w:type="auto"/>
        <w:tblLook w:val="04A0" w:firstRow="1" w:lastRow="0" w:firstColumn="1" w:lastColumn="0" w:noHBand="0" w:noVBand="1"/>
      </w:tblPr>
      <w:tblGrid>
        <w:gridCol w:w="4098"/>
        <w:gridCol w:w="5262"/>
      </w:tblGrid>
      <w:tr w:rsidR="00E233CD" w:rsidRPr="004C6431" w:rsidTr="006A3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jc w:val="center"/>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Cultural Features on PDA</w:t>
            </w:r>
          </w:p>
        </w:tc>
        <w:tc>
          <w:tcPr>
            <w:tcW w:w="0" w:type="auto"/>
            <w:shd w:val="clear" w:color="auto" w:fill="auto"/>
            <w:hideMark/>
          </w:tcPr>
          <w:p w:rsidR="00E233CD" w:rsidRPr="004C6431" w:rsidRDefault="00E233CD" w:rsidP="004C643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Microscopic Characteristics</w:t>
            </w:r>
          </w:p>
        </w:tc>
      </w:tr>
      <w:tr w:rsidR="00E233CD" w:rsidRPr="004C6431"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Colonies appear white to grayish with a cottony or woolly texture.</w:t>
            </w:r>
          </w:p>
        </w:tc>
        <w:tc>
          <w:tcPr>
            <w:tcW w:w="0" w:type="auto"/>
            <w:shd w:val="clear" w:color="auto" w:fill="auto"/>
            <w:hideMark/>
          </w:tcPr>
          <w:p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Non-</w:t>
            </w:r>
            <w:proofErr w:type="spellStart"/>
            <w:r w:rsidRPr="004C6431">
              <w:rPr>
                <w:rFonts w:ascii="Times New Roman" w:eastAsia="Times New Roman" w:hAnsi="Times New Roman" w:cs="Times New Roman"/>
                <w:sz w:val="28"/>
                <w:szCs w:val="28"/>
              </w:rPr>
              <w:t>septate</w:t>
            </w:r>
            <w:proofErr w:type="spellEnd"/>
            <w:r w:rsidRPr="004C6431">
              <w:rPr>
                <w:rFonts w:ascii="Times New Roman" w:eastAsia="Times New Roman" w:hAnsi="Times New Roman" w:cs="Times New Roman"/>
                <w:sz w:val="28"/>
                <w:szCs w:val="28"/>
              </w:rPr>
              <w:t xml:space="preserve"> hyphae with large, spherical sporangia containing numerous spores.</w:t>
            </w:r>
          </w:p>
        </w:tc>
      </w:tr>
      <w:tr w:rsidR="00E233CD" w:rsidRPr="004C6431"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Presence of horizontal hyphae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spreading across the medium.</w:t>
            </w:r>
          </w:p>
        </w:tc>
        <w:tc>
          <w:tcPr>
            <w:tcW w:w="0" w:type="auto"/>
            <w:shd w:val="clear" w:color="auto" w:fill="auto"/>
            <w:hideMark/>
          </w:tcPr>
          <w:p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Rhizoids (root-like structures) present beneath the </w:t>
            </w: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anchoring the mycelium.</w:t>
            </w:r>
          </w:p>
        </w:tc>
      </w:tr>
      <w:tr w:rsidR="00E233CD" w:rsidRPr="004C6431"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Fluffy, rapid-growing mycelium covering the surface of the plate.</w:t>
            </w:r>
          </w:p>
        </w:tc>
        <w:tc>
          <w:tcPr>
            <w:tcW w:w="0" w:type="auto"/>
            <w:shd w:val="clear" w:color="auto" w:fill="auto"/>
            <w:hideMark/>
          </w:tcPr>
          <w:p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xml:space="preserve"> arise from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and are typically unbranched and erect.</w:t>
            </w:r>
          </w:p>
        </w:tc>
      </w:tr>
      <w:tr w:rsidR="00E233CD" w:rsidRPr="004C6431"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Distinct zones of aerial mycelium and submerged hyphae observed.</w:t>
            </w:r>
          </w:p>
        </w:tc>
        <w:tc>
          <w:tcPr>
            <w:tcW w:w="0" w:type="auto"/>
            <w:shd w:val="clear" w:color="auto" w:fill="auto"/>
            <w:hideMark/>
          </w:tcPr>
          <w:p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Sporangia are dark-colored when mature, containing </w:t>
            </w:r>
            <w:proofErr w:type="spellStart"/>
            <w:r w:rsidRPr="004C6431">
              <w:rPr>
                <w:rFonts w:ascii="Times New Roman" w:eastAsia="Times New Roman" w:hAnsi="Times New Roman" w:cs="Times New Roman"/>
                <w:sz w:val="28"/>
                <w:szCs w:val="28"/>
              </w:rPr>
              <w:t>sporangiospores</w:t>
            </w:r>
            <w:proofErr w:type="spellEnd"/>
            <w:r w:rsidRPr="004C6431">
              <w:rPr>
                <w:rFonts w:ascii="Times New Roman" w:eastAsia="Times New Roman" w:hAnsi="Times New Roman" w:cs="Times New Roman"/>
                <w:sz w:val="28"/>
                <w:szCs w:val="28"/>
              </w:rPr>
              <w:t>.</w:t>
            </w:r>
          </w:p>
        </w:tc>
      </w:tr>
    </w:tbl>
    <w:p w:rsidR="000332CE" w:rsidRPr="004C6431" w:rsidRDefault="000332CE" w:rsidP="004C6431">
      <w:pPr>
        <w:spacing w:line="480" w:lineRule="auto"/>
        <w:rPr>
          <w:rFonts w:ascii="Times New Roman" w:hAnsi="Times New Roman" w:cs="Times New Roman"/>
          <w:b/>
          <w:sz w:val="28"/>
          <w:szCs w:val="28"/>
        </w:rPr>
      </w:pPr>
    </w:p>
    <w:p w:rsidR="001E62E6" w:rsidRDefault="001E62E6" w:rsidP="000332CE">
      <w:pPr>
        <w:spacing w:line="480" w:lineRule="auto"/>
        <w:rPr>
          <w:rFonts w:ascii="Times New Roman" w:hAnsi="Times New Roman" w:cs="Times New Roman"/>
          <w:b/>
          <w:sz w:val="28"/>
          <w:szCs w:val="28"/>
        </w:rPr>
      </w:pPr>
    </w:p>
    <w:p w:rsidR="000527E8" w:rsidRDefault="000527E8" w:rsidP="000332CE">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Fig. </w:t>
      </w: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 xml:space="preserve"> Showing colony on PDA</w:t>
      </w:r>
      <w:r>
        <w:rPr>
          <w:rFonts w:ascii="Times New Roman" w:hAnsi="Times New Roman" w:cs="Times New Roman"/>
          <w:b/>
          <w:sz w:val="28"/>
          <w:szCs w:val="28"/>
        </w:rPr>
        <w:tab/>
      </w:r>
      <w:r>
        <w:rPr>
          <w:rFonts w:ascii="Times New Roman" w:hAnsi="Times New Roman" w:cs="Times New Roman"/>
          <w:b/>
          <w:sz w:val="28"/>
          <w:szCs w:val="28"/>
        </w:rPr>
        <w:tab/>
        <w:t>Fig. B Showing microscopic view</w:t>
      </w:r>
      <w:r>
        <w:rPr>
          <w:rFonts w:ascii="Times New Roman" w:hAnsi="Times New Roman" w:cs="Times New Roman"/>
          <w:b/>
          <w:sz w:val="28"/>
          <w:szCs w:val="28"/>
        </w:rPr>
        <w:tab/>
      </w:r>
    </w:p>
    <w:p w:rsidR="000527E8" w:rsidRDefault="000527E8" w:rsidP="000332CE">
      <w:pPr>
        <w:spacing w:line="480" w:lineRule="auto"/>
        <w:rPr>
          <w:rFonts w:ascii="Times New Roman" w:hAnsi="Times New Roman" w:cs="Times New Roman"/>
          <w:b/>
          <w:sz w:val="28"/>
          <w:szCs w:val="28"/>
        </w:rPr>
      </w:pPr>
      <w:r w:rsidRPr="006B50E9">
        <w:rPr>
          <w:rFonts w:ascii="Times New Roman" w:hAnsi="Times New Roman" w:cs="Times New Roman"/>
          <w:b/>
          <w:noProof/>
          <w:sz w:val="28"/>
          <w:szCs w:val="28"/>
        </w:rPr>
        <w:drawing>
          <wp:inline distT="0" distB="0" distL="0" distR="0" wp14:anchorId="77F2B065" wp14:editId="346601BC">
            <wp:extent cx="2546252" cy="2368936"/>
            <wp:effectExtent l="0" t="0" r="6985" b="0"/>
            <wp:docPr id="4" name="Picture 4" descr="C:\Users\BALOGUN JAMIU\AppData\Local\Packages\5319275A.WhatsAppDesktop_cv1g1gvanyjgm\TempState\F1222F559689B1B1B2EABF82BCEF46EF\WhatsApp Image 2025-06-20 at 12.30.27_c4d98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F1222F559689B1B1B2EABF82BCEF46EF\WhatsApp Image 2025-06-20 at 12.30.27_c4d98644.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838" t="22341" r="2229" b="18439"/>
                    <a:stretch/>
                  </pic:blipFill>
                  <pic:spPr bwMode="auto">
                    <a:xfrm>
                      <a:off x="0" y="0"/>
                      <a:ext cx="2554752" cy="237684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8"/>
          <w:szCs w:val="28"/>
        </w:rPr>
        <w:t xml:space="preserve">              </w:t>
      </w:r>
      <w:r w:rsidRPr="00E233CD">
        <w:rPr>
          <w:rFonts w:ascii="Times New Roman" w:hAnsi="Times New Roman" w:cs="Times New Roman"/>
          <w:b/>
          <w:noProof/>
          <w:sz w:val="28"/>
          <w:szCs w:val="28"/>
        </w:rPr>
        <w:drawing>
          <wp:inline distT="0" distB="0" distL="0" distR="0" wp14:anchorId="74E34916" wp14:editId="4E77CE32">
            <wp:extent cx="2311726" cy="2324100"/>
            <wp:effectExtent l="0" t="0" r="0" b="0"/>
            <wp:docPr id="3" name="Picture 3" descr="C:\Users\BALOGUN JAMIU\AppData\Local\Packages\5319275A.WhatsAppDesktop_cv1g1gvanyjgm\TempState\C8C27A9731D46BC61ECBB8195027BC68\WhatsApp Image 2025-06-20 at 12.26.56_912e1b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C8C27A9731D46BC61ECBB8195027BC68\WhatsApp Image 2025-06-20 at 12.26.56_912e1b2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15" b="34638"/>
                    <a:stretch/>
                  </pic:blipFill>
                  <pic:spPr bwMode="auto">
                    <a:xfrm>
                      <a:off x="0" y="0"/>
                      <a:ext cx="2315134" cy="2327526"/>
                    </a:xfrm>
                    <a:prstGeom prst="rect">
                      <a:avLst/>
                    </a:prstGeom>
                    <a:noFill/>
                    <a:ln>
                      <a:noFill/>
                    </a:ln>
                    <a:extLst>
                      <a:ext uri="{53640926-AAD7-44D8-BBD7-CCE9431645EC}">
                        <a14:shadowObscured xmlns:a14="http://schemas.microsoft.com/office/drawing/2010/main"/>
                      </a:ext>
                    </a:extLst>
                  </pic:spPr>
                </pic:pic>
              </a:graphicData>
            </a:graphic>
          </wp:inline>
        </w:drawing>
      </w:r>
    </w:p>
    <w:p w:rsidR="004C6431" w:rsidRDefault="004C6431" w:rsidP="000332CE">
      <w:pPr>
        <w:spacing w:line="480" w:lineRule="auto"/>
        <w:rPr>
          <w:rFonts w:ascii="Times New Roman" w:hAnsi="Times New Roman" w:cs="Times New Roman"/>
          <w:b/>
          <w:sz w:val="28"/>
          <w:szCs w:val="28"/>
        </w:rPr>
      </w:pPr>
    </w:p>
    <w:p w:rsidR="000527E8" w:rsidRDefault="000527E8" w:rsidP="001E62E6">
      <w:pPr>
        <w:spacing w:line="480" w:lineRule="auto"/>
        <w:rPr>
          <w:rFonts w:ascii="Times New Roman" w:hAnsi="Times New Roman" w:cs="Times New Roman"/>
          <w:b/>
          <w:sz w:val="28"/>
          <w:szCs w:val="28"/>
        </w:rPr>
      </w:pPr>
    </w:p>
    <w:p w:rsidR="000527E8" w:rsidRDefault="000527E8" w:rsidP="001E62E6">
      <w:pPr>
        <w:spacing w:line="480" w:lineRule="auto"/>
        <w:rPr>
          <w:rFonts w:ascii="Times New Roman" w:hAnsi="Times New Roman" w:cs="Times New Roman"/>
          <w:b/>
          <w:sz w:val="28"/>
          <w:szCs w:val="28"/>
        </w:rPr>
      </w:pPr>
    </w:p>
    <w:p w:rsidR="001E62E6" w:rsidRDefault="000527E8" w:rsidP="001E62E6">
      <w:pPr>
        <w:spacing w:line="480" w:lineRule="auto"/>
        <w:rPr>
          <w:rFonts w:ascii="Times New Roman" w:hAnsi="Times New Roman" w:cs="Times New Roman"/>
          <w:b/>
          <w:sz w:val="28"/>
          <w:szCs w:val="28"/>
        </w:rPr>
      </w:pPr>
      <w:r>
        <w:rPr>
          <w:rFonts w:ascii="Times New Roman" w:hAnsi="Times New Roman" w:cs="Times New Roman"/>
          <w:b/>
          <w:sz w:val="28"/>
          <w:szCs w:val="28"/>
        </w:rPr>
        <w:tab/>
      </w:r>
    </w:p>
    <w:p w:rsid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0527E8">
        <w:rPr>
          <w:rFonts w:ascii="Times New Roman" w:hAnsi="Times New Roman" w:cs="Times New Roman"/>
          <w:b/>
          <w:sz w:val="28"/>
          <w:szCs w:val="28"/>
        </w:rPr>
        <w:t xml:space="preserve">                  </w:t>
      </w:r>
    </w:p>
    <w:p w:rsidR="001E62E6" w:rsidRDefault="001E62E6" w:rsidP="001E62E6">
      <w:pPr>
        <w:spacing w:line="480" w:lineRule="auto"/>
        <w:rPr>
          <w:rFonts w:ascii="Times New Roman" w:hAnsi="Times New Roman" w:cs="Times New Roman"/>
          <w:b/>
          <w:sz w:val="28"/>
          <w:szCs w:val="28"/>
        </w:rPr>
      </w:pPr>
    </w:p>
    <w:p w:rsidR="000332CE" w:rsidRPr="007F4066" w:rsidRDefault="000332CE" w:rsidP="000332CE">
      <w:pPr>
        <w:spacing w:line="480" w:lineRule="auto"/>
        <w:rPr>
          <w:rFonts w:ascii="Times New Roman" w:hAnsi="Times New Roman" w:cs="Times New Roman"/>
          <w:b/>
          <w:sz w:val="28"/>
          <w:szCs w:val="28"/>
        </w:rPr>
      </w:pPr>
    </w:p>
    <w:p w:rsidR="001E62E6" w:rsidRDefault="001E62E6">
      <w:pPr>
        <w:rPr>
          <w:rFonts w:ascii="Times New Roman" w:hAnsi="Times New Roman" w:cs="Times New Roman"/>
          <w:b/>
          <w:sz w:val="28"/>
          <w:szCs w:val="28"/>
        </w:rPr>
      </w:pPr>
      <w:r>
        <w:rPr>
          <w:rFonts w:ascii="Times New Roman" w:hAnsi="Times New Roman" w:cs="Times New Roman"/>
          <w:b/>
          <w:sz w:val="28"/>
          <w:szCs w:val="28"/>
        </w:rPr>
        <w:br w:type="page"/>
      </w:r>
    </w:p>
    <w:p w:rsidR="00B63A4F" w:rsidRP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t>TABLE 2</w:t>
      </w:r>
      <w:r w:rsidR="006F4717" w:rsidRPr="007F4066">
        <w:rPr>
          <w:rFonts w:ascii="Times New Roman" w:hAnsi="Times New Roman" w:cs="Times New Roman"/>
          <w:b/>
          <w:sz w:val="28"/>
          <w:szCs w:val="28"/>
        </w:rPr>
        <w:t>: Weekly Clinical Observations in Experimental Rats</w:t>
      </w:r>
    </w:p>
    <w:tbl>
      <w:tblPr>
        <w:tblStyle w:val="TableGrid"/>
        <w:tblW w:w="11160" w:type="dxa"/>
        <w:jc w:val="center"/>
        <w:tblLayout w:type="fixed"/>
        <w:tblLook w:val="04A0" w:firstRow="1" w:lastRow="0" w:firstColumn="1" w:lastColumn="0" w:noHBand="0" w:noVBand="1"/>
      </w:tblPr>
      <w:tblGrid>
        <w:gridCol w:w="1350"/>
        <w:gridCol w:w="1615"/>
        <w:gridCol w:w="1890"/>
        <w:gridCol w:w="1530"/>
        <w:gridCol w:w="1440"/>
        <w:gridCol w:w="1710"/>
        <w:gridCol w:w="1625"/>
      </w:tblGrid>
      <w:tr w:rsidR="002C70C9" w:rsidRPr="007F4066" w:rsidTr="001E62E6">
        <w:trPr>
          <w:cantSplit/>
          <w:trHeight w:val="836"/>
          <w:jc w:val="center"/>
        </w:trPr>
        <w:tc>
          <w:tcPr>
            <w:tcW w:w="135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RAT ID</w:t>
            </w:r>
          </w:p>
        </w:tc>
        <w:tc>
          <w:tcPr>
            <w:tcW w:w="1615"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GEN. APPEARANCE</w:t>
            </w:r>
          </w:p>
        </w:tc>
        <w:tc>
          <w:tcPr>
            <w:tcW w:w="189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BEHAVIOUR</w:t>
            </w:r>
          </w:p>
        </w:tc>
        <w:tc>
          <w:tcPr>
            <w:tcW w:w="153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LOCOMOTION</w:t>
            </w:r>
          </w:p>
        </w:tc>
        <w:tc>
          <w:tcPr>
            <w:tcW w:w="144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FEEDING</w:t>
            </w:r>
          </w:p>
          <w:p w:rsidR="002C70C9" w:rsidRPr="007F4066" w:rsidRDefault="002C70C9" w:rsidP="002C70C9">
            <w:pPr>
              <w:rPr>
                <w:rFonts w:ascii="Times New Roman" w:hAnsi="Times New Roman" w:cs="Times New Roman"/>
                <w:b/>
                <w:sz w:val="26"/>
                <w:szCs w:val="26"/>
              </w:rPr>
            </w:pPr>
          </w:p>
        </w:tc>
        <w:tc>
          <w:tcPr>
            <w:tcW w:w="1710" w:type="dxa"/>
          </w:tcPr>
          <w:p w:rsidR="002C70C9"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 xml:space="preserve">RESPIRATORY </w:t>
            </w:r>
          </w:p>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SIGNS</w:t>
            </w:r>
          </w:p>
        </w:tc>
        <w:tc>
          <w:tcPr>
            <w:tcW w:w="1625"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EYES &amp; NOSE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The eye is more red</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Aggressive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and calm</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High </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 red</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trHeight w:val="206"/>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 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w:t>
            </w:r>
            <w:r>
              <w:rPr>
                <w:rFonts w:ascii="Times New Roman" w:hAnsi="Times New Roman" w:cs="Times New Roman"/>
                <w:sz w:val="26"/>
                <w:szCs w:val="26"/>
              </w:rPr>
              <w:t xml:space="preserve"> </w:t>
            </w: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 body lean</w:t>
            </w: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Calm and sleeping </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Feeding well</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Eye point out</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cantSplit/>
          <w:trHeight w:val="494"/>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cantSplit/>
          <w:trHeight w:val="620"/>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but 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trHeight w:val="521"/>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Weight reduced</w:t>
            </w:r>
          </w:p>
        </w:tc>
        <w:tc>
          <w:tcPr>
            <w:tcW w:w="189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Energetic</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and active</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Swelling stomach </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 eye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Muscle gain</w:t>
            </w:r>
          </w:p>
        </w:tc>
        <w:tc>
          <w:tcPr>
            <w:tcW w:w="189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Less 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and calm</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eye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cantSplit/>
          <w:trHeight w:val="341"/>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Skinny body</w:t>
            </w:r>
          </w:p>
        </w:tc>
        <w:tc>
          <w:tcPr>
            <w:tcW w:w="189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Appear calm &amp; dull</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&amp; week</w:t>
            </w:r>
          </w:p>
        </w:tc>
        <w:tc>
          <w:tcPr>
            <w:tcW w:w="144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 feeding</w:t>
            </w:r>
          </w:p>
        </w:tc>
        <w:tc>
          <w:tcPr>
            <w:tcW w:w="1710" w:type="dxa"/>
            <w:vMerge w:val="restart"/>
          </w:tcPr>
          <w:p w:rsidR="002C70C9" w:rsidRPr="007F4066" w:rsidRDefault="002C70C9" w:rsidP="002C70C9">
            <w:pPr>
              <w:rPr>
                <w:rFonts w:ascii="Times New Roman" w:hAnsi="Times New Roman" w:cs="Times New Roman"/>
                <w:sz w:val="26"/>
                <w:szCs w:val="26"/>
              </w:rPr>
            </w:pPr>
          </w:p>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Sharp but not clear eye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bl>
    <w:p w:rsidR="001E62E6" w:rsidRDefault="001E62E6" w:rsidP="001E62E6">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Black – 100%</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Red – 80%</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Green – 60%</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 xml:space="preserve">Blue – 50% </w:t>
      </w:r>
    </w:p>
    <w:p w:rsidR="008D5597" w:rsidRPr="004C6431" w:rsidRDefault="006F4717" w:rsidP="004C6431">
      <w:pPr>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Table 2:  Post-Mortem Findings in Experimental Rats</w:t>
      </w:r>
    </w:p>
    <w:tbl>
      <w:tblPr>
        <w:tblStyle w:val="TableGrid"/>
        <w:tblW w:w="0" w:type="auto"/>
        <w:tblLook w:val="04A0" w:firstRow="1" w:lastRow="0" w:firstColumn="1" w:lastColumn="0" w:noHBand="0" w:noVBand="1"/>
      </w:tblPr>
      <w:tblGrid>
        <w:gridCol w:w="1259"/>
        <w:gridCol w:w="1979"/>
        <w:gridCol w:w="2094"/>
        <w:gridCol w:w="1651"/>
        <w:gridCol w:w="2367"/>
      </w:tblGrid>
      <w:tr w:rsidR="007F4066" w:rsidRPr="001E62E6" w:rsidTr="007F4066">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Organ</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Green (60%)</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Red (80%)</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Blue (50%)</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Black (100%)</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Intestine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Merged and intermixed</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 pigmentation, blended</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Liver</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Brownish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Light red</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Very dark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Kidney</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pale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Tiny, dark brown</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compact</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Heart</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 slightly darker</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Abnormal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Lungs</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Mini, pale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pink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Swollen, unusually small</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Blood</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Pitch black, low volume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Black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Little to no blood</w:t>
            </w:r>
          </w:p>
        </w:tc>
      </w:tr>
    </w:tbl>
    <w:p w:rsidR="001E62E6" w:rsidRDefault="001E62E6" w:rsidP="001E62E6">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Key</w:t>
      </w:r>
      <w:r w:rsidR="007F4066" w:rsidRPr="007F4066">
        <w:rPr>
          <w:rFonts w:ascii="Times New Roman" w:eastAsia="Times New Roman" w:hAnsi="Times New Roman" w:cs="Times New Roman"/>
          <w:b/>
          <w:sz w:val="28"/>
          <w:szCs w:val="28"/>
        </w:rPr>
        <w:t>:</w:t>
      </w:r>
      <w:r w:rsidR="007F4066" w:rsidRPr="007F4066">
        <w:rPr>
          <w:rFonts w:ascii="Times New Roman" w:eastAsia="Times New Roman" w:hAnsi="Times New Roman" w:cs="Times New Roman"/>
          <w:sz w:val="28"/>
          <w:szCs w:val="28"/>
        </w:rPr>
        <w:t xml:space="preserve"> </w:t>
      </w:r>
      <w:proofErr w:type="spellStart"/>
      <w:r w:rsidR="007F4066" w:rsidRPr="007F4066">
        <w:rPr>
          <w:rFonts w:ascii="Times New Roman" w:eastAsia="Times New Roman" w:hAnsi="Times New Roman" w:cs="Times New Roman"/>
          <w:sz w:val="28"/>
          <w:szCs w:val="28"/>
        </w:rPr>
        <w:t>vs</w:t>
      </w:r>
      <w:proofErr w:type="spellEnd"/>
      <w:r w:rsidR="007F4066" w:rsidRPr="007F4066">
        <w:rPr>
          <w:rFonts w:ascii="Times New Roman" w:eastAsia="Times New Roman" w:hAnsi="Times New Roman" w:cs="Times New Roman"/>
          <w:sz w:val="28"/>
          <w:szCs w:val="28"/>
        </w:rPr>
        <w:t xml:space="preserve"> = versus</w:t>
      </w:r>
    </w:p>
    <w:p w:rsidR="001E62E6" w:rsidRPr="001E62E6" w:rsidRDefault="001E62E6" w:rsidP="001E62E6">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Black – 100%</w:t>
      </w:r>
    </w:p>
    <w:p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Red – 80%</w:t>
      </w:r>
    </w:p>
    <w:p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Green – 60%</w:t>
      </w:r>
    </w:p>
    <w:p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 xml:space="preserve">Blue – 50% </w:t>
      </w:r>
    </w:p>
    <w:p w:rsidR="00EB6950" w:rsidRDefault="00EB6950" w:rsidP="007F4066">
      <w:pPr>
        <w:spacing w:line="480" w:lineRule="auto"/>
        <w:rPr>
          <w:rFonts w:ascii="Times New Roman" w:eastAsia="Times New Roman" w:hAnsi="Times New Roman" w:cs="Times New Roman"/>
          <w:sz w:val="28"/>
          <w:szCs w:val="28"/>
        </w:rPr>
      </w:pPr>
    </w:p>
    <w:p w:rsidR="00EB6950" w:rsidRDefault="00F602E8" w:rsidP="001E62E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sidR="004C6431">
        <w:rPr>
          <w:rFonts w:ascii="Times New Roman" w:eastAsia="Times New Roman" w:hAnsi="Times New Roman" w:cs="Times New Roman"/>
          <w:sz w:val="28"/>
          <w:szCs w:val="28"/>
        </w:rPr>
        <w:t>Fig.3</w:t>
      </w:r>
      <w:r w:rsidR="00EB6950">
        <w:rPr>
          <w:rFonts w:ascii="Times New Roman" w:eastAsia="Times New Roman" w:hAnsi="Times New Roman" w:cs="Times New Roman"/>
          <w:sz w:val="28"/>
          <w:szCs w:val="28"/>
        </w:rPr>
        <w:t xml:space="preserve"> </w:t>
      </w:r>
    </w:p>
    <w:p w:rsidR="00EB6950" w:rsidRDefault="00F602E8" w:rsidP="00F602E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w:t>
      </w:r>
      <w:proofErr w:type="gramStart"/>
      <w:r w:rsidR="004C77BE">
        <w:rPr>
          <w:rFonts w:ascii="Times New Roman" w:eastAsia="Times New Roman" w:hAnsi="Times New Roman" w:cs="Times New Roman"/>
          <w:sz w:val="28"/>
          <w:szCs w:val="28"/>
        </w:rPr>
        <w:t>b</w:t>
      </w:r>
      <w:proofErr w:type="gramEnd"/>
      <w:r w:rsidR="004C77BE">
        <w:rPr>
          <w:rFonts w:ascii="Times New Roman" w:eastAsia="Times New Roman" w:hAnsi="Times New Roman" w:cs="Times New Roman"/>
          <w:sz w:val="28"/>
          <w:szCs w:val="28"/>
        </w:rPr>
        <w:t xml:space="preserve">) </w:t>
      </w:r>
    </w:p>
    <w:p w:rsidR="00F602E8" w:rsidRPr="00F602E8" w:rsidRDefault="00F602E8" w:rsidP="004C77BE">
      <w:pPr>
        <w:spacing w:line="480" w:lineRule="auto"/>
        <w:rPr>
          <w:rFonts w:ascii="Times New Roman" w:eastAsia="Times New Roman" w:hAnsi="Times New Roman" w:cs="Times New Roman"/>
          <w:sz w:val="28"/>
          <w:szCs w:val="28"/>
        </w:rPr>
      </w:pPr>
      <w:r w:rsidRPr="00F602E8">
        <w:rPr>
          <w:rFonts w:ascii="Times New Roman" w:eastAsia="Times New Roman" w:hAnsi="Times New Roman" w:cs="Times New Roman"/>
          <w:sz w:val="28"/>
          <w:szCs w:val="28"/>
        </w:rPr>
        <w:t xml:space="preserve">Dissected Experimental Rat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Dissected Experimental Rat (Control)</w:t>
      </w:r>
    </w:p>
    <w:p w:rsidR="00EB6950" w:rsidRDefault="00EB6950" w:rsidP="007F4066">
      <w:pPr>
        <w:spacing w:line="480" w:lineRule="auto"/>
        <w:rPr>
          <w:rFonts w:ascii="Times New Roman" w:eastAsia="Times New Roman" w:hAnsi="Times New Roman" w:cs="Times New Roman"/>
          <w:sz w:val="28"/>
          <w:szCs w:val="28"/>
        </w:rPr>
      </w:pPr>
      <w:r w:rsidRPr="00EB6950">
        <w:rPr>
          <w:rFonts w:ascii="Times New Roman" w:eastAsia="Times New Roman" w:hAnsi="Times New Roman" w:cs="Times New Roman"/>
          <w:noProof/>
          <w:sz w:val="28"/>
          <w:szCs w:val="28"/>
        </w:rPr>
        <w:drawing>
          <wp:inline distT="0" distB="0" distL="0" distR="0" wp14:anchorId="1524ACBA" wp14:editId="3B0305AE">
            <wp:extent cx="1643063" cy="2190750"/>
            <wp:effectExtent l="0" t="0" r="0" b="0"/>
            <wp:docPr id="1" name="Picture 1" descr="C:\Users\BALOGUN JAMIU\AppData\Local\Packages\5319275A.WhatsAppDesktop_cv1g1gvanyjgm\TempState\564A1EDF1E53D6ACCEC09E195CCFD028\WhatsApp Image 2025-06-03 at 17.57.14_30e1e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64A1EDF1E53D6ACCEC09E195CCFD028\WhatsApp Image 2025-06-03 at 17.57.14_30e1e6e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982" cy="2222641"/>
                    </a:xfrm>
                    <a:prstGeom prst="rect">
                      <a:avLst/>
                    </a:prstGeom>
                    <a:noFill/>
                    <a:ln>
                      <a:noFill/>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 xml:space="preserve">                 </w:t>
      </w:r>
      <w:r w:rsidR="004C77BE" w:rsidRPr="00EB6950">
        <w:rPr>
          <w:rFonts w:ascii="Times New Roman" w:eastAsia="Times New Roman" w:hAnsi="Times New Roman" w:cs="Times New Roman"/>
          <w:noProof/>
          <w:sz w:val="28"/>
          <w:szCs w:val="28"/>
        </w:rPr>
        <w:drawing>
          <wp:inline distT="0" distB="0" distL="0" distR="0" wp14:anchorId="5C3D844A" wp14:editId="3F08FE6C">
            <wp:extent cx="1568450" cy="2091267"/>
            <wp:effectExtent l="0" t="0" r="0" b="4445"/>
            <wp:docPr id="2" name="Picture 2" descr="C:\Users\BALOGUN JAMIU\AppData\Local\Packages\5319275A.WhatsAppDesktop_cv1g1gvanyjgm\TempState\C53653A7EC323DD84C5DBDEA5BC5D7AD\WhatsApp Image 2025-06-03 at 17.57.15_fda93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C53653A7EC323DD84C5DBDEA5BC5D7AD\WhatsApp Image 2025-06-03 at 17.57.15_fda93f9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7348" cy="2103131"/>
                    </a:xfrm>
                    <a:prstGeom prst="rect">
                      <a:avLst/>
                    </a:prstGeom>
                    <a:noFill/>
                    <a:ln>
                      <a:noFill/>
                    </a:ln>
                  </pic:spPr>
                </pic:pic>
              </a:graphicData>
            </a:graphic>
          </wp:inline>
        </w:drawing>
      </w:r>
    </w:p>
    <w:p w:rsidR="00F602E8" w:rsidRDefault="00F602E8" w:rsidP="007F4066">
      <w:pPr>
        <w:spacing w:line="480" w:lineRule="auto"/>
        <w:rPr>
          <w:rFonts w:ascii="Times New Roman" w:eastAsia="Times New Roman" w:hAnsi="Times New Roman" w:cs="Times New Roman"/>
          <w:sz w:val="28"/>
          <w:szCs w:val="28"/>
        </w:rPr>
      </w:pPr>
    </w:p>
    <w:p w:rsidR="00EB6950" w:rsidRDefault="00EB6950" w:rsidP="007F406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EB6950" w:rsidRDefault="00EB6950" w:rsidP="007F4066">
      <w:pPr>
        <w:spacing w:line="480" w:lineRule="auto"/>
        <w:rPr>
          <w:rFonts w:ascii="Times New Roman" w:eastAsia="Times New Roman" w:hAnsi="Times New Roman" w:cs="Times New Roman"/>
          <w:sz w:val="28"/>
          <w:szCs w:val="28"/>
        </w:rPr>
      </w:pPr>
    </w:p>
    <w:p w:rsidR="00EB6950" w:rsidRPr="007F4066" w:rsidRDefault="00EB6950" w:rsidP="007F4066">
      <w:pPr>
        <w:spacing w:line="480" w:lineRule="auto"/>
        <w:rPr>
          <w:rFonts w:ascii="Times New Roman" w:eastAsia="Times New Roman" w:hAnsi="Times New Roman" w:cs="Times New Roman"/>
          <w:sz w:val="28"/>
          <w:szCs w:val="28"/>
        </w:rPr>
      </w:pPr>
    </w:p>
    <w:p w:rsidR="007F4066" w:rsidRPr="007F4066" w:rsidRDefault="007F4066" w:rsidP="00181848">
      <w:pPr>
        <w:spacing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sz w:val="28"/>
          <w:szCs w:val="28"/>
        </w:rPr>
        <w:br w:type="page"/>
      </w:r>
      <w:r w:rsidRPr="007F4066">
        <w:rPr>
          <w:rFonts w:ascii="Times New Roman" w:eastAsia="Times New Roman" w:hAnsi="Times New Roman" w:cs="Times New Roman"/>
          <w:b/>
          <w:sz w:val="28"/>
          <w:szCs w:val="28"/>
        </w:rPr>
        <w:t>CHAPTER FOUR</w:t>
      </w:r>
    </w:p>
    <w:p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4.0 DISCUSSION AND CONCLUSION</w:t>
      </w:r>
    </w:p>
    <w:p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4.1 DISCUSSION</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characterization and identification of the fungal isolate observed on Potato Dextrose Agar (PDA) revealed morphological features consistent with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(Table 1). Macroscopically, the colonies exhibited a cottony, fluffy appearance with a white to grayish coloration, which became darker as the fungus matured. The presence of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horizontal hyphae connecting nodal points and rhizoids beneath the </w:t>
      </w: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xml:space="preserve"> further supported the identification. Microscopically, non-</w:t>
      </w:r>
      <w:proofErr w:type="spellStart"/>
      <w:r w:rsidRPr="004C6431">
        <w:rPr>
          <w:rFonts w:ascii="Times New Roman" w:eastAsia="Times New Roman" w:hAnsi="Times New Roman" w:cs="Times New Roman"/>
          <w:sz w:val="28"/>
          <w:szCs w:val="28"/>
        </w:rPr>
        <w:t>septate</w:t>
      </w:r>
      <w:proofErr w:type="spellEnd"/>
      <w:r w:rsidRPr="004C6431">
        <w:rPr>
          <w:rFonts w:ascii="Times New Roman" w:eastAsia="Times New Roman" w:hAnsi="Times New Roman" w:cs="Times New Roman"/>
          <w:sz w:val="28"/>
          <w:szCs w:val="28"/>
        </w:rPr>
        <w:t xml:space="preserve"> hyphae and large spherical sporangia filled with </w:t>
      </w:r>
      <w:proofErr w:type="spellStart"/>
      <w:r w:rsidRPr="004C6431">
        <w:rPr>
          <w:rFonts w:ascii="Times New Roman" w:eastAsia="Times New Roman" w:hAnsi="Times New Roman" w:cs="Times New Roman"/>
          <w:sz w:val="28"/>
          <w:szCs w:val="28"/>
        </w:rPr>
        <w:t>sporangiospores</w:t>
      </w:r>
      <w:proofErr w:type="spellEnd"/>
      <w:r w:rsidRPr="004C6431">
        <w:rPr>
          <w:rFonts w:ascii="Times New Roman" w:eastAsia="Times New Roman" w:hAnsi="Times New Roman" w:cs="Times New Roman"/>
          <w:sz w:val="28"/>
          <w:szCs w:val="28"/>
        </w:rPr>
        <w:t xml:space="preserve"> were key diagnostic features. This morphology aligns with findings from earlier studies that described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as a fast-growing </w:t>
      </w:r>
      <w:proofErr w:type="spellStart"/>
      <w:r w:rsidRPr="004C6431">
        <w:rPr>
          <w:rFonts w:ascii="Times New Roman" w:eastAsia="Times New Roman" w:hAnsi="Times New Roman" w:cs="Times New Roman"/>
          <w:sz w:val="28"/>
          <w:szCs w:val="28"/>
        </w:rPr>
        <w:t>zygomycete</w:t>
      </w:r>
      <w:proofErr w:type="spellEnd"/>
      <w:r w:rsidRPr="004C6431">
        <w:rPr>
          <w:rFonts w:ascii="Times New Roman" w:eastAsia="Times New Roman" w:hAnsi="Times New Roman" w:cs="Times New Roman"/>
          <w:sz w:val="28"/>
          <w:szCs w:val="28"/>
        </w:rPr>
        <w:t xml:space="preserve"> with prominent aerial and submerged hyphae (Singh et al., 2021). Figures 1 and 2 visually confirm both the microscopic and cultural appearance of the isolate, supporting the identification.</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clinical observations from the experimental rats exposed to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revealed a range of physiological and behavioral responses that suggest systemic toxicity (Table 2). In particular, rats in the “Black” group (100% exposure) consistently showed signs of distress such as weight loss, calm or dull behavior, increased sleep duration, and red or dull eyes. These symptoms were less pronounced but still evident in the “Red” (80%) and “Green” (60%) groups, while the “Blue” (50%) group showed the least alterations. Locomotion and feeding behavior were impaired in higher-exposure groups, with some animals appearing weak, skinny, or inactive. Such behavioral changes are consistent with fungal </w:t>
      </w:r>
      <w:proofErr w:type="spellStart"/>
      <w:r w:rsidRPr="004C6431">
        <w:rPr>
          <w:rFonts w:ascii="Times New Roman" w:eastAsia="Times New Roman" w:hAnsi="Times New Roman" w:cs="Times New Roman"/>
          <w:sz w:val="28"/>
          <w:szCs w:val="28"/>
        </w:rPr>
        <w:t>toxicosis</w:t>
      </w:r>
      <w:proofErr w:type="spellEnd"/>
      <w:r w:rsidRPr="004C6431">
        <w:rPr>
          <w:rFonts w:ascii="Times New Roman" w:eastAsia="Times New Roman" w:hAnsi="Times New Roman" w:cs="Times New Roman"/>
          <w:sz w:val="28"/>
          <w:szCs w:val="28"/>
        </w:rPr>
        <w:t xml:space="preserve">, especially from </w:t>
      </w:r>
      <w:proofErr w:type="spellStart"/>
      <w:r w:rsidRPr="004C6431">
        <w:rPr>
          <w:rFonts w:ascii="Times New Roman" w:eastAsia="Times New Roman" w:hAnsi="Times New Roman" w:cs="Times New Roman"/>
          <w:sz w:val="28"/>
          <w:szCs w:val="28"/>
        </w:rPr>
        <w:t>mycotoxins</w:t>
      </w:r>
      <w:proofErr w:type="spellEnd"/>
      <w:r w:rsidRPr="004C6431">
        <w:rPr>
          <w:rFonts w:ascii="Times New Roman" w:eastAsia="Times New Roman" w:hAnsi="Times New Roman" w:cs="Times New Roman"/>
          <w:sz w:val="28"/>
          <w:szCs w:val="28"/>
        </w:rPr>
        <w:t xml:space="preserve"> known to be produced by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sz w:val="28"/>
          <w:szCs w:val="28"/>
        </w:rPr>
        <w:t xml:space="preserve"> spp., which may affect metabolic and neurological functions (Jain &amp; Agrawal, 2020).</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post-mortem examination reinforced the toxic effects of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exposure on internal organs (Table 2). The most severely affected group, “Black” (100%), exhibited notable pathology, including blended, </w:t>
      </w:r>
      <w:proofErr w:type="spellStart"/>
      <w:r w:rsidRPr="004C6431">
        <w:rPr>
          <w:rFonts w:ascii="Times New Roman" w:eastAsia="Times New Roman" w:hAnsi="Times New Roman" w:cs="Times New Roman"/>
          <w:sz w:val="28"/>
          <w:szCs w:val="28"/>
        </w:rPr>
        <w:t>depigmented</w:t>
      </w:r>
      <w:proofErr w:type="spellEnd"/>
      <w:r w:rsidRPr="004C6431">
        <w:rPr>
          <w:rFonts w:ascii="Times New Roman" w:eastAsia="Times New Roman" w:hAnsi="Times New Roman" w:cs="Times New Roman"/>
          <w:sz w:val="28"/>
          <w:szCs w:val="28"/>
        </w:rPr>
        <w:t xml:space="preserve"> intestines, very dark livers, compact dark kidneys, abnormal heart tissue, and swollen or unusually small lungs. The presence of little or no blood also suggests internal bleeding or circulatory compromise. In contrast, organs in the “Blue” (50%) and “Green” (60%) groups appeared closer to normal, although some discoloration and reduction in organ size were noted. The discoloration of the liver and kidneys is a typical marker of </w:t>
      </w:r>
      <w:proofErr w:type="spellStart"/>
      <w:r w:rsidRPr="004C6431">
        <w:rPr>
          <w:rFonts w:ascii="Times New Roman" w:eastAsia="Times New Roman" w:hAnsi="Times New Roman" w:cs="Times New Roman"/>
          <w:sz w:val="28"/>
          <w:szCs w:val="28"/>
        </w:rPr>
        <w:t>mycotoxin</w:t>
      </w:r>
      <w:proofErr w:type="spellEnd"/>
      <w:r w:rsidRPr="004C6431">
        <w:rPr>
          <w:rFonts w:ascii="Times New Roman" w:eastAsia="Times New Roman" w:hAnsi="Times New Roman" w:cs="Times New Roman"/>
          <w:sz w:val="28"/>
          <w:szCs w:val="28"/>
        </w:rPr>
        <w:t xml:space="preserve"> accumulation and damage, potentially implicating secondary metabolites like </w:t>
      </w:r>
      <w:proofErr w:type="spellStart"/>
      <w:r w:rsidRPr="004C6431">
        <w:rPr>
          <w:rFonts w:ascii="Times New Roman" w:eastAsia="Times New Roman" w:hAnsi="Times New Roman" w:cs="Times New Roman"/>
          <w:sz w:val="28"/>
          <w:szCs w:val="28"/>
        </w:rPr>
        <w:t>rhizoxin</w:t>
      </w:r>
      <w:proofErr w:type="spellEnd"/>
      <w:r w:rsidRPr="004C6431">
        <w:rPr>
          <w:rFonts w:ascii="Times New Roman" w:eastAsia="Times New Roman" w:hAnsi="Times New Roman" w:cs="Times New Roman"/>
          <w:sz w:val="28"/>
          <w:szCs w:val="28"/>
        </w:rPr>
        <w:t xml:space="preserve"> and furan compounds previously reported in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sz w:val="28"/>
          <w:szCs w:val="28"/>
        </w:rPr>
        <w:t xml:space="preserve"> species (Papp et al., 2020).</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Figures 3a and 3b provide visual evidence of the pathological effects on dissected rats, highlighting the stark contrast between toxin-exposed and control specimens. In Figure 1a, swelling, discoloration, and abnormal tissue texture are evident in the experimental group, particularly affecting the gastrointestinal and hepatic structures. Conversely, the control rat in Figure 3b maintained normal organ coloration and morphology. These findings are in line with the </w:t>
      </w:r>
      <w:proofErr w:type="spellStart"/>
      <w:r w:rsidRPr="004C6431">
        <w:rPr>
          <w:rFonts w:ascii="Times New Roman" w:eastAsia="Times New Roman" w:hAnsi="Times New Roman" w:cs="Times New Roman"/>
          <w:sz w:val="28"/>
          <w:szCs w:val="28"/>
        </w:rPr>
        <w:t>histopathological</w:t>
      </w:r>
      <w:proofErr w:type="spellEnd"/>
      <w:r w:rsidRPr="004C6431">
        <w:rPr>
          <w:rFonts w:ascii="Times New Roman" w:eastAsia="Times New Roman" w:hAnsi="Times New Roman" w:cs="Times New Roman"/>
          <w:sz w:val="28"/>
          <w:szCs w:val="28"/>
        </w:rPr>
        <w:t xml:space="preserve"> alterations reported in rats exposed to fungal metabolites in previous toxicological studies (</w:t>
      </w:r>
      <w:proofErr w:type="spellStart"/>
      <w:r w:rsidRPr="004C6431">
        <w:rPr>
          <w:rFonts w:ascii="Times New Roman" w:eastAsia="Times New Roman" w:hAnsi="Times New Roman" w:cs="Times New Roman"/>
          <w:sz w:val="28"/>
          <w:szCs w:val="28"/>
        </w:rPr>
        <w:t>Oluwafemi</w:t>
      </w:r>
      <w:proofErr w:type="spellEnd"/>
      <w:r w:rsidRPr="004C6431">
        <w:rPr>
          <w:rFonts w:ascii="Times New Roman" w:eastAsia="Times New Roman" w:hAnsi="Times New Roman" w:cs="Times New Roman"/>
          <w:sz w:val="28"/>
          <w:szCs w:val="28"/>
        </w:rPr>
        <w:t xml:space="preserve"> et al., 2020).</w:t>
      </w:r>
    </w:p>
    <w:p w:rsidR="007F4066"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results indicate that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while commonly known for food spoilage, possesses significant biological potency capable of inducing systemic toxicity in mammals. The extent of clinical symptoms and organ damage was dose-dependent, suggesting a threshold beyond which exposure becomes acutely harmful. These findings may have implications for food safety and environmental health, particularly in poorly stored or contaminated foodstuffs where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sz w:val="28"/>
          <w:szCs w:val="28"/>
        </w:rPr>
        <w:t xml:space="preserve"> species are prevalent.</w:t>
      </w:r>
    </w:p>
    <w:p w:rsidR="007F4066" w:rsidRPr="007F4066" w:rsidRDefault="007F4066" w:rsidP="007F4066">
      <w:pPr>
        <w:spacing w:line="480" w:lineRule="auto"/>
        <w:jc w:val="both"/>
        <w:rPr>
          <w:rFonts w:ascii="Times New Roman" w:eastAsia="Times New Roman" w:hAnsi="Times New Roman" w:cs="Times New Roman"/>
          <w:sz w:val="28"/>
          <w:szCs w:val="28"/>
        </w:rPr>
      </w:pPr>
    </w:p>
    <w:p w:rsidR="007F4066" w:rsidRDefault="007F406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F4066" w:rsidRPr="007F4066" w:rsidRDefault="007F4066"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4.2Conclusion</w:t>
      </w:r>
    </w:p>
    <w:p w:rsidR="007F4066" w:rsidRPr="007F4066" w:rsidRDefault="007F4066" w:rsidP="007F4066">
      <w:pPr>
        <w:spacing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findings from both clinical observation and post-mortem examination suggest that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produces a potent toxin with significant systemic toxicity in rats, especially at higher concentrations. The severity of both external symptoms and internal organ damage increased with toxin concentration. These results demonstrate the need for further biochemical and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studies to characterize the toxin components and mechanisms of toxicity, especially regarding liver, kidney, and respiratory involvement. Proper handling and monitoring of food or environments contaminated with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are crucial to prevent potential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exposure.</w:t>
      </w:r>
    </w:p>
    <w:p w:rsidR="007F4066" w:rsidRPr="007F4066" w:rsidRDefault="007F4066" w:rsidP="007F4066">
      <w:pPr>
        <w:spacing w:line="480" w:lineRule="auto"/>
        <w:jc w:val="both"/>
        <w:rPr>
          <w:rFonts w:ascii="Times New Roman" w:eastAsia="Times New Roman" w:hAnsi="Times New Roman" w:cs="Times New Roman"/>
          <w:sz w:val="28"/>
          <w:szCs w:val="28"/>
        </w:rPr>
      </w:pPr>
    </w:p>
    <w:p w:rsidR="008D5597" w:rsidRPr="007F4066" w:rsidRDefault="008D5597" w:rsidP="007F4066">
      <w:pPr>
        <w:spacing w:line="480" w:lineRule="auto"/>
        <w:jc w:val="both"/>
        <w:rPr>
          <w:rFonts w:ascii="Times New Roman" w:eastAsia="Times New Roman" w:hAnsi="Times New Roman" w:cs="Times New Roman"/>
          <w:b/>
          <w:sz w:val="28"/>
          <w:szCs w:val="28"/>
        </w:rPr>
      </w:pPr>
    </w:p>
    <w:p w:rsidR="006F4717" w:rsidRPr="007F4066" w:rsidRDefault="006F4717" w:rsidP="007F4066">
      <w:pPr>
        <w:spacing w:line="480" w:lineRule="auto"/>
        <w:jc w:val="both"/>
        <w:rPr>
          <w:rFonts w:ascii="Times New Roman" w:eastAsia="Times New Roman" w:hAnsi="Times New Roman" w:cs="Times New Roman"/>
          <w:sz w:val="28"/>
          <w:szCs w:val="28"/>
        </w:rPr>
      </w:pPr>
    </w:p>
    <w:p w:rsidR="00871091" w:rsidRPr="007F4066" w:rsidRDefault="00871091" w:rsidP="007F4066">
      <w:pPr>
        <w:spacing w:line="480" w:lineRule="auto"/>
        <w:jc w:val="both"/>
        <w:rPr>
          <w:rFonts w:ascii="Times New Roman" w:hAnsi="Times New Roman" w:cs="Times New Roman"/>
          <w:sz w:val="28"/>
          <w:szCs w:val="28"/>
        </w:rPr>
      </w:pPr>
    </w:p>
    <w:p w:rsidR="00540A49" w:rsidRPr="007F4066" w:rsidRDefault="002D55FC"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br w:type="page"/>
      </w:r>
    </w:p>
    <w:p w:rsidR="00C3778D" w:rsidRPr="00C3778D" w:rsidRDefault="007F4066" w:rsidP="00C3778D">
      <w:pPr>
        <w:spacing w:before="100" w:beforeAutospacing="1" w:after="100" w:afterAutospacing="1"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b/>
          <w:bCs/>
          <w:sz w:val="28"/>
          <w:szCs w:val="28"/>
        </w:rPr>
        <w:t>REFERENCES</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Abdelhameed</w:t>
      </w:r>
      <w:proofErr w:type="spellEnd"/>
      <w:r w:rsidRPr="00C3778D">
        <w:rPr>
          <w:rFonts w:ascii="Times New Roman" w:eastAsia="Times New Roman" w:hAnsi="Times New Roman" w:cs="Times New Roman"/>
          <w:sz w:val="28"/>
          <w:szCs w:val="28"/>
        </w:rPr>
        <w:t xml:space="preserve">, S. M., &amp; </w:t>
      </w:r>
      <w:proofErr w:type="spellStart"/>
      <w:r w:rsidRPr="00C3778D">
        <w:rPr>
          <w:rFonts w:ascii="Times New Roman" w:eastAsia="Times New Roman" w:hAnsi="Times New Roman" w:cs="Times New Roman"/>
          <w:sz w:val="28"/>
          <w:szCs w:val="28"/>
        </w:rPr>
        <w:t>Khalifa</w:t>
      </w:r>
      <w:proofErr w:type="spellEnd"/>
      <w:r w:rsidRPr="00C3778D">
        <w:rPr>
          <w:rFonts w:ascii="Times New Roman" w:eastAsia="Times New Roman" w:hAnsi="Times New Roman" w:cs="Times New Roman"/>
          <w:sz w:val="28"/>
          <w:szCs w:val="28"/>
        </w:rPr>
        <w:t xml:space="preserve">, B. A. (2024). </w:t>
      </w:r>
      <w:proofErr w:type="spellStart"/>
      <w:r w:rsidRPr="00C3778D">
        <w:rPr>
          <w:rFonts w:ascii="Times New Roman" w:eastAsia="Times New Roman" w:hAnsi="Times New Roman" w:cs="Times New Roman"/>
          <w:sz w:val="28"/>
          <w:szCs w:val="28"/>
        </w:rPr>
        <w:t>Mycobiota</w:t>
      </w:r>
      <w:proofErr w:type="spellEnd"/>
      <w:r w:rsidRPr="00C3778D">
        <w:rPr>
          <w:rFonts w:ascii="Times New Roman" w:eastAsia="Times New Roman" w:hAnsi="Times New Roman" w:cs="Times New Roman"/>
          <w:sz w:val="28"/>
          <w:szCs w:val="28"/>
        </w:rPr>
        <w:t xml:space="preserve"> contaminating some market cake samples with reference to their toxin and enzyme. </w:t>
      </w:r>
      <w:r w:rsidRPr="00C3778D">
        <w:rPr>
          <w:rFonts w:ascii="Times New Roman" w:eastAsia="Times New Roman" w:hAnsi="Times New Roman" w:cs="Times New Roman"/>
          <w:i/>
          <w:iCs/>
          <w:sz w:val="28"/>
          <w:szCs w:val="28"/>
        </w:rPr>
        <w:t>BMC microbiology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24</w:t>
      </w:r>
      <w:r w:rsidRPr="00C3778D">
        <w:rPr>
          <w:rFonts w:ascii="Times New Roman" w:eastAsia="Times New Roman" w:hAnsi="Times New Roman" w:cs="Times New Roman"/>
          <w:sz w:val="28"/>
          <w:szCs w:val="28"/>
        </w:rPr>
        <w:t>(1), 209.</w:t>
      </w:r>
    </w:p>
    <w:p w:rsidR="00C3778D" w:rsidRPr="00C3778D" w:rsidRDefault="00C3778D" w:rsidP="00C3778D">
      <w:pPr>
        <w:pStyle w:val="NormalWeb"/>
        <w:spacing w:line="480" w:lineRule="auto"/>
        <w:ind w:left="720" w:hanging="720"/>
        <w:rPr>
          <w:sz w:val="28"/>
          <w:szCs w:val="28"/>
        </w:rPr>
      </w:pPr>
      <w:proofErr w:type="spellStart"/>
      <w:r w:rsidRPr="00C3778D">
        <w:rPr>
          <w:sz w:val="28"/>
          <w:szCs w:val="28"/>
        </w:rPr>
        <w:t>Alamer</w:t>
      </w:r>
      <w:proofErr w:type="spellEnd"/>
      <w:r w:rsidRPr="00C3778D">
        <w:rPr>
          <w:sz w:val="28"/>
          <w:szCs w:val="28"/>
        </w:rPr>
        <w:t xml:space="preserve">, S. S., &amp; </w:t>
      </w:r>
      <w:proofErr w:type="spellStart"/>
      <w:r w:rsidRPr="00C3778D">
        <w:rPr>
          <w:sz w:val="28"/>
          <w:szCs w:val="28"/>
        </w:rPr>
        <w:t>Abdelkhalig</w:t>
      </w:r>
      <w:proofErr w:type="spellEnd"/>
      <w:r w:rsidRPr="00C3778D">
        <w:rPr>
          <w:sz w:val="28"/>
          <w:szCs w:val="28"/>
        </w:rPr>
        <w:t xml:space="preserve">, S. M. (2023). Inhibitory Effect of Natural Honey on The Growth of </w:t>
      </w:r>
      <w:proofErr w:type="spellStart"/>
      <w:r w:rsidRPr="00C3778D">
        <w:rPr>
          <w:sz w:val="28"/>
          <w:szCs w:val="28"/>
        </w:rPr>
        <w:t>Rhizopus</w:t>
      </w:r>
      <w:proofErr w:type="spellEnd"/>
      <w:r w:rsidRPr="00C3778D">
        <w:rPr>
          <w:sz w:val="28"/>
          <w:szCs w:val="28"/>
        </w:rPr>
        <w:t xml:space="preserve"> </w:t>
      </w:r>
      <w:proofErr w:type="spellStart"/>
      <w:r w:rsidRPr="00C3778D">
        <w:rPr>
          <w:sz w:val="28"/>
          <w:szCs w:val="28"/>
        </w:rPr>
        <w:t>stolonifer</w:t>
      </w:r>
      <w:proofErr w:type="spellEnd"/>
      <w:r w:rsidRPr="00C3778D">
        <w:rPr>
          <w:sz w:val="28"/>
          <w:szCs w:val="28"/>
        </w:rPr>
        <w:t xml:space="preserve">, </w:t>
      </w:r>
      <w:proofErr w:type="spellStart"/>
      <w:r w:rsidRPr="00C3778D">
        <w:rPr>
          <w:sz w:val="28"/>
          <w:szCs w:val="28"/>
        </w:rPr>
        <w:t>Mucor</w:t>
      </w:r>
      <w:proofErr w:type="spellEnd"/>
      <w:r w:rsidRPr="00C3778D">
        <w:rPr>
          <w:sz w:val="28"/>
          <w:szCs w:val="28"/>
        </w:rPr>
        <w:t xml:space="preserve"> spp., and </w:t>
      </w:r>
      <w:proofErr w:type="spellStart"/>
      <w:r w:rsidRPr="00C3778D">
        <w:rPr>
          <w:sz w:val="28"/>
          <w:szCs w:val="28"/>
        </w:rPr>
        <w:t>Aspergillus</w:t>
      </w:r>
      <w:proofErr w:type="spellEnd"/>
      <w:r w:rsidRPr="00C3778D">
        <w:rPr>
          <w:sz w:val="28"/>
          <w:szCs w:val="28"/>
        </w:rPr>
        <w:t xml:space="preserve"> </w:t>
      </w:r>
      <w:proofErr w:type="spellStart"/>
      <w:proofErr w:type="gramStart"/>
      <w:r w:rsidRPr="00C3778D">
        <w:rPr>
          <w:sz w:val="28"/>
          <w:szCs w:val="28"/>
        </w:rPr>
        <w:t>niger</w:t>
      </w:r>
      <w:proofErr w:type="spellEnd"/>
      <w:proofErr w:type="gramEnd"/>
      <w:r w:rsidRPr="00C3778D">
        <w:rPr>
          <w:sz w:val="28"/>
          <w:szCs w:val="28"/>
        </w:rPr>
        <w:t>. </w:t>
      </w:r>
      <w:r w:rsidRPr="00C3778D">
        <w:rPr>
          <w:i/>
          <w:iCs/>
          <w:sz w:val="28"/>
          <w:szCs w:val="28"/>
        </w:rPr>
        <w:t xml:space="preserve">SAR J </w:t>
      </w:r>
      <w:proofErr w:type="spellStart"/>
      <w:r w:rsidRPr="00C3778D">
        <w:rPr>
          <w:i/>
          <w:iCs/>
          <w:sz w:val="28"/>
          <w:szCs w:val="28"/>
        </w:rPr>
        <w:t>Pathol</w:t>
      </w:r>
      <w:proofErr w:type="spellEnd"/>
      <w:r w:rsidRPr="00C3778D">
        <w:rPr>
          <w:i/>
          <w:iCs/>
          <w:sz w:val="28"/>
          <w:szCs w:val="28"/>
        </w:rPr>
        <w:t xml:space="preserve"> </w:t>
      </w:r>
      <w:proofErr w:type="spellStart"/>
      <w:r w:rsidRPr="00C3778D">
        <w:rPr>
          <w:i/>
          <w:iCs/>
          <w:sz w:val="28"/>
          <w:szCs w:val="28"/>
        </w:rPr>
        <w:t>Microbiol</w:t>
      </w:r>
      <w:proofErr w:type="spellEnd"/>
      <w:r w:rsidRPr="00C3778D">
        <w:rPr>
          <w:sz w:val="28"/>
          <w:szCs w:val="28"/>
        </w:rPr>
        <w:t>, </w:t>
      </w:r>
      <w:r w:rsidRPr="00C3778D">
        <w:rPr>
          <w:i/>
          <w:iCs/>
          <w:sz w:val="28"/>
          <w:szCs w:val="28"/>
        </w:rPr>
        <w:t>4</w:t>
      </w:r>
      <w:r w:rsidRPr="00C3778D">
        <w:rPr>
          <w:sz w:val="28"/>
          <w:szCs w:val="28"/>
        </w:rPr>
        <w:t xml:space="preserve">(3), 30-34. Jain, A., &amp; Agrawal, R. (2020). Fungal toxins and their adverse effects: A review. </w:t>
      </w:r>
      <w:r w:rsidRPr="00C3778D">
        <w:rPr>
          <w:rStyle w:val="Emphasis"/>
          <w:sz w:val="28"/>
          <w:szCs w:val="28"/>
        </w:rPr>
        <w:t>Journal of Mycology and Medical Mycology</w:t>
      </w:r>
      <w:r w:rsidRPr="00C3778D">
        <w:rPr>
          <w:sz w:val="28"/>
          <w:szCs w:val="28"/>
        </w:rPr>
        <w:t xml:space="preserve">, </w:t>
      </w:r>
      <w:r w:rsidRPr="00C3778D">
        <w:rPr>
          <w:rStyle w:val="Strong"/>
          <w:sz w:val="28"/>
          <w:szCs w:val="28"/>
        </w:rPr>
        <w:t>30</w:t>
      </w:r>
      <w:r w:rsidRPr="00C3778D">
        <w:rPr>
          <w:sz w:val="28"/>
          <w:szCs w:val="28"/>
        </w:rPr>
        <w:t>(2), 78–84.</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Department of </w:t>
      </w:r>
      <w:proofErr w:type="spellStart"/>
      <w:r w:rsidRPr="00C3778D">
        <w:rPr>
          <w:rFonts w:ascii="Times New Roman" w:eastAsia="Times New Roman" w:hAnsi="Times New Roman" w:cs="Times New Roman"/>
          <w:sz w:val="28"/>
          <w:szCs w:val="28"/>
        </w:rPr>
        <w:t>Pharmacognosy</w:t>
      </w:r>
      <w:proofErr w:type="spellEnd"/>
      <w:r w:rsidRPr="00C3778D">
        <w:rPr>
          <w:rFonts w:ascii="Times New Roman" w:eastAsia="Times New Roman" w:hAnsi="Times New Roman" w:cs="Times New Roman"/>
          <w:sz w:val="28"/>
          <w:szCs w:val="28"/>
        </w:rPr>
        <w:t xml:space="preserve">, College of Pharmaceutical Sciences and Drug Manufacturing, </w:t>
      </w:r>
      <w:proofErr w:type="spellStart"/>
      <w:r w:rsidRPr="00C3778D">
        <w:rPr>
          <w:rFonts w:ascii="Times New Roman" w:eastAsia="Times New Roman" w:hAnsi="Times New Roman" w:cs="Times New Roman"/>
          <w:sz w:val="28"/>
          <w:szCs w:val="28"/>
        </w:rPr>
        <w:t>Misr</w:t>
      </w:r>
      <w:proofErr w:type="spellEnd"/>
      <w:r w:rsidRPr="00C3778D">
        <w:rPr>
          <w:rFonts w:ascii="Times New Roman" w:eastAsia="Times New Roman" w:hAnsi="Times New Roman" w:cs="Times New Roman"/>
          <w:sz w:val="28"/>
          <w:szCs w:val="28"/>
        </w:rPr>
        <w:t xml:space="preserve"> University for Science and Technology. (2024). Screening of pharmacological activities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(black bread mold). </w:t>
      </w:r>
      <w:r w:rsidRPr="00C3778D">
        <w:rPr>
          <w:rFonts w:ascii="Times New Roman" w:eastAsia="Times New Roman" w:hAnsi="Times New Roman" w:cs="Times New Roman"/>
          <w:i/>
          <w:iCs/>
          <w:sz w:val="28"/>
          <w:szCs w:val="28"/>
        </w:rPr>
        <w:t>Journal of Pharmaceutical Sciences and Drug Manufacturing</w:t>
      </w:r>
      <w:r w:rsidRPr="00C3778D">
        <w:rPr>
          <w:rFonts w:ascii="Times New Roman" w:eastAsia="Times New Roman" w:hAnsi="Times New Roman" w:cs="Times New Roman"/>
          <w:sz w:val="28"/>
          <w:szCs w:val="28"/>
        </w:rPr>
        <w:t xml:space="preserve">, 1(2), 69–75. </w:t>
      </w:r>
      <w:hyperlink r:id="rId14" w:tgtFrame="_new" w:history="1">
        <w:r w:rsidRPr="00C3778D">
          <w:rPr>
            <w:rFonts w:ascii="Times New Roman" w:eastAsia="Times New Roman" w:hAnsi="Times New Roman" w:cs="Times New Roman"/>
            <w:color w:val="0000FF"/>
            <w:sz w:val="28"/>
            <w:szCs w:val="28"/>
            <w:u w:val="single"/>
          </w:rPr>
          <w:t>https://jpsdm.journals.ekb.eg/article_347758.html</w:t>
        </w:r>
      </w:hyperlink>
      <w:hyperlink r:id="rId15" w:tgtFrame="_blank" w:history="1">
        <w:r w:rsidRPr="00C3778D">
          <w:rPr>
            <w:rFonts w:ascii="Times New Roman" w:eastAsia="Times New Roman" w:hAnsi="Times New Roman" w:cs="Times New Roman"/>
            <w:color w:val="0000FF"/>
            <w:sz w:val="28"/>
            <w:szCs w:val="28"/>
            <w:u w:val="single"/>
          </w:rPr>
          <w:t>jpsdm.journals.ekb.eg</w:t>
        </w:r>
      </w:hyperlink>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Kępińska-Pacelik</w:t>
      </w:r>
      <w:proofErr w:type="spellEnd"/>
      <w:r w:rsidRPr="00C3778D">
        <w:rPr>
          <w:rFonts w:ascii="Times New Roman" w:eastAsia="Times New Roman" w:hAnsi="Times New Roman" w:cs="Times New Roman"/>
          <w:sz w:val="28"/>
          <w:szCs w:val="28"/>
        </w:rPr>
        <w:t xml:space="preserve">, J., &amp; Biel, W. (2021). Alimentary risk of </w:t>
      </w:r>
      <w:proofErr w:type="spellStart"/>
      <w:r w:rsidRPr="00C3778D">
        <w:rPr>
          <w:rFonts w:ascii="Times New Roman" w:eastAsia="Times New Roman" w:hAnsi="Times New Roman" w:cs="Times New Roman"/>
          <w:sz w:val="28"/>
          <w:szCs w:val="28"/>
        </w:rPr>
        <w:t>mycotoxins</w:t>
      </w:r>
      <w:proofErr w:type="spellEnd"/>
      <w:r w:rsidRPr="00C3778D">
        <w:rPr>
          <w:rFonts w:ascii="Times New Roman" w:eastAsia="Times New Roman" w:hAnsi="Times New Roman" w:cs="Times New Roman"/>
          <w:sz w:val="28"/>
          <w:szCs w:val="28"/>
        </w:rPr>
        <w:t xml:space="preserve"> for humans and animals.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13(11), 822. </w:t>
      </w:r>
      <w:hyperlink r:id="rId16" w:tgtFrame="_new" w:history="1">
        <w:r w:rsidRPr="00C3778D">
          <w:rPr>
            <w:rFonts w:ascii="Times New Roman" w:eastAsia="Times New Roman" w:hAnsi="Times New Roman" w:cs="Times New Roman"/>
            <w:color w:val="0000FF"/>
            <w:sz w:val="28"/>
            <w:szCs w:val="28"/>
            <w:u w:val="single"/>
          </w:rPr>
          <w:t>https://doi.org/10.3390/toxins13110822</w:t>
        </w:r>
      </w:hyperlink>
      <w:hyperlink r:id="rId17" w:tgtFrame="_blank" w:history="1">
        <w:r w:rsidRPr="00C3778D">
          <w:rPr>
            <w:rFonts w:ascii="Times New Roman" w:eastAsia="Times New Roman" w:hAnsi="Times New Roman" w:cs="Times New Roman"/>
            <w:color w:val="0000FF"/>
            <w:sz w:val="28"/>
            <w:szCs w:val="28"/>
            <w:u w:val="single"/>
          </w:rPr>
          <w:t>PMC</w:t>
        </w:r>
      </w:hyperlink>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Li, L., Zhang, M., Sun, H. N., &amp; Mu, T. H. (2021). Contribution of ultrasound and conventional hot water to the inactivation of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in sweet potato. </w:t>
      </w:r>
      <w:proofErr w:type="spellStart"/>
      <w:r w:rsidRPr="00C3778D">
        <w:rPr>
          <w:rFonts w:ascii="Times New Roman" w:eastAsia="Times New Roman" w:hAnsi="Times New Roman" w:cs="Times New Roman"/>
          <w:i/>
          <w:iCs/>
          <w:sz w:val="28"/>
          <w:szCs w:val="28"/>
        </w:rPr>
        <w:t>Lwt</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148</w:t>
      </w:r>
      <w:r w:rsidRPr="00C3778D">
        <w:rPr>
          <w:rFonts w:ascii="Times New Roman" w:eastAsia="Times New Roman" w:hAnsi="Times New Roman" w:cs="Times New Roman"/>
          <w:sz w:val="28"/>
          <w:szCs w:val="28"/>
        </w:rPr>
        <w:t>, 111797.</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Liu, Q., Chen, Q., Liu, H., Du, Y., Jiao, W., Sun, F., &amp; Fu, M. (2024).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related control strategies in postharvest fruit: A review. </w:t>
      </w:r>
      <w:proofErr w:type="spellStart"/>
      <w:r w:rsidRPr="00C3778D">
        <w:rPr>
          <w:rFonts w:ascii="Times New Roman" w:eastAsia="Times New Roman" w:hAnsi="Times New Roman" w:cs="Times New Roman"/>
          <w:i/>
          <w:iCs/>
          <w:sz w:val="28"/>
          <w:szCs w:val="28"/>
        </w:rPr>
        <w:t>Heliyon</w:t>
      </w:r>
      <w:proofErr w:type="spellEnd"/>
      <w:r w:rsidRPr="00C3778D">
        <w:rPr>
          <w:rFonts w:ascii="Times New Roman" w:eastAsia="Times New Roman" w:hAnsi="Times New Roman" w:cs="Times New Roman"/>
          <w:sz w:val="28"/>
          <w:szCs w:val="28"/>
        </w:rPr>
        <w:t>.</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Mlikota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Gabler</w:t>
      </w:r>
      <w:proofErr w:type="spellEnd"/>
      <w:r w:rsidRPr="00C3778D">
        <w:rPr>
          <w:rFonts w:ascii="Times New Roman" w:eastAsia="Times New Roman" w:hAnsi="Times New Roman" w:cs="Times New Roman"/>
          <w:sz w:val="28"/>
          <w:szCs w:val="28"/>
        </w:rPr>
        <w:t xml:space="preserve">, F., Mansour, M. F., </w:t>
      </w:r>
      <w:proofErr w:type="spellStart"/>
      <w:r w:rsidRPr="00C3778D">
        <w:rPr>
          <w:rFonts w:ascii="Times New Roman" w:eastAsia="Times New Roman" w:hAnsi="Times New Roman" w:cs="Times New Roman"/>
          <w:sz w:val="28"/>
          <w:szCs w:val="28"/>
        </w:rPr>
        <w:t>Smilanick</w:t>
      </w:r>
      <w:proofErr w:type="spellEnd"/>
      <w:r w:rsidRPr="00C3778D">
        <w:rPr>
          <w:rFonts w:ascii="Times New Roman" w:eastAsia="Times New Roman" w:hAnsi="Times New Roman" w:cs="Times New Roman"/>
          <w:sz w:val="28"/>
          <w:szCs w:val="28"/>
        </w:rPr>
        <w:t xml:space="preserve">, J. L., &amp; Mackey, B. E. (2004). Survival of spores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proofErr w:type="gramStart"/>
      <w:r w:rsidRPr="00C3778D">
        <w:rPr>
          <w:rFonts w:ascii="Times New Roman" w:eastAsia="Times New Roman" w:hAnsi="Times New Roman" w:cs="Times New Roman"/>
          <w:sz w:val="28"/>
          <w:szCs w:val="28"/>
        </w:rPr>
        <w:t>niger</w:t>
      </w:r>
      <w:proofErr w:type="spellEnd"/>
      <w:proofErr w:type="gramEnd"/>
      <w:r w:rsidRPr="00C3778D">
        <w:rPr>
          <w:rFonts w:ascii="Times New Roman" w:eastAsia="Times New Roman" w:hAnsi="Times New Roman" w:cs="Times New Roman"/>
          <w:sz w:val="28"/>
          <w:szCs w:val="28"/>
        </w:rPr>
        <w:t xml:space="preserve">, Botrytis </w:t>
      </w:r>
      <w:proofErr w:type="spellStart"/>
      <w:r w:rsidRPr="00C3778D">
        <w:rPr>
          <w:rFonts w:ascii="Times New Roman" w:eastAsia="Times New Roman" w:hAnsi="Times New Roman" w:cs="Times New Roman"/>
          <w:sz w:val="28"/>
          <w:szCs w:val="28"/>
        </w:rPr>
        <w:t>cinerea</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Alternaria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alternata</w:t>
      </w:r>
      <w:proofErr w:type="spellEnd"/>
      <w:r w:rsidRPr="00C3778D">
        <w:rPr>
          <w:rFonts w:ascii="Times New Roman" w:eastAsia="Times New Roman" w:hAnsi="Times New Roman" w:cs="Times New Roman"/>
          <w:sz w:val="28"/>
          <w:szCs w:val="28"/>
        </w:rPr>
        <w:t xml:space="preserve"> after exposure to ethanol solutions at various temperatures. </w:t>
      </w:r>
      <w:r w:rsidRPr="00C3778D">
        <w:rPr>
          <w:rFonts w:ascii="Times New Roman" w:eastAsia="Times New Roman" w:hAnsi="Times New Roman" w:cs="Times New Roman"/>
          <w:i/>
          <w:iCs/>
          <w:sz w:val="28"/>
          <w:szCs w:val="28"/>
        </w:rPr>
        <w:t>Journal of Applied Microbiology</w:t>
      </w:r>
      <w:r w:rsidRPr="00C3778D">
        <w:rPr>
          <w:rFonts w:ascii="Times New Roman" w:eastAsia="Times New Roman" w:hAnsi="Times New Roman" w:cs="Times New Roman"/>
          <w:sz w:val="28"/>
          <w:szCs w:val="28"/>
        </w:rPr>
        <w:t xml:space="preserve">, 96(6), 1354–1360. </w:t>
      </w:r>
      <w:hyperlink r:id="rId18" w:tgtFrame="_new" w:history="1">
        <w:r w:rsidRPr="00C3778D">
          <w:rPr>
            <w:rFonts w:ascii="Times New Roman" w:eastAsia="Times New Roman" w:hAnsi="Times New Roman" w:cs="Times New Roman"/>
            <w:color w:val="0000FF"/>
            <w:sz w:val="28"/>
            <w:szCs w:val="28"/>
            <w:u w:val="single"/>
          </w:rPr>
          <w:t>https://doi.org/10.1111/j.1365-2672.2004.02280.x</w:t>
        </w:r>
      </w:hyperlink>
      <w:hyperlink r:id="rId19" w:tgtFrame="_blank" w:history="1">
        <w:r w:rsidRPr="00C3778D">
          <w:rPr>
            <w:rFonts w:ascii="Times New Roman" w:eastAsia="Times New Roman" w:hAnsi="Times New Roman" w:cs="Times New Roman"/>
            <w:color w:val="0000FF"/>
            <w:sz w:val="28"/>
            <w:szCs w:val="28"/>
            <w:u w:val="single"/>
          </w:rPr>
          <w:t>Environmental Microbiology</w:t>
        </w:r>
      </w:hyperlink>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Nešić</w:t>
      </w:r>
      <w:proofErr w:type="spellEnd"/>
      <w:r w:rsidRPr="00C3778D">
        <w:rPr>
          <w:rFonts w:ascii="Times New Roman" w:eastAsia="Times New Roman" w:hAnsi="Times New Roman" w:cs="Times New Roman"/>
          <w:sz w:val="28"/>
          <w:szCs w:val="28"/>
        </w:rPr>
        <w:t xml:space="preserve">, K., </w:t>
      </w:r>
      <w:proofErr w:type="spellStart"/>
      <w:r w:rsidRPr="00C3778D">
        <w:rPr>
          <w:rFonts w:ascii="Times New Roman" w:eastAsia="Times New Roman" w:hAnsi="Times New Roman" w:cs="Times New Roman"/>
          <w:sz w:val="28"/>
          <w:szCs w:val="28"/>
        </w:rPr>
        <w:t>Habschied</w:t>
      </w:r>
      <w:proofErr w:type="spellEnd"/>
      <w:r w:rsidRPr="00C3778D">
        <w:rPr>
          <w:rFonts w:ascii="Times New Roman" w:eastAsia="Times New Roman" w:hAnsi="Times New Roman" w:cs="Times New Roman"/>
          <w:sz w:val="28"/>
          <w:szCs w:val="28"/>
        </w:rPr>
        <w:t xml:space="preserve">, K., &amp; </w:t>
      </w:r>
      <w:proofErr w:type="spellStart"/>
      <w:r w:rsidRPr="00C3778D">
        <w:rPr>
          <w:rFonts w:ascii="Times New Roman" w:eastAsia="Times New Roman" w:hAnsi="Times New Roman" w:cs="Times New Roman"/>
          <w:sz w:val="28"/>
          <w:szCs w:val="28"/>
        </w:rPr>
        <w:t>Mastanjević</w:t>
      </w:r>
      <w:proofErr w:type="spellEnd"/>
      <w:r w:rsidRPr="00C3778D">
        <w:rPr>
          <w:rFonts w:ascii="Times New Roman" w:eastAsia="Times New Roman" w:hAnsi="Times New Roman" w:cs="Times New Roman"/>
          <w:sz w:val="28"/>
          <w:szCs w:val="28"/>
        </w:rPr>
        <w:t xml:space="preserve">, K. (2021). Possibilities for the biological control of </w:t>
      </w:r>
      <w:proofErr w:type="spellStart"/>
      <w:r w:rsidRPr="00C3778D">
        <w:rPr>
          <w:rFonts w:ascii="Times New Roman" w:eastAsia="Times New Roman" w:hAnsi="Times New Roman" w:cs="Times New Roman"/>
          <w:sz w:val="28"/>
          <w:szCs w:val="28"/>
        </w:rPr>
        <w:t>mycotoxins</w:t>
      </w:r>
      <w:proofErr w:type="spellEnd"/>
      <w:r w:rsidRPr="00C3778D">
        <w:rPr>
          <w:rFonts w:ascii="Times New Roman" w:eastAsia="Times New Roman" w:hAnsi="Times New Roman" w:cs="Times New Roman"/>
          <w:sz w:val="28"/>
          <w:szCs w:val="28"/>
        </w:rPr>
        <w:t xml:space="preserve"> in food and feed.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13(3), 198. </w:t>
      </w:r>
      <w:hyperlink r:id="rId20" w:tgtFrame="_new" w:history="1">
        <w:r w:rsidRPr="00C3778D">
          <w:rPr>
            <w:rFonts w:ascii="Times New Roman" w:eastAsia="Times New Roman" w:hAnsi="Times New Roman" w:cs="Times New Roman"/>
            <w:color w:val="0000FF"/>
            <w:sz w:val="28"/>
            <w:szCs w:val="28"/>
            <w:u w:val="single"/>
          </w:rPr>
          <w:t>https://doi.org/10.3390/toxins13030198</w:t>
        </w:r>
      </w:hyperlink>
      <w:hyperlink r:id="rId21" w:tgtFrame="_blank" w:history="1">
        <w:r w:rsidRPr="00C3778D">
          <w:rPr>
            <w:rFonts w:ascii="Times New Roman" w:eastAsia="Times New Roman" w:hAnsi="Times New Roman" w:cs="Times New Roman"/>
            <w:color w:val="0000FF"/>
            <w:sz w:val="28"/>
            <w:szCs w:val="28"/>
            <w:u w:val="single"/>
          </w:rPr>
          <w:t>NCBI</w:t>
        </w:r>
      </w:hyperlink>
    </w:p>
    <w:p w:rsidR="00C3778D" w:rsidRPr="00C3778D" w:rsidRDefault="00C3778D" w:rsidP="00C3778D">
      <w:pPr>
        <w:pStyle w:val="NormalWeb"/>
        <w:spacing w:line="480" w:lineRule="auto"/>
        <w:ind w:left="720" w:hanging="720"/>
        <w:rPr>
          <w:sz w:val="28"/>
          <w:szCs w:val="28"/>
        </w:rPr>
      </w:pPr>
      <w:proofErr w:type="spellStart"/>
      <w:r w:rsidRPr="00C3778D">
        <w:rPr>
          <w:sz w:val="28"/>
          <w:szCs w:val="28"/>
        </w:rPr>
        <w:t>Oluwafemi</w:t>
      </w:r>
      <w:proofErr w:type="spellEnd"/>
      <w:r w:rsidRPr="00C3778D">
        <w:rPr>
          <w:sz w:val="28"/>
          <w:szCs w:val="28"/>
        </w:rPr>
        <w:t xml:space="preserve">, F., </w:t>
      </w:r>
      <w:proofErr w:type="spellStart"/>
      <w:r w:rsidRPr="00C3778D">
        <w:rPr>
          <w:sz w:val="28"/>
          <w:szCs w:val="28"/>
        </w:rPr>
        <w:t>Adedayo</w:t>
      </w:r>
      <w:proofErr w:type="spellEnd"/>
      <w:r w:rsidRPr="00C3778D">
        <w:rPr>
          <w:sz w:val="28"/>
          <w:szCs w:val="28"/>
        </w:rPr>
        <w:t xml:space="preserve">, T., &amp; </w:t>
      </w:r>
      <w:proofErr w:type="spellStart"/>
      <w:r w:rsidRPr="00C3778D">
        <w:rPr>
          <w:sz w:val="28"/>
          <w:szCs w:val="28"/>
        </w:rPr>
        <w:t>Arinola</w:t>
      </w:r>
      <w:proofErr w:type="spellEnd"/>
      <w:r w:rsidRPr="00C3778D">
        <w:rPr>
          <w:sz w:val="28"/>
          <w:szCs w:val="28"/>
        </w:rPr>
        <w:t xml:space="preserve">, O. (2020). Toxicological effects of fungal metabolites in rodents: A </w:t>
      </w:r>
      <w:proofErr w:type="spellStart"/>
      <w:r w:rsidRPr="00C3778D">
        <w:rPr>
          <w:sz w:val="28"/>
          <w:szCs w:val="28"/>
        </w:rPr>
        <w:t>histopathological</w:t>
      </w:r>
      <w:proofErr w:type="spellEnd"/>
      <w:r w:rsidRPr="00C3778D">
        <w:rPr>
          <w:sz w:val="28"/>
          <w:szCs w:val="28"/>
        </w:rPr>
        <w:t xml:space="preserve"> and biochemical approach. </w:t>
      </w:r>
      <w:r w:rsidRPr="00C3778D">
        <w:rPr>
          <w:rStyle w:val="Emphasis"/>
          <w:sz w:val="28"/>
          <w:szCs w:val="28"/>
        </w:rPr>
        <w:t>African Journal of Biomedical Research</w:t>
      </w:r>
      <w:r w:rsidRPr="00C3778D">
        <w:rPr>
          <w:sz w:val="28"/>
          <w:szCs w:val="28"/>
        </w:rPr>
        <w:t xml:space="preserve">, </w:t>
      </w:r>
      <w:r w:rsidRPr="00C3778D">
        <w:rPr>
          <w:rStyle w:val="Strong"/>
          <w:sz w:val="28"/>
          <w:szCs w:val="28"/>
        </w:rPr>
        <w:t>23</w:t>
      </w:r>
      <w:r w:rsidRPr="00C3778D">
        <w:rPr>
          <w:sz w:val="28"/>
          <w:szCs w:val="28"/>
        </w:rPr>
        <w:t>(4), 339–345.</w:t>
      </w:r>
    </w:p>
    <w:p w:rsidR="00C3778D" w:rsidRPr="00C3778D" w:rsidRDefault="00C3778D" w:rsidP="00C3778D">
      <w:pPr>
        <w:pStyle w:val="NormalWeb"/>
        <w:spacing w:line="480" w:lineRule="auto"/>
        <w:ind w:left="720" w:hanging="720"/>
        <w:rPr>
          <w:sz w:val="28"/>
          <w:szCs w:val="28"/>
        </w:rPr>
      </w:pPr>
      <w:r w:rsidRPr="00C3778D">
        <w:rPr>
          <w:sz w:val="28"/>
          <w:szCs w:val="28"/>
        </w:rPr>
        <w:t xml:space="preserve">Papp, T., </w:t>
      </w:r>
      <w:proofErr w:type="spellStart"/>
      <w:r w:rsidRPr="00C3778D">
        <w:rPr>
          <w:sz w:val="28"/>
          <w:szCs w:val="28"/>
        </w:rPr>
        <w:t>Vágvölgyi</w:t>
      </w:r>
      <w:proofErr w:type="spellEnd"/>
      <w:r w:rsidRPr="00C3778D">
        <w:rPr>
          <w:sz w:val="28"/>
          <w:szCs w:val="28"/>
        </w:rPr>
        <w:t xml:space="preserve">, C., &amp; </w:t>
      </w:r>
      <w:proofErr w:type="spellStart"/>
      <w:r w:rsidRPr="00C3778D">
        <w:rPr>
          <w:sz w:val="28"/>
          <w:szCs w:val="28"/>
        </w:rPr>
        <w:t>Kredics</w:t>
      </w:r>
      <w:proofErr w:type="spellEnd"/>
      <w:r w:rsidRPr="00C3778D">
        <w:rPr>
          <w:sz w:val="28"/>
          <w:szCs w:val="28"/>
        </w:rPr>
        <w:t xml:space="preserve">, L. (2020). </w:t>
      </w:r>
      <w:proofErr w:type="spellStart"/>
      <w:r w:rsidRPr="00C3778D">
        <w:rPr>
          <w:rStyle w:val="Emphasis"/>
          <w:sz w:val="28"/>
          <w:szCs w:val="28"/>
        </w:rPr>
        <w:t>Rhizopus</w:t>
      </w:r>
      <w:proofErr w:type="spellEnd"/>
      <w:r w:rsidRPr="00C3778D">
        <w:rPr>
          <w:sz w:val="28"/>
          <w:szCs w:val="28"/>
        </w:rPr>
        <w:t xml:space="preserve"> species as opportunistic human pathogens. </w:t>
      </w:r>
      <w:r w:rsidRPr="00C3778D">
        <w:rPr>
          <w:rStyle w:val="Emphasis"/>
          <w:sz w:val="28"/>
          <w:szCs w:val="28"/>
        </w:rPr>
        <w:t>Medical Mycology Journal</w:t>
      </w:r>
      <w:r w:rsidRPr="00C3778D">
        <w:rPr>
          <w:sz w:val="28"/>
          <w:szCs w:val="28"/>
        </w:rPr>
        <w:t xml:space="preserve">, </w:t>
      </w:r>
      <w:r w:rsidRPr="00C3778D">
        <w:rPr>
          <w:rStyle w:val="Strong"/>
          <w:sz w:val="28"/>
          <w:szCs w:val="28"/>
        </w:rPr>
        <w:t>61</w:t>
      </w:r>
      <w:r w:rsidRPr="00C3778D">
        <w:rPr>
          <w:sz w:val="28"/>
          <w:szCs w:val="28"/>
        </w:rPr>
        <w:t>(3), 112–120.</w:t>
      </w:r>
    </w:p>
    <w:p w:rsidR="00C3778D" w:rsidRPr="00C3778D" w:rsidRDefault="00C3778D" w:rsidP="00C3778D">
      <w:pPr>
        <w:pStyle w:val="NormalWeb"/>
        <w:spacing w:line="480" w:lineRule="auto"/>
        <w:ind w:left="720" w:hanging="720"/>
        <w:rPr>
          <w:sz w:val="28"/>
          <w:szCs w:val="28"/>
        </w:rPr>
      </w:pPr>
      <w:r w:rsidRPr="00C3778D">
        <w:rPr>
          <w:sz w:val="28"/>
          <w:szCs w:val="28"/>
        </w:rPr>
        <w:t xml:space="preserve">Singh, R., Sharma, P., &amp; Kumar, N. (2021). Morphological and molecular identification of fungal isolates from spoiled food: Emphasis on </w:t>
      </w:r>
      <w:proofErr w:type="spellStart"/>
      <w:r w:rsidRPr="00C3778D">
        <w:rPr>
          <w:rStyle w:val="Emphasis"/>
          <w:sz w:val="28"/>
          <w:szCs w:val="28"/>
        </w:rPr>
        <w:t>Rhizopus</w:t>
      </w:r>
      <w:proofErr w:type="spellEnd"/>
      <w:r w:rsidRPr="00C3778D">
        <w:rPr>
          <w:rStyle w:val="Emphasis"/>
          <w:sz w:val="28"/>
          <w:szCs w:val="28"/>
        </w:rPr>
        <w:t xml:space="preserve"> </w:t>
      </w:r>
      <w:proofErr w:type="spellStart"/>
      <w:r w:rsidRPr="00C3778D">
        <w:rPr>
          <w:rStyle w:val="Emphasis"/>
          <w:sz w:val="28"/>
          <w:szCs w:val="28"/>
        </w:rPr>
        <w:t>stolonifer</w:t>
      </w:r>
      <w:proofErr w:type="spellEnd"/>
      <w:r w:rsidRPr="00C3778D">
        <w:rPr>
          <w:sz w:val="28"/>
          <w:szCs w:val="28"/>
        </w:rPr>
        <w:t xml:space="preserve">. </w:t>
      </w:r>
      <w:r w:rsidRPr="00C3778D">
        <w:rPr>
          <w:rStyle w:val="Emphasis"/>
          <w:sz w:val="28"/>
          <w:szCs w:val="28"/>
        </w:rPr>
        <w:t>International Journal of Microbiology Research</w:t>
      </w:r>
      <w:r w:rsidRPr="00C3778D">
        <w:rPr>
          <w:sz w:val="28"/>
          <w:szCs w:val="28"/>
        </w:rPr>
        <w:t xml:space="preserve">, </w:t>
      </w:r>
      <w:r w:rsidRPr="00C3778D">
        <w:rPr>
          <w:rStyle w:val="Strong"/>
          <w:sz w:val="28"/>
          <w:szCs w:val="28"/>
        </w:rPr>
        <w:t>13</w:t>
      </w:r>
      <w:r w:rsidRPr="00C3778D">
        <w:rPr>
          <w:sz w:val="28"/>
          <w:szCs w:val="28"/>
        </w:rPr>
        <w:t>(1), 12–19.</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Toigo</w:t>
      </w:r>
      <w:proofErr w:type="spellEnd"/>
      <w:r w:rsidRPr="00C3778D">
        <w:rPr>
          <w:rFonts w:ascii="Times New Roman" w:eastAsia="Times New Roman" w:hAnsi="Times New Roman" w:cs="Times New Roman"/>
          <w:sz w:val="28"/>
          <w:szCs w:val="28"/>
        </w:rPr>
        <w:t xml:space="preserve">, S. E. M., </w:t>
      </w:r>
      <w:proofErr w:type="spellStart"/>
      <w:r w:rsidRPr="00C3778D">
        <w:rPr>
          <w:rFonts w:ascii="Times New Roman" w:eastAsia="Times New Roman" w:hAnsi="Times New Roman" w:cs="Times New Roman"/>
          <w:sz w:val="28"/>
          <w:szCs w:val="28"/>
        </w:rPr>
        <w:t>Fernandes</w:t>
      </w:r>
      <w:proofErr w:type="spellEnd"/>
      <w:r w:rsidRPr="00C3778D">
        <w:rPr>
          <w:rFonts w:ascii="Times New Roman" w:eastAsia="Times New Roman" w:hAnsi="Times New Roman" w:cs="Times New Roman"/>
          <w:sz w:val="28"/>
          <w:szCs w:val="28"/>
        </w:rPr>
        <w:t xml:space="preserve">, C. C., &amp; Miranda, M. L. D. (2022). Promising antifungal activity of two varieties of Capsicum </w:t>
      </w:r>
      <w:proofErr w:type="spellStart"/>
      <w:r w:rsidRPr="00C3778D">
        <w:rPr>
          <w:rFonts w:ascii="Times New Roman" w:eastAsia="Times New Roman" w:hAnsi="Times New Roman" w:cs="Times New Roman"/>
          <w:sz w:val="28"/>
          <w:szCs w:val="28"/>
        </w:rPr>
        <w:t>chinense</w:t>
      </w:r>
      <w:proofErr w:type="spellEnd"/>
      <w:r w:rsidRPr="00C3778D">
        <w:rPr>
          <w:rFonts w:ascii="Times New Roman" w:eastAsia="Times New Roman" w:hAnsi="Times New Roman" w:cs="Times New Roman"/>
          <w:sz w:val="28"/>
          <w:szCs w:val="28"/>
        </w:rPr>
        <w:t xml:space="preserve"> against </w:t>
      </w:r>
      <w:proofErr w:type="spellStart"/>
      <w:r w:rsidRPr="00C3778D">
        <w:rPr>
          <w:rFonts w:ascii="Times New Roman" w:eastAsia="Times New Roman" w:hAnsi="Times New Roman" w:cs="Times New Roman"/>
          <w:sz w:val="28"/>
          <w:szCs w:val="28"/>
        </w:rPr>
        <w:t>Sclerotinia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sclerotiorum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Colletotrichum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goleosporoides</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Food Science and Technology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42</w:t>
      </w:r>
      <w:r w:rsidRPr="00C3778D">
        <w:rPr>
          <w:rFonts w:ascii="Times New Roman" w:eastAsia="Times New Roman" w:hAnsi="Times New Roman" w:cs="Times New Roman"/>
          <w:sz w:val="28"/>
          <w:szCs w:val="28"/>
        </w:rPr>
        <w:t>, e52722.</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Udoudoakpan</w:t>
      </w:r>
      <w:proofErr w:type="spellEnd"/>
      <w:r w:rsidRPr="00C3778D">
        <w:rPr>
          <w:rFonts w:ascii="Times New Roman" w:eastAsia="Times New Roman" w:hAnsi="Times New Roman" w:cs="Times New Roman"/>
          <w:sz w:val="28"/>
          <w:szCs w:val="28"/>
        </w:rPr>
        <w:t xml:space="preserve">, I. F., &amp; </w:t>
      </w:r>
      <w:proofErr w:type="spellStart"/>
      <w:r w:rsidRPr="00C3778D">
        <w:rPr>
          <w:rFonts w:ascii="Times New Roman" w:eastAsia="Times New Roman" w:hAnsi="Times New Roman" w:cs="Times New Roman"/>
          <w:sz w:val="28"/>
          <w:szCs w:val="28"/>
        </w:rPr>
        <w:t>Effiong</w:t>
      </w:r>
      <w:proofErr w:type="spellEnd"/>
      <w:r w:rsidRPr="00C3778D">
        <w:rPr>
          <w:rFonts w:ascii="Times New Roman" w:eastAsia="Times New Roman" w:hAnsi="Times New Roman" w:cs="Times New Roman"/>
          <w:sz w:val="28"/>
          <w:szCs w:val="28"/>
        </w:rPr>
        <w:t xml:space="preserve">, B. N. (2024). Accessing the Antimicrobial Potency of Piper </w:t>
      </w:r>
      <w:proofErr w:type="spellStart"/>
      <w:r w:rsidRPr="00C3778D">
        <w:rPr>
          <w:rFonts w:ascii="Times New Roman" w:eastAsia="Times New Roman" w:hAnsi="Times New Roman" w:cs="Times New Roman"/>
          <w:sz w:val="28"/>
          <w:szCs w:val="28"/>
        </w:rPr>
        <w:t>guineense</w:t>
      </w:r>
      <w:proofErr w:type="spellEnd"/>
      <w:r w:rsidRPr="00C3778D">
        <w:rPr>
          <w:rFonts w:ascii="Times New Roman" w:eastAsia="Times New Roman" w:hAnsi="Times New Roman" w:cs="Times New Roman"/>
          <w:sz w:val="28"/>
          <w:szCs w:val="28"/>
        </w:rPr>
        <w:t xml:space="preserve"> (ODUSA) Seed Extracts on Bread Spoilage Organisms. </w:t>
      </w:r>
      <w:r w:rsidRPr="00C3778D">
        <w:rPr>
          <w:rFonts w:ascii="Times New Roman" w:eastAsia="Times New Roman" w:hAnsi="Times New Roman" w:cs="Times New Roman"/>
          <w:i/>
          <w:iCs/>
          <w:sz w:val="28"/>
          <w:szCs w:val="28"/>
        </w:rPr>
        <w:t>Research Journal of Food Science and Quality Control (RJFSQC) E-ISSN</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2756</w:t>
      </w:r>
      <w:r w:rsidRPr="00C3778D">
        <w:rPr>
          <w:rFonts w:ascii="Times New Roman" w:eastAsia="Times New Roman" w:hAnsi="Times New Roman" w:cs="Times New Roman"/>
          <w:sz w:val="28"/>
          <w:szCs w:val="28"/>
        </w:rPr>
        <w:t>, 5483.</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Wang, K., Li, C., Cao, S., Lei, C., </w:t>
      </w:r>
      <w:proofErr w:type="spellStart"/>
      <w:r w:rsidRPr="00C3778D">
        <w:rPr>
          <w:rFonts w:ascii="Times New Roman" w:eastAsia="Times New Roman" w:hAnsi="Times New Roman" w:cs="Times New Roman"/>
          <w:sz w:val="28"/>
          <w:szCs w:val="28"/>
        </w:rPr>
        <w:t>Ji</w:t>
      </w:r>
      <w:proofErr w:type="spellEnd"/>
      <w:r w:rsidRPr="00C3778D">
        <w:rPr>
          <w:rFonts w:ascii="Times New Roman" w:eastAsia="Times New Roman" w:hAnsi="Times New Roman" w:cs="Times New Roman"/>
          <w:sz w:val="28"/>
          <w:szCs w:val="28"/>
        </w:rPr>
        <w:t xml:space="preserve">, N., </w:t>
      </w:r>
      <w:proofErr w:type="spellStart"/>
      <w:r w:rsidRPr="00C3778D">
        <w:rPr>
          <w:rFonts w:ascii="Times New Roman" w:eastAsia="Times New Roman" w:hAnsi="Times New Roman" w:cs="Times New Roman"/>
          <w:sz w:val="28"/>
          <w:szCs w:val="28"/>
        </w:rPr>
        <w:t>Zou</w:t>
      </w:r>
      <w:proofErr w:type="spellEnd"/>
      <w:r w:rsidRPr="00C3778D">
        <w:rPr>
          <w:rFonts w:ascii="Times New Roman" w:eastAsia="Times New Roman" w:hAnsi="Times New Roman" w:cs="Times New Roman"/>
          <w:sz w:val="28"/>
          <w:szCs w:val="28"/>
        </w:rPr>
        <w:t>, Y</w:t>
      </w:r>
      <w:proofErr w:type="gramStart"/>
      <w:r w:rsidRPr="00C3778D">
        <w:rPr>
          <w:rFonts w:ascii="Times New Roman" w:eastAsia="Times New Roman" w:hAnsi="Times New Roman" w:cs="Times New Roman"/>
          <w:sz w:val="28"/>
          <w:szCs w:val="28"/>
        </w:rPr>
        <w:t>., ...</w:t>
      </w:r>
      <w:proofErr w:type="gramEnd"/>
      <w:r w:rsidRPr="00C3778D">
        <w:rPr>
          <w:rFonts w:ascii="Times New Roman" w:eastAsia="Times New Roman" w:hAnsi="Times New Roman" w:cs="Times New Roman"/>
          <w:sz w:val="28"/>
          <w:szCs w:val="28"/>
        </w:rPr>
        <w:t xml:space="preserve"> &amp; </w:t>
      </w:r>
      <w:proofErr w:type="spellStart"/>
      <w:r w:rsidRPr="00C3778D">
        <w:rPr>
          <w:rFonts w:ascii="Times New Roman" w:eastAsia="Times New Roman" w:hAnsi="Times New Roman" w:cs="Times New Roman"/>
          <w:sz w:val="28"/>
          <w:szCs w:val="28"/>
        </w:rPr>
        <w:t>Gao</w:t>
      </w:r>
      <w:proofErr w:type="spellEnd"/>
      <w:r w:rsidRPr="00C3778D">
        <w:rPr>
          <w:rFonts w:ascii="Times New Roman" w:eastAsia="Times New Roman" w:hAnsi="Times New Roman" w:cs="Times New Roman"/>
          <w:sz w:val="28"/>
          <w:szCs w:val="28"/>
        </w:rPr>
        <w:t xml:space="preserve">, H. (2025). VOZ‐dependent priming of salicylic acid‐dependent defense against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by β‐</w:t>
      </w:r>
      <w:proofErr w:type="spellStart"/>
      <w:r w:rsidRPr="00C3778D">
        <w:rPr>
          <w:rFonts w:ascii="Times New Roman" w:eastAsia="Times New Roman" w:hAnsi="Times New Roman" w:cs="Times New Roman"/>
          <w:sz w:val="28"/>
          <w:szCs w:val="28"/>
        </w:rPr>
        <w:t>aminobutyric</w:t>
      </w:r>
      <w:proofErr w:type="spellEnd"/>
      <w:r w:rsidRPr="00C3778D">
        <w:rPr>
          <w:rFonts w:ascii="Times New Roman" w:eastAsia="Times New Roman" w:hAnsi="Times New Roman" w:cs="Times New Roman"/>
          <w:sz w:val="28"/>
          <w:szCs w:val="28"/>
        </w:rPr>
        <w:t xml:space="preserve"> acid requires the TCP protein TCP2 in peach fruit. </w:t>
      </w:r>
      <w:r w:rsidRPr="00C3778D">
        <w:rPr>
          <w:rFonts w:ascii="Times New Roman" w:eastAsia="Times New Roman" w:hAnsi="Times New Roman" w:cs="Times New Roman"/>
          <w:i/>
          <w:iCs/>
          <w:sz w:val="28"/>
          <w:szCs w:val="28"/>
        </w:rPr>
        <w:t>The Plant Journal</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121</w:t>
      </w:r>
      <w:r w:rsidRPr="00C3778D">
        <w:rPr>
          <w:rFonts w:ascii="Times New Roman" w:eastAsia="Times New Roman" w:hAnsi="Times New Roman" w:cs="Times New Roman"/>
          <w:sz w:val="28"/>
          <w:szCs w:val="28"/>
        </w:rPr>
        <w:t>(1), e17176.</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Zimmermann, J. L., Carlton, W. W., &amp; </w:t>
      </w:r>
      <w:proofErr w:type="spellStart"/>
      <w:r w:rsidRPr="00C3778D">
        <w:rPr>
          <w:rFonts w:ascii="Times New Roman" w:eastAsia="Times New Roman" w:hAnsi="Times New Roman" w:cs="Times New Roman"/>
          <w:sz w:val="28"/>
          <w:szCs w:val="28"/>
        </w:rPr>
        <w:t>Tuite</w:t>
      </w:r>
      <w:proofErr w:type="spellEnd"/>
      <w:r w:rsidRPr="00C3778D">
        <w:rPr>
          <w:rFonts w:ascii="Times New Roman" w:eastAsia="Times New Roman" w:hAnsi="Times New Roman" w:cs="Times New Roman"/>
          <w:sz w:val="28"/>
          <w:szCs w:val="28"/>
        </w:rPr>
        <w:t xml:space="preserve">, J. (1978). </w:t>
      </w:r>
      <w:proofErr w:type="spellStart"/>
      <w:r w:rsidRPr="00C3778D">
        <w:rPr>
          <w:rFonts w:ascii="Times New Roman" w:eastAsia="Times New Roman" w:hAnsi="Times New Roman" w:cs="Times New Roman"/>
          <w:sz w:val="28"/>
          <w:szCs w:val="28"/>
        </w:rPr>
        <w:t>Mycotoxicosis</w:t>
      </w:r>
      <w:proofErr w:type="spellEnd"/>
      <w:r w:rsidRPr="00C3778D">
        <w:rPr>
          <w:rFonts w:ascii="Times New Roman" w:eastAsia="Times New Roman" w:hAnsi="Times New Roman" w:cs="Times New Roman"/>
          <w:sz w:val="28"/>
          <w:szCs w:val="28"/>
        </w:rPr>
        <w:t xml:space="preserve"> produced in rats by cultural products of an isolate of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ochraceus</w:t>
      </w:r>
      <w:proofErr w:type="spellEnd"/>
      <w:r w:rsidRPr="00C3778D">
        <w:rPr>
          <w:rFonts w:ascii="Times New Roman" w:eastAsia="Times New Roman" w:hAnsi="Times New Roman" w:cs="Times New Roman"/>
          <w:sz w:val="28"/>
          <w:szCs w:val="28"/>
        </w:rPr>
        <w:t xml:space="preserve">. </w:t>
      </w:r>
      <w:r w:rsidRPr="00C3778D">
        <w:rPr>
          <w:rFonts w:ascii="Times New Roman" w:eastAsia="Times New Roman" w:hAnsi="Times New Roman" w:cs="Times New Roman"/>
          <w:i/>
          <w:iCs/>
          <w:sz w:val="28"/>
          <w:szCs w:val="28"/>
        </w:rPr>
        <w:t>Food and Cosmetics Toxicology</w:t>
      </w:r>
      <w:r w:rsidRPr="00C3778D">
        <w:rPr>
          <w:rFonts w:ascii="Times New Roman" w:eastAsia="Times New Roman" w:hAnsi="Times New Roman" w:cs="Times New Roman"/>
          <w:sz w:val="28"/>
          <w:szCs w:val="28"/>
        </w:rPr>
        <w:t xml:space="preserve">, 16(5), 449–461. </w:t>
      </w:r>
      <w:hyperlink r:id="rId22" w:tgtFrame="_new" w:history="1">
        <w:r w:rsidRPr="00C3778D">
          <w:rPr>
            <w:rFonts w:ascii="Times New Roman" w:eastAsia="Times New Roman" w:hAnsi="Times New Roman" w:cs="Times New Roman"/>
            <w:color w:val="0000FF"/>
            <w:sz w:val="28"/>
            <w:szCs w:val="28"/>
            <w:u w:val="single"/>
          </w:rPr>
          <w:t>https://doi.org/10.1016/S0015-6264(78)80303-4</w:t>
        </w:r>
      </w:hyperlink>
      <w:hyperlink r:id="rId23" w:tgtFrame="_blank" w:history="1">
        <w:r w:rsidRPr="00C3778D">
          <w:rPr>
            <w:rFonts w:ascii="Times New Roman" w:eastAsia="Times New Roman" w:hAnsi="Times New Roman" w:cs="Times New Roman"/>
            <w:color w:val="0000FF"/>
            <w:sz w:val="28"/>
            <w:szCs w:val="28"/>
            <w:u w:val="single"/>
          </w:rPr>
          <w:t>PMC</w:t>
        </w:r>
      </w:hyperlink>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
    <w:p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iCs/>
          <w:sz w:val="28"/>
          <w:szCs w:val="28"/>
        </w:rPr>
      </w:pPr>
    </w:p>
    <w:sectPr w:rsidR="001C6DC8" w:rsidRPr="007F40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079" w:rsidRDefault="002C2079" w:rsidP="007F4066">
      <w:pPr>
        <w:spacing w:after="0" w:line="240" w:lineRule="auto"/>
      </w:pPr>
      <w:r>
        <w:separator/>
      </w:r>
    </w:p>
  </w:endnote>
  <w:endnote w:type="continuationSeparator" w:id="0">
    <w:p w:rsidR="002C2079" w:rsidRDefault="002C2079" w:rsidP="007F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123284"/>
      <w:docPartObj>
        <w:docPartGallery w:val="Page Numbers (Bottom of Page)"/>
        <w:docPartUnique/>
      </w:docPartObj>
    </w:sdtPr>
    <w:sdtEndPr>
      <w:rPr>
        <w:noProof/>
      </w:rPr>
    </w:sdtEndPr>
    <w:sdtContent>
      <w:p w:rsidR="00B72042" w:rsidRDefault="00B72042">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rsidR="00B72042" w:rsidRDefault="00B72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052708"/>
      <w:docPartObj>
        <w:docPartGallery w:val="Page Numbers (Bottom of Page)"/>
        <w:docPartUnique/>
      </w:docPartObj>
    </w:sdtPr>
    <w:sdtEndPr>
      <w:rPr>
        <w:noProof/>
      </w:rPr>
    </w:sdtEndPr>
    <w:sdtContent>
      <w:p w:rsidR="00EA344B" w:rsidRDefault="00EA344B">
        <w:pPr>
          <w:pStyle w:val="Footer"/>
          <w:jc w:val="center"/>
        </w:pPr>
        <w:r>
          <w:fldChar w:fldCharType="begin"/>
        </w:r>
        <w:r>
          <w:instrText xml:space="preserve"> PAGE   \* MERGEFORMAT </w:instrText>
        </w:r>
        <w:r>
          <w:fldChar w:fldCharType="separate"/>
        </w:r>
        <w:r w:rsidR="00802D11">
          <w:rPr>
            <w:noProof/>
          </w:rPr>
          <w:t>11</w:t>
        </w:r>
        <w:r>
          <w:rPr>
            <w:noProof/>
          </w:rPr>
          <w:fldChar w:fldCharType="end"/>
        </w:r>
      </w:p>
    </w:sdtContent>
  </w:sdt>
  <w:p w:rsidR="00EA344B" w:rsidRDefault="00EA3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079" w:rsidRDefault="002C2079" w:rsidP="007F4066">
      <w:pPr>
        <w:spacing w:after="0" w:line="240" w:lineRule="auto"/>
      </w:pPr>
      <w:r>
        <w:separator/>
      </w:r>
    </w:p>
  </w:footnote>
  <w:footnote w:type="continuationSeparator" w:id="0">
    <w:p w:rsidR="002C2079" w:rsidRDefault="002C2079" w:rsidP="007F4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27C36"/>
    <w:multiLevelType w:val="multilevel"/>
    <w:tmpl w:val="FB1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4422F"/>
    <w:multiLevelType w:val="multilevel"/>
    <w:tmpl w:val="688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C470D"/>
    <w:multiLevelType w:val="hybridMultilevel"/>
    <w:tmpl w:val="234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9F22BD"/>
    <w:multiLevelType w:val="multilevel"/>
    <w:tmpl w:val="DA381F6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2B55ADF"/>
    <w:multiLevelType w:val="hybridMultilevel"/>
    <w:tmpl w:val="3C3427EC"/>
    <w:lvl w:ilvl="0" w:tplc="E64C9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78"/>
    <w:rsid w:val="000332CE"/>
    <w:rsid w:val="000527E8"/>
    <w:rsid w:val="0006041A"/>
    <w:rsid w:val="00107089"/>
    <w:rsid w:val="00181848"/>
    <w:rsid w:val="00191234"/>
    <w:rsid w:val="00195412"/>
    <w:rsid w:val="001C6DC8"/>
    <w:rsid w:val="001E1325"/>
    <w:rsid w:val="001E62E6"/>
    <w:rsid w:val="00223EC5"/>
    <w:rsid w:val="002603DD"/>
    <w:rsid w:val="00263FF9"/>
    <w:rsid w:val="00280381"/>
    <w:rsid w:val="002B0BB5"/>
    <w:rsid w:val="002C2079"/>
    <w:rsid w:val="002C70C9"/>
    <w:rsid w:val="002D3AA9"/>
    <w:rsid w:val="002D55FC"/>
    <w:rsid w:val="00304E18"/>
    <w:rsid w:val="003A388C"/>
    <w:rsid w:val="003B472E"/>
    <w:rsid w:val="00450826"/>
    <w:rsid w:val="004C6431"/>
    <w:rsid w:val="004C77BE"/>
    <w:rsid w:val="004D7DC1"/>
    <w:rsid w:val="004E5498"/>
    <w:rsid w:val="005044B3"/>
    <w:rsid w:val="00540A49"/>
    <w:rsid w:val="005E26F9"/>
    <w:rsid w:val="00645FF4"/>
    <w:rsid w:val="00667F15"/>
    <w:rsid w:val="00675875"/>
    <w:rsid w:val="006A334A"/>
    <w:rsid w:val="006B50E9"/>
    <w:rsid w:val="006F06DB"/>
    <w:rsid w:val="006F4717"/>
    <w:rsid w:val="0078606D"/>
    <w:rsid w:val="007A5C16"/>
    <w:rsid w:val="007D2A78"/>
    <w:rsid w:val="007F4066"/>
    <w:rsid w:val="00802D11"/>
    <w:rsid w:val="008520E1"/>
    <w:rsid w:val="00871091"/>
    <w:rsid w:val="008A4321"/>
    <w:rsid w:val="008D5597"/>
    <w:rsid w:val="008E05E5"/>
    <w:rsid w:val="0094255A"/>
    <w:rsid w:val="0098466D"/>
    <w:rsid w:val="00986AAE"/>
    <w:rsid w:val="00A45125"/>
    <w:rsid w:val="00A636AB"/>
    <w:rsid w:val="00AE2B8E"/>
    <w:rsid w:val="00B52347"/>
    <w:rsid w:val="00B63A4F"/>
    <w:rsid w:val="00B72042"/>
    <w:rsid w:val="00BE3C21"/>
    <w:rsid w:val="00C3778D"/>
    <w:rsid w:val="00C77AD7"/>
    <w:rsid w:val="00CC4042"/>
    <w:rsid w:val="00D13221"/>
    <w:rsid w:val="00D415F8"/>
    <w:rsid w:val="00DA0F41"/>
    <w:rsid w:val="00E233CD"/>
    <w:rsid w:val="00E23B83"/>
    <w:rsid w:val="00E71726"/>
    <w:rsid w:val="00EA344B"/>
    <w:rsid w:val="00EB6950"/>
    <w:rsid w:val="00ED1470"/>
    <w:rsid w:val="00F44857"/>
    <w:rsid w:val="00F57D6E"/>
    <w:rsid w:val="00F602E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2BBBE-D502-4B1F-A553-E680C59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07335">
      <w:bodyDiv w:val="1"/>
      <w:marLeft w:val="0"/>
      <w:marRight w:val="0"/>
      <w:marTop w:val="0"/>
      <w:marBottom w:val="0"/>
      <w:divBdr>
        <w:top w:val="none" w:sz="0" w:space="0" w:color="auto"/>
        <w:left w:val="none" w:sz="0" w:space="0" w:color="auto"/>
        <w:bottom w:val="none" w:sz="0" w:space="0" w:color="auto"/>
        <w:right w:val="none" w:sz="0" w:space="0" w:color="auto"/>
      </w:divBdr>
      <w:divsChild>
        <w:div w:id="706563528">
          <w:marLeft w:val="0"/>
          <w:marRight w:val="0"/>
          <w:marTop w:val="0"/>
          <w:marBottom w:val="0"/>
          <w:divBdr>
            <w:top w:val="none" w:sz="0" w:space="0" w:color="auto"/>
            <w:left w:val="none" w:sz="0" w:space="0" w:color="auto"/>
            <w:bottom w:val="none" w:sz="0" w:space="0" w:color="auto"/>
            <w:right w:val="none" w:sz="0" w:space="0" w:color="auto"/>
          </w:divBdr>
          <w:divsChild>
            <w:div w:id="2051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3844">
      <w:bodyDiv w:val="1"/>
      <w:marLeft w:val="0"/>
      <w:marRight w:val="0"/>
      <w:marTop w:val="0"/>
      <w:marBottom w:val="0"/>
      <w:divBdr>
        <w:top w:val="none" w:sz="0" w:space="0" w:color="auto"/>
        <w:left w:val="none" w:sz="0" w:space="0" w:color="auto"/>
        <w:bottom w:val="none" w:sz="0" w:space="0" w:color="auto"/>
        <w:right w:val="none" w:sz="0" w:space="0" w:color="auto"/>
      </w:divBdr>
    </w:div>
    <w:div w:id="873927720">
      <w:bodyDiv w:val="1"/>
      <w:marLeft w:val="0"/>
      <w:marRight w:val="0"/>
      <w:marTop w:val="0"/>
      <w:marBottom w:val="0"/>
      <w:divBdr>
        <w:top w:val="none" w:sz="0" w:space="0" w:color="auto"/>
        <w:left w:val="none" w:sz="0" w:space="0" w:color="auto"/>
        <w:bottom w:val="none" w:sz="0" w:space="0" w:color="auto"/>
        <w:right w:val="none" w:sz="0" w:space="0" w:color="auto"/>
      </w:divBdr>
    </w:div>
    <w:div w:id="952857417">
      <w:bodyDiv w:val="1"/>
      <w:marLeft w:val="0"/>
      <w:marRight w:val="0"/>
      <w:marTop w:val="0"/>
      <w:marBottom w:val="0"/>
      <w:divBdr>
        <w:top w:val="none" w:sz="0" w:space="0" w:color="auto"/>
        <w:left w:val="none" w:sz="0" w:space="0" w:color="auto"/>
        <w:bottom w:val="none" w:sz="0" w:space="0" w:color="auto"/>
        <w:right w:val="none" w:sz="0" w:space="0" w:color="auto"/>
      </w:divBdr>
    </w:div>
    <w:div w:id="1350450111">
      <w:bodyDiv w:val="1"/>
      <w:marLeft w:val="0"/>
      <w:marRight w:val="0"/>
      <w:marTop w:val="0"/>
      <w:marBottom w:val="0"/>
      <w:divBdr>
        <w:top w:val="none" w:sz="0" w:space="0" w:color="auto"/>
        <w:left w:val="none" w:sz="0" w:space="0" w:color="auto"/>
        <w:bottom w:val="none" w:sz="0" w:space="0" w:color="auto"/>
        <w:right w:val="none" w:sz="0" w:space="0" w:color="auto"/>
      </w:divBdr>
    </w:div>
    <w:div w:id="1511336522">
      <w:bodyDiv w:val="1"/>
      <w:marLeft w:val="0"/>
      <w:marRight w:val="0"/>
      <w:marTop w:val="0"/>
      <w:marBottom w:val="0"/>
      <w:divBdr>
        <w:top w:val="none" w:sz="0" w:space="0" w:color="auto"/>
        <w:left w:val="none" w:sz="0" w:space="0" w:color="auto"/>
        <w:bottom w:val="none" w:sz="0" w:space="0" w:color="auto"/>
        <w:right w:val="none" w:sz="0" w:space="0" w:color="auto"/>
      </w:divBdr>
    </w:div>
    <w:div w:id="1676876621">
      <w:bodyDiv w:val="1"/>
      <w:marLeft w:val="0"/>
      <w:marRight w:val="0"/>
      <w:marTop w:val="0"/>
      <w:marBottom w:val="0"/>
      <w:divBdr>
        <w:top w:val="none" w:sz="0" w:space="0" w:color="auto"/>
        <w:left w:val="none" w:sz="0" w:space="0" w:color="auto"/>
        <w:bottom w:val="none" w:sz="0" w:space="0" w:color="auto"/>
        <w:right w:val="none" w:sz="0" w:space="0" w:color="auto"/>
      </w:divBdr>
    </w:div>
    <w:div w:id="1720739254">
      <w:bodyDiv w:val="1"/>
      <w:marLeft w:val="0"/>
      <w:marRight w:val="0"/>
      <w:marTop w:val="0"/>
      <w:marBottom w:val="0"/>
      <w:divBdr>
        <w:top w:val="none" w:sz="0" w:space="0" w:color="auto"/>
        <w:left w:val="none" w:sz="0" w:space="0" w:color="auto"/>
        <w:bottom w:val="none" w:sz="0" w:space="0" w:color="auto"/>
        <w:right w:val="none" w:sz="0" w:space="0" w:color="auto"/>
      </w:divBdr>
    </w:div>
    <w:div w:id="1765344113">
      <w:bodyDiv w:val="1"/>
      <w:marLeft w:val="0"/>
      <w:marRight w:val="0"/>
      <w:marTop w:val="0"/>
      <w:marBottom w:val="0"/>
      <w:divBdr>
        <w:top w:val="none" w:sz="0" w:space="0" w:color="auto"/>
        <w:left w:val="none" w:sz="0" w:space="0" w:color="auto"/>
        <w:bottom w:val="none" w:sz="0" w:space="0" w:color="auto"/>
        <w:right w:val="none" w:sz="0" w:space="0" w:color="auto"/>
      </w:divBdr>
    </w:div>
    <w:div w:id="1921911593">
      <w:bodyDiv w:val="1"/>
      <w:marLeft w:val="0"/>
      <w:marRight w:val="0"/>
      <w:marTop w:val="0"/>
      <w:marBottom w:val="0"/>
      <w:divBdr>
        <w:top w:val="none" w:sz="0" w:space="0" w:color="auto"/>
        <w:left w:val="none" w:sz="0" w:space="0" w:color="auto"/>
        <w:bottom w:val="none" w:sz="0" w:space="0" w:color="auto"/>
        <w:right w:val="none" w:sz="0" w:space="0" w:color="auto"/>
      </w:divBdr>
    </w:div>
    <w:div w:id="1977953814">
      <w:bodyDiv w:val="1"/>
      <w:marLeft w:val="0"/>
      <w:marRight w:val="0"/>
      <w:marTop w:val="0"/>
      <w:marBottom w:val="0"/>
      <w:divBdr>
        <w:top w:val="none" w:sz="0" w:space="0" w:color="auto"/>
        <w:left w:val="none" w:sz="0" w:space="0" w:color="auto"/>
        <w:bottom w:val="none" w:sz="0" w:space="0" w:color="auto"/>
        <w:right w:val="none" w:sz="0" w:space="0" w:color="auto"/>
      </w:divBdr>
    </w:div>
    <w:div w:id="20561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hyperlink" Target="https://doi.org/10.1111/j.1365-2672.2004.02280.x" TargetMode="External"/><Relationship Id="rId3" Type="http://schemas.openxmlformats.org/officeDocument/2006/relationships/settings" Target="settings.xml"/><Relationship Id="rId21" Type="http://schemas.openxmlformats.org/officeDocument/2006/relationships/hyperlink" Target="https://ncbi.nlm.nih.gov/pmc/articles/PMC8001018/?utm_source=chatgpt.com" TargetMode="Externa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hyperlink" Target="https://pmc.ncbi.nlm.nih.gov/articles/PMC8622594/?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toxins13110822" TargetMode="External"/><Relationship Id="rId20" Type="http://schemas.openxmlformats.org/officeDocument/2006/relationships/hyperlink" Target="https://doi.org/10.3390/toxins130301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psdm.journals.ekb.eg/article_347758.html?utm_source=chatgpt.com" TargetMode="External"/><Relationship Id="rId23" Type="http://schemas.openxmlformats.org/officeDocument/2006/relationships/hyperlink" Target="https://pmc.ncbi.nlm.nih.gov/articles/PMC7130234/?utm_source=chatgpt.com" TargetMode="External"/><Relationship Id="rId10" Type="http://schemas.openxmlformats.org/officeDocument/2006/relationships/image" Target="media/image2.jpeg"/><Relationship Id="rId19" Type="http://schemas.openxmlformats.org/officeDocument/2006/relationships/hyperlink" Target="https://enviromicro-journals.onlinelibrary.wiley.com/doi/10.1111/j.1365-2672.2004.02280.x?utm_source=chatgpt.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jpsdm.journals.ekb.eg/article_347758.html" TargetMode="External"/><Relationship Id="rId22" Type="http://schemas.openxmlformats.org/officeDocument/2006/relationships/hyperlink" Target="https://doi.org/10.1016/S0015-6264(78)803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5892</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2025-07-16T08:49:00Z</dcterms:created>
  <dcterms:modified xsi:type="dcterms:W3CDTF">2025-08-04T06:58:00Z</dcterms:modified>
</cp:coreProperties>
</file>